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EC7" w:rsidRPr="00B84FBB" w:rsidRDefault="00C27DF9" w:rsidP="00B84FBB">
      <w:pPr>
        <w:pStyle w:val="Heading1"/>
      </w:pPr>
      <w:bookmarkStart w:id="0" w:name="_GoBack"/>
      <w:bookmarkEnd w:id="0"/>
      <w:r w:rsidRPr="00B84FBB">
        <w:t>Use of a</w:t>
      </w:r>
      <w:r w:rsidR="00BE0EC7" w:rsidRPr="00B84FBB">
        <w:t>nti</w:t>
      </w:r>
      <w:r w:rsidRPr="00B84FBB">
        <w:t>psy</w:t>
      </w:r>
      <w:r w:rsidR="00BE0EC7" w:rsidRPr="00B84FBB">
        <w:t xml:space="preserve">chotics </w:t>
      </w:r>
      <w:r w:rsidR="00C80AC1" w:rsidRPr="00B84FBB">
        <w:t>in</w:t>
      </w:r>
      <w:r w:rsidR="00BE0EC7" w:rsidRPr="00B84FBB">
        <w:t xml:space="preserve"> </w:t>
      </w:r>
      <w:r w:rsidR="007E09D4" w:rsidRPr="00B84FBB">
        <w:t>the middle aged</w:t>
      </w:r>
    </w:p>
    <w:p w:rsidR="00CB3286" w:rsidRPr="00B84FBB" w:rsidRDefault="00CB3286" w:rsidP="00B84FBB">
      <w:pPr>
        <w:pStyle w:val="Heading1"/>
      </w:pPr>
    </w:p>
    <w:p w:rsidR="00CB3286" w:rsidRPr="00B84FBB" w:rsidRDefault="00CB3286" w:rsidP="00B84FBB">
      <w:pPr>
        <w:pStyle w:val="Heading1"/>
      </w:pPr>
      <w:r w:rsidRPr="00B84FBB">
        <w:t>A Report prepared by the Drug Utilisation Subcommittee (DUSC) of the Pharmaceutical Ben</w:t>
      </w:r>
      <w:r w:rsidR="00F30EF8" w:rsidRPr="00B84FBB">
        <w:t>efits Advisory Committee (PBAC)</w:t>
      </w:r>
    </w:p>
    <w:p w:rsidR="00CB3286" w:rsidRDefault="00CB3286" w:rsidP="00CB3286">
      <w:pPr>
        <w:rPr>
          <w:rFonts w:asciiTheme="majorHAnsi" w:hAnsiTheme="majorHAnsi"/>
          <w:b/>
          <w:sz w:val="28"/>
          <w:szCs w:val="28"/>
        </w:rPr>
      </w:pPr>
    </w:p>
    <w:p w:rsidR="00CB3286" w:rsidRDefault="00CB3286" w:rsidP="00CB3286">
      <w:pPr>
        <w:rPr>
          <w:rFonts w:asciiTheme="majorHAnsi" w:hAnsiTheme="majorHAnsi"/>
          <w:b/>
        </w:rPr>
      </w:pPr>
      <w:r>
        <w:rPr>
          <w:rFonts w:asciiTheme="majorHAnsi" w:hAnsiTheme="majorHAnsi"/>
          <w:b/>
        </w:rPr>
        <w:t xml:space="preserve">This report was compiled for the DUSC by the DUSC Secretariat from two examinations of utilisation of antipsychotics in Australia considered by DUSC in February 2013 and June 2013. </w:t>
      </w:r>
    </w:p>
    <w:p w:rsidR="00CB3286" w:rsidRDefault="00CB3286" w:rsidP="00CB3286">
      <w:pPr>
        <w:rPr>
          <w:rFonts w:asciiTheme="majorHAnsi" w:hAnsiTheme="majorHAnsi"/>
          <w:b/>
        </w:rPr>
      </w:pPr>
      <w:r>
        <w:rPr>
          <w:rFonts w:asciiTheme="majorHAnsi" w:hAnsiTheme="majorHAnsi"/>
          <w:b/>
        </w:rPr>
        <w:t xml:space="preserve">The initial utilisation studies were provided to the pharmaceutical sponsors of each drug and comments on the studies were provided to DUSC. These comments, where applicable, have been included in this final report. The final report was also provided to clinical specialists in the management of psychiatric problems in children and adults. These comments have also been incorporated. </w:t>
      </w:r>
    </w:p>
    <w:p w:rsidR="00CB3286" w:rsidRDefault="00CB3286" w:rsidP="00CB3286">
      <w:pPr>
        <w:rPr>
          <w:rFonts w:asciiTheme="majorHAnsi" w:hAnsiTheme="majorHAnsi"/>
          <w:b/>
        </w:rPr>
      </w:pPr>
      <w:r>
        <w:rPr>
          <w:rFonts w:asciiTheme="majorHAnsi" w:hAnsiTheme="majorHAnsi"/>
          <w:b/>
        </w:rPr>
        <w:t>The Report was compiled by O Morrison, C Raymond and M Firipis</w:t>
      </w:r>
      <w:r w:rsidR="001A7F9D">
        <w:rPr>
          <w:rFonts w:asciiTheme="majorHAnsi" w:hAnsiTheme="majorHAnsi"/>
          <w:b/>
        </w:rPr>
        <w:t xml:space="preserve"> with assistance of members of DUSC. </w:t>
      </w:r>
      <w:r>
        <w:rPr>
          <w:rFonts w:asciiTheme="majorHAnsi" w:hAnsiTheme="majorHAnsi"/>
          <w:b/>
        </w:rPr>
        <w:t>Final approval by M Robinson.</w:t>
      </w:r>
    </w:p>
    <w:p w:rsidR="00443074" w:rsidRDefault="00443074">
      <w:pPr>
        <w:rPr>
          <w:rFonts w:asciiTheme="majorHAnsi" w:hAnsiTheme="majorHAnsi"/>
          <w:b/>
        </w:rPr>
        <w:sectPr w:rsidR="00443074" w:rsidSect="00CF0697">
          <w:headerReference w:type="even" r:id="rId9"/>
          <w:headerReference w:type="default" r:id="rId10"/>
          <w:footerReference w:type="even" r:id="rId11"/>
          <w:footerReference w:type="default" r:id="rId12"/>
          <w:headerReference w:type="first" r:id="rId13"/>
          <w:footerReference w:type="first" r:id="rId14"/>
          <w:type w:val="continuous"/>
          <w:pgSz w:w="11900" w:h="16840"/>
          <w:pgMar w:top="1440" w:right="1800" w:bottom="1440" w:left="1800" w:header="708" w:footer="708" w:gutter="0"/>
          <w:cols w:space="708"/>
          <w:titlePg/>
          <w:docGrid w:linePitch="326"/>
        </w:sectPr>
      </w:pPr>
    </w:p>
    <w:p w:rsidR="00CB3286" w:rsidRDefault="00CB3286">
      <w:pPr>
        <w:rPr>
          <w:rFonts w:asciiTheme="majorHAnsi" w:hAnsiTheme="majorHAnsi"/>
          <w:b/>
        </w:rPr>
      </w:pPr>
    </w:p>
    <w:p w:rsidR="00CB3286" w:rsidRPr="00B84FBB" w:rsidRDefault="00CB3286" w:rsidP="00B84FBB">
      <w:pPr>
        <w:pStyle w:val="Heading2"/>
      </w:pPr>
      <w:r w:rsidRPr="00B84FBB">
        <w:t>Abstract</w:t>
      </w:r>
    </w:p>
    <w:p w:rsidR="00CB3286" w:rsidRDefault="00C21B6F" w:rsidP="00CB3286">
      <w:pPr>
        <w:rPr>
          <w:rFonts w:asciiTheme="majorHAnsi" w:hAnsiTheme="majorHAnsi"/>
        </w:rPr>
      </w:pPr>
      <w:r>
        <w:rPr>
          <w:rFonts w:asciiTheme="majorHAnsi" w:hAnsiTheme="majorHAnsi"/>
        </w:rPr>
        <w:t>The use of atypical antipsychotics in adults aged 20</w:t>
      </w:r>
      <w:r w:rsidR="00894247">
        <w:rPr>
          <w:rFonts w:asciiTheme="majorHAnsi" w:hAnsiTheme="majorHAnsi"/>
        </w:rPr>
        <w:t>–</w:t>
      </w:r>
      <w:r>
        <w:rPr>
          <w:rFonts w:asciiTheme="majorHAnsi" w:hAnsiTheme="majorHAnsi"/>
        </w:rPr>
        <w:t>59 years in Australia is increasing without a proportionate increase in the prevalence of currently subsidised indications. Use of selected antipsychotics in depression and anxiety disorders has been reported in the literature. In addition use of low dose quetiapine is reported as a sedative. In Australia the three most commonly used antipsychotics are quetiapine, olanzapine and risperidone. While much work has been done on elderly patients the increasing use of these drugs in middle aged people is also of concern given the lack of data for both benefits and harms for some reasons for prescribing. This study examines the patterns of utilisation of PBS-listed antipsychotics in middle aged patients in Australia.</w:t>
      </w:r>
    </w:p>
    <w:p w:rsidR="00CB3286" w:rsidRDefault="00CB3286" w:rsidP="00CB3286">
      <w:pPr>
        <w:rPr>
          <w:rFonts w:asciiTheme="majorHAnsi" w:hAnsiTheme="majorHAnsi"/>
        </w:rPr>
      </w:pPr>
      <w:r>
        <w:rPr>
          <w:rFonts w:asciiTheme="majorHAnsi" w:hAnsiTheme="majorHAnsi"/>
        </w:rPr>
        <w:t>De-identified patient level pharmacy claim data from 1 December 2010 to 31 December 2012 was extracted from the records of subsidised claims provided to the Australian Government by dispensing pharmacies. As the number of records was very large a 10% sample of the dataset was used for some analyses. Data elements extracted for each de-identified record were age at date of supply, gender, medicine form and strength. Prescriber type was determined from the de-identified prescriber approval number. Initiation to treatment was the first drug supply after a minimum of 12 months previously. Co</w:t>
      </w:r>
      <w:r w:rsidR="004B1D70">
        <w:rPr>
          <w:rFonts w:asciiTheme="majorHAnsi" w:hAnsiTheme="majorHAnsi"/>
        </w:rPr>
        <w:t>-</w:t>
      </w:r>
      <w:r>
        <w:rPr>
          <w:rFonts w:asciiTheme="majorHAnsi" w:hAnsiTheme="majorHAnsi"/>
        </w:rPr>
        <w:t>administration was assumed where the day</w:t>
      </w:r>
      <w:r w:rsidR="00C21B6F">
        <w:rPr>
          <w:rFonts w:asciiTheme="majorHAnsi" w:hAnsiTheme="majorHAnsi"/>
        </w:rPr>
        <w:t>s of coverage of both drugs were</w:t>
      </w:r>
      <w:r>
        <w:rPr>
          <w:rFonts w:asciiTheme="majorHAnsi" w:hAnsiTheme="majorHAnsi"/>
        </w:rPr>
        <w:t xml:space="preserve"> evident based on dates of supply.</w:t>
      </w:r>
    </w:p>
    <w:p w:rsidR="003F3CD6" w:rsidRDefault="00FC645F" w:rsidP="00CB3286">
      <w:pPr>
        <w:rPr>
          <w:rFonts w:asciiTheme="majorHAnsi" w:hAnsiTheme="majorHAnsi"/>
        </w:rPr>
      </w:pPr>
      <w:r>
        <w:rPr>
          <w:rFonts w:asciiTheme="majorHAnsi" w:hAnsiTheme="majorHAnsi"/>
        </w:rPr>
        <w:t>Use of antipsychotics increased</w:t>
      </w:r>
      <w:r w:rsidR="00D72418">
        <w:rPr>
          <w:rFonts w:asciiTheme="majorHAnsi" w:hAnsiTheme="majorHAnsi"/>
        </w:rPr>
        <w:t xml:space="preserve"> from around 20 patients/1000 </w:t>
      </w:r>
      <w:r w:rsidR="00073781">
        <w:rPr>
          <w:rFonts w:asciiTheme="majorHAnsi" w:hAnsiTheme="majorHAnsi"/>
        </w:rPr>
        <w:t>in the 20–</w:t>
      </w:r>
      <w:r w:rsidR="00D72418">
        <w:rPr>
          <w:rFonts w:asciiTheme="majorHAnsi" w:hAnsiTheme="majorHAnsi"/>
        </w:rPr>
        <w:t>24 year</w:t>
      </w:r>
      <w:r w:rsidR="00073781">
        <w:rPr>
          <w:rFonts w:asciiTheme="majorHAnsi" w:hAnsiTheme="majorHAnsi"/>
        </w:rPr>
        <w:t xml:space="preserve"> age</w:t>
      </w:r>
      <w:r w:rsidR="00D72418">
        <w:rPr>
          <w:rFonts w:asciiTheme="majorHAnsi" w:hAnsiTheme="majorHAnsi"/>
        </w:rPr>
        <w:t xml:space="preserve"> population to a maximum of 36</w:t>
      </w:r>
      <w:r w:rsidR="00073781">
        <w:rPr>
          <w:rFonts w:asciiTheme="majorHAnsi" w:hAnsiTheme="majorHAnsi"/>
        </w:rPr>
        <w:t xml:space="preserve"> </w:t>
      </w:r>
      <w:r w:rsidR="00D72418">
        <w:rPr>
          <w:rFonts w:asciiTheme="majorHAnsi" w:hAnsiTheme="majorHAnsi"/>
        </w:rPr>
        <w:t>patients/1000 ag</w:t>
      </w:r>
      <w:r w:rsidR="00073781">
        <w:rPr>
          <w:rFonts w:asciiTheme="majorHAnsi" w:hAnsiTheme="majorHAnsi"/>
        </w:rPr>
        <w:t>ed 34–</w:t>
      </w:r>
      <w:r>
        <w:rPr>
          <w:rFonts w:asciiTheme="majorHAnsi" w:hAnsiTheme="majorHAnsi"/>
        </w:rPr>
        <w:t>39 and 40–</w:t>
      </w:r>
      <w:r w:rsidR="00D72418">
        <w:rPr>
          <w:rFonts w:asciiTheme="majorHAnsi" w:hAnsiTheme="majorHAnsi"/>
        </w:rPr>
        <w:t>45</w:t>
      </w:r>
      <w:r>
        <w:rPr>
          <w:rFonts w:asciiTheme="majorHAnsi" w:hAnsiTheme="majorHAnsi"/>
        </w:rPr>
        <w:t xml:space="preserve"> years</w:t>
      </w:r>
      <w:r w:rsidR="00073781">
        <w:rPr>
          <w:rFonts w:asciiTheme="majorHAnsi" w:hAnsiTheme="majorHAnsi"/>
        </w:rPr>
        <w:t xml:space="preserve"> </w:t>
      </w:r>
      <w:r w:rsidR="00D72418">
        <w:rPr>
          <w:rFonts w:asciiTheme="majorHAnsi" w:hAnsiTheme="majorHAnsi"/>
        </w:rPr>
        <w:t>respectively. More males receive</w:t>
      </w:r>
      <w:r>
        <w:rPr>
          <w:rFonts w:asciiTheme="majorHAnsi" w:hAnsiTheme="majorHAnsi"/>
        </w:rPr>
        <w:t>d</w:t>
      </w:r>
      <w:r w:rsidR="00D72418">
        <w:rPr>
          <w:rFonts w:asciiTheme="majorHAnsi" w:hAnsiTheme="majorHAnsi"/>
        </w:rPr>
        <w:t xml:space="preserve"> antipsychotics until aged 50. After this a larger proportion of treated patients </w:t>
      </w:r>
      <w:r>
        <w:rPr>
          <w:rFonts w:asciiTheme="majorHAnsi" w:hAnsiTheme="majorHAnsi"/>
        </w:rPr>
        <w:t>we</w:t>
      </w:r>
      <w:r w:rsidR="00D72418">
        <w:rPr>
          <w:rFonts w:asciiTheme="majorHAnsi" w:hAnsiTheme="majorHAnsi"/>
        </w:rPr>
        <w:t xml:space="preserve">re females. Quetiapine </w:t>
      </w:r>
      <w:r>
        <w:rPr>
          <w:rFonts w:asciiTheme="majorHAnsi" w:hAnsiTheme="majorHAnsi"/>
        </w:rPr>
        <w:t>wa</w:t>
      </w:r>
      <w:r w:rsidR="00D72418">
        <w:rPr>
          <w:rFonts w:asciiTheme="majorHAnsi" w:hAnsiTheme="majorHAnsi"/>
        </w:rPr>
        <w:t xml:space="preserve">s the most commonly prescribed antipsychotic in all age groups. Quetiapine use has grown by 82% from 2008 to 2011 while there were small reductions in olanzapine (-3%) and risperidone (-6%). The most commonly used treatment regimen in all age groups </w:t>
      </w:r>
      <w:r>
        <w:rPr>
          <w:rFonts w:asciiTheme="majorHAnsi" w:hAnsiTheme="majorHAnsi"/>
        </w:rPr>
        <w:t>wa</w:t>
      </w:r>
      <w:r w:rsidR="00D72418">
        <w:rPr>
          <w:rFonts w:asciiTheme="majorHAnsi" w:hAnsiTheme="majorHAnsi"/>
        </w:rPr>
        <w:t>s an antidepressant co</w:t>
      </w:r>
      <w:r w:rsidR="004B1D70">
        <w:rPr>
          <w:rFonts w:asciiTheme="majorHAnsi" w:hAnsiTheme="majorHAnsi"/>
        </w:rPr>
        <w:t>-</w:t>
      </w:r>
      <w:r w:rsidR="00D72418">
        <w:rPr>
          <w:rFonts w:asciiTheme="majorHAnsi" w:hAnsiTheme="majorHAnsi"/>
        </w:rPr>
        <w:t>administered with quetiapine</w:t>
      </w:r>
      <w:r w:rsidR="00603D57">
        <w:rPr>
          <w:rFonts w:asciiTheme="majorHAnsi" w:hAnsiTheme="majorHAnsi"/>
        </w:rPr>
        <w:t>, with a trend to increase with age</w:t>
      </w:r>
      <w:r w:rsidR="00D72418">
        <w:rPr>
          <w:rFonts w:asciiTheme="majorHAnsi" w:hAnsiTheme="majorHAnsi"/>
        </w:rPr>
        <w:t>.</w:t>
      </w:r>
    </w:p>
    <w:p w:rsidR="00D72418" w:rsidRDefault="003F3CD6" w:rsidP="00CB3286">
      <w:pPr>
        <w:rPr>
          <w:rFonts w:asciiTheme="majorHAnsi" w:hAnsiTheme="majorHAnsi"/>
        </w:rPr>
      </w:pPr>
      <w:r>
        <w:rPr>
          <w:rFonts w:asciiTheme="majorHAnsi" w:hAnsiTheme="majorHAnsi"/>
        </w:rPr>
        <w:t>For the 155,630 patients receiving</w:t>
      </w:r>
      <w:r w:rsidR="004B1D70">
        <w:rPr>
          <w:rFonts w:asciiTheme="majorHAnsi" w:hAnsiTheme="majorHAnsi"/>
        </w:rPr>
        <w:t xml:space="preserve"> any antipsychotic in 2011, 37.6</w:t>
      </w:r>
      <w:r>
        <w:rPr>
          <w:rFonts w:asciiTheme="majorHAnsi" w:hAnsiTheme="majorHAnsi"/>
        </w:rPr>
        <w:t>% received quetiapine. Arou</w:t>
      </w:r>
      <w:r w:rsidR="00AC5472">
        <w:rPr>
          <w:rFonts w:asciiTheme="majorHAnsi" w:hAnsiTheme="majorHAnsi"/>
        </w:rPr>
        <w:t>nd 23% of these people received</w:t>
      </w:r>
      <w:r>
        <w:rPr>
          <w:rFonts w:asciiTheme="majorHAnsi" w:hAnsiTheme="majorHAnsi"/>
        </w:rPr>
        <w:t xml:space="preserve"> prescriptions for quetiapine 25</w:t>
      </w:r>
      <w:r w:rsidR="00FC645F">
        <w:rPr>
          <w:rFonts w:asciiTheme="majorHAnsi" w:hAnsiTheme="majorHAnsi"/>
        </w:rPr>
        <w:t xml:space="preserve"> </w:t>
      </w:r>
      <w:r>
        <w:rPr>
          <w:rFonts w:asciiTheme="majorHAnsi" w:hAnsiTheme="majorHAnsi"/>
        </w:rPr>
        <w:t>mg without any other quetiapine strengths, about 2/3 of these in a regimen with an antidepressant and the remaining 1/3 as one single strength antipsychotic.</w:t>
      </w:r>
    </w:p>
    <w:p w:rsidR="003F3CD6" w:rsidRPr="003F3CD6" w:rsidRDefault="003F3CD6" w:rsidP="00CB3286">
      <w:pPr>
        <w:rPr>
          <w:rFonts w:asciiTheme="majorHAnsi" w:hAnsiTheme="majorHAnsi"/>
        </w:rPr>
      </w:pPr>
      <w:r>
        <w:rPr>
          <w:rFonts w:asciiTheme="majorHAnsi" w:hAnsiTheme="majorHAnsi"/>
        </w:rPr>
        <w:t>Quetiapine 25</w:t>
      </w:r>
      <w:r w:rsidR="00F83002">
        <w:rPr>
          <w:rFonts w:asciiTheme="majorHAnsi" w:hAnsiTheme="majorHAnsi"/>
        </w:rPr>
        <w:t xml:space="preserve"> </w:t>
      </w:r>
      <w:r>
        <w:rPr>
          <w:rFonts w:asciiTheme="majorHAnsi" w:hAnsiTheme="majorHAnsi"/>
        </w:rPr>
        <w:t xml:space="preserve">mg, supplied in a pack of 60, was usually refilled </w:t>
      </w:r>
      <w:r w:rsidR="00603D57">
        <w:rPr>
          <w:rFonts w:asciiTheme="majorHAnsi" w:hAnsiTheme="majorHAnsi"/>
        </w:rPr>
        <w:t>around 26 days but there</w:t>
      </w:r>
      <w:r w:rsidR="00FC645F">
        <w:rPr>
          <w:rFonts w:asciiTheme="majorHAnsi" w:hAnsiTheme="majorHAnsi"/>
        </w:rPr>
        <w:t xml:space="preserve"> wa</w:t>
      </w:r>
      <w:r w:rsidR="00603D57">
        <w:rPr>
          <w:rFonts w:asciiTheme="majorHAnsi" w:hAnsiTheme="majorHAnsi"/>
        </w:rPr>
        <w:t>s a significant second peak refilling at around 60 days. This is indicative of one 25</w:t>
      </w:r>
      <w:r w:rsidR="00FC645F">
        <w:rPr>
          <w:rFonts w:asciiTheme="majorHAnsi" w:hAnsiTheme="majorHAnsi"/>
        </w:rPr>
        <w:t xml:space="preserve"> </w:t>
      </w:r>
      <w:r w:rsidR="00603D57">
        <w:rPr>
          <w:rFonts w:asciiTheme="majorHAnsi" w:hAnsiTheme="majorHAnsi"/>
        </w:rPr>
        <w:t xml:space="preserve">mg tablet daily for a substantial number of people. GPs </w:t>
      </w:r>
      <w:r w:rsidR="00FC645F">
        <w:rPr>
          <w:rFonts w:asciiTheme="majorHAnsi" w:hAnsiTheme="majorHAnsi"/>
        </w:rPr>
        <w:t>we</w:t>
      </w:r>
      <w:r w:rsidR="00603D57">
        <w:rPr>
          <w:rFonts w:asciiTheme="majorHAnsi" w:hAnsiTheme="majorHAnsi"/>
        </w:rPr>
        <w:t>re the most common prescribers of original prescriptions for antipsychotics however it is not possible to show if this was on advice of a psychiatrist.</w:t>
      </w:r>
    </w:p>
    <w:p w:rsidR="00CB3286" w:rsidRPr="00603D57" w:rsidRDefault="00603D57" w:rsidP="00A57BF3">
      <w:pPr>
        <w:rPr>
          <w:rFonts w:asciiTheme="majorHAnsi" w:hAnsiTheme="majorHAnsi"/>
        </w:rPr>
      </w:pPr>
      <w:r w:rsidRPr="00603D57">
        <w:rPr>
          <w:rFonts w:asciiTheme="majorHAnsi" w:hAnsiTheme="majorHAnsi"/>
        </w:rPr>
        <w:t>The patterns of prescribing antipsychotics show differences that suggest different factors in patient selection. The study showed higher than expected use of quetiapine 25</w:t>
      </w:r>
      <w:r w:rsidR="00FC645F">
        <w:rPr>
          <w:rFonts w:asciiTheme="majorHAnsi" w:hAnsiTheme="majorHAnsi"/>
        </w:rPr>
        <w:t xml:space="preserve"> </w:t>
      </w:r>
      <w:r w:rsidRPr="00603D57">
        <w:rPr>
          <w:rFonts w:asciiTheme="majorHAnsi" w:hAnsiTheme="majorHAnsi"/>
        </w:rPr>
        <w:t>mg as a single agent, possibl</w:t>
      </w:r>
      <w:r>
        <w:rPr>
          <w:rFonts w:asciiTheme="majorHAnsi" w:hAnsiTheme="majorHAnsi"/>
        </w:rPr>
        <w:t>y</w:t>
      </w:r>
      <w:r w:rsidRPr="00603D57">
        <w:rPr>
          <w:rFonts w:asciiTheme="majorHAnsi" w:hAnsiTheme="majorHAnsi"/>
        </w:rPr>
        <w:t xml:space="preserve"> related to </w:t>
      </w:r>
      <w:r>
        <w:rPr>
          <w:rFonts w:asciiTheme="majorHAnsi" w:hAnsiTheme="majorHAnsi"/>
        </w:rPr>
        <w:t xml:space="preserve">its </w:t>
      </w:r>
      <w:r w:rsidRPr="00603D57">
        <w:rPr>
          <w:rFonts w:asciiTheme="majorHAnsi" w:hAnsiTheme="majorHAnsi"/>
        </w:rPr>
        <w:t xml:space="preserve">sedative properties and </w:t>
      </w:r>
      <w:r>
        <w:rPr>
          <w:rFonts w:asciiTheme="majorHAnsi" w:hAnsiTheme="majorHAnsi"/>
        </w:rPr>
        <w:t>as an agent to treat anxiety.</w:t>
      </w:r>
      <w:r w:rsidR="00CC6D85">
        <w:rPr>
          <w:rFonts w:asciiTheme="majorHAnsi" w:hAnsiTheme="majorHAnsi"/>
        </w:rPr>
        <w:t xml:space="preserve"> Additional use may be </w:t>
      </w:r>
      <w:r w:rsidRPr="00603D57">
        <w:rPr>
          <w:rFonts w:asciiTheme="majorHAnsi" w:hAnsiTheme="majorHAnsi"/>
        </w:rPr>
        <w:t xml:space="preserve">as either adjunctive treatment in </w:t>
      </w:r>
      <w:r w:rsidRPr="00603D57">
        <w:rPr>
          <w:rFonts w:asciiTheme="majorHAnsi" w:hAnsiTheme="majorHAnsi"/>
        </w:rPr>
        <w:lastRenderedPageBreak/>
        <w:t xml:space="preserve">depression or treatment to manage side effects of antidepressants. </w:t>
      </w:r>
      <w:r>
        <w:rPr>
          <w:rFonts w:asciiTheme="majorHAnsi" w:hAnsiTheme="majorHAnsi"/>
        </w:rPr>
        <w:t xml:space="preserve">The harms associated with antipsychotics are well documented, although less so for low dose preparations. </w:t>
      </w:r>
      <w:r w:rsidR="00CC6D85">
        <w:rPr>
          <w:rFonts w:asciiTheme="majorHAnsi" w:hAnsiTheme="majorHAnsi"/>
        </w:rPr>
        <w:t>The evidence supporting antipsychotics as adjunctive treatments in major and refractory depression does not completely support the increasing use of quetiapine 25</w:t>
      </w:r>
      <w:r w:rsidR="00507C7A">
        <w:rPr>
          <w:rFonts w:asciiTheme="majorHAnsi" w:hAnsiTheme="majorHAnsi"/>
        </w:rPr>
        <w:t xml:space="preserve"> </w:t>
      </w:r>
      <w:r w:rsidR="00CC6D85">
        <w:rPr>
          <w:rFonts w:asciiTheme="majorHAnsi" w:hAnsiTheme="majorHAnsi"/>
        </w:rPr>
        <w:t xml:space="preserve">mg in the community seen in the utilisation data. While the median age of onset for depression occurs in the mid-30s and therefore some use of antipsychotics is to be expected in this age group the high use of low dose quetiapine is poorly supported by the literature. Prescribers may not be aware of the long term harm risk. The perception of </w:t>
      </w:r>
      <w:r w:rsidR="00030B97">
        <w:rPr>
          <w:rFonts w:asciiTheme="majorHAnsi" w:hAnsiTheme="majorHAnsi"/>
        </w:rPr>
        <w:t xml:space="preserve">low-dose antipsychotics as </w:t>
      </w:r>
      <w:r w:rsidR="00CC6D85">
        <w:rPr>
          <w:rFonts w:asciiTheme="majorHAnsi" w:hAnsiTheme="majorHAnsi"/>
        </w:rPr>
        <w:t>‘safer’ medicines than other medicines such as benzodia</w:t>
      </w:r>
      <w:r w:rsidR="00030B97">
        <w:rPr>
          <w:rFonts w:asciiTheme="majorHAnsi" w:hAnsiTheme="majorHAnsi"/>
        </w:rPr>
        <w:t>ze</w:t>
      </w:r>
      <w:r w:rsidR="00CC6D85">
        <w:rPr>
          <w:rFonts w:asciiTheme="majorHAnsi" w:hAnsiTheme="majorHAnsi"/>
        </w:rPr>
        <w:t>pines as narcotics and anti-anxiety agents</w:t>
      </w:r>
      <w:r w:rsidR="00030B97">
        <w:rPr>
          <w:rFonts w:asciiTheme="majorHAnsi" w:hAnsiTheme="majorHAnsi"/>
        </w:rPr>
        <w:t xml:space="preserve"> are poorly supported in the literature and more research needs to be done</w:t>
      </w:r>
      <w:r w:rsidR="00FC645F">
        <w:rPr>
          <w:rFonts w:asciiTheme="majorHAnsi" w:hAnsiTheme="majorHAnsi"/>
        </w:rPr>
        <w:t xml:space="preserve"> in</w:t>
      </w:r>
      <w:r w:rsidR="00030B97">
        <w:rPr>
          <w:rFonts w:asciiTheme="majorHAnsi" w:hAnsiTheme="majorHAnsi"/>
        </w:rPr>
        <w:t xml:space="preserve"> some patient groups.</w:t>
      </w:r>
    </w:p>
    <w:p w:rsidR="007A0A6E" w:rsidRDefault="007A0A6E">
      <w:pPr>
        <w:rPr>
          <w:rFonts w:asciiTheme="majorHAnsi" w:hAnsiTheme="majorHAnsi"/>
          <w:b/>
        </w:rPr>
        <w:sectPr w:rsidR="007A0A6E" w:rsidSect="007A0A6E">
          <w:footerReference w:type="first" r:id="rId15"/>
          <w:pgSz w:w="11900" w:h="16840"/>
          <w:pgMar w:top="1440" w:right="1800" w:bottom="1440" w:left="1800" w:header="708" w:footer="708" w:gutter="0"/>
          <w:pgNumType w:start="1"/>
          <w:cols w:space="708"/>
          <w:titlePg/>
          <w:docGrid w:linePitch="326"/>
        </w:sectPr>
      </w:pPr>
    </w:p>
    <w:p w:rsidR="006045E7" w:rsidRPr="00CE6E93" w:rsidRDefault="00BE0EC7" w:rsidP="003B7C41">
      <w:pPr>
        <w:pStyle w:val="Heading2"/>
      </w:pPr>
      <w:r w:rsidRPr="00CE6E93">
        <w:lastRenderedPageBreak/>
        <w:t>Introduction</w:t>
      </w:r>
    </w:p>
    <w:p w:rsidR="00D55773" w:rsidRDefault="00735835" w:rsidP="009D1AF8">
      <w:pPr>
        <w:jc w:val="both"/>
        <w:rPr>
          <w:rFonts w:asciiTheme="majorHAnsi" w:hAnsiTheme="majorHAnsi"/>
        </w:rPr>
      </w:pPr>
      <w:r w:rsidRPr="00735835">
        <w:rPr>
          <w:rFonts w:asciiTheme="majorHAnsi" w:hAnsiTheme="majorHAnsi"/>
        </w:rPr>
        <w:t xml:space="preserve">Use of atypical antipsychotics in adults </w:t>
      </w:r>
      <w:r w:rsidR="0037714F">
        <w:rPr>
          <w:rFonts w:asciiTheme="majorHAnsi" w:hAnsiTheme="majorHAnsi"/>
        </w:rPr>
        <w:t xml:space="preserve">aged 20–59 years </w:t>
      </w:r>
      <w:r w:rsidRPr="00735835">
        <w:rPr>
          <w:rFonts w:asciiTheme="majorHAnsi" w:hAnsiTheme="majorHAnsi"/>
        </w:rPr>
        <w:t xml:space="preserve">in Australia is increasing without a proportionate increase in the prevalence of indications </w:t>
      </w:r>
      <w:r w:rsidR="0045158A">
        <w:rPr>
          <w:rFonts w:asciiTheme="majorHAnsi" w:hAnsiTheme="majorHAnsi"/>
        </w:rPr>
        <w:t>listed on the</w:t>
      </w:r>
      <w:r w:rsidRPr="00735835">
        <w:rPr>
          <w:rFonts w:asciiTheme="majorHAnsi" w:hAnsiTheme="majorHAnsi"/>
        </w:rPr>
        <w:t xml:space="preserve"> Pharmaceutical Benefits Scheme (PBS)</w:t>
      </w:r>
      <w:r w:rsidR="000A1FAB">
        <w:rPr>
          <w:rFonts w:asciiTheme="majorHAnsi" w:hAnsiTheme="majorHAnsi"/>
        </w:rPr>
        <w:t>.</w:t>
      </w:r>
      <w:r w:rsidR="00EB0523" w:rsidRPr="00EB0523">
        <w:rPr>
          <w:rFonts w:asciiTheme="majorHAnsi" w:hAnsiTheme="majorHAnsi"/>
          <w:vertAlign w:val="superscript"/>
        </w:rPr>
        <w:t>1</w:t>
      </w:r>
      <w:r w:rsidR="000A1FAB">
        <w:rPr>
          <w:rFonts w:asciiTheme="majorHAnsi" w:hAnsiTheme="majorHAnsi"/>
        </w:rPr>
        <w:t xml:space="preserve"> This</w:t>
      </w:r>
      <w:r w:rsidRPr="00735835">
        <w:rPr>
          <w:rFonts w:asciiTheme="majorHAnsi" w:hAnsiTheme="majorHAnsi"/>
        </w:rPr>
        <w:t xml:space="preserve"> is of concern </w:t>
      </w:r>
      <w:r w:rsidR="000A1FAB">
        <w:rPr>
          <w:rFonts w:asciiTheme="majorHAnsi" w:hAnsiTheme="majorHAnsi"/>
        </w:rPr>
        <w:t>to the P</w:t>
      </w:r>
      <w:r w:rsidR="00C55798">
        <w:rPr>
          <w:rFonts w:asciiTheme="majorHAnsi" w:hAnsiTheme="majorHAnsi"/>
        </w:rPr>
        <w:t>harmaceutical Benefits Advisory Committee (P</w:t>
      </w:r>
      <w:r w:rsidR="000A1FAB">
        <w:rPr>
          <w:rFonts w:asciiTheme="majorHAnsi" w:hAnsiTheme="majorHAnsi"/>
        </w:rPr>
        <w:t>BAC</w:t>
      </w:r>
      <w:r w:rsidR="00C55798">
        <w:rPr>
          <w:rFonts w:asciiTheme="majorHAnsi" w:hAnsiTheme="majorHAnsi"/>
        </w:rPr>
        <w:t>)</w:t>
      </w:r>
      <w:r w:rsidR="000A1FAB">
        <w:rPr>
          <w:rFonts w:asciiTheme="majorHAnsi" w:hAnsiTheme="majorHAnsi"/>
        </w:rPr>
        <w:t xml:space="preserve"> as</w:t>
      </w:r>
      <w:r w:rsidRPr="00735835">
        <w:rPr>
          <w:rFonts w:asciiTheme="majorHAnsi" w:hAnsiTheme="majorHAnsi"/>
        </w:rPr>
        <w:t xml:space="preserve"> there has been no evaluation of cost-effectiveness in </w:t>
      </w:r>
      <w:r w:rsidR="000A1FAB">
        <w:rPr>
          <w:rFonts w:asciiTheme="majorHAnsi" w:hAnsiTheme="majorHAnsi"/>
        </w:rPr>
        <w:t xml:space="preserve">other therapeutic </w:t>
      </w:r>
      <w:r w:rsidRPr="00735835">
        <w:rPr>
          <w:rFonts w:asciiTheme="majorHAnsi" w:hAnsiTheme="majorHAnsi"/>
        </w:rPr>
        <w:t>areas</w:t>
      </w:r>
      <w:r w:rsidR="000A1FAB">
        <w:rPr>
          <w:rFonts w:asciiTheme="majorHAnsi" w:hAnsiTheme="majorHAnsi"/>
        </w:rPr>
        <w:t>.</w:t>
      </w:r>
      <w:r w:rsidRPr="00735835">
        <w:rPr>
          <w:rFonts w:asciiTheme="majorHAnsi" w:hAnsiTheme="majorHAnsi"/>
        </w:rPr>
        <w:t xml:space="preserve"> </w:t>
      </w:r>
      <w:r w:rsidR="000A1FAB">
        <w:rPr>
          <w:rFonts w:asciiTheme="majorHAnsi" w:hAnsiTheme="majorHAnsi"/>
        </w:rPr>
        <w:t xml:space="preserve">The literature suggests that use of antipsychotics for symptom management in </w:t>
      </w:r>
      <w:r w:rsidRPr="00735835">
        <w:rPr>
          <w:rFonts w:asciiTheme="majorHAnsi" w:hAnsiTheme="majorHAnsi"/>
        </w:rPr>
        <w:t>non-psychotic illness</w:t>
      </w:r>
      <w:r w:rsidR="000A1FAB">
        <w:rPr>
          <w:rFonts w:asciiTheme="majorHAnsi" w:hAnsiTheme="majorHAnsi"/>
        </w:rPr>
        <w:t xml:space="preserve"> may mask</w:t>
      </w:r>
      <w:r w:rsidRPr="00735835">
        <w:rPr>
          <w:rFonts w:asciiTheme="majorHAnsi" w:hAnsiTheme="majorHAnsi"/>
        </w:rPr>
        <w:t xml:space="preserve"> </w:t>
      </w:r>
      <w:r w:rsidR="000A1FAB">
        <w:rPr>
          <w:rFonts w:asciiTheme="majorHAnsi" w:hAnsiTheme="majorHAnsi"/>
        </w:rPr>
        <w:t xml:space="preserve">or delay treatment of </w:t>
      </w:r>
      <w:r w:rsidRPr="00735835">
        <w:rPr>
          <w:rFonts w:asciiTheme="majorHAnsi" w:hAnsiTheme="majorHAnsi"/>
        </w:rPr>
        <w:t>the underlying condition</w:t>
      </w:r>
      <w:r w:rsidR="000A1FAB">
        <w:rPr>
          <w:rFonts w:asciiTheme="majorHAnsi" w:hAnsiTheme="majorHAnsi"/>
        </w:rPr>
        <w:t xml:space="preserve">, add to the potential for harm from increased </w:t>
      </w:r>
      <w:r w:rsidRPr="00735835">
        <w:rPr>
          <w:rFonts w:asciiTheme="majorHAnsi" w:hAnsiTheme="majorHAnsi"/>
        </w:rPr>
        <w:t>risk of adverse events</w:t>
      </w:r>
      <w:r w:rsidR="000A1FAB">
        <w:rPr>
          <w:rFonts w:asciiTheme="majorHAnsi" w:hAnsiTheme="majorHAnsi"/>
        </w:rPr>
        <w:t xml:space="preserve"> associated with </w:t>
      </w:r>
      <w:r w:rsidR="00631074">
        <w:rPr>
          <w:rFonts w:asciiTheme="majorHAnsi" w:hAnsiTheme="majorHAnsi"/>
        </w:rPr>
        <w:t>antipsychotics</w:t>
      </w:r>
      <w:r w:rsidRPr="00735835">
        <w:rPr>
          <w:rFonts w:asciiTheme="majorHAnsi" w:hAnsiTheme="majorHAnsi"/>
        </w:rPr>
        <w:t xml:space="preserve">, and there is potential for diversion </w:t>
      </w:r>
      <w:r w:rsidR="000A1FAB">
        <w:rPr>
          <w:rFonts w:asciiTheme="majorHAnsi" w:hAnsiTheme="majorHAnsi"/>
        </w:rPr>
        <w:t xml:space="preserve">of the drugs </w:t>
      </w:r>
      <w:r w:rsidRPr="00735835">
        <w:rPr>
          <w:rFonts w:asciiTheme="majorHAnsi" w:hAnsiTheme="majorHAnsi"/>
        </w:rPr>
        <w:t xml:space="preserve">and </w:t>
      </w:r>
      <w:r w:rsidR="000A1FAB">
        <w:rPr>
          <w:rFonts w:asciiTheme="majorHAnsi" w:hAnsiTheme="majorHAnsi"/>
        </w:rPr>
        <w:t xml:space="preserve">patient </w:t>
      </w:r>
      <w:r w:rsidRPr="00735835">
        <w:rPr>
          <w:rFonts w:asciiTheme="majorHAnsi" w:hAnsiTheme="majorHAnsi"/>
        </w:rPr>
        <w:t>overdose</w:t>
      </w:r>
      <w:r w:rsidR="0037714F">
        <w:rPr>
          <w:rFonts w:asciiTheme="majorHAnsi" w:hAnsiTheme="majorHAnsi"/>
        </w:rPr>
        <w:t>.</w:t>
      </w:r>
      <w:r w:rsidR="00F81324">
        <w:rPr>
          <w:rFonts w:asciiTheme="majorHAnsi" w:hAnsiTheme="majorHAnsi"/>
        </w:rPr>
        <w:t xml:space="preserve"> </w:t>
      </w:r>
    </w:p>
    <w:p w:rsidR="008547F5" w:rsidRDefault="00094C1E" w:rsidP="009D1AF8">
      <w:pPr>
        <w:jc w:val="both"/>
        <w:rPr>
          <w:rFonts w:asciiTheme="majorHAnsi" w:hAnsiTheme="majorHAnsi"/>
        </w:rPr>
      </w:pPr>
      <w:r>
        <w:rPr>
          <w:rFonts w:asciiTheme="majorHAnsi" w:hAnsiTheme="majorHAnsi"/>
        </w:rPr>
        <w:t>The three</w:t>
      </w:r>
      <w:r w:rsidR="001C44ED">
        <w:rPr>
          <w:rFonts w:asciiTheme="majorHAnsi" w:hAnsiTheme="majorHAnsi"/>
        </w:rPr>
        <w:t xml:space="preserve"> </w:t>
      </w:r>
      <w:r>
        <w:rPr>
          <w:rFonts w:asciiTheme="majorHAnsi" w:hAnsiTheme="majorHAnsi"/>
        </w:rPr>
        <w:t>most commonly used antipsychotics in middle aged adults in Australia are quetiapine, olanzapine and risperidone.</w:t>
      </w:r>
    </w:p>
    <w:p w:rsidR="00D774F1" w:rsidRDefault="00D774F1" w:rsidP="009D1AF8">
      <w:pPr>
        <w:jc w:val="both"/>
        <w:rPr>
          <w:rFonts w:asciiTheme="majorHAnsi" w:hAnsiTheme="majorHAnsi"/>
        </w:rPr>
      </w:pPr>
      <w:r w:rsidRPr="00D774F1">
        <w:rPr>
          <w:rFonts w:asciiTheme="majorHAnsi" w:hAnsiTheme="majorHAnsi"/>
        </w:rPr>
        <w:t xml:space="preserve">Quetiapine is approved by the </w:t>
      </w:r>
      <w:r w:rsidR="009A395B" w:rsidRPr="009A395B">
        <w:rPr>
          <w:rFonts w:asciiTheme="majorHAnsi" w:hAnsiTheme="majorHAnsi"/>
        </w:rPr>
        <w:t xml:space="preserve">Therapeutic Goods Administration </w:t>
      </w:r>
      <w:r w:rsidR="009A395B">
        <w:rPr>
          <w:rFonts w:asciiTheme="majorHAnsi" w:hAnsiTheme="majorHAnsi"/>
        </w:rPr>
        <w:t>(</w:t>
      </w:r>
      <w:r w:rsidRPr="00D774F1">
        <w:rPr>
          <w:rFonts w:asciiTheme="majorHAnsi" w:hAnsiTheme="majorHAnsi"/>
        </w:rPr>
        <w:t>TGA</w:t>
      </w:r>
      <w:r w:rsidR="009A395B">
        <w:rPr>
          <w:rFonts w:asciiTheme="majorHAnsi" w:hAnsiTheme="majorHAnsi"/>
        </w:rPr>
        <w:t>)</w:t>
      </w:r>
      <w:r w:rsidRPr="00D774F1">
        <w:rPr>
          <w:rFonts w:asciiTheme="majorHAnsi" w:hAnsiTheme="majorHAnsi"/>
        </w:rPr>
        <w:t xml:space="preserve"> for the treatment of acute mania</w:t>
      </w:r>
      <w:r w:rsidR="00AA4E00">
        <w:rPr>
          <w:rFonts w:asciiTheme="majorHAnsi" w:hAnsiTheme="majorHAnsi"/>
        </w:rPr>
        <w:t xml:space="preserve"> or depression associated with </w:t>
      </w:r>
      <w:r w:rsidR="00E468A0">
        <w:rPr>
          <w:rFonts w:asciiTheme="majorHAnsi" w:hAnsiTheme="majorHAnsi"/>
        </w:rPr>
        <w:t>bipolar d</w:t>
      </w:r>
      <w:r w:rsidR="00F81324">
        <w:rPr>
          <w:rFonts w:asciiTheme="majorHAnsi" w:hAnsiTheme="majorHAnsi"/>
        </w:rPr>
        <w:t>isorder</w:t>
      </w:r>
      <w:r w:rsidR="004521B5">
        <w:rPr>
          <w:rFonts w:asciiTheme="majorHAnsi" w:hAnsiTheme="majorHAnsi"/>
        </w:rPr>
        <w:t xml:space="preserve"> (BPD)</w:t>
      </w:r>
      <w:r w:rsidR="00BF44EF">
        <w:rPr>
          <w:rFonts w:asciiTheme="majorHAnsi" w:hAnsiTheme="majorHAnsi"/>
        </w:rPr>
        <w:t>,</w:t>
      </w:r>
      <w:r w:rsidR="00E468A0">
        <w:rPr>
          <w:rFonts w:asciiTheme="majorHAnsi" w:hAnsiTheme="majorHAnsi"/>
        </w:rPr>
        <w:t xml:space="preserve"> </w:t>
      </w:r>
      <w:r w:rsidR="0008031A">
        <w:rPr>
          <w:rFonts w:asciiTheme="majorHAnsi" w:hAnsiTheme="majorHAnsi"/>
        </w:rPr>
        <w:t xml:space="preserve">for </w:t>
      </w:r>
      <w:r w:rsidR="000A1FAB">
        <w:rPr>
          <w:rFonts w:asciiTheme="majorHAnsi" w:hAnsiTheme="majorHAnsi"/>
        </w:rPr>
        <w:t>maintenance treatment in</w:t>
      </w:r>
      <w:r w:rsidR="00AA4E00">
        <w:rPr>
          <w:rFonts w:asciiTheme="majorHAnsi" w:hAnsiTheme="majorHAnsi"/>
        </w:rPr>
        <w:t xml:space="preserve"> </w:t>
      </w:r>
      <w:r w:rsidR="00BF44EF">
        <w:rPr>
          <w:rFonts w:asciiTheme="majorHAnsi" w:hAnsiTheme="majorHAnsi"/>
        </w:rPr>
        <w:t>bipolar d</w:t>
      </w:r>
      <w:r w:rsidR="009E4D46">
        <w:rPr>
          <w:rFonts w:asciiTheme="majorHAnsi" w:hAnsiTheme="majorHAnsi"/>
        </w:rPr>
        <w:t>isorder</w:t>
      </w:r>
      <w:r w:rsidR="00AA4E00">
        <w:rPr>
          <w:rFonts w:asciiTheme="majorHAnsi" w:hAnsiTheme="majorHAnsi"/>
        </w:rPr>
        <w:t xml:space="preserve">, </w:t>
      </w:r>
      <w:r w:rsidRPr="00D774F1">
        <w:rPr>
          <w:rFonts w:asciiTheme="majorHAnsi" w:hAnsiTheme="majorHAnsi"/>
        </w:rPr>
        <w:t xml:space="preserve">and </w:t>
      </w:r>
      <w:r w:rsidR="0008031A">
        <w:rPr>
          <w:rFonts w:asciiTheme="majorHAnsi" w:hAnsiTheme="majorHAnsi"/>
        </w:rPr>
        <w:t xml:space="preserve">for schizophrenia. </w:t>
      </w:r>
      <w:r w:rsidR="00AA4E00">
        <w:rPr>
          <w:rFonts w:asciiTheme="majorHAnsi" w:hAnsiTheme="majorHAnsi"/>
        </w:rPr>
        <w:t xml:space="preserve">In the </w:t>
      </w:r>
      <w:r w:rsidR="00827B6F">
        <w:rPr>
          <w:rFonts w:asciiTheme="majorHAnsi" w:hAnsiTheme="majorHAnsi"/>
        </w:rPr>
        <w:t>extended</w:t>
      </w:r>
      <w:r w:rsidR="00AA4E00">
        <w:rPr>
          <w:rFonts w:asciiTheme="majorHAnsi" w:hAnsiTheme="majorHAnsi"/>
        </w:rPr>
        <w:t xml:space="preserve"> release form it is also approved for generalised anxiety disorder </w:t>
      </w:r>
      <w:r w:rsidR="00BF44EF">
        <w:rPr>
          <w:rFonts w:asciiTheme="majorHAnsi" w:hAnsiTheme="majorHAnsi"/>
        </w:rPr>
        <w:t xml:space="preserve">(GAD) </w:t>
      </w:r>
      <w:r w:rsidR="00AA4E00">
        <w:rPr>
          <w:rFonts w:asciiTheme="majorHAnsi" w:hAnsiTheme="majorHAnsi"/>
        </w:rPr>
        <w:t xml:space="preserve">and treatment resistant major depression. </w:t>
      </w:r>
      <w:r w:rsidRPr="00D774F1">
        <w:rPr>
          <w:rFonts w:asciiTheme="majorHAnsi" w:hAnsiTheme="majorHAnsi"/>
        </w:rPr>
        <w:t xml:space="preserve">The recommended dose </w:t>
      </w:r>
      <w:r w:rsidR="00EA6759">
        <w:rPr>
          <w:rFonts w:asciiTheme="majorHAnsi" w:hAnsiTheme="majorHAnsi"/>
        </w:rPr>
        <w:t xml:space="preserve">for </w:t>
      </w:r>
      <w:r w:rsidR="001C1BF9" w:rsidRPr="001C1BF9">
        <w:rPr>
          <w:rFonts w:asciiTheme="majorHAnsi" w:hAnsiTheme="majorHAnsi"/>
        </w:rPr>
        <w:t>schizophrenia</w:t>
      </w:r>
      <w:r w:rsidR="001C1BF9">
        <w:rPr>
          <w:rFonts w:asciiTheme="majorHAnsi" w:hAnsiTheme="majorHAnsi"/>
        </w:rPr>
        <w:t xml:space="preserve"> and acute mania i</w:t>
      </w:r>
      <w:r w:rsidR="001C1BF9" w:rsidRPr="001C1BF9">
        <w:rPr>
          <w:rFonts w:asciiTheme="majorHAnsi" w:hAnsiTheme="majorHAnsi"/>
        </w:rPr>
        <w:t xml:space="preserve">s 300 mg per day, increasing to 600 mg per day on day two </w:t>
      </w:r>
      <w:r w:rsidR="00EB0523">
        <w:rPr>
          <w:rFonts w:asciiTheme="majorHAnsi" w:hAnsiTheme="majorHAnsi"/>
        </w:rPr>
        <w:t>and 800 mg per day on day three.</w:t>
      </w:r>
      <w:r w:rsidR="00EB0523" w:rsidRPr="00EB0523">
        <w:rPr>
          <w:rFonts w:asciiTheme="majorHAnsi" w:hAnsiTheme="majorHAnsi"/>
          <w:vertAlign w:val="superscript"/>
        </w:rPr>
        <w:t>2,3</w:t>
      </w:r>
      <w:r w:rsidR="001C1BF9">
        <w:rPr>
          <w:rFonts w:asciiTheme="majorHAnsi" w:hAnsiTheme="majorHAnsi"/>
        </w:rPr>
        <w:t xml:space="preserve"> The recommended dose for GAD and treatment resistant major depression is</w:t>
      </w:r>
      <w:r w:rsidRPr="00D774F1">
        <w:rPr>
          <w:rFonts w:asciiTheme="majorHAnsi" w:hAnsiTheme="majorHAnsi"/>
        </w:rPr>
        <w:t xml:space="preserve"> 50 mg per day on day</w:t>
      </w:r>
      <w:r w:rsidR="0036725F">
        <w:rPr>
          <w:rFonts w:asciiTheme="majorHAnsi" w:hAnsiTheme="majorHAnsi"/>
        </w:rPr>
        <w:t>s</w:t>
      </w:r>
      <w:r w:rsidRPr="00D774F1">
        <w:rPr>
          <w:rFonts w:asciiTheme="majorHAnsi" w:hAnsiTheme="majorHAnsi"/>
        </w:rPr>
        <w:t xml:space="preserve"> one</w:t>
      </w:r>
      <w:r w:rsidR="0036725F">
        <w:rPr>
          <w:rFonts w:asciiTheme="majorHAnsi" w:hAnsiTheme="majorHAnsi"/>
        </w:rPr>
        <w:t xml:space="preserve"> and two</w:t>
      </w:r>
      <w:r w:rsidRPr="00D774F1">
        <w:rPr>
          <w:rFonts w:asciiTheme="majorHAnsi" w:hAnsiTheme="majorHAnsi"/>
        </w:rPr>
        <w:t xml:space="preserve">, given in two divided doses, with dose titration up to a </w:t>
      </w:r>
      <w:r w:rsidR="0036725F">
        <w:rPr>
          <w:rFonts w:asciiTheme="majorHAnsi" w:hAnsiTheme="majorHAnsi"/>
        </w:rPr>
        <w:t>15</w:t>
      </w:r>
      <w:r w:rsidRPr="00D774F1">
        <w:rPr>
          <w:rFonts w:asciiTheme="majorHAnsi" w:hAnsiTheme="majorHAnsi"/>
        </w:rPr>
        <w:t>0 mg per day on day</w:t>
      </w:r>
      <w:r w:rsidR="0036725F">
        <w:rPr>
          <w:rFonts w:asciiTheme="majorHAnsi" w:hAnsiTheme="majorHAnsi"/>
        </w:rPr>
        <w:t>s three and four.</w:t>
      </w:r>
      <w:r w:rsidRPr="00D774F1">
        <w:rPr>
          <w:rFonts w:asciiTheme="majorHAnsi" w:hAnsiTheme="majorHAnsi"/>
        </w:rPr>
        <w:t xml:space="preserve"> </w:t>
      </w:r>
      <w:r w:rsidR="00F46499">
        <w:rPr>
          <w:rFonts w:asciiTheme="majorHAnsi" w:hAnsiTheme="majorHAnsi"/>
        </w:rPr>
        <w:t xml:space="preserve">For </w:t>
      </w:r>
      <w:r w:rsidR="00BF44EF">
        <w:rPr>
          <w:rFonts w:asciiTheme="majorHAnsi" w:hAnsiTheme="majorHAnsi"/>
        </w:rPr>
        <w:t>bipolar depression</w:t>
      </w:r>
      <w:r w:rsidR="00F46499">
        <w:rPr>
          <w:rFonts w:asciiTheme="majorHAnsi" w:hAnsiTheme="majorHAnsi"/>
        </w:rPr>
        <w:t xml:space="preserve"> a starting dose of 50 mg per day, increasing up to 400–600 mg per day is recommended by day eight.</w:t>
      </w:r>
      <w:r w:rsidR="00EB0523" w:rsidRPr="00EB0523">
        <w:rPr>
          <w:rFonts w:asciiTheme="majorHAnsi" w:hAnsiTheme="majorHAnsi"/>
          <w:vertAlign w:val="superscript"/>
        </w:rPr>
        <w:t>3</w:t>
      </w:r>
      <w:r w:rsidR="00EA6759">
        <w:rPr>
          <w:rFonts w:asciiTheme="majorHAnsi" w:hAnsiTheme="majorHAnsi"/>
        </w:rPr>
        <w:t xml:space="preserve"> </w:t>
      </w:r>
    </w:p>
    <w:p w:rsidR="00EC7C43" w:rsidRDefault="00EC7C43" w:rsidP="009D1AF8">
      <w:pPr>
        <w:jc w:val="both"/>
        <w:rPr>
          <w:rFonts w:asciiTheme="majorHAnsi" w:hAnsiTheme="majorHAnsi"/>
        </w:rPr>
      </w:pPr>
      <w:r w:rsidRPr="00EC7C43">
        <w:rPr>
          <w:rFonts w:asciiTheme="majorHAnsi" w:hAnsiTheme="majorHAnsi"/>
        </w:rPr>
        <w:t xml:space="preserve">Olanzapine is approved by the TGA for the treatment of schizophrenia and related disorders at a recommended dose of 5–10 mg per day. For the treatment of acute mania associated with </w:t>
      </w:r>
      <w:r w:rsidR="00475925">
        <w:rPr>
          <w:rFonts w:asciiTheme="majorHAnsi" w:hAnsiTheme="majorHAnsi"/>
        </w:rPr>
        <w:t>BPD</w:t>
      </w:r>
      <w:r w:rsidRPr="00EC7C43">
        <w:rPr>
          <w:rFonts w:asciiTheme="majorHAnsi" w:hAnsiTheme="majorHAnsi"/>
        </w:rPr>
        <w:t xml:space="preserve"> the recommended dose is 10–15 mg once a day as monotherapy and 10 mg per day (range 5–20 mg per day) </w:t>
      </w:r>
      <w:r w:rsidR="005B4258">
        <w:rPr>
          <w:rFonts w:asciiTheme="majorHAnsi" w:hAnsiTheme="majorHAnsi"/>
        </w:rPr>
        <w:t>for maintenance</w:t>
      </w:r>
      <w:r w:rsidR="00B27E73">
        <w:rPr>
          <w:rFonts w:asciiTheme="majorHAnsi" w:hAnsiTheme="majorHAnsi"/>
        </w:rPr>
        <w:t xml:space="preserve"> treatment</w:t>
      </w:r>
      <w:r w:rsidR="00EB0523">
        <w:rPr>
          <w:rFonts w:asciiTheme="majorHAnsi" w:hAnsiTheme="majorHAnsi"/>
        </w:rPr>
        <w:t>.</w:t>
      </w:r>
      <w:r w:rsidR="00EB0523" w:rsidRPr="00EB0523">
        <w:rPr>
          <w:rFonts w:asciiTheme="majorHAnsi" w:hAnsiTheme="majorHAnsi"/>
          <w:vertAlign w:val="superscript"/>
        </w:rPr>
        <w:t>4</w:t>
      </w:r>
    </w:p>
    <w:p w:rsidR="00D774F1" w:rsidRDefault="00D774F1" w:rsidP="009D1AF8">
      <w:pPr>
        <w:jc w:val="both"/>
        <w:rPr>
          <w:rFonts w:asciiTheme="majorHAnsi" w:hAnsiTheme="majorHAnsi"/>
        </w:rPr>
      </w:pPr>
      <w:r w:rsidRPr="00D774F1">
        <w:rPr>
          <w:rFonts w:asciiTheme="majorHAnsi" w:hAnsiTheme="majorHAnsi"/>
        </w:rPr>
        <w:t>Risperidone is approved by the TGA for the treatment of schizophrenia at a dose of</w:t>
      </w:r>
      <w:r w:rsidR="00BF44EF">
        <w:rPr>
          <w:rFonts w:asciiTheme="majorHAnsi" w:hAnsiTheme="majorHAnsi"/>
        </w:rPr>
        <w:t xml:space="preserve"> </w:t>
      </w:r>
      <w:r w:rsidRPr="00D774F1">
        <w:rPr>
          <w:rFonts w:asciiTheme="majorHAnsi" w:hAnsiTheme="majorHAnsi"/>
        </w:rPr>
        <w:t>1 mg twice daily on day one and 2 mg twice daily on day two. The recommended dose range is 4–6 mg per day, given once or twice daily. In the treatment of bipolar mania the recommended dose is 2 mg once per day, increasing up to 6 mg per day. For the treatment of behavioural disorders associated with autism or dementia the starting dose for persons 50</w:t>
      </w:r>
      <w:r w:rsidR="00EB0523">
        <w:rPr>
          <w:rFonts w:asciiTheme="majorHAnsi" w:hAnsiTheme="majorHAnsi"/>
        </w:rPr>
        <w:t xml:space="preserve"> kg or more is 0.5 mg per day.</w:t>
      </w:r>
      <w:r w:rsidR="00EB0523" w:rsidRPr="00EB0523">
        <w:rPr>
          <w:rFonts w:asciiTheme="majorHAnsi" w:hAnsiTheme="majorHAnsi"/>
          <w:vertAlign w:val="superscript"/>
        </w:rPr>
        <w:t>5</w:t>
      </w:r>
    </w:p>
    <w:p w:rsidR="00BC4EEB" w:rsidRDefault="00125D10" w:rsidP="009D1AF8">
      <w:pPr>
        <w:jc w:val="both"/>
        <w:rPr>
          <w:rFonts w:asciiTheme="majorHAnsi" w:hAnsiTheme="majorHAnsi"/>
        </w:rPr>
      </w:pPr>
      <w:r w:rsidRPr="00125D10">
        <w:rPr>
          <w:rFonts w:asciiTheme="majorHAnsi" w:hAnsiTheme="majorHAnsi"/>
        </w:rPr>
        <w:t>The PBAC</w:t>
      </w:r>
      <w:r w:rsidR="0036143F">
        <w:rPr>
          <w:rFonts w:asciiTheme="majorHAnsi" w:hAnsiTheme="majorHAnsi"/>
        </w:rPr>
        <w:t xml:space="preserve"> advises the Minister on issues related to reimbursement of pharmaceuticals in Australia</w:t>
      </w:r>
      <w:r w:rsidR="00150D25">
        <w:rPr>
          <w:rFonts w:asciiTheme="majorHAnsi" w:hAnsiTheme="majorHAnsi"/>
        </w:rPr>
        <w:t xml:space="preserve"> on the Government subsidised PBS</w:t>
      </w:r>
      <w:r w:rsidR="0036143F">
        <w:rPr>
          <w:rFonts w:asciiTheme="majorHAnsi" w:hAnsiTheme="majorHAnsi"/>
        </w:rPr>
        <w:t>. The committee ha</w:t>
      </w:r>
      <w:r w:rsidR="00474E87">
        <w:rPr>
          <w:rFonts w:asciiTheme="majorHAnsi" w:hAnsiTheme="majorHAnsi"/>
        </w:rPr>
        <w:t>s</w:t>
      </w:r>
      <w:r w:rsidRPr="00125D10">
        <w:rPr>
          <w:rFonts w:asciiTheme="majorHAnsi" w:hAnsiTheme="majorHAnsi"/>
        </w:rPr>
        <w:t xml:space="preserve"> considered the majority of newer or atypical antipsychotics for the treatment of schizophrenia and BPD. Risperidone has additionally been considered and recommended as cost-effective as a treatment for behavioural distur</w:t>
      </w:r>
      <w:r w:rsidR="0008031A">
        <w:rPr>
          <w:rFonts w:asciiTheme="majorHAnsi" w:hAnsiTheme="majorHAnsi"/>
        </w:rPr>
        <w:t xml:space="preserve">bances in people with dementia </w:t>
      </w:r>
      <w:r w:rsidRPr="00125D10">
        <w:rPr>
          <w:rFonts w:asciiTheme="majorHAnsi" w:hAnsiTheme="majorHAnsi"/>
        </w:rPr>
        <w:t xml:space="preserve">and </w:t>
      </w:r>
      <w:r>
        <w:rPr>
          <w:rFonts w:asciiTheme="majorHAnsi" w:hAnsiTheme="majorHAnsi"/>
        </w:rPr>
        <w:t xml:space="preserve">for severe behavioural disturbances </w:t>
      </w:r>
      <w:r w:rsidRPr="00125D10">
        <w:rPr>
          <w:rFonts w:asciiTheme="majorHAnsi" w:hAnsiTheme="majorHAnsi"/>
        </w:rPr>
        <w:t xml:space="preserve">in </w:t>
      </w:r>
      <w:r>
        <w:rPr>
          <w:rFonts w:asciiTheme="majorHAnsi" w:hAnsiTheme="majorHAnsi"/>
        </w:rPr>
        <w:t xml:space="preserve">persons </w:t>
      </w:r>
      <w:r w:rsidR="006A6DEB">
        <w:rPr>
          <w:rFonts w:asciiTheme="majorHAnsi" w:hAnsiTheme="majorHAnsi"/>
        </w:rPr>
        <w:t xml:space="preserve">diagnosed </w:t>
      </w:r>
      <w:r w:rsidR="006A6DEB">
        <w:rPr>
          <w:rFonts w:asciiTheme="majorHAnsi" w:hAnsiTheme="majorHAnsi"/>
        </w:rPr>
        <w:lastRenderedPageBreak/>
        <w:t xml:space="preserve">with autism </w:t>
      </w:r>
      <w:r w:rsidR="00E35267">
        <w:rPr>
          <w:rFonts w:asciiTheme="majorHAnsi" w:hAnsiTheme="majorHAnsi"/>
        </w:rPr>
        <w:t>who have</w:t>
      </w:r>
      <w:r w:rsidR="006A6DEB">
        <w:rPr>
          <w:rFonts w:asciiTheme="majorHAnsi" w:hAnsiTheme="majorHAnsi"/>
        </w:rPr>
        <w:t xml:space="preserve"> commenced treatment with risperidone before </w:t>
      </w:r>
      <w:r>
        <w:rPr>
          <w:rFonts w:asciiTheme="majorHAnsi" w:hAnsiTheme="majorHAnsi"/>
        </w:rPr>
        <w:t>18 years</w:t>
      </w:r>
      <w:r w:rsidRPr="00125D10">
        <w:rPr>
          <w:rFonts w:asciiTheme="majorHAnsi" w:hAnsiTheme="majorHAnsi"/>
        </w:rPr>
        <w:t xml:space="preserve"> </w:t>
      </w:r>
      <w:r w:rsidR="0002576A">
        <w:rPr>
          <w:rFonts w:asciiTheme="majorHAnsi" w:hAnsiTheme="majorHAnsi"/>
        </w:rPr>
        <w:t>of age</w:t>
      </w:r>
      <w:r w:rsidRPr="00125D10">
        <w:rPr>
          <w:rFonts w:asciiTheme="majorHAnsi" w:hAnsiTheme="majorHAnsi"/>
        </w:rPr>
        <w:t>.</w:t>
      </w:r>
      <w:r w:rsidR="00474E87">
        <w:rPr>
          <w:rStyle w:val="FootnoteReference"/>
          <w:rFonts w:asciiTheme="majorHAnsi" w:hAnsiTheme="majorHAnsi"/>
        </w:rPr>
        <w:footnoteReference w:id="1"/>
      </w:r>
    </w:p>
    <w:p w:rsidR="00125D10" w:rsidRDefault="00F92A0C" w:rsidP="009D1AF8">
      <w:pPr>
        <w:jc w:val="both"/>
        <w:rPr>
          <w:rFonts w:asciiTheme="majorHAnsi" w:hAnsiTheme="majorHAnsi"/>
        </w:rPr>
      </w:pPr>
      <w:r w:rsidRPr="00F92A0C">
        <w:rPr>
          <w:rFonts w:asciiTheme="majorHAnsi" w:hAnsiTheme="majorHAnsi"/>
        </w:rPr>
        <w:t xml:space="preserve">Quetiapine has been considered by the PBAC for </w:t>
      </w:r>
      <w:r w:rsidR="00843093">
        <w:rPr>
          <w:rFonts w:asciiTheme="majorHAnsi" w:hAnsiTheme="majorHAnsi"/>
        </w:rPr>
        <w:t xml:space="preserve">the </w:t>
      </w:r>
      <w:r w:rsidRPr="00F92A0C">
        <w:rPr>
          <w:rFonts w:asciiTheme="majorHAnsi" w:hAnsiTheme="majorHAnsi"/>
        </w:rPr>
        <w:t>treatmen</w:t>
      </w:r>
      <w:r>
        <w:rPr>
          <w:rFonts w:asciiTheme="majorHAnsi" w:hAnsiTheme="majorHAnsi"/>
        </w:rPr>
        <w:t>t of resistant major depression</w:t>
      </w:r>
      <w:r w:rsidRPr="00F92A0C">
        <w:rPr>
          <w:rFonts w:asciiTheme="majorHAnsi" w:hAnsiTheme="majorHAnsi"/>
        </w:rPr>
        <w:t>, as adjunctive therapy, but was rejected on the basis of inadequate clinical evidence to support a claim of superiority over the nominated comparator (lithium) and therefore a cost-effectiveness analysis was not acceptable.</w:t>
      </w:r>
      <w:r w:rsidR="00BC4EEB" w:rsidRPr="00BC4EEB">
        <w:rPr>
          <w:rFonts w:asciiTheme="majorHAnsi" w:hAnsiTheme="majorHAnsi"/>
          <w:vertAlign w:val="superscript"/>
        </w:rPr>
        <w:t>6</w:t>
      </w:r>
      <w:r>
        <w:rPr>
          <w:rFonts w:asciiTheme="majorHAnsi" w:hAnsiTheme="majorHAnsi"/>
        </w:rPr>
        <w:t xml:space="preserve"> </w:t>
      </w:r>
      <w:r w:rsidR="0002576A">
        <w:rPr>
          <w:rFonts w:asciiTheme="majorHAnsi" w:hAnsiTheme="majorHAnsi"/>
        </w:rPr>
        <w:t xml:space="preserve">A summary of the subsidised restrictions for antipsychotics </w:t>
      </w:r>
      <w:r w:rsidR="00474E87">
        <w:rPr>
          <w:rFonts w:asciiTheme="majorHAnsi" w:hAnsiTheme="majorHAnsi"/>
        </w:rPr>
        <w:t xml:space="preserve">listed on the PBS </w:t>
      </w:r>
      <w:r w:rsidR="0002576A">
        <w:rPr>
          <w:rFonts w:asciiTheme="majorHAnsi" w:hAnsiTheme="majorHAnsi"/>
        </w:rPr>
        <w:t>is provided in Table 1.</w:t>
      </w:r>
    </w:p>
    <w:p w:rsidR="008516ED" w:rsidRPr="00BF3182" w:rsidRDefault="008516ED" w:rsidP="00A57BF3">
      <w:pPr>
        <w:rPr>
          <w:rFonts w:asciiTheme="majorHAnsi" w:hAnsiTheme="majorHAnsi"/>
          <w:b/>
          <w:sz w:val="20"/>
          <w:szCs w:val="20"/>
          <w:highlight w:val="yellow"/>
        </w:rPr>
      </w:pPr>
      <w:r w:rsidRPr="00BF3182">
        <w:rPr>
          <w:rFonts w:asciiTheme="majorHAnsi" w:hAnsiTheme="majorHAnsi"/>
          <w:b/>
          <w:sz w:val="20"/>
          <w:szCs w:val="20"/>
        </w:rPr>
        <w:t>Table 1:</w:t>
      </w:r>
      <w:r w:rsidR="00ED4A48" w:rsidRPr="00BF3182">
        <w:rPr>
          <w:rFonts w:asciiTheme="majorHAnsi" w:hAnsiTheme="majorHAnsi"/>
          <w:b/>
          <w:sz w:val="20"/>
          <w:szCs w:val="20"/>
        </w:rPr>
        <w:t xml:space="preserve"> </w:t>
      </w:r>
      <w:r w:rsidRPr="00BF3182">
        <w:rPr>
          <w:rFonts w:asciiTheme="majorHAnsi" w:hAnsiTheme="majorHAnsi"/>
          <w:b/>
          <w:sz w:val="20"/>
          <w:szCs w:val="20"/>
        </w:rPr>
        <w:t xml:space="preserve">Summary of </w:t>
      </w:r>
      <w:r w:rsidR="00502EEC" w:rsidRPr="00BF3182">
        <w:rPr>
          <w:rFonts w:asciiTheme="majorHAnsi" w:hAnsiTheme="majorHAnsi"/>
          <w:b/>
          <w:sz w:val="20"/>
          <w:szCs w:val="20"/>
        </w:rPr>
        <w:t xml:space="preserve">subsidised restrictions for </w:t>
      </w:r>
      <w:r w:rsidRPr="00BF3182">
        <w:rPr>
          <w:rFonts w:asciiTheme="majorHAnsi" w:hAnsiTheme="majorHAnsi"/>
          <w:b/>
          <w:sz w:val="20"/>
          <w:szCs w:val="20"/>
        </w:rPr>
        <w:t>PBS</w:t>
      </w:r>
      <w:r w:rsidR="0002576A" w:rsidRPr="00BF3182">
        <w:rPr>
          <w:rFonts w:asciiTheme="majorHAnsi" w:hAnsiTheme="majorHAnsi"/>
          <w:b/>
          <w:sz w:val="20"/>
          <w:szCs w:val="20"/>
        </w:rPr>
        <w:t>-</w:t>
      </w:r>
      <w:r w:rsidRPr="00BF3182">
        <w:rPr>
          <w:rFonts w:asciiTheme="majorHAnsi" w:hAnsiTheme="majorHAnsi"/>
          <w:b/>
          <w:sz w:val="20"/>
          <w:szCs w:val="20"/>
        </w:rPr>
        <w:t xml:space="preserve">listed antipsychotics </w:t>
      </w:r>
    </w:p>
    <w:tbl>
      <w:tblPr>
        <w:tblW w:w="6308" w:type="pct"/>
        <w:tblInd w:w="-539" w:type="dxa"/>
        <w:tblLayout w:type="fixed"/>
        <w:tblCellMar>
          <w:left w:w="28" w:type="dxa"/>
          <w:right w:w="28" w:type="dxa"/>
        </w:tblCellMar>
        <w:tblLook w:val="04A0" w:firstRow="1" w:lastRow="0" w:firstColumn="1" w:lastColumn="0" w:noHBand="0" w:noVBand="1"/>
      </w:tblPr>
      <w:tblGrid>
        <w:gridCol w:w="1595"/>
        <w:gridCol w:w="856"/>
        <w:gridCol w:w="856"/>
        <w:gridCol w:w="1136"/>
        <w:gridCol w:w="1136"/>
        <w:gridCol w:w="1130"/>
        <w:gridCol w:w="3833"/>
      </w:tblGrid>
      <w:tr w:rsidR="002F4E2E" w:rsidRPr="00CE6E93" w:rsidTr="00474E87">
        <w:trPr>
          <w:trHeight w:val="662"/>
        </w:trPr>
        <w:tc>
          <w:tcPr>
            <w:tcW w:w="756" w:type="pct"/>
            <w:tcBorders>
              <w:top w:val="single" w:sz="4" w:space="0" w:color="auto"/>
              <w:left w:val="single" w:sz="4" w:space="0" w:color="auto"/>
              <w:bottom w:val="single" w:sz="4" w:space="0" w:color="auto"/>
              <w:right w:val="single" w:sz="4" w:space="0" w:color="auto"/>
            </w:tcBorders>
            <w:shd w:val="clear" w:color="auto" w:fill="auto"/>
            <w:vAlign w:val="bottom"/>
          </w:tcPr>
          <w:p w:rsidR="008516ED" w:rsidRPr="00CE6E93" w:rsidRDefault="008516ED" w:rsidP="00A57BF3">
            <w:pPr>
              <w:spacing w:after="0"/>
              <w:rPr>
                <w:rFonts w:asciiTheme="majorHAnsi" w:eastAsia="Times New Roman" w:hAnsiTheme="majorHAnsi" w:cs="Arial"/>
                <w:b/>
                <w:color w:val="000000"/>
                <w:sz w:val="18"/>
                <w:szCs w:val="18"/>
                <w:lang w:eastAsia="en-AU"/>
              </w:rPr>
            </w:pPr>
            <w:r w:rsidRPr="00CE6E93">
              <w:rPr>
                <w:rFonts w:asciiTheme="majorHAnsi" w:eastAsia="Times New Roman" w:hAnsiTheme="majorHAnsi" w:cs="Arial"/>
                <w:b/>
                <w:color w:val="000000"/>
                <w:sz w:val="18"/>
                <w:szCs w:val="18"/>
                <w:lang w:val="en-US" w:eastAsia="en-AU"/>
              </w:rPr>
              <w:t xml:space="preserve">Generic </w:t>
            </w:r>
            <w:r w:rsidR="004D3CA3" w:rsidRPr="00CE6E93">
              <w:rPr>
                <w:rFonts w:asciiTheme="majorHAnsi" w:eastAsia="Times New Roman" w:hAnsiTheme="majorHAnsi" w:cs="Arial"/>
                <w:b/>
                <w:color w:val="000000"/>
                <w:sz w:val="18"/>
                <w:szCs w:val="18"/>
                <w:lang w:val="en-US" w:eastAsia="en-AU"/>
              </w:rPr>
              <w:t>n</w:t>
            </w:r>
            <w:r w:rsidRPr="00CE6E93">
              <w:rPr>
                <w:rFonts w:asciiTheme="majorHAnsi" w:eastAsia="Times New Roman" w:hAnsiTheme="majorHAnsi" w:cs="Arial"/>
                <w:b/>
                <w:color w:val="000000"/>
                <w:sz w:val="18"/>
                <w:szCs w:val="18"/>
                <w:lang w:val="en-US" w:eastAsia="en-AU"/>
              </w:rPr>
              <w:t>ame</w:t>
            </w:r>
          </w:p>
        </w:tc>
        <w:tc>
          <w:tcPr>
            <w:tcW w:w="406" w:type="pct"/>
            <w:tcBorders>
              <w:top w:val="single" w:sz="4" w:space="0" w:color="auto"/>
              <w:left w:val="nil"/>
              <w:bottom w:val="single" w:sz="4" w:space="0" w:color="auto"/>
              <w:right w:val="single" w:sz="4" w:space="0" w:color="auto"/>
            </w:tcBorders>
            <w:shd w:val="clear" w:color="auto" w:fill="auto"/>
            <w:vAlign w:val="bottom"/>
          </w:tcPr>
          <w:p w:rsidR="008516ED" w:rsidRPr="00CE6E93" w:rsidRDefault="008516ED" w:rsidP="00A57BF3">
            <w:pPr>
              <w:spacing w:after="0"/>
              <w:rPr>
                <w:rFonts w:asciiTheme="majorHAnsi" w:eastAsia="Times New Roman" w:hAnsiTheme="majorHAnsi" w:cs="Arial"/>
                <w:b/>
                <w:color w:val="000000"/>
                <w:sz w:val="18"/>
                <w:szCs w:val="18"/>
                <w:lang w:eastAsia="en-AU"/>
              </w:rPr>
            </w:pPr>
            <w:r w:rsidRPr="00CE6E93">
              <w:rPr>
                <w:rFonts w:asciiTheme="majorHAnsi" w:eastAsia="Times New Roman" w:hAnsiTheme="majorHAnsi" w:cs="Arial"/>
                <w:b/>
                <w:color w:val="000000"/>
                <w:sz w:val="18"/>
                <w:szCs w:val="18"/>
                <w:lang w:eastAsia="en-AU"/>
              </w:rPr>
              <w:t>Not restricted</w:t>
            </w:r>
          </w:p>
        </w:tc>
        <w:tc>
          <w:tcPr>
            <w:tcW w:w="406" w:type="pct"/>
            <w:tcBorders>
              <w:top w:val="single" w:sz="4" w:space="0" w:color="auto"/>
              <w:left w:val="nil"/>
              <w:bottom w:val="single" w:sz="4" w:space="0" w:color="auto"/>
              <w:right w:val="single" w:sz="4" w:space="0" w:color="auto"/>
            </w:tcBorders>
            <w:shd w:val="clear" w:color="auto" w:fill="auto"/>
            <w:vAlign w:val="bottom"/>
          </w:tcPr>
          <w:p w:rsidR="008516ED" w:rsidRPr="00CE6E93" w:rsidRDefault="008516ED" w:rsidP="00A57BF3">
            <w:pPr>
              <w:spacing w:after="0"/>
              <w:rPr>
                <w:rFonts w:asciiTheme="majorHAnsi" w:eastAsia="Times New Roman" w:hAnsiTheme="majorHAnsi" w:cs="Arial"/>
                <w:b/>
                <w:color w:val="000000"/>
                <w:sz w:val="18"/>
                <w:szCs w:val="18"/>
                <w:lang w:eastAsia="en-AU"/>
              </w:rPr>
            </w:pPr>
            <w:r w:rsidRPr="00CE6E93">
              <w:rPr>
                <w:rFonts w:asciiTheme="majorHAnsi" w:eastAsia="Times New Roman" w:hAnsiTheme="majorHAnsi" w:cs="Arial"/>
                <w:b/>
                <w:color w:val="000000"/>
                <w:sz w:val="18"/>
                <w:szCs w:val="18"/>
                <w:lang w:eastAsia="en-AU"/>
              </w:rPr>
              <w:t>Schizo-phrenia</w:t>
            </w:r>
          </w:p>
        </w:tc>
        <w:tc>
          <w:tcPr>
            <w:tcW w:w="539" w:type="pct"/>
            <w:tcBorders>
              <w:top w:val="single" w:sz="4" w:space="0" w:color="auto"/>
              <w:left w:val="nil"/>
              <w:bottom w:val="single" w:sz="4" w:space="0" w:color="auto"/>
              <w:right w:val="single" w:sz="4" w:space="0" w:color="auto"/>
            </w:tcBorders>
            <w:shd w:val="clear" w:color="auto" w:fill="auto"/>
            <w:vAlign w:val="bottom"/>
          </w:tcPr>
          <w:p w:rsidR="008516ED" w:rsidRPr="00CE6E93" w:rsidRDefault="008516ED" w:rsidP="00A57BF3">
            <w:pPr>
              <w:spacing w:after="0"/>
              <w:rPr>
                <w:rFonts w:asciiTheme="majorHAnsi" w:eastAsia="Times New Roman" w:hAnsiTheme="majorHAnsi" w:cs="Arial"/>
                <w:b/>
                <w:color w:val="000000"/>
                <w:sz w:val="18"/>
                <w:szCs w:val="18"/>
                <w:lang w:eastAsia="en-AU"/>
              </w:rPr>
            </w:pPr>
            <w:r w:rsidRPr="00CE6E93">
              <w:rPr>
                <w:rFonts w:asciiTheme="majorHAnsi" w:eastAsia="Times New Roman" w:hAnsiTheme="majorHAnsi" w:cs="Arial"/>
                <w:b/>
                <w:color w:val="000000"/>
                <w:sz w:val="18"/>
                <w:szCs w:val="18"/>
                <w:lang w:eastAsia="en-AU"/>
              </w:rPr>
              <w:t>Maintenance treatment of bipolar I disorder</w:t>
            </w:r>
          </w:p>
        </w:tc>
        <w:tc>
          <w:tcPr>
            <w:tcW w:w="539" w:type="pct"/>
            <w:tcBorders>
              <w:top w:val="single" w:sz="4" w:space="0" w:color="auto"/>
              <w:left w:val="nil"/>
              <w:bottom w:val="single" w:sz="4" w:space="0" w:color="auto"/>
              <w:right w:val="single" w:sz="4" w:space="0" w:color="auto"/>
            </w:tcBorders>
            <w:shd w:val="clear" w:color="auto" w:fill="auto"/>
            <w:vAlign w:val="bottom"/>
          </w:tcPr>
          <w:p w:rsidR="008516ED" w:rsidRPr="00CE6E93" w:rsidRDefault="008516ED" w:rsidP="00A57BF3">
            <w:pPr>
              <w:spacing w:after="0"/>
              <w:rPr>
                <w:rFonts w:asciiTheme="majorHAnsi" w:eastAsia="Times New Roman" w:hAnsiTheme="majorHAnsi" w:cs="Arial"/>
                <w:b/>
                <w:color w:val="000000"/>
                <w:sz w:val="18"/>
                <w:szCs w:val="18"/>
                <w:lang w:eastAsia="en-AU"/>
              </w:rPr>
            </w:pPr>
            <w:r w:rsidRPr="00CE6E93">
              <w:rPr>
                <w:rFonts w:asciiTheme="majorHAnsi" w:eastAsia="Times New Roman" w:hAnsiTheme="majorHAnsi" w:cs="Arial"/>
                <w:b/>
                <w:color w:val="000000"/>
                <w:sz w:val="18"/>
                <w:szCs w:val="18"/>
                <w:lang w:eastAsia="en-AU"/>
              </w:rPr>
              <w:t>Acute mania associated with bipolar I disorder</w:t>
            </w:r>
          </w:p>
        </w:tc>
        <w:tc>
          <w:tcPr>
            <w:tcW w:w="536" w:type="pct"/>
            <w:tcBorders>
              <w:top w:val="single" w:sz="4" w:space="0" w:color="auto"/>
              <w:left w:val="nil"/>
              <w:bottom w:val="single" w:sz="4" w:space="0" w:color="auto"/>
              <w:right w:val="single" w:sz="4" w:space="0" w:color="auto"/>
            </w:tcBorders>
          </w:tcPr>
          <w:p w:rsidR="008516ED" w:rsidRPr="00CE6E93" w:rsidRDefault="008516ED" w:rsidP="00A57BF3">
            <w:pPr>
              <w:spacing w:after="0"/>
              <w:rPr>
                <w:rFonts w:asciiTheme="majorHAnsi" w:eastAsia="Times New Roman" w:hAnsiTheme="majorHAnsi" w:cs="Arial"/>
                <w:b/>
                <w:color w:val="000000"/>
                <w:sz w:val="18"/>
                <w:szCs w:val="18"/>
                <w:lang w:eastAsia="en-AU"/>
              </w:rPr>
            </w:pPr>
            <w:r w:rsidRPr="00CE6E93">
              <w:rPr>
                <w:rFonts w:asciiTheme="majorHAnsi" w:eastAsia="Times New Roman" w:hAnsiTheme="majorHAnsi" w:cs="Arial"/>
                <w:b/>
                <w:color w:val="000000"/>
                <w:sz w:val="18"/>
                <w:szCs w:val="18"/>
                <w:lang w:eastAsia="en-AU"/>
              </w:rPr>
              <w:t>Behavioural disturbances dementia and autism</w:t>
            </w:r>
          </w:p>
        </w:tc>
        <w:tc>
          <w:tcPr>
            <w:tcW w:w="1818" w:type="pct"/>
            <w:tcBorders>
              <w:top w:val="single" w:sz="4" w:space="0" w:color="auto"/>
              <w:left w:val="single" w:sz="4" w:space="0" w:color="auto"/>
              <w:bottom w:val="single" w:sz="4" w:space="0" w:color="auto"/>
              <w:right w:val="single" w:sz="4" w:space="0" w:color="auto"/>
            </w:tcBorders>
            <w:shd w:val="clear" w:color="auto" w:fill="auto"/>
            <w:vAlign w:val="bottom"/>
          </w:tcPr>
          <w:p w:rsidR="008516ED" w:rsidRPr="00CE6E93" w:rsidRDefault="008516ED" w:rsidP="00A57BF3">
            <w:pPr>
              <w:spacing w:after="0"/>
              <w:rPr>
                <w:rFonts w:asciiTheme="majorHAnsi" w:eastAsia="Times New Roman" w:hAnsiTheme="majorHAnsi" w:cs="Arial"/>
                <w:b/>
                <w:color w:val="000000"/>
                <w:sz w:val="18"/>
                <w:szCs w:val="18"/>
                <w:lang w:eastAsia="en-AU"/>
              </w:rPr>
            </w:pPr>
            <w:r w:rsidRPr="00CE6E93">
              <w:rPr>
                <w:rFonts w:asciiTheme="majorHAnsi" w:eastAsia="Times New Roman" w:hAnsiTheme="majorHAnsi" w:cs="Arial"/>
                <w:b/>
                <w:color w:val="000000"/>
                <w:sz w:val="18"/>
                <w:szCs w:val="18"/>
                <w:lang w:eastAsia="en-AU"/>
              </w:rPr>
              <w:t>Comments</w:t>
            </w:r>
          </w:p>
        </w:tc>
      </w:tr>
      <w:tr w:rsidR="00474E87" w:rsidRPr="00CE6E93" w:rsidTr="00474E87">
        <w:trPr>
          <w:trHeight w:val="652"/>
        </w:trPr>
        <w:tc>
          <w:tcPr>
            <w:tcW w:w="5000" w:type="pct"/>
            <w:gridSpan w:val="7"/>
            <w:tcBorders>
              <w:top w:val="nil"/>
              <w:left w:val="single" w:sz="4" w:space="0" w:color="auto"/>
              <w:bottom w:val="single" w:sz="4" w:space="0" w:color="auto"/>
              <w:right w:val="single" w:sz="4" w:space="0" w:color="auto"/>
            </w:tcBorders>
            <w:shd w:val="clear" w:color="auto" w:fill="auto"/>
            <w:noWrap/>
            <w:vAlign w:val="center"/>
          </w:tcPr>
          <w:p w:rsidR="00474E87" w:rsidRPr="00474E87" w:rsidRDefault="00474E87" w:rsidP="00A57BF3">
            <w:pPr>
              <w:spacing w:after="0"/>
              <w:rPr>
                <w:rFonts w:asciiTheme="majorHAnsi" w:eastAsia="Times New Roman" w:hAnsiTheme="majorHAnsi" w:cs="Arial"/>
                <w:b/>
                <w:color w:val="000000"/>
                <w:sz w:val="18"/>
                <w:szCs w:val="18"/>
                <w:lang w:eastAsia="en-AU"/>
              </w:rPr>
            </w:pPr>
            <w:r w:rsidRPr="00474E87">
              <w:rPr>
                <w:rFonts w:asciiTheme="majorHAnsi" w:eastAsia="Times New Roman" w:hAnsiTheme="majorHAnsi" w:cs="Arial"/>
                <w:b/>
                <w:color w:val="000000"/>
                <w:sz w:val="18"/>
                <w:szCs w:val="18"/>
                <w:lang w:eastAsia="en-AU"/>
              </w:rPr>
              <w:t>Conventional</w:t>
            </w:r>
          </w:p>
        </w:tc>
      </w:tr>
      <w:tr w:rsidR="002F4E2E" w:rsidRPr="00CE6E93" w:rsidTr="00474E87">
        <w:trPr>
          <w:trHeight w:val="652"/>
        </w:trPr>
        <w:tc>
          <w:tcPr>
            <w:tcW w:w="756" w:type="pct"/>
            <w:tcBorders>
              <w:top w:val="nil"/>
              <w:left w:val="single" w:sz="4" w:space="0" w:color="auto"/>
              <w:bottom w:val="single" w:sz="4" w:space="0" w:color="auto"/>
              <w:right w:val="single" w:sz="4" w:space="0" w:color="auto"/>
            </w:tcBorders>
            <w:shd w:val="clear" w:color="auto" w:fill="auto"/>
            <w:noWrap/>
            <w:vAlign w:val="center"/>
          </w:tcPr>
          <w:p w:rsidR="008516ED" w:rsidRPr="00CE6E93" w:rsidRDefault="004860F4" w:rsidP="00A57BF3">
            <w:pPr>
              <w:spacing w:after="0"/>
              <w:rPr>
                <w:rFonts w:asciiTheme="majorHAnsi" w:eastAsia="Times New Roman" w:hAnsiTheme="majorHAnsi" w:cs="Arial"/>
                <w:color w:val="000000"/>
                <w:sz w:val="18"/>
                <w:szCs w:val="18"/>
                <w:lang w:eastAsia="en-AU"/>
              </w:rPr>
            </w:pPr>
            <w:r>
              <w:rPr>
                <w:rFonts w:asciiTheme="majorHAnsi" w:eastAsia="Times New Roman" w:hAnsiTheme="majorHAnsi" w:cs="Arial"/>
                <w:color w:val="000000"/>
                <w:sz w:val="18"/>
                <w:szCs w:val="18"/>
                <w:lang w:eastAsia="en-AU"/>
              </w:rPr>
              <w:t>C</w:t>
            </w:r>
            <w:r w:rsidR="008516ED" w:rsidRPr="00CE6E93">
              <w:rPr>
                <w:rFonts w:asciiTheme="majorHAnsi" w:eastAsia="Times New Roman" w:hAnsiTheme="majorHAnsi" w:cs="Arial"/>
                <w:color w:val="000000"/>
                <w:sz w:val="18"/>
                <w:szCs w:val="18"/>
                <w:lang w:eastAsia="en-AU"/>
              </w:rPr>
              <w:t>hlorpromazine</w:t>
            </w:r>
          </w:p>
        </w:tc>
        <w:tc>
          <w:tcPr>
            <w:tcW w:w="406" w:type="pct"/>
            <w:tcBorders>
              <w:top w:val="nil"/>
              <w:left w:val="nil"/>
              <w:bottom w:val="single" w:sz="4" w:space="0" w:color="auto"/>
              <w:right w:val="single" w:sz="4" w:space="0" w:color="auto"/>
            </w:tcBorders>
            <w:shd w:val="clear" w:color="auto" w:fill="auto"/>
            <w:noWrap/>
            <w:vAlign w:val="center"/>
          </w:tcPr>
          <w:p w:rsidR="008516ED" w:rsidRPr="00CE6E93" w:rsidRDefault="00502EEC" w:rsidP="003C5439">
            <w:pPr>
              <w:spacing w:after="0"/>
              <w:jc w:val="center"/>
              <w:rPr>
                <w:rFonts w:asciiTheme="majorHAnsi" w:eastAsia="Times New Roman" w:hAnsiTheme="majorHAnsi" w:cs="Calibri"/>
                <w:color w:val="000000"/>
                <w:sz w:val="18"/>
                <w:szCs w:val="18"/>
                <w:lang w:eastAsia="en-AU"/>
              </w:rPr>
            </w:pPr>
            <w:r w:rsidRPr="00CE6E93">
              <w:rPr>
                <w:rFonts w:asciiTheme="majorHAnsi" w:eastAsia="Times New Roman" w:hAnsiTheme="majorHAnsi" w:cs="Calibri"/>
                <w:color w:val="000000"/>
                <w:sz w:val="18"/>
                <w:szCs w:val="18"/>
                <w:lang w:val="en-US" w:eastAsia="en-AU"/>
              </w:rPr>
              <w:t>X</w:t>
            </w: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9" w:type="pct"/>
            <w:tcBorders>
              <w:top w:val="single" w:sz="4" w:space="0" w:color="auto"/>
              <w:left w:val="nil"/>
              <w:bottom w:val="single" w:sz="4" w:space="0" w:color="auto"/>
              <w:right w:val="single" w:sz="4" w:space="0" w:color="auto"/>
            </w:tcBorders>
            <w:shd w:val="clear" w:color="808080" w:themeColor="background1" w:themeShade="80"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6" w:type="pct"/>
            <w:tcBorders>
              <w:top w:val="single" w:sz="4" w:space="0" w:color="auto"/>
              <w:left w:val="nil"/>
              <w:bottom w:val="single" w:sz="4" w:space="0" w:color="auto"/>
              <w:right w:val="single" w:sz="4" w:space="0" w:color="auto"/>
            </w:tcBorders>
            <w:shd w:val="pct20" w:color="808080" w:themeColor="background1" w:themeShade="80" w:fill="auto"/>
            <w:vAlign w:val="center"/>
          </w:tcPr>
          <w:p w:rsidR="008516ED" w:rsidRPr="00CE6E93" w:rsidRDefault="008516ED" w:rsidP="003C5439">
            <w:pPr>
              <w:spacing w:after="0"/>
              <w:jc w:val="center"/>
              <w:rPr>
                <w:rFonts w:asciiTheme="majorHAnsi" w:eastAsia="Times New Roman" w:hAnsiTheme="majorHAnsi"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8516ED" w:rsidRPr="00CE6E93" w:rsidRDefault="008516ED" w:rsidP="00A57BF3">
            <w:pPr>
              <w:spacing w:after="0"/>
              <w:rPr>
                <w:rFonts w:asciiTheme="majorHAnsi" w:eastAsia="Times New Roman" w:hAnsiTheme="majorHAnsi" w:cs="Arial"/>
                <w:color w:val="000000"/>
                <w:sz w:val="18"/>
                <w:szCs w:val="18"/>
                <w:lang w:eastAsia="en-AU"/>
              </w:rPr>
            </w:pPr>
            <w:r w:rsidRPr="00CE6E93">
              <w:rPr>
                <w:rFonts w:asciiTheme="majorHAnsi" w:eastAsia="Times New Roman" w:hAnsiTheme="majorHAnsi" w:cs="Arial"/>
                <w:color w:val="000000"/>
                <w:sz w:val="18"/>
                <w:szCs w:val="18"/>
                <w:lang w:eastAsia="en-AU"/>
              </w:rPr>
              <w:t>May be used to treat acute and chronic psychoses, short-term management of anxiety, agitation or disturbed behaviour in non-psychotic disorders and intractable hiccup</w:t>
            </w:r>
          </w:p>
        </w:tc>
      </w:tr>
      <w:tr w:rsidR="002F4E2E" w:rsidRPr="00CE6E93" w:rsidTr="00474E87">
        <w:trPr>
          <w:trHeight w:val="300"/>
        </w:trPr>
        <w:tc>
          <w:tcPr>
            <w:tcW w:w="756" w:type="pct"/>
            <w:tcBorders>
              <w:top w:val="nil"/>
              <w:left w:val="single" w:sz="4" w:space="0" w:color="auto"/>
              <w:bottom w:val="single" w:sz="4" w:space="0" w:color="auto"/>
              <w:right w:val="single" w:sz="4" w:space="0" w:color="auto"/>
            </w:tcBorders>
            <w:shd w:val="clear" w:color="auto" w:fill="auto"/>
            <w:noWrap/>
            <w:vAlign w:val="center"/>
          </w:tcPr>
          <w:p w:rsidR="008516ED" w:rsidRPr="00CE6E93" w:rsidRDefault="004860F4" w:rsidP="00A57BF3">
            <w:pPr>
              <w:spacing w:after="0"/>
              <w:rPr>
                <w:rFonts w:asciiTheme="majorHAnsi" w:eastAsia="Times New Roman" w:hAnsiTheme="majorHAnsi" w:cs="Arial"/>
                <w:color w:val="000000"/>
                <w:sz w:val="18"/>
                <w:szCs w:val="18"/>
                <w:lang w:eastAsia="en-AU"/>
              </w:rPr>
            </w:pPr>
            <w:r>
              <w:rPr>
                <w:rFonts w:asciiTheme="majorHAnsi" w:eastAsia="Times New Roman" w:hAnsiTheme="majorHAnsi" w:cs="Arial"/>
                <w:color w:val="000000"/>
                <w:sz w:val="18"/>
                <w:szCs w:val="18"/>
                <w:lang w:eastAsia="en-AU"/>
              </w:rPr>
              <w:t>F</w:t>
            </w:r>
            <w:r w:rsidR="008516ED" w:rsidRPr="00CE6E93">
              <w:rPr>
                <w:rFonts w:asciiTheme="majorHAnsi" w:eastAsia="Times New Roman" w:hAnsiTheme="majorHAnsi" w:cs="Arial"/>
                <w:color w:val="000000"/>
                <w:sz w:val="18"/>
                <w:szCs w:val="18"/>
                <w:lang w:eastAsia="en-AU"/>
              </w:rPr>
              <w:t>luphenazine</w:t>
            </w:r>
          </w:p>
        </w:tc>
        <w:tc>
          <w:tcPr>
            <w:tcW w:w="406" w:type="pct"/>
            <w:tcBorders>
              <w:top w:val="nil"/>
              <w:left w:val="nil"/>
              <w:bottom w:val="single" w:sz="4" w:space="0" w:color="auto"/>
              <w:right w:val="single" w:sz="4" w:space="0" w:color="auto"/>
            </w:tcBorders>
            <w:shd w:val="clear" w:color="auto" w:fill="auto"/>
            <w:noWrap/>
            <w:vAlign w:val="center"/>
          </w:tcPr>
          <w:p w:rsidR="008516ED" w:rsidRPr="00CE6E93" w:rsidRDefault="00502EEC" w:rsidP="003C5439">
            <w:pPr>
              <w:spacing w:after="0"/>
              <w:jc w:val="center"/>
              <w:rPr>
                <w:rFonts w:asciiTheme="majorHAnsi" w:eastAsia="Times New Roman" w:hAnsiTheme="majorHAnsi" w:cs="Calibri"/>
                <w:color w:val="000000"/>
                <w:sz w:val="18"/>
                <w:szCs w:val="18"/>
                <w:lang w:eastAsia="en-AU"/>
              </w:rPr>
            </w:pPr>
            <w:r w:rsidRPr="00CE6E93">
              <w:rPr>
                <w:rFonts w:asciiTheme="majorHAnsi" w:eastAsia="Times New Roman" w:hAnsiTheme="majorHAnsi" w:cs="Calibri"/>
                <w:color w:val="000000"/>
                <w:sz w:val="18"/>
                <w:szCs w:val="18"/>
                <w:lang w:val="en-US" w:eastAsia="en-AU"/>
              </w:rPr>
              <w:t>X</w:t>
            </w: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val="en-US" w:eastAsia="en-AU"/>
              </w:rPr>
            </w:pPr>
          </w:p>
        </w:tc>
        <w:tc>
          <w:tcPr>
            <w:tcW w:w="539" w:type="pct"/>
            <w:tcBorders>
              <w:top w:val="nil"/>
              <w:left w:val="nil"/>
              <w:bottom w:val="single" w:sz="4" w:space="0" w:color="auto"/>
              <w:right w:val="single" w:sz="4" w:space="0" w:color="auto"/>
            </w:tcBorders>
            <w:shd w:val="clear" w:color="auto"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9" w:type="pct"/>
            <w:tcBorders>
              <w:top w:val="nil"/>
              <w:left w:val="nil"/>
              <w:bottom w:val="single" w:sz="4" w:space="0" w:color="auto"/>
              <w:right w:val="single" w:sz="4" w:space="0" w:color="auto"/>
            </w:tcBorders>
            <w:shd w:val="clear" w:color="auto"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6" w:type="pct"/>
            <w:tcBorders>
              <w:top w:val="single" w:sz="4" w:space="0" w:color="auto"/>
              <w:left w:val="nil"/>
              <w:bottom w:val="single" w:sz="4" w:space="0" w:color="auto"/>
              <w:right w:val="single" w:sz="4" w:space="0" w:color="auto"/>
            </w:tcBorders>
            <w:vAlign w:val="center"/>
          </w:tcPr>
          <w:p w:rsidR="008516ED" w:rsidRPr="00CE6E93" w:rsidRDefault="008516ED" w:rsidP="003C5439">
            <w:pPr>
              <w:spacing w:after="0"/>
              <w:jc w:val="center"/>
              <w:rPr>
                <w:rFonts w:asciiTheme="majorHAnsi" w:eastAsia="Times New Roman" w:hAnsiTheme="majorHAnsi"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8516ED" w:rsidRPr="00CE6E93" w:rsidRDefault="008516ED" w:rsidP="00A57BF3">
            <w:pPr>
              <w:spacing w:after="0"/>
              <w:rPr>
                <w:rFonts w:asciiTheme="majorHAnsi" w:eastAsia="Times New Roman" w:hAnsiTheme="majorHAnsi" w:cs="Arial"/>
                <w:color w:val="000000"/>
                <w:sz w:val="18"/>
                <w:szCs w:val="18"/>
                <w:lang w:eastAsia="en-AU"/>
              </w:rPr>
            </w:pPr>
            <w:r w:rsidRPr="00CE6E93">
              <w:rPr>
                <w:rFonts w:asciiTheme="majorHAnsi" w:eastAsia="Times New Roman" w:hAnsiTheme="majorHAnsi" w:cs="Arial"/>
                <w:color w:val="000000"/>
                <w:sz w:val="18"/>
                <w:szCs w:val="18"/>
                <w:lang w:eastAsia="en-AU"/>
              </w:rPr>
              <w:t>Chronic psychoses</w:t>
            </w:r>
          </w:p>
        </w:tc>
      </w:tr>
      <w:tr w:rsidR="002F4E2E" w:rsidRPr="00CE6E93" w:rsidTr="00474E87">
        <w:trPr>
          <w:trHeight w:val="300"/>
        </w:trPr>
        <w:tc>
          <w:tcPr>
            <w:tcW w:w="756" w:type="pct"/>
            <w:tcBorders>
              <w:top w:val="nil"/>
              <w:left w:val="single" w:sz="4" w:space="0" w:color="auto"/>
              <w:bottom w:val="single" w:sz="4" w:space="0" w:color="auto"/>
              <w:right w:val="single" w:sz="4" w:space="0" w:color="auto"/>
            </w:tcBorders>
            <w:shd w:val="clear" w:color="auto" w:fill="auto"/>
            <w:noWrap/>
            <w:vAlign w:val="center"/>
          </w:tcPr>
          <w:p w:rsidR="008516ED" w:rsidRPr="00CE6E93" w:rsidRDefault="004860F4" w:rsidP="00A57BF3">
            <w:pPr>
              <w:spacing w:after="0"/>
              <w:rPr>
                <w:rFonts w:asciiTheme="majorHAnsi" w:eastAsia="Times New Roman" w:hAnsiTheme="majorHAnsi" w:cs="Arial"/>
                <w:color w:val="000000"/>
                <w:sz w:val="18"/>
                <w:szCs w:val="18"/>
                <w:lang w:eastAsia="en-AU"/>
              </w:rPr>
            </w:pPr>
            <w:r>
              <w:rPr>
                <w:rFonts w:asciiTheme="majorHAnsi" w:eastAsia="Times New Roman" w:hAnsiTheme="majorHAnsi" w:cs="Arial"/>
                <w:color w:val="000000"/>
                <w:sz w:val="18"/>
                <w:szCs w:val="18"/>
                <w:lang w:eastAsia="en-AU"/>
              </w:rPr>
              <w:t>F</w:t>
            </w:r>
            <w:r w:rsidR="008516ED" w:rsidRPr="00CE6E93">
              <w:rPr>
                <w:rFonts w:asciiTheme="majorHAnsi" w:eastAsia="Times New Roman" w:hAnsiTheme="majorHAnsi" w:cs="Arial"/>
                <w:color w:val="000000"/>
                <w:sz w:val="18"/>
                <w:szCs w:val="18"/>
                <w:lang w:eastAsia="en-AU"/>
              </w:rPr>
              <w:t>lupenthixol</w:t>
            </w:r>
          </w:p>
        </w:tc>
        <w:tc>
          <w:tcPr>
            <w:tcW w:w="406" w:type="pct"/>
            <w:tcBorders>
              <w:top w:val="nil"/>
              <w:left w:val="nil"/>
              <w:bottom w:val="single" w:sz="4" w:space="0" w:color="auto"/>
              <w:right w:val="single" w:sz="4" w:space="0" w:color="auto"/>
            </w:tcBorders>
            <w:shd w:val="clear" w:color="auto" w:fill="auto"/>
            <w:noWrap/>
            <w:vAlign w:val="center"/>
          </w:tcPr>
          <w:p w:rsidR="008516ED" w:rsidRPr="00CE6E93" w:rsidRDefault="00502EEC" w:rsidP="003C5439">
            <w:pPr>
              <w:spacing w:after="0"/>
              <w:jc w:val="center"/>
              <w:rPr>
                <w:rFonts w:asciiTheme="majorHAnsi" w:eastAsia="Times New Roman" w:hAnsiTheme="majorHAnsi" w:cs="Calibri"/>
                <w:color w:val="000000"/>
                <w:sz w:val="18"/>
                <w:szCs w:val="18"/>
                <w:lang w:eastAsia="en-AU"/>
              </w:rPr>
            </w:pPr>
            <w:r w:rsidRPr="00CE6E93">
              <w:rPr>
                <w:rFonts w:asciiTheme="majorHAnsi" w:eastAsia="Times New Roman" w:hAnsiTheme="majorHAnsi" w:cs="Calibri"/>
                <w:color w:val="000000"/>
                <w:sz w:val="18"/>
                <w:szCs w:val="18"/>
                <w:lang w:val="en-US" w:eastAsia="en-AU"/>
              </w:rPr>
              <w:t>X</w:t>
            </w: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val="en-US" w:eastAsia="en-AU"/>
              </w:rPr>
            </w:pPr>
          </w:p>
        </w:tc>
        <w:tc>
          <w:tcPr>
            <w:tcW w:w="539" w:type="pct"/>
            <w:tcBorders>
              <w:top w:val="nil"/>
              <w:left w:val="nil"/>
              <w:bottom w:val="single" w:sz="4" w:space="0" w:color="auto"/>
              <w:right w:val="single" w:sz="4" w:space="0" w:color="auto"/>
            </w:tcBorders>
            <w:shd w:val="clear" w:color="auto"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9" w:type="pct"/>
            <w:tcBorders>
              <w:top w:val="nil"/>
              <w:left w:val="nil"/>
              <w:bottom w:val="single" w:sz="4" w:space="0" w:color="auto"/>
              <w:right w:val="single" w:sz="4" w:space="0" w:color="auto"/>
            </w:tcBorders>
            <w:shd w:val="clear" w:color="auto"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6" w:type="pct"/>
            <w:tcBorders>
              <w:top w:val="single" w:sz="4" w:space="0" w:color="auto"/>
              <w:left w:val="nil"/>
              <w:bottom w:val="single" w:sz="4" w:space="0" w:color="auto"/>
              <w:right w:val="single" w:sz="4" w:space="0" w:color="auto"/>
            </w:tcBorders>
            <w:vAlign w:val="center"/>
          </w:tcPr>
          <w:p w:rsidR="008516ED" w:rsidRPr="00CE6E93" w:rsidRDefault="008516ED" w:rsidP="003C5439">
            <w:pPr>
              <w:spacing w:after="0"/>
              <w:jc w:val="center"/>
              <w:rPr>
                <w:rFonts w:asciiTheme="majorHAnsi" w:eastAsia="Times New Roman" w:hAnsiTheme="majorHAnsi"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8516ED" w:rsidRPr="00CE6E93" w:rsidRDefault="008516ED" w:rsidP="00A57BF3">
            <w:pPr>
              <w:spacing w:after="0"/>
              <w:rPr>
                <w:rFonts w:asciiTheme="majorHAnsi" w:eastAsia="Times New Roman" w:hAnsiTheme="majorHAnsi" w:cs="Arial"/>
                <w:color w:val="000000"/>
                <w:sz w:val="18"/>
                <w:szCs w:val="18"/>
                <w:lang w:eastAsia="en-AU"/>
              </w:rPr>
            </w:pPr>
            <w:r w:rsidRPr="00CE6E93">
              <w:rPr>
                <w:rFonts w:asciiTheme="majorHAnsi" w:eastAsia="Times New Roman" w:hAnsiTheme="majorHAnsi" w:cs="Arial"/>
                <w:color w:val="000000"/>
                <w:sz w:val="18"/>
                <w:szCs w:val="18"/>
                <w:lang w:eastAsia="en-AU"/>
              </w:rPr>
              <w:t>Chronic psychoses</w:t>
            </w:r>
          </w:p>
        </w:tc>
      </w:tr>
      <w:tr w:rsidR="002F4E2E" w:rsidRPr="00CE6E93" w:rsidTr="00474E87">
        <w:trPr>
          <w:trHeight w:val="300"/>
        </w:trPr>
        <w:tc>
          <w:tcPr>
            <w:tcW w:w="756" w:type="pct"/>
            <w:tcBorders>
              <w:top w:val="nil"/>
              <w:left w:val="single" w:sz="4" w:space="0" w:color="auto"/>
              <w:bottom w:val="single" w:sz="4" w:space="0" w:color="auto"/>
              <w:right w:val="single" w:sz="4" w:space="0" w:color="auto"/>
            </w:tcBorders>
            <w:shd w:val="clear" w:color="auto" w:fill="auto"/>
            <w:noWrap/>
            <w:vAlign w:val="center"/>
          </w:tcPr>
          <w:p w:rsidR="008516ED" w:rsidRPr="00CE6E93" w:rsidRDefault="004860F4" w:rsidP="00A57BF3">
            <w:pPr>
              <w:spacing w:after="0"/>
              <w:rPr>
                <w:rFonts w:asciiTheme="majorHAnsi" w:eastAsia="Times New Roman" w:hAnsiTheme="majorHAnsi" w:cs="Arial"/>
                <w:color w:val="000000"/>
                <w:sz w:val="18"/>
                <w:szCs w:val="18"/>
                <w:lang w:eastAsia="en-AU"/>
              </w:rPr>
            </w:pPr>
            <w:r>
              <w:rPr>
                <w:rFonts w:asciiTheme="majorHAnsi" w:eastAsia="Times New Roman" w:hAnsiTheme="majorHAnsi" w:cs="Arial"/>
                <w:color w:val="000000"/>
                <w:sz w:val="18"/>
                <w:szCs w:val="18"/>
                <w:lang w:eastAsia="en-AU"/>
              </w:rPr>
              <w:t>H</w:t>
            </w:r>
            <w:r w:rsidR="008516ED" w:rsidRPr="00CE6E93">
              <w:rPr>
                <w:rFonts w:asciiTheme="majorHAnsi" w:eastAsia="Times New Roman" w:hAnsiTheme="majorHAnsi" w:cs="Arial"/>
                <w:color w:val="000000"/>
                <w:sz w:val="18"/>
                <w:szCs w:val="18"/>
                <w:lang w:eastAsia="en-AU"/>
              </w:rPr>
              <w:t>aloperidol</w:t>
            </w:r>
          </w:p>
        </w:tc>
        <w:tc>
          <w:tcPr>
            <w:tcW w:w="406" w:type="pct"/>
            <w:tcBorders>
              <w:top w:val="nil"/>
              <w:left w:val="nil"/>
              <w:bottom w:val="single" w:sz="4" w:space="0" w:color="auto"/>
              <w:right w:val="single" w:sz="4" w:space="0" w:color="auto"/>
            </w:tcBorders>
            <w:shd w:val="clear" w:color="auto" w:fill="auto"/>
            <w:noWrap/>
            <w:vAlign w:val="center"/>
          </w:tcPr>
          <w:p w:rsidR="008516ED" w:rsidRPr="00CE6E93" w:rsidRDefault="00502EEC" w:rsidP="003C5439">
            <w:pPr>
              <w:spacing w:after="0"/>
              <w:jc w:val="center"/>
              <w:rPr>
                <w:rFonts w:asciiTheme="majorHAnsi" w:eastAsia="Times New Roman" w:hAnsiTheme="majorHAnsi" w:cs="Calibri"/>
                <w:color w:val="000000"/>
                <w:sz w:val="18"/>
                <w:szCs w:val="18"/>
                <w:lang w:eastAsia="en-AU"/>
              </w:rPr>
            </w:pPr>
            <w:r w:rsidRPr="00CE6E93">
              <w:rPr>
                <w:rFonts w:asciiTheme="majorHAnsi" w:eastAsia="Times New Roman" w:hAnsiTheme="majorHAnsi" w:cs="Calibri"/>
                <w:color w:val="000000"/>
                <w:sz w:val="18"/>
                <w:szCs w:val="18"/>
                <w:lang w:val="en-US" w:eastAsia="en-AU"/>
              </w:rPr>
              <w:t>X</w:t>
            </w: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val="en-US" w:eastAsia="en-AU"/>
              </w:rPr>
            </w:pPr>
          </w:p>
        </w:tc>
        <w:tc>
          <w:tcPr>
            <w:tcW w:w="539" w:type="pct"/>
            <w:tcBorders>
              <w:top w:val="nil"/>
              <w:left w:val="nil"/>
              <w:bottom w:val="single" w:sz="4" w:space="0" w:color="auto"/>
              <w:right w:val="single" w:sz="4" w:space="0" w:color="auto"/>
            </w:tcBorders>
            <w:shd w:val="clear" w:color="auto"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9" w:type="pct"/>
            <w:tcBorders>
              <w:top w:val="nil"/>
              <w:left w:val="nil"/>
              <w:bottom w:val="single" w:sz="4" w:space="0" w:color="auto"/>
              <w:right w:val="single" w:sz="4" w:space="0" w:color="auto"/>
            </w:tcBorders>
            <w:shd w:val="clear" w:color="auto"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6" w:type="pct"/>
            <w:tcBorders>
              <w:top w:val="single" w:sz="4" w:space="0" w:color="auto"/>
              <w:left w:val="nil"/>
              <w:bottom w:val="single" w:sz="4" w:space="0" w:color="auto"/>
              <w:right w:val="single" w:sz="4" w:space="0" w:color="auto"/>
            </w:tcBorders>
            <w:vAlign w:val="center"/>
          </w:tcPr>
          <w:p w:rsidR="008516ED" w:rsidRPr="00CE6E93" w:rsidRDefault="008516ED" w:rsidP="003C5439">
            <w:pPr>
              <w:spacing w:after="0"/>
              <w:jc w:val="center"/>
              <w:rPr>
                <w:rFonts w:asciiTheme="majorHAnsi" w:eastAsia="Times New Roman" w:hAnsiTheme="majorHAnsi"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8516ED" w:rsidRPr="00CE6E93" w:rsidRDefault="008516ED" w:rsidP="00A57BF3">
            <w:pPr>
              <w:spacing w:after="0"/>
              <w:rPr>
                <w:rFonts w:asciiTheme="majorHAnsi" w:eastAsia="Times New Roman" w:hAnsiTheme="majorHAnsi" w:cs="Arial"/>
                <w:color w:val="000000"/>
                <w:sz w:val="18"/>
                <w:szCs w:val="18"/>
                <w:lang w:eastAsia="en-AU"/>
              </w:rPr>
            </w:pPr>
            <w:r w:rsidRPr="00CE6E93">
              <w:rPr>
                <w:rFonts w:asciiTheme="majorHAnsi" w:eastAsia="Times New Roman" w:hAnsiTheme="majorHAnsi" w:cs="Arial"/>
                <w:color w:val="000000"/>
                <w:sz w:val="18"/>
                <w:szCs w:val="18"/>
                <w:lang w:eastAsia="en-AU"/>
              </w:rPr>
              <w:t>May be used to treat acute and chronic psychoses, acute mania, Tourette's syndrome and other choreas, adjunct in treatment of alcoholic hallucinosis and intractable nausea and vomiting associated with cancer chemotherapy or radiotherapy</w:t>
            </w:r>
          </w:p>
        </w:tc>
      </w:tr>
      <w:tr w:rsidR="002F4E2E" w:rsidRPr="00CE6E93" w:rsidTr="00474E87">
        <w:trPr>
          <w:trHeight w:val="300"/>
        </w:trPr>
        <w:tc>
          <w:tcPr>
            <w:tcW w:w="756" w:type="pct"/>
            <w:tcBorders>
              <w:top w:val="nil"/>
              <w:left w:val="single" w:sz="4" w:space="0" w:color="auto"/>
              <w:bottom w:val="single" w:sz="4" w:space="0" w:color="auto"/>
              <w:right w:val="single" w:sz="4" w:space="0" w:color="auto"/>
            </w:tcBorders>
            <w:shd w:val="clear" w:color="auto" w:fill="auto"/>
            <w:noWrap/>
            <w:vAlign w:val="center"/>
          </w:tcPr>
          <w:p w:rsidR="008516ED" w:rsidRPr="00CE6E93" w:rsidRDefault="004860F4" w:rsidP="00A57BF3">
            <w:pPr>
              <w:spacing w:after="0"/>
              <w:rPr>
                <w:rFonts w:asciiTheme="majorHAnsi" w:eastAsia="Times New Roman" w:hAnsiTheme="majorHAnsi" w:cs="Arial"/>
                <w:color w:val="000000"/>
                <w:sz w:val="18"/>
                <w:szCs w:val="18"/>
                <w:lang w:eastAsia="en-AU"/>
              </w:rPr>
            </w:pPr>
            <w:r>
              <w:rPr>
                <w:rFonts w:asciiTheme="majorHAnsi" w:eastAsia="Times New Roman" w:hAnsiTheme="majorHAnsi" w:cs="Arial"/>
                <w:color w:val="000000"/>
                <w:sz w:val="18"/>
                <w:szCs w:val="18"/>
                <w:lang w:eastAsia="en-AU"/>
              </w:rPr>
              <w:t>P</w:t>
            </w:r>
            <w:r w:rsidR="008516ED" w:rsidRPr="00CE6E93">
              <w:rPr>
                <w:rFonts w:asciiTheme="majorHAnsi" w:eastAsia="Times New Roman" w:hAnsiTheme="majorHAnsi" w:cs="Arial"/>
                <w:color w:val="000000"/>
                <w:sz w:val="18"/>
                <w:szCs w:val="18"/>
                <w:lang w:eastAsia="en-AU"/>
              </w:rPr>
              <w:t>ericyazine</w:t>
            </w:r>
          </w:p>
        </w:tc>
        <w:tc>
          <w:tcPr>
            <w:tcW w:w="406" w:type="pct"/>
            <w:tcBorders>
              <w:top w:val="nil"/>
              <w:left w:val="nil"/>
              <w:bottom w:val="single" w:sz="4" w:space="0" w:color="auto"/>
              <w:right w:val="single" w:sz="4" w:space="0" w:color="auto"/>
            </w:tcBorders>
            <w:shd w:val="clear" w:color="auto" w:fill="auto"/>
            <w:noWrap/>
            <w:vAlign w:val="center"/>
          </w:tcPr>
          <w:p w:rsidR="008516ED" w:rsidRPr="00CE6E93" w:rsidRDefault="00502EEC" w:rsidP="003C5439">
            <w:pPr>
              <w:spacing w:after="0"/>
              <w:jc w:val="center"/>
              <w:rPr>
                <w:rFonts w:asciiTheme="majorHAnsi" w:eastAsia="Times New Roman" w:hAnsiTheme="majorHAnsi" w:cs="Calibri"/>
                <w:color w:val="000000"/>
                <w:sz w:val="18"/>
                <w:szCs w:val="18"/>
                <w:lang w:eastAsia="en-AU"/>
              </w:rPr>
            </w:pPr>
            <w:r w:rsidRPr="00CE6E93">
              <w:rPr>
                <w:rFonts w:asciiTheme="majorHAnsi" w:eastAsia="Times New Roman" w:hAnsiTheme="majorHAnsi" w:cs="Calibri"/>
                <w:color w:val="000000"/>
                <w:sz w:val="18"/>
                <w:szCs w:val="18"/>
                <w:lang w:val="en-US" w:eastAsia="en-AU"/>
              </w:rPr>
              <w:t>X</w:t>
            </w: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val="en-US" w:eastAsia="en-AU"/>
              </w:rPr>
            </w:pPr>
          </w:p>
        </w:tc>
        <w:tc>
          <w:tcPr>
            <w:tcW w:w="539" w:type="pct"/>
            <w:tcBorders>
              <w:top w:val="nil"/>
              <w:left w:val="nil"/>
              <w:bottom w:val="single" w:sz="4" w:space="0" w:color="auto"/>
              <w:right w:val="single" w:sz="4" w:space="0" w:color="auto"/>
            </w:tcBorders>
            <w:shd w:val="clear" w:color="auto"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9" w:type="pct"/>
            <w:tcBorders>
              <w:top w:val="nil"/>
              <w:left w:val="nil"/>
              <w:bottom w:val="single" w:sz="4" w:space="0" w:color="auto"/>
              <w:right w:val="single" w:sz="4" w:space="0" w:color="auto"/>
            </w:tcBorders>
            <w:shd w:val="clear" w:color="auto"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6" w:type="pct"/>
            <w:tcBorders>
              <w:top w:val="single" w:sz="4" w:space="0" w:color="auto"/>
              <w:left w:val="nil"/>
              <w:bottom w:val="single" w:sz="4" w:space="0" w:color="auto"/>
              <w:right w:val="single" w:sz="4" w:space="0" w:color="auto"/>
            </w:tcBorders>
            <w:vAlign w:val="center"/>
          </w:tcPr>
          <w:p w:rsidR="008516ED" w:rsidRPr="00CE6E93" w:rsidRDefault="008516ED" w:rsidP="003C5439">
            <w:pPr>
              <w:spacing w:after="0"/>
              <w:jc w:val="center"/>
              <w:rPr>
                <w:rFonts w:asciiTheme="majorHAnsi" w:eastAsia="Times New Roman" w:hAnsiTheme="majorHAnsi"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8516ED" w:rsidRPr="00CE6E93" w:rsidRDefault="008516ED" w:rsidP="00A57BF3">
            <w:pPr>
              <w:spacing w:after="0"/>
              <w:rPr>
                <w:rFonts w:asciiTheme="majorHAnsi" w:eastAsia="Times New Roman" w:hAnsiTheme="majorHAnsi" w:cs="Arial"/>
                <w:color w:val="000000"/>
                <w:sz w:val="18"/>
                <w:szCs w:val="18"/>
                <w:lang w:eastAsia="en-AU"/>
              </w:rPr>
            </w:pPr>
            <w:r w:rsidRPr="00CE6E93">
              <w:rPr>
                <w:rFonts w:asciiTheme="majorHAnsi" w:eastAsia="Times New Roman" w:hAnsiTheme="majorHAnsi" w:cs="Arial"/>
                <w:color w:val="000000"/>
                <w:sz w:val="18"/>
                <w:szCs w:val="18"/>
                <w:lang w:eastAsia="en-AU"/>
              </w:rPr>
              <w:t>Acute and chronic psychoses</w:t>
            </w:r>
          </w:p>
        </w:tc>
      </w:tr>
      <w:tr w:rsidR="002F4E2E" w:rsidRPr="00CE6E93" w:rsidTr="00474E87">
        <w:trPr>
          <w:trHeight w:val="541"/>
        </w:trPr>
        <w:tc>
          <w:tcPr>
            <w:tcW w:w="756" w:type="pct"/>
            <w:tcBorders>
              <w:top w:val="nil"/>
              <w:left w:val="single" w:sz="4" w:space="0" w:color="auto"/>
              <w:bottom w:val="single" w:sz="4" w:space="0" w:color="auto"/>
              <w:right w:val="single" w:sz="4" w:space="0" w:color="auto"/>
            </w:tcBorders>
            <w:shd w:val="clear" w:color="auto" w:fill="auto"/>
            <w:noWrap/>
            <w:vAlign w:val="center"/>
          </w:tcPr>
          <w:p w:rsidR="008516ED" w:rsidRPr="00CE6E93" w:rsidRDefault="004860F4" w:rsidP="00A57BF3">
            <w:pPr>
              <w:spacing w:after="0"/>
              <w:rPr>
                <w:rFonts w:asciiTheme="majorHAnsi" w:eastAsia="Times New Roman" w:hAnsiTheme="majorHAnsi" w:cs="Arial"/>
                <w:color w:val="000000"/>
                <w:sz w:val="18"/>
                <w:szCs w:val="18"/>
                <w:lang w:eastAsia="en-AU"/>
              </w:rPr>
            </w:pPr>
            <w:r>
              <w:rPr>
                <w:rFonts w:asciiTheme="majorHAnsi" w:eastAsia="Times New Roman" w:hAnsiTheme="majorHAnsi" w:cs="Arial"/>
                <w:color w:val="000000"/>
                <w:sz w:val="18"/>
                <w:szCs w:val="18"/>
                <w:lang w:eastAsia="en-AU"/>
              </w:rPr>
              <w:t>T</w:t>
            </w:r>
            <w:r w:rsidR="008516ED" w:rsidRPr="00CE6E93">
              <w:rPr>
                <w:rFonts w:asciiTheme="majorHAnsi" w:eastAsia="Times New Roman" w:hAnsiTheme="majorHAnsi" w:cs="Arial"/>
                <w:color w:val="000000"/>
                <w:sz w:val="18"/>
                <w:szCs w:val="18"/>
                <w:lang w:eastAsia="en-AU"/>
              </w:rPr>
              <w:t>rifluoperazine</w:t>
            </w:r>
          </w:p>
        </w:tc>
        <w:tc>
          <w:tcPr>
            <w:tcW w:w="406" w:type="pct"/>
            <w:tcBorders>
              <w:top w:val="nil"/>
              <w:left w:val="nil"/>
              <w:bottom w:val="single" w:sz="4" w:space="0" w:color="auto"/>
              <w:right w:val="single" w:sz="4" w:space="0" w:color="auto"/>
            </w:tcBorders>
            <w:shd w:val="clear" w:color="auto" w:fill="auto"/>
            <w:noWrap/>
            <w:vAlign w:val="center"/>
          </w:tcPr>
          <w:p w:rsidR="008516ED" w:rsidRPr="00CE6E93" w:rsidRDefault="00502EEC" w:rsidP="003C5439">
            <w:pPr>
              <w:spacing w:after="0"/>
              <w:jc w:val="center"/>
              <w:rPr>
                <w:rFonts w:asciiTheme="majorHAnsi" w:eastAsia="Times New Roman" w:hAnsiTheme="majorHAnsi" w:cs="Calibri"/>
                <w:color w:val="000000"/>
                <w:sz w:val="18"/>
                <w:szCs w:val="18"/>
                <w:lang w:eastAsia="en-AU"/>
              </w:rPr>
            </w:pPr>
            <w:r w:rsidRPr="00CE6E93">
              <w:rPr>
                <w:rFonts w:asciiTheme="majorHAnsi" w:eastAsia="Times New Roman" w:hAnsiTheme="majorHAnsi" w:cs="Calibri"/>
                <w:color w:val="000000"/>
                <w:sz w:val="18"/>
                <w:szCs w:val="18"/>
                <w:lang w:val="en-US" w:eastAsia="en-AU"/>
              </w:rPr>
              <w:t>X</w:t>
            </w: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6" w:type="pct"/>
            <w:tcBorders>
              <w:top w:val="single" w:sz="4" w:space="0" w:color="auto"/>
              <w:left w:val="nil"/>
              <w:bottom w:val="single" w:sz="4" w:space="0" w:color="auto"/>
              <w:right w:val="single" w:sz="4" w:space="0" w:color="auto"/>
            </w:tcBorders>
            <w:shd w:val="pct20" w:color="808080" w:themeColor="background1" w:themeShade="80" w:fill="auto"/>
            <w:vAlign w:val="center"/>
          </w:tcPr>
          <w:p w:rsidR="008516ED" w:rsidRPr="00CE6E93" w:rsidRDefault="008516ED" w:rsidP="003C5439">
            <w:pPr>
              <w:spacing w:after="0"/>
              <w:jc w:val="center"/>
              <w:rPr>
                <w:rFonts w:asciiTheme="majorHAnsi" w:eastAsia="Times New Roman" w:hAnsiTheme="majorHAnsi"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8516ED" w:rsidRPr="00CE6E93" w:rsidRDefault="008516ED" w:rsidP="00A57BF3">
            <w:pPr>
              <w:spacing w:after="0"/>
              <w:rPr>
                <w:rFonts w:asciiTheme="majorHAnsi" w:eastAsia="Times New Roman" w:hAnsiTheme="majorHAnsi" w:cs="Arial"/>
                <w:color w:val="000000"/>
                <w:sz w:val="18"/>
                <w:szCs w:val="18"/>
                <w:lang w:eastAsia="en-AU"/>
              </w:rPr>
            </w:pPr>
            <w:r w:rsidRPr="00CE6E93">
              <w:rPr>
                <w:rFonts w:asciiTheme="majorHAnsi" w:eastAsia="Times New Roman" w:hAnsiTheme="majorHAnsi" w:cs="Arial"/>
                <w:color w:val="000000"/>
                <w:sz w:val="18"/>
                <w:szCs w:val="18"/>
                <w:lang w:eastAsia="en-AU"/>
              </w:rPr>
              <w:t>May be used to treat acute and chronic psychoses or short-term management of anxiety, agitation or disturbed behaviour in non-psychotic disorders</w:t>
            </w:r>
          </w:p>
        </w:tc>
      </w:tr>
      <w:tr w:rsidR="002F4E2E" w:rsidRPr="00CE6E93" w:rsidTr="00474E87">
        <w:trPr>
          <w:trHeight w:val="525"/>
        </w:trPr>
        <w:tc>
          <w:tcPr>
            <w:tcW w:w="756" w:type="pct"/>
            <w:tcBorders>
              <w:top w:val="nil"/>
              <w:left w:val="single" w:sz="4" w:space="0" w:color="auto"/>
              <w:bottom w:val="single" w:sz="4" w:space="0" w:color="auto"/>
              <w:right w:val="single" w:sz="4" w:space="0" w:color="auto"/>
            </w:tcBorders>
            <w:shd w:val="clear" w:color="auto" w:fill="auto"/>
            <w:noWrap/>
            <w:vAlign w:val="center"/>
          </w:tcPr>
          <w:p w:rsidR="008516ED" w:rsidRPr="00CE6E93" w:rsidRDefault="004860F4" w:rsidP="00A57BF3">
            <w:pPr>
              <w:spacing w:after="0"/>
              <w:rPr>
                <w:rFonts w:asciiTheme="majorHAnsi" w:eastAsia="Times New Roman" w:hAnsiTheme="majorHAnsi" w:cs="Arial"/>
                <w:color w:val="000000"/>
                <w:sz w:val="18"/>
                <w:szCs w:val="18"/>
                <w:lang w:eastAsia="en-AU"/>
              </w:rPr>
            </w:pPr>
            <w:r>
              <w:rPr>
                <w:rFonts w:asciiTheme="majorHAnsi" w:eastAsia="Times New Roman" w:hAnsiTheme="majorHAnsi" w:cs="Arial"/>
                <w:color w:val="000000"/>
                <w:sz w:val="18"/>
                <w:szCs w:val="18"/>
                <w:lang w:eastAsia="en-AU"/>
              </w:rPr>
              <w:t>Z</w:t>
            </w:r>
            <w:r w:rsidR="008516ED" w:rsidRPr="00CE6E93">
              <w:rPr>
                <w:rFonts w:asciiTheme="majorHAnsi" w:eastAsia="Times New Roman" w:hAnsiTheme="majorHAnsi" w:cs="Arial"/>
                <w:color w:val="000000"/>
                <w:sz w:val="18"/>
                <w:szCs w:val="18"/>
                <w:lang w:eastAsia="en-AU"/>
              </w:rPr>
              <w:t>uclopenthixol</w:t>
            </w:r>
          </w:p>
        </w:tc>
        <w:tc>
          <w:tcPr>
            <w:tcW w:w="406" w:type="pct"/>
            <w:tcBorders>
              <w:top w:val="nil"/>
              <w:left w:val="nil"/>
              <w:bottom w:val="single" w:sz="4" w:space="0" w:color="auto"/>
              <w:right w:val="single" w:sz="4" w:space="0" w:color="auto"/>
            </w:tcBorders>
            <w:shd w:val="clear" w:color="auto" w:fill="auto"/>
            <w:noWrap/>
            <w:vAlign w:val="center"/>
          </w:tcPr>
          <w:p w:rsidR="008516ED" w:rsidRPr="00CE6E93" w:rsidRDefault="00502EEC" w:rsidP="003C5439">
            <w:pPr>
              <w:spacing w:after="0"/>
              <w:jc w:val="center"/>
              <w:rPr>
                <w:rFonts w:asciiTheme="majorHAnsi" w:eastAsia="Times New Roman" w:hAnsiTheme="majorHAnsi" w:cs="Calibri"/>
                <w:color w:val="000000"/>
                <w:sz w:val="18"/>
                <w:szCs w:val="18"/>
                <w:lang w:eastAsia="en-AU"/>
              </w:rPr>
            </w:pPr>
            <w:r w:rsidRPr="00CE6E93">
              <w:rPr>
                <w:rFonts w:asciiTheme="majorHAnsi" w:eastAsia="Times New Roman" w:hAnsiTheme="majorHAnsi" w:cs="Calibri"/>
                <w:color w:val="000000"/>
                <w:sz w:val="18"/>
                <w:szCs w:val="18"/>
                <w:lang w:val="en-US" w:eastAsia="en-AU"/>
              </w:rPr>
              <w:t>X</w:t>
            </w: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6" w:type="pct"/>
            <w:tcBorders>
              <w:top w:val="single" w:sz="4" w:space="0" w:color="auto"/>
              <w:left w:val="nil"/>
              <w:bottom w:val="single" w:sz="4" w:space="0" w:color="auto"/>
              <w:right w:val="single" w:sz="4" w:space="0" w:color="auto"/>
            </w:tcBorders>
            <w:vAlign w:val="center"/>
          </w:tcPr>
          <w:p w:rsidR="008516ED" w:rsidRPr="00CE6E93" w:rsidRDefault="008516ED" w:rsidP="003C5439">
            <w:pPr>
              <w:spacing w:after="0"/>
              <w:jc w:val="center"/>
              <w:rPr>
                <w:rFonts w:asciiTheme="majorHAnsi" w:eastAsia="Times New Roman" w:hAnsiTheme="majorHAnsi"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8516ED" w:rsidRPr="00CE6E93" w:rsidRDefault="008516ED" w:rsidP="00A57BF3">
            <w:pPr>
              <w:spacing w:after="0"/>
              <w:rPr>
                <w:rFonts w:asciiTheme="majorHAnsi" w:eastAsia="Times New Roman" w:hAnsiTheme="majorHAnsi" w:cs="Arial"/>
                <w:color w:val="000000"/>
                <w:sz w:val="18"/>
                <w:szCs w:val="18"/>
                <w:lang w:eastAsia="en-AU"/>
              </w:rPr>
            </w:pPr>
            <w:r w:rsidRPr="00CE6E93">
              <w:rPr>
                <w:rFonts w:asciiTheme="majorHAnsi" w:eastAsia="Times New Roman" w:hAnsiTheme="majorHAnsi" w:cs="Arial"/>
                <w:color w:val="000000"/>
                <w:sz w:val="18"/>
                <w:szCs w:val="18"/>
                <w:lang w:eastAsia="en-AU"/>
              </w:rPr>
              <w:t>May be used for initial treatment of acute psychoses, chronic psychoses or acute mania</w:t>
            </w:r>
          </w:p>
        </w:tc>
      </w:tr>
      <w:tr w:rsidR="00474E87" w:rsidRPr="00CE6E93" w:rsidTr="00474E87">
        <w:trPr>
          <w:trHeight w:val="300"/>
        </w:trPr>
        <w:tc>
          <w:tcPr>
            <w:tcW w:w="5000" w:type="pct"/>
            <w:gridSpan w:val="7"/>
            <w:tcBorders>
              <w:top w:val="nil"/>
              <w:left w:val="single" w:sz="4" w:space="0" w:color="auto"/>
              <w:bottom w:val="single" w:sz="4" w:space="0" w:color="auto"/>
              <w:right w:val="single" w:sz="4" w:space="0" w:color="auto"/>
            </w:tcBorders>
            <w:shd w:val="clear" w:color="auto" w:fill="auto"/>
            <w:noWrap/>
            <w:vAlign w:val="center"/>
          </w:tcPr>
          <w:p w:rsidR="00474E87" w:rsidRPr="00474E87" w:rsidRDefault="00474E87" w:rsidP="00A57BF3">
            <w:pPr>
              <w:spacing w:after="0"/>
              <w:rPr>
                <w:rFonts w:asciiTheme="majorHAnsi" w:eastAsia="Times New Roman" w:hAnsiTheme="majorHAnsi" w:cs="Arial"/>
                <w:b/>
                <w:color w:val="000000"/>
                <w:sz w:val="18"/>
                <w:szCs w:val="18"/>
                <w:lang w:eastAsia="en-AU"/>
              </w:rPr>
            </w:pPr>
            <w:r w:rsidRPr="00474E87">
              <w:rPr>
                <w:rFonts w:asciiTheme="majorHAnsi" w:eastAsia="Times New Roman" w:hAnsiTheme="majorHAnsi" w:cs="Arial"/>
                <w:b/>
                <w:color w:val="000000"/>
                <w:sz w:val="18"/>
                <w:szCs w:val="18"/>
                <w:lang w:eastAsia="en-AU"/>
              </w:rPr>
              <w:t>Atypical</w:t>
            </w:r>
          </w:p>
        </w:tc>
      </w:tr>
      <w:tr w:rsidR="002F4E2E" w:rsidRPr="00CE6E93" w:rsidTr="00474E87">
        <w:trPr>
          <w:trHeight w:val="300"/>
        </w:trPr>
        <w:tc>
          <w:tcPr>
            <w:tcW w:w="756" w:type="pct"/>
            <w:tcBorders>
              <w:top w:val="nil"/>
              <w:left w:val="single" w:sz="4" w:space="0" w:color="auto"/>
              <w:bottom w:val="single" w:sz="4" w:space="0" w:color="auto"/>
              <w:right w:val="single" w:sz="4" w:space="0" w:color="auto"/>
            </w:tcBorders>
            <w:shd w:val="clear" w:color="auto" w:fill="auto"/>
            <w:noWrap/>
            <w:vAlign w:val="center"/>
          </w:tcPr>
          <w:p w:rsidR="008516ED" w:rsidRPr="00CE6E93" w:rsidRDefault="004860F4" w:rsidP="00A57BF3">
            <w:pPr>
              <w:spacing w:after="0"/>
              <w:rPr>
                <w:rFonts w:asciiTheme="majorHAnsi" w:eastAsia="Times New Roman" w:hAnsiTheme="majorHAnsi" w:cs="Arial"/>
                <w:color w:val="000000"/>
                <w:sz w:val="18"/>
                <w:szCs w:val="18"/>
                <w:lang w:eastAsia="en-AU"/>
              </w:rPr>
            </w:pPr>
            <w:r>
              <w:rPr>
                <w:rFonts w:asciiTheme="majorHAnsi" w:eastAsia="Times New Roman" w:hAnsiTheme="majorHAnsi" w:cs="Arial"/>
                <w:color w:val="000000"/>
                <w:sz w:val="18"/>
                <w:szCs w:val="18"/>
                <w:lang w:eastAsia="en-AU"/>
              </w:rPr>
              <w:t>A</w:t>
            </w:r>
            <w:r w:rsidR="008516ED" w:rsidRPr="00CE6E93">
              <w:rPr>
                <w:rFonts w:asciiTheme="majorHAnsi" w:eastAsia="Times New Roman" w:hAnsiTheme="majorHAnsi" w:cs="Arial"/>
                <w:color w:val="000000"/>
                <w:sz w:val="18"/>
                <w:szCs w:val="18"/>
                <w:lang w:eastAsia="en-AU"/>
              </w:rPr>
              <w:t>misulpride</w:t>
            </w:r>
          </w:p>
        </w:tc>
        <w:tc>
          <w:tcPr>
            <w:tcW w:w="406" w:type="pct"/>
            <w:tcBorders>
              <w:top w:val="nil"/>
              <w:left w:val="nil"/>
              <w:bottom w:val="single" w:sz="4" w:space="0" w:color="auto"/>
              <w:right w:val="single" w:sz="4" w:space="0" w:color="auto"/>
            </w:tcBorders>
            <w:shd w:val="clear" w:color="auto"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502EEC" w:rsidP="003C5439">
            <w:pPr>
              <w:spacing w:after="0"/>
              <w:jc w:val="center"/>
              <w:rPr>
                <w:rFonts w:asciiTheme="majorHAnsi" w:eastAsia="Times New Roman" w:hAnsiTheme="majorHAnsi" w:cs="Calibri"/>
                <w:color w:val="000000"/>
                <w:sz w:val="18"/>
                <w:szCs w:val="18"/>
                <w:lang w:eastAsia="en-AU"/>
              </w:rPr>
            </w:pPr>
            <w:r w:rsidRPr="00CE6E93">
              <w:rPr>
                <w:rFonts w:asciiTheme="majorHAnsi" w:eastAsia="Times New Roman" w:hAnsiTheme="majorHAnsi" w:cs="Calibri"/>
                <w:color w:val="000000"/>
                <w:sz w:val="18"/>
                <w:szCs w:val="18"/>
                <w:lang w:val="en-US" w:eastAsia="en-AU"/>
              </w:rPr>
              <w:t>X</w:t>
            </w:r>
          </w:p>
        </w:tc>
        <w:tc>
          <w:tcPr>
            <w:tcW w:w="539" w:type="pct"/>
            <w:tcBorders>
              <w:top w:val="nil"/>
              <w:left w:val="nil"/>
              <w:bottom w:val="single" w:sz="4" w:space="0" w:color="auto"/>
              <w:right w:val="single" w:sz="4" w:space="0" w:color="auto"/>
            </w:tcBorders>
            <w:shd w:val="clear" w:color="auto"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9" w:type="pct"/>
            <w:tcBorders>
              <w:top w:val="nil"/>
              <w:left w:val="nil"/>
              <w:bottom w:val="single" w:sz="4" w:space="0" w:color="auto"/>
              <w:right w:val="single" w:sz="4" w:space="0" w:color="auto"/>
            </w:tcBorders>
            <w:shd w:val="clear" w:color="auto"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6" w:type="pct"/>
            <w:tcBorders>
              <w:top w:val="single" w:sz="4" w:space="0" w:color="auto"/>
              <w:left w:val="nil"/>
              <w:bottom w:val="single" w:sz="4" w:space="0" w:color="auto"/>
              <w:right w:val="single" w:sz="4" w:space="0" w:color="auto"/>
            </w:tcBorders>
            <w:vAlign w:val="center"/>
          </w:tcPr>
          <w:p w:rsidR="008516ED" w:rsidRPr="00CE6E93" w:rsidRDefault="008516ED" w:rsidP="003C5439">
            <w:pPr>
              <w:spacing w:after="0"/>
              <w:jc w:val="center"/>
              <w:rPr>
                <w:rFonts w:asciiTheme="majorHAnsi" w:eastAsia="Times New Roman" w:hAnsiTheme="majorHAnsi"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8516ED" w:rsidRPr="00CE6E93" w:rsidRDefault="008516ED" w:rsidP="00A57BF3">
            <w:pPr>
              <w:spacing w:after="0"/>
              <w:rPr>
                <w:rFonts w:asciiTheme="majorHAnsi" w:eastAsia="Times New Roman" w:hAnsiTheme="majorHAnsi" w:cs="Arial"/>
                <w:color w:val="000000"/>
                <w:sz w:val="18"/>
                <w:szCs w:val="18"/>
                <w:lang w:eastAsia="en-AU"/>
              </w:rPr>
            </w:pPr>
            <w:r w:rsidRPr="00CE6E93">
              <w:rPr>
                <w:rFonts w:asciiTheme="majorHAnsi" w:eastAsia="Times New Roman" w:hAnsiTheme="majorHAnsi" w:cs="Arial"/>
                <w:color w:val="000000"/>
                <w:sz w:val="18"/>
                <w:szCs w:val="18"/>
                <w:lang w:eastAsia="en-AU"/>
              </w:rPr>
              <w:t>Only listed for schizophrenia</w:t>
            </w:r>
          </w:p>
        </w:tc>
      </w:tr>
      <w:tr w:rsidR="002F4E2E" w:rsidRPr="00CE6E93" w:rsidTr="00474E87">
        <w:trPr>
          <w:trHeight w:val="300"/>
        </w:trPr>
        <w:tc>
          <w:tcPr>
            <w:tcW w:w="756" w:type="pct"/>
            <w:tcBorders>
              <w:top w:val="nil"/>
              <w:left w:val="single" w:sz="4" w:space="0" w:color="auto"/>
              <w:bottom w:val="single" w:sz="4" w:space="0" w:color="auto"/>
              <w:right w:val="single" w:sz="4" w:space="0" w:color="auto"/>
            </w:tcBorders>
            <w:shd w:val="clear" w:color="auto" w:fill="auto"/>
            <w:noWrap/>
            <w:vAlign w:val="center"/>
          </w:tcPr>
          <w:p w:rsidR="008516ED" w:rsidRPr="00CE6E93" w:rsidRDefault="004860F4" w:rsidP="00A57BF3">
            <w:pPr>
              <w:spacing w:after="0"/>
              <w:rPr>
                <w:rFonts w:asciiTheme="majorHAnsi" w:eastAsia="Times New Roman" w:hAnsiTheme="majorHAnsi" w:cs="Arial"/>
                <w:color w:val="000000"/>
                <w:sz w:val="18"/>
                <w:szCs w:val="18"/>
                <w:lang w:eastAsia="en-AU"/>
              </w:rPr>
            </w:pPr>
            <w:r>
              <w:rPr>
                <w:rFonts w:asciiTheme="majorHAnsi" w:eastAsia="Times New Roman" w:hAnsiTheme="majorHAnsi" w:cs="Arial"/>
                <w:color w:val="000000"/>
                <w:sz w:val="18"/>
                <w:szCs w:val="18"/>
                <w:lang w:eastAsia="en-AU"/>
              </w:rPr>
              <w:t>A</w:t>
            </w:r>
            <w:r w:rsidR="008516ED" w:rsidRPr="00CE6E93">
              <w:rPr>
                <w:rFonts w:asciiTheme="majorHAnsi" w:eastAsia="Times New Roman" w:hAnsiTheme="majorHAnsi" w:cs="Arial"/>
                <w:color w:val="000000"/>
                <w:sz w:val="18"/>
                <w:szCs w:val="18"/>
                <w:lang w:eastAsia="en-AU"/>
              </w:rPr>
              <w:t>ripiprazole</w:t>
            </w:r>
          </w:p>
        </w:tc>
        <w:tc>
          <w:tcPr>
            <w:tcW w:w="406" w:type="pct"/>
            <w:tcBorders>
              <w:top w:val="nil"/>
              <w:left w:val="nil"/>
              <w:bottom w:val="single" w:sz="4" w:space="0" w:color="auto"/>
              <w:right w:val="single" w:sz="4" w:space="0" w:color="auto"/>
            </w:tcBorders>
            <w:shd w:val="clear" w:color="auto"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502EEC" w:rsidP="003C5439">
            <w:pPr>
              <w:spacing w:after="0"/>
              <w:jc w:val="center"/>
              <w:rPr>
                <w:rFonts w:asciiTheme="majorHAnsi" w:eastAsia="Times New Roman" w:hAnsiTheme="majorHAnsi" w:cs="Calibri"/>
                <w:color w:val="000000"/>
                <w:sz w:val="18"/>
                <w:szCs w:val="18"/>
                <w:lang w:eastAsia="en-AU"/>
              </w:rPr>
            </w:pPr>
            <w:r w:rsidRPr="00CE6E93">
              <w:rPr>
                <w:rFonts w:asciiTheme="majorHAnsi" w:eastAsia="Times New Roman" w:hAnsiTheme="majorHAnsi" w:cs="Calibri"/>
                <w:color w:val="000000"/>
                <w:sz w:val="18"/>
                <w:szCs w:val="18"/>
                <w:lang w:val="en-US" w:eastAsia="en-AU"/>
              </w:rPr>
              <w:t>X</w:t>
            </w: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6" w:type="pct"/>
            <w:tcBorders>
              <w:top w:val="single" w:sz="4" w:space="0" w:color="auto"/>
              <w:left w:val="nil"/>
              <w:bottom w:val="single" w:sz="4" w:space="0" w:color="auto"/>
              <w:right w:val="single" w:sz="4" w:space="0" w:color="auto"/>
            </w:tcBorders>
            <w:vAlign w:val="center"/>
          </w:tcPr>
          <w:p w:rsidR="008516ED" w:rsidRPr="00CE6E93" w:rsidRDefault="008516ED" w:rsidP="003C5439">
            <w:pPr>
              <w:spacing w:after="0"/>
              <w:jc w:val="center"/>
              <w:rPr>
                <w:rFonts w:asciiTheme="majorHAnsi" w:eastAsia="Times New Roman" w:hAnsiTheme="majorHAnsi"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8516ED" w:rsidRPr="00CE6E93" w:rsidRDefault="008516ED" w:rsidP="00A57BF3">
            <w:pPr>
              <w:spacing w:after="0"/>
              <w:rPr>
                <w:rFonts w:asciiTheme="majorHAnsi" w:eastAsia="Times New Roman" w:hAnsiTheme="majorHAnsi" w:cs="Arial"/>
                <w:color w:val="000000"/>
                <w:sz w:val="18"/>
                <w:szCs w:val="18"/>
                <w:lang w:eastAsia="en-AU"/>
              </w:rPr>
            </w:pPr>
            <w:r w:rsidRPr="00CE6E93">
              <w:rPr>
                <w:rFonts w:asciiTheme="majorHAnsi" w:eastAsia="Times New Roman" w:hAnsiTheme="majorHAnsi" w:cs="Arial"/>
                <w:color w:val="000000"/>
                <w:sz w:val="18"/>
                <w:szCs w:val="18"/>
                <w:lang w:eastAsia="en-AU"/>
              </w:rPr>
              <w:t>Only listed for schizophrenia</w:t>
            </w:r>
          </w:p>
        </w:tc>
      </w:tr>
      <w:tr w:rsidR="002F4E2E" w:rsidRPr="00CE6E93" w:rsidTr="00474E87">
        <w:trPr>
          <w:trHeight w:val="547"/>
        </w:trPr>
        <w:tc>
          <w:tcPr>
            <w:tcW w:w="756" w:type="pct"/>
            <w:tcBorders>
              <w:top w:val="nil"/>
              <w:left w:val="single" w:sz="4" w:space="0" w:color="auto"/>
              <w:bottom w:val="single" w:sz="4" w:space="0" w:color="auto"/>
              <w:right w:val="single" w:sz="4" w:space="0" w:color="auto"/>
            </w:tcBorders>
            <w:shd w:val="clear" w:color="auto" w:fill="auto"/>
            <w:noWrap/>
            <w:vAlign w:val="center"/>
          </w:tcPr>
          <w:p w:rsidR="008516ED" w:rsidRPr="00CE6E93" w:rsidRDefault="004860F4" w:rsidP="00A57BF3">
            <w:pPr>
              <w:spacing w:after="0"/>
              <w:rPr>
                <w:rFonts w:asciiTheme="majorHAnsi" w:eastAsia="Times New Roman" w:hAnsiTheme="majorHAnsi" w:cs="Arial"/>
                <w:color w:val="000000"/>
                <w:sz w:val="18"/>
                <w:szCs w:val="18"/>
                <w:lang w:eastAsia="en-AU"/>
              </w:rPr>
            </w:pPr>
            <w:r>
              <w:rPr>
                <w:rFonts w:asciiTheme="majorHAnsi" w:eastAsia="Times New Roman" w:hAnsiTheme="majorHAnsi" w:cs="Arial"/>
                <w:color w:val="000000"/>
                <w:sz w:val="18"/>
                <w:szCs w:val="18"/>
                <w:lang w:eastAsia="en-AU"/>
              </w:rPr>
              <w:t>A</w:t>
            </w:r>
            <w:r w:rsidR="008516ED" w:rsidRPr="00CE6E93">
              <w:rPr>
                <w:rFonts w:asciiTheme="majorHAnsi" w:eastAsia="Times New Roman" w:hAnsiTheme="majorHAnsi" w:cs="Arial"/>
                <w:color w:val="000000"/>
                <w:sz w:val="18"/>
                <w:szCs w:val="18"/>
                <w:lang w:eastAsia="en-AU"/>
              </w:rPr>
              <w:t>senapine</w:t>
            </w:r>
          </w:p>
        </w:tc>
        <w:tc>
          <w:tcPr>
            <w:tcW w:w="406" w:type="pct"/>
            <w:tcBorders>
              <w:top w:val="nil"/>
              <w:left w:val="nil"/>
              <w:bottom w:val="single" w:sz="4" w:space="0" w:color="auto"/>
              <w:right w:val="single" w:sz="4" w:space="0" w:color="auto"/>
            </w:tcBorders>
            <w:shd w:val="clear" w:color="auto"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val="en-US" w:eastAsia="en-AU"/>
              </w:rPr>
            </w:pP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0F49C3" w:rsidP="003C5439">
            <w:pPr>
              <w:spacing w:after="0"/>
              <w:jc w:val="center"/>
              <w:rPr>
                <w:rFonts w:asciiTheme="majorHAnsi" w:eastAsia="Times New Roman" w:hAnsiTheme="majorHAnsi" w:cs="Calibri"/>
                <w:color w:val="000000"/>
                <w:sz w:val="18"/>
                <w:szCs w:val="18"/>
                <w:lang w:eastAsia="en-AU"/>
              </w:rPr>
            </w:pPr>
            <w:r>
              <w:rPr>
                <w:rFonts w:asciiTheme="majorHAnsi" w:eastAsia="Times New Roman" w:hAnsiTheme="majorHAnsi" w:cs="Calibri"/>
                <w:color w:val="000000"/>
                <w:sz w:val="18"/>
                <w:szCs w:val="18"/>
                <w:lang w:val="en-US" w:eastAsia="en-AU"/>
              </w:rPr>
              <w:t>X</w:t>
            </w: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3C5439" w:rsidP="003C5439">
            <w:pPr>
              <w:spacing w:after="0"/>
              <w:jc w:val="center"/>
              <w:rPr>
                <w:rFonts w:asciiTheme="majorHAnsi" w:eastAsia="Times New Roman" w:hAnsiTheme="majorHAnsi" w:cs="Calibri"/>
                <w:color w:val="000000"/>
                <w:sz w:val="18"/>
                <w:szCs w:val="18"/>
                <w:lang w:eastAsia="en-AU"/>
              </w:rPr>
            </w:pPr>
            <w:r>
              <w:rPr>
                <w:rFonts w:asciiTheme="majorHAnsi" w:eastAsia="Times New Roman" w:hAnsiTheme="majorHAnsi" w:cs="Calibri"/>
                <w:color w:val="000000"/>
                <w:sz w:val="18"/>
                <w:szCs w:val="18"/>
                <w:lang w:val="en-US" w:eastAsia="en-AU"/>
              </w:rPr>
              <w:t>X</w:t>
            </w: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502EEC" w:rsidP="003C5439">
            <w:pPr>
              <w:spacing w:after="0"/>
              <w:jc w:val="center"/>
              <w:rPr>
                <w:rFonts w:asciiTheme="majorHAnsi" w:eastAsia="Times New Roman" w:hAnsiTheme="majorHAnsi" w:cs="Calibri"/>
                <w:color w:val="000000"/>
                <w:sz w:val="18"/>
                <w:szCs w:val="18"/>
                <w:lang w:eastAsia="en-AU"/>
              </w:rPr>
            </w:pPr>
            <w:r w:rsidRPr="00CE6E93">
              <w:rPr>
                <w:rFonts w:asciiTheme="majorHAnsi" w:eastAsia="Times New Roman" w:hAnsiTheme="majorHAnsi" w:cs="Calibri"/>
                <w:color w:val="000000"/>
                <w:sz w:val="18"/>
                <w:szCs w:val="18"/>
                <w:lang w:val="en-US" w:eastAsia="en-AU"/>
              </w:rPr>
              <w:t>X</w:t>
            </w:r>
          </w:p>
        </w:tc>
        <w:tc>
          <w:tcPr>
            <w:tcW w:w="536" w:type="pct"/>
            <w:tcBorders>
              <w:top w:val="single" w:sz="4" w:space="0" w:color="auto"/>
              <w:left w:val="nil"/>
              <w:bottom w:val="single" w:sz="4" w:space="0" w:color="auto"/>
              <w:right w:val="single" w:sz="4" w:space="0" w:color="auto"/>
            </w:tcBorders>
            <w:vAlign w:val="center"/>
          </w:tcPr>
          <w:p w:rsidR="008516ED" w:rsidRPr="00CE6E93" w:rsidRDefault="008516ED" w:rsidP="003C5439">
            <w:pPr>
              <w:spacing w:after="0"/>
              <w:jc w:val="center"/>
              <w:rPr>
                <w:rFonts w:asciiTheme="majorHAnsi" w:eastAsia="Times New Roman" w:hAnsiTheme="majorHAnsi"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8516ED" w:rsidRPr="00CE6E93" w:rsidRDefault="008516ED" w:rsidP="00A57BF3">
            <w:pPr>
              <w:spacing w:after="0"/>
              <w:rPr>
                <w:rFonts w:asciiTheme="majorHAnsi" w:eastAsia="Times New Roman" w:hAnsiTheme="majorHAnsi" w:cs="Arial"/>
                <w:color w:val="000000"/>
                <w:sz w:val="18"/>
                <w:szCs w:val="18"/>
                <w:lang w:eastAsia="en-AU"/>
              </w:rPr>
            </w:pPr>
            <w:r w:rsidRPr="00CE6E93">
              <w:rPr>
                <w:rFonts w:asciiTheme="majorHAnsi" w:eastAsia="Times New Roman" w:hAnsiTheme="majorHAnsi" w:cs="Arial"/>
                <w:color w:val="000000"/>
                <w:sz w:val="18"/>
                <w:szCs w:val="18"/>
                <w:lang w:eastAsia="en-AU"/>
              </w:rPr>
              <w:t xml:space="preserve">Treatment of acute mania associated with bipolar I disorder is monotherapy for up to </w:t>
            </w:r>
            <w:r w:rsidR="00502EEC" w:rsidRPr="00CE6E93">
              <w:rPr>
                <w:rFonts w:asciiTheme="majorHAnsi" w:eastAsia="Times New Roman" w:hAnsiTheme="majorHAnsi" w:cs="Arial"/>
                <w:color w:val="000000"/>
                <w:sz w:val="18"/>
                <w:szCs w:val="18"/>
                <w:lang w:eastAsia="en-AU"/>
              </w:rPr>
              <w:t>6</w:t>
            </w:r>
            <w:r w:rsidRPr="00CE6E93">
              <w:rPr>
                <w:rFonts w:asciiTheme="majorHAnsi" w:eastAsia="Times New Roman" w:hAnsiTheme="majorHAnsi" w:cs="Arial"/>
                <w:color w:val="000000"/>
                <w:sz w:val="18"/>
                <w:szCs w:val="18"/>
                <w:lang w:eastAsia="en-AU"/>
              </w:rPr>
              <w:t xml:space="preserve"> months</w:t>
            </w:r>
          </w:p>
        </w:tc>
      </w:tr>
      <w:tr w:rsidR="002F4E2E" w:rsidRPr="00CE6E93" w:rsidTr="00474E87">
        <w:trPr>
          <w:trHeight w:val="525"/>
        </w:trPr>
        <w:tc>
          <w:tcPr>
            <w:tcW w:w="756" w:type="pct"/>
            <w:tcBorders>
              <w:top w:val="nil"/>
              <w:left w:val="single" w:sz="4" w:space="0" w:color="auto"/>
              <w:bottom w:val="single" w:sz="4" w:space="0" w:color="auto"/>
              <w:right w:val="single" w:sz="4" w:space="0" w:color="auto"/>
            </w:tcBorders>
            <w:shd w:val="clear" w:color="auto" w:fill="auto"/>
            <w:noWrap/>
            <w:vAlign w:val="center"/>
          </w:tcPr>
          <w:p w:rsidR="008516ED" w:rsidRPr="00CE6E93" w:rsidRDefault="004860F4" w:rsidP="00A57BF3">
            <w:pPr>
              <w:spacing w:after="0"/>
              <w:rPr>
                <w:rFonts w:asciiTheme="majorHAnsi" w:eastAsia="Times New Roman" w:hAnsiTheme="majorHAnsi" w:cs="Arial"/>
                <w:color w:val="000000"/>
                <w:sz w:val="18"/>
                <w:szCs w:val="18"/>
                <w:lang w:eastAsia="en-AU"/>
              </w:rPr>
            </w:pPr>
            <w:r>
              <w:rPr>
                <w:rFonts w:asciiTheme="majorHAnsi" w:eastAsia="Times New Roman" w:hAnsiTheme="majorHAnsi" w:cs="Arial"/>
                <w:color w:val="000000"/>
                <w:sz w:val="18"/>
                <w:szCs w:val="18"/>
                <w:lang w:eastAsia="en-AU"/>
              </w:rPr>
              <w:t>C</w:t>
            </w:r>
            <w:r w:rsidR="008516ED" w:rsidRPr="00CE6E93">
              <w:rPr>
                <w:rFonts w:asciiTheme="majorHAnsi" w:eastAsia="Times New Roman" w:hAnsiTheme="majorHAnsi" w:cs="Arial"/>
                <w:color w:val="000000"/>
                <w:sz w:val="18"/>
                <w:szCs w:val="18"/>
                <w:lang w:eastAsia="en-AU"/>
              </w:rPr>
              <w:t>lozapine</w:t>
            </w:r>
          </w:p>
        </w:tc>
        <w:tc>
          <w:tcPr>
            <w:tcW w:w="406" w:type="pct"/>
            <w:tcBorders>
              <w:top w:val="nil"/>
              <w:left w:val="nil"/>
              <w:bottom w:val="single" w:sz="4" w:space="0" w:color="auto"/>
              <w:right w:val="single" w:sz="4" w:space="0" w:color="auto"/>
            </w:tcBorders>
            <w:shd w:val="clear" w:color="auto"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502EEC" w:rsidP="003C5439">
            <w:pPr>
              <w:spacing w:after="0"/>
              <w:jc w:val="center"/>
              <w:rPr>
                <w:rFonts w:asciiTheme="majorHAnsi" w:eastAsia="Times New Roman" w:hAnsiTheme="majorHAnsi" w:cs="Calibri"/>
                <w:color w:val="000000"/>
                <w:sz w:val="18"/>
                <w:szCs w:val="18"/>
                <w:lang w:eastAsia="en-AU"/>
              </w:rPr>
            </w:pPr>
            <w:r w:rsidRPr="00CE6E93">
              <w:rPr>
                <w:rFonts w:asciiTheme="majorHAnsi" w:eastAsia="Times New Roman" w:hAnsiTheme="majorHAnsi" w:cs="Calibri"/>
                <w:color w:val="000000"/>
                <w:sz w:val="18"/>
                <w:szCs w:val="18"/>
                <w:lang w:val="en-US" w:eastAsia="en-AU"/>
              </w:rPr>
              <w:t>X</w:t>
            </w:r>
          </w:p>
        </w:tc>
        <w:tc>
          <w:tcPr>
            <w:tcW w:w="539" w:type="pct"/>
            <w:tcBorders>
              <w:top w:val="nil"/>
              <w:left w:val="nil"/>
              <w:bottom w:val="single" w:sz="4" w:space="0" w:color="auto"/>
              <w:right w:val="single" w:sz="4" w:space="0" w:color="auto"/>
            </w:tcBorders>
            <w:shd w:val="clear" w:color="auto"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9" w:type="pct"/>
            <w:tcBorders>
              <w:top w:val="nil"/>
              <w:left w:val="nil"/>
              <w:bottom w:val="single" w:sz="4" w:space="0" w:color="auto"/>
              <w:right w:val="single" w:sz="4" w:space="0" w:color="auto"/>
            </w:tcBorders>
            <w:shd w:val="clear" w:color="auto"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6" w:type="pct"/>
            <w:tcBorders>
              <w:top w:val="single" w:sz="4" w:space="0" w:color="auto"/>
              <w:left w:val="nil"/>
              <w:bottom w:val="single" w:sz="4" w:space="0" w:color="auto"/>
              <w:right w:val="single" w:sz="4" w:space="0" w:color="auto"/>
            </w:tcBorders>
            <w:vAlign w:val="center"/>
          </w:tcPr>
          <w:p w:rsidR="008516ED" w:rsidRPr="00CE6E93" w:rsidRDefault="008516ED" w:rsidP="003C5439">
            <w:pPr>
              <w:spacing w:after="0"/>
              <w:jc w:val="center"/>
              <w:rPr>
                <w:rFonts w:asciiTheme="majorHAnsi" w:eastAsia="Times New Roman" w:hAnsiTheme="majorHAnsi"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8516ED" w:rsidRPr="00CE6E93" w:rsidRDefault="008516ED" w:rsidP="00A57BF3">
            <w:pPr>
              <w:spacing w:after="0"/>
              <w:rPr>
                <w:rFonts w:asciiTheme="majorHAnsi" w:eastAsia="Times New Roman" w:hAnsiTheme="majorHAnsi" w:cs="Arial"/>
                <w:color w:val="000000"/>
                <w:sz w:val="18"/>
                <w:szCs w:val="18"/>
                <w:lang w:eastAsia="en-AU"/>
              </w:rPr>
            </w:pPr>
            <w:r w:rsidRPr="00CE6E93">
              <w:rPr>
                <w:rFonts w:asciiTheme="majorHAnsi" w:eastAsia="Times New Roman" w:hAnsiTheme="majorHAnsi" w:cs="Arial"/>
                <w:color w:val="000000"/>
                <w:sz w:val="18"/>
                <w:szCs w:val="18"/>
                <w:lang w:eastAsia="en-AU"/>
              </w:rPr>
              <w:t>Schizophrenia in patients who are non-responsive to, or intolerant of, other antipsychotics (s100)</w:t>
            </w:r>
          </w:p>
        </w:tc>
      </w:tr>
      <w:tr w:rsidR="002F4E2E" w:rsidRPr="00CE6E93" w:rsidTr="00474E87">
        <w:trPr>
          <w:trHeight w:val="300"/>
        </w:trPr>
        <w:tc>
          <w:tcPr>
            <w:tcW w:w="756" w:type="pct"/>
            <w:tcBorders>
              <w:top w:val="nil"/>
              <w:left w:val="single" w:sz="4" w:space="0" w:color="auto"/>
              <w:bottom w:val="single" w:sz="4" w:space="0" w:color="auto"/>
              <w:right w:val="single" w:sz="4" w:space="0" w:color="auto"/>
            </w:tcBorders>
            <w:shd w:val="clear" w:color="auto" w:fill="auto"/>
            <w:noWrap/>
            <w:vAlign w:val="center"/>
          </w:tcPr>
          <w:p w:rsidR="008516ED" w:rsidRPr="00CE6E93" w:rsidRDefault="004860F4" w:rsidP="00A57BF3">
            <w:pPr>
              <w:spacing w:after="0"/>
              <w:rPr>
                <w:rFonts w:asciiTheme="majorHAnsi" w:eastAsia="Times New Roman" w:hAnsiTheme="majorHAnsi" w:cs="Arial"/>
                <w:color w:val="000000"/>
                <w:sz w:val="18"/>
                <w:szCs w:val="18"/>
                <w:lang w:eastAsia="en-AU"/>
              </w:rPr>
            </w:pPr>
            <w:r>
              <w:rPr>
                <w:rFonts w:asciiTheme="majorHAnsi" w:eastAsia="Times New Roman" w:hAnsiTheme="majorHAnsi" w:cs="Arial"/>
                <w:color w:val="000000"/>
                <w:sz w:val="18"/>
                <w:szCs w:val="18"/>
                <w:lang w:eastAsia="en-AU"/>
              </w:rPr>
              <w:t>O</w:t>
            </w:r>
            <w:r w:rsidR="008516ED" w:rsidRPr="00CE6E93">
              <w:rPr>
                <w:rFonts w:asciiTheme="majorHAnsi" w:eastAsia="Times New Roman" w:hAnsiTheme="majorHAnsi" w:cs="Arial"/>
                <w:color w:val="000000"/>
                <w:sz w:val="18"/>
                <w:szCs w:val="18"/>
                <w:lang w:eastAsia="en-AU"/>
              </w:rPr>
              <w:t>lanzapine</w:t>
            </w:r>
          </w:p>
        </w:tc>
        <w:tc>
          <w:tcPr>
            <w:tcW w:w="406" w:type="pct"/>
            <w:tcBorders>
              <w:top w:val="nil"/>
              <w:left w:val="nil"/>
              <w:bottom w:val="single" w:sz="4" w:space="0" w:color="auto"/>
              <w:right w:val="single" w:sz="4" w:space="0" w:color="auto"/>
            </w:tcBorders>
            <w:shd w:val="clear" w:color="auto"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502EEC" w:rsidP="003C5439">
            <w:pPr>
              <w:spacing w:after="0"/>
              <w:jc w:val="center"/>
              <w:rPr>
                <w:rFonts w:asciiTheme="majorHAnsi" w:eastAsia="Times New Roman" w:hAnsiTheme="majorHAnsi" w:cs="Calibri"/>
                <w:color w:val="000000"/>
                <w:sz w:val="18"/>
                <w:szCs w:val="18"/>
                <w:lang w:eastAsia="en-AU"/>
              </w:rPr>
            </w:pPr>
            <w:r w:rsidRPr="00CE6E93">
              <w:rPr>
                <w:rFonts w:asciiTheme="majorHAnsi" w:eastAsia="Times New Roman" w:hAnsiTheme="majorHAnsi" w:cs="Calibri"/>
                <w:color w:val="000000"/>
                <w:sz w:val="18"/>
                <w:szCs w:val="18"/>
                <w:lang w:val="en-US" w:eastAsia="en-AU"/>
              </w:rPr>
              <w:t>X</w:t>
            </w: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3C5439" w:rsidP="003C5439">
            <w:pPr>
              <w:spacing w:after="0"/>
              <w:jc w:val="center"/>
              <w:rPr>
                <w:rFonts w:asciiTheme="majorHAnsi" w:eastAsia="Times New Roman" w:hAnsiTheme="majorHAnsi" w:cs="Calibri"/>
                <w:color w:val="000000"/>
                <w:sz w:val="18"/>
                <w:szCs w:val="18"/>
                <w:lang w:eastAsia="en-AU"/>
              </w:rPr>
            </w:pPr>
            <w:r>
              <w:rPr>
                <w:rFonts w:asciiTheme="majorHAnsi" w:eastAsia="Times New Roman" w:hAnsiTheme="majorHAnsi" w:cs="Calibri"/>
                <w:color w:val="000000"/>
                <w:sz w:val="18"/>
                <w:szCs w:val="18"/>
                <w:lang w:val="en-US" w:eastAsia="en-AU"/>
              </w:rPr>
              <w:t>X</w:t>
            </w: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6" w:type="pct"/>
            <w:tcBorders>
              <w:top w:val="single" w:sz="4" w:space="0" w:color="auto"/>
              <w:left w:val="nil"/>
              <w:bottom w:val="single" w:sz="4" w:space="0" w:color="auto"/>
              <w:right w:val="single" w:sz="4" w:space="0" w:color="auto"/>
            </w:tcBorders>
            <w:vAlign w:val="center"/>
          </w:tcPr>
          <w:p w:rsidR="008516ED" w:rsidRPr="00CE6E93" w:rsidRDefault="008516ED" w:rsidP="003C5439">
            <w:pPr>
              <w:spacing w:after="0"/>
              <w:jc w:val="center"/>
              <w:rPr>
                <w:rFonts w:asciiTheme="majorHAnsi" w:eastAsia="Times New Roman" w:hAnsiTheme="majorHAnsi"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8516ED" w:rsidRPr="00CE6E93" w:rsidRDefault="008516ED" w:rsidP="00A57BF3">
            <w:pPr>
              <w:spacing w:after="0"/>
              <w:rPr>
                <w:rFonts w:asciiTheme="majorHAnsi" w:eastAsia="Times New Roman" w:hAnsiTheme="majorHAnsi" w:cs="Arial"/>
                <w:color w:val="000000"/>
                <w:sz w:val="18"/>
                <w:szCs w:val="18"/>
                <w:lang w:eastAsia="en-AU"/>
              </w:rPr>
            </w:pPr>
            <w:r w:rsidRPr="00CE6E93">
              <w:rPr>
                <w:rFonts w:asciiTheme="majorHAnsi" w:eastAsia="Times New Roman" w:hAnsiTheme="majorHAnsi" w:cs="Arial"/>
                <w:color w:val="000000"/>
                <w:sz w:val="18"/>
                <w:szCs w:val="18"/>
                <w:lang w:eastAsia="en-AU"/>
              </w:rPr>
              <w:t xml:space="preserve">Injections </w:t>
            </w:r>
            <w:r w:rsidR="007806EC">
              <w:rPr>
                <w:rFonts w:asciiTheme="majorHAnsi" w:eastAsia="Times New Roman" w:hAnsiTheme="majorHAnsi" w:cs="Arial"/>
                <w:color w:val="000000"/>
                <w:sz w:val="18"/>
                <w:szCs w:val="18"/>
                <w:lang w:eastAsia="en-AU"/>
              </w:rPr>
              <w:t xml:space="preserve">are </w:t>
            </w:r>
            <w:r w:rsidRPr="00CE6E93">
              <w:rPr>
                <w:rFonts w:asciiTheme="majorHAnsi" w:eastAsia="Times New Roman" w:hAnsiTheme="majorHAnsi" w:cs="Arial"/>
                <w:color w:val="000000"/>
                <w:sz w:val="18"/>
                <w:szCs w:val="18"/>
                <w:lang w:eastAsia="en-AU"/>
              </w:rPr>
              <w:t>only listed for schizophrenia</w:t>
            </w:r>
          </w:p>
        </w:tc>
      </w:tr>
      <w:tr w:rsidR="002F4E2E" w:rsidRPr="00CE6E93" w:rsidTr="00474E87">
        <w:trPr>
          <w:trHeight w:val="300"/>
        </w:trPr>
        <w:tc>
          <w:tcPr>
            <w:tcW w:w="756" w:type="pct"/>
            <w:tcBorders>
              <w:top w:val="nil"/>
              <w:left w:val="single" w:sz="4" w:space="0" w:color="auto"/>
              <w:bottom w:val="single" w:sz="4" w:space="0" w:color="auto"/>
              <w:right w:val="single" w:sz="4" w:space="0" w:color="auto"/>
            </w:tcBorders>
            <w:shd w:val="clear" w:color="auto" w:fill="auto"/>
            <w:noWrap/>
            <w:vAlign w:val="center"/>
          </w:tcPr>
          <w:p w:rsidR="008516ED" w:rsidRPr="00CE6E93" w:rsidRDefault="004860F4" w:rsidP="004860F4">
            <w:pPr>
              <w:spacing w:after="0"/>
              <w:rPr>
                <w:rFonts w:asciiTheme="majorHAnsi" w:eastAsia="Times New Roman" w:hAnsiTheme="majorHAnsi" w:cs="Arial"/>
                <w:color w:val="000000"/>
                <w:sz w:val="18"/>
                <w:szCs w:val="18"/>
                <w:lang w:eastAsia="en-AU"/>
              </w:rPr>
            </w:pPr>
            <w:r>
              <w:rPr>
                <w:rFonts w:asciiTheme="majorHAnsi" w:eastAsia="Times New Roman" w:hAnsiTheme="majorHAnsi" w:cs="Arial"/>
                <w:color w:val="000000"/>
                <w:sz w:val="18"/>
                <w:szCs w:val="18"/>
                <w:lang w:eastAsia="en-AU"/>
              </w:rPr>
              <w:t>P</w:t>
            </w:r>
            <w:r w:rsidR="008516ED" w:rsidRPr="00CE6E93">
              <w:rPr>
                <w:rFonts w:asciiTheme="majorHAnsi" w:eastAsia="Times New Roman" w:hAnsiTheme="majorHAnsi" w:cs="Arial"/>
                <w:color w:val="000000"/>
                <w:sz w:val="18"/>
                <w:szCs w:val="18"/>
                <w:lang w:eastAsia="en-AU"/>
              </w:rPr>
              <w:t>aliperidone</w:t>
            </w:r>
          </w:p>
        </w:tc>
        <w:tc>
          <w:tcPr>
            <w:tcW w:w="406" w:type="pct"/>
            <w:tcBorders>
              <w:top w:val="nil"/>
              <w:left w:val="nil"/>
              <w:bottom w:val="single" w:sz="4" w:space="0" w:color="auto"/>
              <w:right w:val="single" w:sz="4" w:space="0" w:color="auto"/>
            </w:tcBorders>
            <w:shd w:val="clear" w:color="auto"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502EEC" w:rsidP="003C5439">
            <w:pPr>
              <w:spacing w:after="0"/>
              <w:jc w:val="center"/>
              <w:rPr>
                <w:rFonts w:asciiTheme="majorHAnsi" w:eastAsia="Times New Roman" w:hAnsiTheme="majorHAnsi" w:cs="Calibri"/>
                <w:color w:val="000000"/>
                <w:sz w:val="18"/>
                <w:szCs w:val="18"/>
                <w:lang w:eastAsia="en-AU"/>
              </w:rPr>
            </w:pPr>
            <w:r w:rsidRPr="00CE6E93">
              <w:rPr>
                <w:rFonts w:asciiTheme="majorHAnsi" w:eastAsia="Times New Roman" w:hAnsiTheme="majorHAnsi" w:cs="Calibri"/>
                <w:color w:val="000000"/>
                <w:sz w:val="18"/>
                <w:szCs w:val="18"/>
                <w:lang w:val="en-US" w:eastAsia="en-AU"/>
              </w:rPr>
              <w:t>X</w:t>
            </w:r>
          </w:p>
        </w:tc>
        <w:tc>
          <w:tcPr>
            <w:tcW w:w="539" w:type="pct"/>
            <w:tcBorders>
              <w:top w:val="nil"/>
              <w:left w:val="nil"/>
              <w:bottom w:val="single" w:sz="4" w:space="0" w:color="auto"/>
              <w:right w:val="single" w:sz="4" w:space="0" w:color="auto"/>
            </w:tcBorders>
            <w:shd w:val="clear" w:color="auto"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9" w:type="pct"/>
            <w:tcBorders>
              <w:top w:val="nil"/>
              <w:left w:val="nil"/>
              <w:bottom w:val="single" w:sz="4" w:space="0" w:color="auto"/>
              <w:right w:val="single" w:sz="4" w:space="0" w:color="auto"/>
            </w:tcBorders>
            <w:shd w:val="clear" w:color="auto"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6" w:type="pct"/>
            <w:tcBorders>
              <w:top w:val="single" w:sz="4" w:space="0" w:color="auto"/>
              <w:left w:val="nil"/>
              <w:bottom w:val="single" w:sz="4" w:space="0" w:color="auto"/>
              <w:right w:val="single" w:sz="4" w:space="0" w:color="auto"/>
            </w:tcBorders>
            <w:vAlign w:val="center"/>
          </w:tcPr>
          <w:p w:rsidR="008516ED" w:rsidRPr="00CE6E93" w:rsidRDefault="008516ED" w:rsidP="003C5439">
            <w:pPr>
              <w:spacing w:after="0"/>
              <w:jc w:val="center"/>
              <w:rPr>
                <w:rFonts w:asciiTheme="majorHAnsi" w:eastAsia="Times New Roman" w:hAnsiTheme="majorHAnsi"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8516ED" w:rsidRPr="00CE6E93" w:rsidRDefault="008516ED" w:rsidP="00A57BF3">
            <w:pPr>
              <w:spacing w:after="0"/>
              <w:rPr>
                <w:rFonts w:asciiTheme="majorHAnsi" w:eastAsia="Times New Roman" w:hAnsiTheme="majorHAnsi" w:cs="Arial"/>
                <w:color w:val="000000"/>
                <w:sz w:val="18"/>
                <w:szCs w:val="18"/>
                <w:lang w:eastAsia="en-AU"/>
              </w:rPr>
            </w:pPr>
            <w:r w:rsidRPr="00CE6E93">
              <w:rPr>
                <w:rFonts w:asciiTheme="majorHAnsi" w:eastAsia="Times New Roman" w:hAnsiTheme="majorHAnsi" w:cs="Arial"/>
                <w:color w:val="000000"/>
                <w:sz w:val="18"/>
                <w:szCs w:val="18"/>
                <w:lang w:eastAsia="en-AU"/>
              </w:rPr>
              <w:t>Only listed for schizophrenia</w:t>
            </w:r>
          </w:p>
        </w:tc>
      </w:tr>
      <w:tr w:rsidR="002F4E2E" w:rsidRPr="00CE6E93" w:rsidTr="007572F0">
        <w:trPr>
          <w:trHeight w:val="525"/>
        </w:trPr>
        <w:tc>
          <w:tcPr>
            <w:tcW w:w="756" w:type="pct"/>
            <w:tcBorders>
              <w:top w:val="nil"/>
              <w:left w:val="single" w:sz="4" w:space="0" w:color="auto"/>
              <w:bottom w:val="single" w:sz="4" w:space="0" w:color="auto"/>
              <w:right w:val="single" w:sz="4" w:space="0" w:color="auto"/>
            </w:tcBorders>
            <w:shd w:val="clear" w:color="auto" w:fill="auto"/>
            <w:noWrap/>
            <w:vAlign w:val="center"/>
          </w:tcPr>
          <w:p w:rsidR="008516ED" w:rsidRPr="00CE6E93" w:rsidRDefault="004860F4" w:rsidP="004860F4">
            <w:pPr>
              <w:spacing w:after="0"/>
              <w:rPr>
                <w:rFonts w:asciiTheme="majorHAnsi" w:eastAsia="Times New Roman" w:hAnsiTheme="majorHAnsi" w:cs="Arial"/>
                <w:color w:val="000000"/>
                <w:sz w:val="18"/>
                <w:szCs w:val="18"/>
                <w:lang w:eastAsia="en-AU"/>
              </w:rPr>
            </w:pPr>
            <w:r>
              <w:rPr>
                <w:rFonts w:asciiTheme="majorHAnsi" w:eastAsia="Times New Roman" w:hAnsiTheme="majorHAnsi" w:cs="Arial"/>
                <w:color w:val="000000"/>
                <w:sz w:val="18"/>
                <w:szCs w:val="18"/>
                <w:lang w:eastAsia="en-AU"/>
              </w:rPr>
              <w:t>Q</w:t>
            </w:r>
            <w:r w:rsidR="008516ED" w:rsidRPr="00CE6E93">
              <w:rPr>
                <w:rFonts w:asciiTheme="majorHAnsi" w:eastAsia="Times New Roman" w:hAnsiTheme="majorHAnsi" w:cs="Arial"/>
                <w:color w:val="000000"/>
                <w:sz w:val="18"/>
                <w:szCs w:val="18"/>
                <w:lang w:eastAsia="en-AU"/>
              </w:rPr>
              <w:t>uetiapine</w:t>
            </w:r>
          </w:p>
        </w:tc>
        <w:tc>
          <w:tcPr>
            <w:tcW w:w="406" w:type="pct"/>
            <w:tcBorders>
              <w:top w:val="nil"/>
              <w:left w:val="nil"/>
              <w:bottom w:val="single" w:sz="4" w:space="0" w:color="auto"/>
              <w:right w:val="single" w:sz="4" w:space="0" w:color="auto"/>
            </w:tcBorders>
            <w:shd w:val="clear" w:color="auto"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502EEC" w:rsidP="003C5439">
            <w:pPr>
              <w:spacing w:after="0"/>
              <w:jc w:val="center"/>
              <w:rPr>
                <w:rFonts w:asciiTheme="majorHAnsi" w:eastAsia="Times New Roman" w:hAnsiTheme="majorHAnsi" w:cs="Calibri"/>
                <w:color w:val="000000"/>
                <w:sz w:val="18"/>
                <w:szCs w:val="18"/>
                <w:lang w:eastAsia="en-AU"/>
              </w:rPr>
            </w:pPr>
            <w:r w:rsidRPr="00CE6E93">
              <w:rPr>
                <w:rFonts w:asciiTheme="majorHAnsi" w:eastAsia="Times New Roman" w:hAnsiTheme="majorHAnsi" w:cs="Calibri"/>
                <w:color w:val="000000"/>
                <w:sz w:val="18"/>
                <w:szCs w:val="18"/>
                <w:lang w:val="en-US" w:eastAsia="en-AU"/>
              </w:rPr>
              <w:t>X</w:t>
            </w: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502EEC" w:rsidP="003C5439">
            <w:pPr>
              <w:spacing w:after="0"/>
              <w:jc w:val="center"/>
              <w:rPr>
                <w:rFonts w:asciiTheme="majorHAnsi" w:eastAsia="Times New Roman" w:hAnsiTheme="majorHAnsi" w:cs="Calibri"/>
                <w:color w:val="000000"/>
                <w:sz w:val="18"/>
                <w:szCs w:val="18"/>
                <w:lang w:eastAsia="en-AU"/>
              </w:rPr>
            </w:pPr>
            <w:r w:rsidRPr="00CE6E93">
              <w:rPr>
                <w:rFonts w:asciiTheme="majorHAnsi" w:eastAsia="Times New Roman" w:hAnsiTheme="majorHAnsi" w:cs="Calibri"/>
                <w:color w:val="000000"/>
                <w:sz w:val="18"/>
                <w:szCs w:val="18"/>
                <w:lang w:val="en-US" w:eastAsia="en-AU"/>
              </w:rPr>
              <w:t>X</w:t>
            </w: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3C5439" w:rsidP="003C5439">
            <w:pPr>
              <w:spacing w:after="0"/>
              <w:jc w:val="center"/>
              <w:rPr>
                <w:rFonts w:asciiTheme="majorHAnsi" w:eastAsia="Times New Roman" w:hAnsiTheme="majorHAnsi" w:cs="Calibri"/>
                <w:color w:val="000000"/>
                <w:sz w:val="18"/>
                <w:szCs w:val="18"/>
                <w:lang w:eastAsia="en-AU"/>
              </w:rPr>
            </w:pPr>
            <w:r>
              <w:rPr>
                <w:rFonts w:asciiTheme="majorHAnsi" w:eastAsia="Times New Roman" w:hAnsiTheme="majorHAnsi" w:cs="Calibri"/>
                <w:color w:val="000000"/>
                <w:sz w:val="18"/>
                <w:szCs w:val="18"/>
                <w:lang w:val="en-US" w:eastAsia="en-AU"/>
              </w:rPr>
              <w:t>X</w:t>
            </w:r>
          </w:p>
        </w:tc>
        <w:tc>
          <w:tcPr>
            <w:tcW w:w="536" w:type="pct"/>
            <w:tcBorders>
              <w:top w:val="single" w:sz="4" w:space="0" w:color="auto"/>
              <w:left w:val="nil"/>
              <w:bottom w:val="single" w:sz="4" w:space="0" w:color="auto"/>
              <w:right w:val="single" w:sz="4" w:space="0" w:color="auto"/>
            </w:tcBorders>
            <w:vAlign w:val="center"/>
          </w:tcPr>
          <w:p w:rsidR="008516ED" w:rsidRPr="00CE6E93" w:rsidRDefault="008516ED" w:rsidP="003C5439">
            <w:pPr>
              <w:spacing w:after="0"/>
              <w:jc w:val="center"/>
              <w:rPr>
                <w:rFonts w:asciiTheme="majorHAnsi" w:eastAsia="Times New Roman" w:hAnsiTheme="majorHAnsi"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8516ED" w:rsidRPr="00CE6E93" w:rsidRDefault="008516ED" w:rsidP="00A57BF3">
            <w:pPr>
              <w:spacing w:after="0"/>
              <w:rPr>
                <w:rFonts w:asciiTheme="majorHAnsi" w:eastAsia="Times New Roman" w:hAnsiTheme="majorHAnsi" w:cs="Arial"/>
                <w:color w:val="000000"/>
                <w:sz w:val="18"/>
                <w:szCs w:val="18"/>
                <w:lang w:eastAsia="en-AU"/>
              </w:rPr>
            </w:pPr>
            <w:r w:rsidRPr="00CE6E93">
              <w:rPr>
                <w:rFonts w:asciiTheme="majorHAnsi" w:eastAsia="Times New Roman" w:hAnsiTheme="majorHAnsi" w:cs="Arial"/>
                <w:color w:val="000000"/>
                <w:sz w:val="18"/>
                <w:szCs w:val="18"/>
                <w:lang w:eastAsia="en-AU"/>
              </w:rPr>
              <w:t xml:space="preserve">Treatment of acute mania associated with bipolar I disorder is monotherapy for up to </w:t>
            </w:r>
            <w:r w:rsidR="00502EEC" w:rsidRPr="00CE6E93">
              <w:rPr>
                <w:rFonts w:asciiTheme="majorHAnsi" w:eastAsia="Times New Roman" w:hAnsiTheme="majorHAnsi" w:cs="Arial"/>
                <w:color w:val="000000"/>
                <w:sz w:val="18"/>
                <w:szCs w:val="18"/>
                <w:lang w:eastAsia="en-AU"/>
              </w:rPr>
              <w:t>6</w:t>
            </w:r>
            <w:r w:rsidRPr="00CE6E93">
              <w:rPr>
                <w:rFonts w:asciiTheme="majorHAnsi" w:eastAsia="Times New Roman" w:hAnsiTheme="majorHAnsi" w:cs="Arial"/>
                <w:color w:val="000000"/>
                <w:sz w:val="18"/>
                <w:szCs w:val="18"/>
                <w:lang w:eastAsia="en-AU"/>
              </w:rPr>
              <w:t xml:space="preserve"> months</w:t>
            </w:r>
          </w:p>
        </w:tc>
      </w:tr>
      <w:tr w:rsidR="002F4E2E" w:rsidRPr="00CE6E93" w:rsidTr="007572F0">
        <w:trPr>
          <w:trHeight w:val="525"/>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516ED" w:rsidRPr="00CE6E93" w:rsidRDefault="004860F4" w:rsidP="004860F4">
            <w:pPr>
              <w:spacing w:after="0"/>
              <w:rPr>
                <w:rFonts w:asciiTheme="majorHAnsi" w:eastAsia="Times New Roman" w:hAnsiTheme="majorHAnsi" w:cs="Arial"/>
                <w:color w:val="000000"/>
                <w:sz w:val="18"/>
                <w:szCs w:val="18"/>
                <w:lang w:eastAsia="en-AU"/>
              </w:rPr>
            </w:pPr>
            <w:r>
              <w:rPr>
                <w:rFonts w:asciiTheme="majorHAnsi" w:eastAsia="Times New Roman" w:hAnsiTheme="majorHAnsi" w:cs="Arial"/>
                <w:color w:val="000000"/>
                <w:sz w:val="18"/>
                <w:szCs w:val="18"/>
                <w:lang w:eastAsia="en-AU"/>
              </w:rPr>
              <w:lastRenderedPageBreak/>
              <w:t>R</w:t>
            </w:r>
            <w:r w:rsidR="008516ED" w:rsidRPr="00CE6E93">
              <w:rPr>
                <w:rFonts w:asciiTheme="majorHAnsi" w:eastAsia="Times New Roman" w:hAnsiTheme="majorHAnsi" w:cs="Arial"/>
                <w:color w:val="000000"/>
                <w:sz w:val="18"/>
                <w:szCs w:val="18"/>
                <w:lang w:eastAsia="en-AU"/>
              </w:rPr>
              <w:t>isperidone</w:t>
            </w:r>
          </w:p>
        </w:tc>
        <w:tc>
          <w:tcPr>
            <w:tcW w:w="406" w:type="pct"/>
            <w:tcBorders>
              <w:top w:val="single" w:sz="4" w:space="0" w:color="auto"/>
              <w:left w:val="nil"/>
              <w:bottom w:val="single" w:sz="4" w:space="0" w:color="auto"/>
              <w:right w:val="single" w:sz="4" w:space="0" w:color="auto"/>
            </w:tcBorders>
            <w:shd w:val="clear" w:color="auto"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406" w:type="pct"/>
            <w:tcBorders>
              <w:top w:val="single" w:sz="4" w:space="0" w:color="auto"/>
              <w:left w:val="nil"/>
              <w:bottom w:val="single" w:sz="4" w:space="0" w:color="auto"/>
              <w:right w:val="single" w:sz="4" w:space="0" w:color="auto"/>
            </w:tcBorders>
            <w:shd w:val="pct20" w:color="808080" w:themeColor="background1" w:themeShade="80" w:fill="FFFFFF" w:themeFill="background1"/>
            <w:noWrap/>
            <w:vAlign w:val="center"/>
          </w:tcPr>
          <w:p w:rsidR="008516ED" w:rsidRPr="00CE6E93" w:rsidRDefault="00502EEC" w:rsidP="003C5439">
            <w:pPr>
              <w:spacing w:after="0"/>
              <w:jc w:val="center"/>
              <w:rPr>
                <w:rFonts w:asciiTheme="majorHAnsi" w:eastAsia="Times New Roman" w:hAnsiTheme="majorHAnsi" w:cs="Calibri"/>
                <w:color w:val="000000"/>
                <w:sz w:val="18"/>
                <w:szCs w:val="18"/>
                <w:lang w:eastAsia="en-AU"/>
              </w:rPr>
            </w:pPr>
            <w:r w:rsidRPr="00CE6E93">
              <w:rPr>
                <w:rFonts w:asciiTheme="majorHAnsi" w:eastAsia="Times New Roman" w:hAnsiTheme="majorHAnsi" w:cs="Calibri"/>
                <w:color w:val="000000"/>
                <w:sz w:val="18"/>
                <w:szCs w:val="18"/>
                <w:lang w:val="en-US" w:eastAsia="en-AU"/>
              </w:rPr>
              <w:t>X</w:t>
            </w:r>
          </w:p>
        </w:tc>
        <w:tc>
          <w:tcPr>
            <w:tcW w:w="539" w:type="pct"/>
            <w:tcBorders>
              <w:top w:val="single" w:sz="4" w:space="0" w:color="auto"/>
              <w:left w:val="nil"/>
              <w:bottom w:val="single" w:sz="4" w:space="0" w:color="auto"/>
              <w:right w:val="single" w:sz="4" w:space="0" w:color="auto"/>
            </w:tcBorders>
            <w:shd w:val="clear" w:color="auto"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9" w:type="pct"/>
            <w:tcBorders>
              <w:top w:val="single" w:sz="4" w:space="0" w:color="auto"/>
              <w:left w:val="nil"/>
              <w:bottom w:val="single" w:sz="4" w:space="0" w:color="auto"/>
              <w:right w:val="single" w:sz="4" w:space="0" w:color="auto"/>
            </w:tcBorders>
            <w:shd w:val="pct20" w:color="808080" w:themeColor="background1" w:themeShade="80" w:fill="FFFFFF" w:themeFill="background1"/>
            <w:noWrap/>
            <w:vAlign w:val="center"/>
          </w:tcPr>
          <w:p w:rsidR="008516ED" w:rsidRPr="00CE6E93" w:rsidRDefault="00502EEC" w:rsidP="003C5439">
            <w:pPr>
              <w:spacing w:after="0"/>
              <w:jc w:val="center"/>
              <w:rPr>
                <w:rFonts w:asciiTheme="majorHAnsi" w:eastAsia="Times New Roman" w:hAnsiTheme="majorHAnsi" w:cs="Calibri"/>
                <w:color w:val="000000"/>
                <w:sz w:val="18"/>
                <w:szCs w:val="18"/>
                <w:lang w:eastAsia="en-AU"/>
              </w:rPr>
            </w:pPr>
            <w:r w:rsidRPr="00CE6E93">
              <w:rPr>
                <w:rFonts w:asciiTheme="majorHAnsi" w:eastAsia="Times New Roman" w:hAnsiTheme="majorHAnsi" w:cs="Calibri"/>
                <w:color w:val="000000"/>
                <w:sz w:val="18"/>
                <w:szCs w:val="18"/>
                <w:lang w:val="en-US" w:eastAsia="en-AU"/>
              </w:rPr>
              <w:t>X</w:t>
            </w:r>
          </w:p>
        </w:tc>
        <w:tc>
          <w:tcPr>
            <w:tcW w:w="536" w:type="pct"/>
            <w:tcBorders>
              <w:top w:val="single" w:sz="4" w:space="0" w:color="auto"/>
              <w:left w:val="nil"/>
              <w:bottom w:val="single" w:sz="4" w:space="0" w:color="auto"/>
              <w:right w:val="single" w:sz="4" w:space="0" w:color="auto"/>
            </w:tcBorders>
            <w:shd w:val="pct20" w:color="808080" w:themeColor="background1" w:themeShade="80" w:fill="FFFFFF" w:themeFill="background1"/>
            <w:vAlign w:val="center"/>
          </w:tcPr>
          <w:p w:rsidR="008516ED" w:rsidRPr="00CE6E93" w:rsidRDefault="00502EEC" w:rsidP="003C5439">
            <w:pPr>
              <w:spacing w:after="0"/>
              <w:jc w:val="center"/>
              <w:rPr>
                <w:rFonts w:asciiTheme="majorHAnsi" w:eastAsia="Times New Roman" w:hAnsiTheme="majorHAnsi" w:cs="Calibri"/>
                <w:color w:val="000000"/>
                <w:sz w:val="18"/>
                <w:szCs w:val="18"/>
                <w:lang w:eastAsia="en-AU"/>
              </w:rPr>
            </w:pPr>
            <w:r w:rsidRPr="00CE6E93">
              <w:rPr>
                <w:rFonts w:asciiTheme="majorHAnsi" w:eastAsia="Times New Roman" w:hAnsiTheme="majorHAnsi" w:cs="Calibri"/>
                <w:color w:val="000000"/>
                <w:sz w:val="18"/>
                <w:szCs w:val="18"/>
                <w:lang w:val="en-US" w:eastAsia="en-AU"/>
              </w:rPr>
              <w:t>X</w:t>
            </w:r>
          </w:p>
        </w:tc>
        <w:tc>
          <w:tcPr>
            <w:tcW w:w="1818" w:type="pct"/>
            <w:tcBorders>
              <w:top w:val="single" w:sz="4" w:space="0" w:color="auto"/>
              <w:left w:val="single" w:sz="4" w:space="0" w:color="auto"/>
              <w:bottom w:val="single" w:sz="4" w:space="0" w:color="auto"/>
              <w:right w:val="single" w:sz="4" w:space="0" w:color="auto"/>
            </w:tcBorders>
            <w:shd w:val="clear" w:color="auto" w:fill="auto"/>
            <w:vAlign w:val="bottom"/>
          </w:tcPr>
          <w:p w:rsidR="008516ED" w:rsidRPr="00CE6E93" w:rsidRDefault="008516ED" w:rsidP="00A57BF3">
            <w:pPr>
              <w:spacing w:after="0"/>
              <w:rPr>
                <w:rFonts w:asciiTheme="majorHAnsi" w:eastAsia="Times New Roman" w:hAnsiTheme="majorHAnsi" w:cs="Arial"/>
                <w:color w:val="000000"/>
                <w:sz w:val="18"/>
                <w:szCs w:val="18"/>
                <w:lang w:eastAsia="en-AU"/>
              </w:rPr>
            </w:pPr>
            <w:r w:rsidRPr="00CE6E93">
              <w:rPr>
                <w:rFonts w:asciiTheme="majorHAnsi" w:eastAsia="Times New Roman" w:hAnsiTheme="majorHAnsi" w:cs="Arial"/>
                <w:color w:val="000000"/>
                <w:sz w:val="18"/>
                <w:szCs w:val="18"/>
                <w:lang w:eastAsia="en-AU"/>
              </w:rPr>
              <w:t xml:space="preserve">Treatment of acute mania associated with bipolar I disorder is adjunctive therapy to mood stabilisers for up to </w:t>
            </w:r>
            <w:r w:rsidR="00502EEC" w:rsidRPr="00CE6E93">
              <w:rPr>
                <w:rFonts w:asciiTheme="majorHAnsi" w:eastAsia="Times New Roman" w:hAnsiTheme="majorHAnsi" w:cs="Arial"/>
                <w:color w:val="000000"/>
                <w:sz w:val="18"/>
                <w:szCs w:val="18"/>
                <w:lang w:eastAsia="en-AU"/>
              </w:rPr>
              <w:t>6</w:t>
            </w:r>
            <w:r w:rsidRPr="00CE6E93">
              <w:rPr>
                <w:rFonts w:asciiTheme="majorHAnsi" w:eastAsia="Times New Roman" w:hAnsiTheme="majorHAnsi" w:cs="Arial"/>
                <w:color w:val="000000"/>
                <w:sz w:val="18"/>
                <w:szCs w:val="18"/>
                <w:lang w:eastAsia="en-AU"/>
              </w:rPr>
              <w:t xml:space="preserve"> months</w:t>
            </w:r>
          </w:p>
        </w:tc>
      </w:tr>
      <w:tr w:rsidR="002F4E2E" w:rsidRPr="00CE6E93" w:rsidTr="00474E87">
        <w:trPr>
          <w:trHeight w:val="525"/>
        </w:trPr>
        <w:tc>
          <w:tcPr>
            <w:tcW w:w="756" w:type="pct"/>
            <w:tcBorders>
              <w:top w:val="nil"/>
              <w:left w:val="single" w:sz="4" w:space="0" w:color="auto"/>
              <w:bottom w:val="single" w:sz="4" w:space="0" w:color="auto"/>
              <w:right w:val="single" w:sz="4" w:space="0" w:color="auto"/>
            </w:tcBorders>
            <w:shd w:val="clear" w:color="auto" w:fill="auto"/>
            <w:noWrap/>
            <w:vAlign w:val="center"/>
          </w:tcPr>
          <w:p w:rsidR="008516ED" w:rsidRPr="00CE6E93" w:rsidRDefault="004860F4" w:rsidP="00A57BF3">
            <w:pPr>
              <w:spacing w:after="0"/>
              <w:rPr>
                <w:rFonts w:asciiTheme="majorHAnsi" w:eastAsia="Times New Roman" w:hAnsiTheme="majorHAnsi" w:cs="Arial"/>
                <w:color w:val="000000"/>
                <w:sz w:val="18"/>
                <w:szCs w:val="18"/>
                <w:lang w:eastAsia="en-AU"/>
              </w:rPr>
            </w:pPr>
            <w:r>
              <w:rPr>
                <w:rFonts w:asciiTheme="majorHAnsi" w:eastAsia="Times New Roman" w:hAnsiTheme="majorHAnsi" w:cs="Arial"/>
                <w:color w:val="000000"/>
                <w:sz w:val="18"/>
                <w:szCs w:val="18"/>
                <w:lang w:eastAsia="en-AU"/>
              </w:rPr>
              <w:t>Z</w:t>
            </w:r>
            <w:r w:rsidR="008516ED" w:rsidRPr="00CE6E93">
              <w:rPr>
                <w:rFonts w:asciiTheme="majorHAnsi" w:eastAsia="Times New Roman" w:hAnsiTheme="majorHAnsi" w:cs="Arial"/>
                <w:color w:val="000000"/>
                <w:sz w:val="18"/>
                <w:szCs w:val="18"/>
                <w:lang w:eastAsia="en-AU"/>
              </w:rPr>
              <w:t>iprasidone</w:t>
            </w:r>
          </w:p>
        </w:tc>
        <w:tc>
          <w:tcPr>
            <w:tcW w:w="406" w:type="pct"/>
            <w:tcBorders>
              <w:top w:val="nil"/>
              <w:left w:val="nil"/>
              <w:bottom w:val="single" w:sz="4" w:space="0" w:color="auto"/>
              <w:right w:val="single" w:sz="4" w:space="0" w:color="auto"/>
            </w:tcBorders>
            <w:shd w:val="clear" w:color="auto"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502EEC" w:rsidP="003C5439">
            <w:pPr>
              <w:spacing w:after="0"/>
              <w:jc w:val="center"/>
              <w:rPr>
                <w:rFonts w:asciiTheme="majorHAnsi" w:eastAsia="Times New Roman" w:hAnsiTheme="majorHAnsi" w:cs="Calibri"/>
                <w:color w:val="000000"/>
                <w:sz w:val="18"/>
                <w:szCs w:val="18"/>
                <w:lang w:eastAsia="en-AU"/>
              </w:rPr>
            </w:pPr>
            <w:r w:rsidRPr="00CE6E93">
              <w:rPr>
                <w:rFonts w:asciiTheme="majorHAnsi" w:eastAsia="Times New Roman" w:hAnsiTheme="majorHAnsi" w:cs="Calibri"/>
                <w:color w:val="000000"/>
                <w:sz w:val="18"/>
                <w:szCs w:val="18"/>
                <w:lang w:val="en-US" w:eastAsia="en-AU"/>
              </w:rPr>
              <w:t>X</w:t>
            </w:r>
          </w:p>
        </w:tc>
        <w:tc>
          <w:tcPr>
            <w:tcW w:w="539" w:type="pct"/>
            <w:tcBorders>
              <w:top w:val="nil"/>
              <w:left w:val="nil"/>
              <w:bottom w:val="single" w:sz="4" w:space="0" w:color="auto"/>
              <w:right w:val="single" w:sz="4" w:space="0" w:color="auto"/>
            </w:tcBorders>
            <w:shd w:val="clear" w:color="auto" w:fill="auto"/>
            <w:noWrap/>
            <w:vAlign w:val="center"/>
          </w:tcPr>
          <w:p w:rsidR="008516ED" w:rsidRPr="00CE6E93" w:rsidRDefault="008516ED" w:rsidP="003C5439">
            <w:pPr>
              <w:spacing w:after="0"/>
              <w:jc w:val="center"/>
              <w:rPr>
                <w:rFonts w:asciiTheme="majorHAnsi" w:eastAsia="Times New Roman" w:hAnsiTheme="majorHAnsi" w:cs="Calibri"/>
                <w:color w:val="000000"/>
                <w:sz w:val="18"/>
                <w:szCs w:val="18"/>
                <w:lang w:eastAsia="en-AU"/>
              </w:rPr>
            </w:pP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8516ED" w:rsidRPr="00CE6E93" w:rsidRDefault="006E2A18" w:rsidP="003C5439">
            <w:pPr>
              <w:spacing w:after="0"/>
              <w:jc w:val="center"/>
              <w:rPr>
                <w:rFonts w:asciiTheme="majorHAnsi" w:eastAsia="Times New Roman" w:hAnsiTheme="majorHAnsi" w:cs="Calibri"/>
                <w:color w:val="000000"/>
                <w:sz w:val="18"/>
                <w:szCs w:val="18"/>
                <w:lang w:eastAsia="en-AU"/>
              </w:rPr>
            </w:pPr>
            <w:r>
              <w:rPr>
                <w:rFonts w:asciiTheme="majorHAnsi" w:eastAsia="Times New Roman" w:hAnsiTheme="majorHAnsi" w:cs="Calibri"/>
                <w:color w:val="000000"/>
                <w:sz w:val="18"/>
                <w:szCs w:val="18"/>
                <w:lang w:val="en-US" w:eastAsia="en-AU"/>
              </w:rPr>
              <w:t>X</w:t>
            </w:r>
          </w:p>
        </w:tc>
        <w:tc>
          <w:tcPr>
            <w:tcW w:w="536" w:type="pct"/>
            <w:tcBorders>
              <w:top w:val="single" w:sz="4" w:space="0" w:color="auto"/>
              <w:left w:val="nil"/>
              <w:bottom w:val="single" w:sz="4" w:space="0" w:color="auto"/>
              <w:right w:val="single" w:sz="4" w:space="0" w:color="auto"/>
            </w:tcBorders>
            <w:vAlign w:val="center"/>
          </w:tcPr>
          <w:p w:rsidR="008516ED" w:rsidRPr="00CE6E93" w:rsidRDefault="008516ED" w:rsidP="003C5439">
            <w:pPr>
              <w:spacing w:after="0"/>
              <w:jc w:val="center"/>
              <w:rPr>
                <w:rFonts w:asciiTheme="majorHAnsi" w:eastAsia="Times New Roman" w:hAnsiTheme="majorHAnsi"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8516ED" w:rsidRPr="00CE6E93" w:rsidRDefault="008516ED" w:rsidP="00A57BF3">
            <w:pPr>
              <w:spacing w:after="0"/>
              <w:rPr>
                <w:rFonts w:asciiTheme="majorHAnsi" w:eastAsia="Times New Roman" w:hAnsiTheme="majorHAnsi" w:cs="Arial"/>
                <w:color w:val="000000"/>
                <w:sz w:val="18"/>
                <w:szCs w:val="18"/>
                <w:lang w:eastAsia="en-AU"/>
              </w:rPr>
            </w:pPr>
            <w:r w:rsidRPr="00CE6E93">
              <w:rPr>
                <w:rFonts w:asciiTheme="majorHAnsi" w:eastAsia="Times New Roman" w:hAnsiTheme="majorHAnsi" w:cs="Arial"/>
                <w:color w:val="000000"/>
                <w:sz w:val="18"/>
                <w:szCs w:val="18"/>
                <w:lang w:eastAsia="en-AU"/>
              </w:rPr>
              <w:t xml:space="preserve">Treatment of acute mania or mixed episodes associated with bipolar I disorder is monotherapy for up to </w:t>
            </w:r>
            <w:r w:rsidR="00502EEC" w:rsidRPr="00CE6E93">
              <w:rPr>
                <w:rFonts w:asciiTheme="majorHAnsi" w:eastAsia="Times New Roman" w:hAnsiTheme="majorHAnsi" w:cs="Arial"/>
                <w:color w:val="000000"/>
                <w:sz w:val="18"/>
                <w:szCs w:val="18"/>
                <w:lang w:eastAsia="en-AU"/>
              </w:rPr>
              <w:t>6</w:t>
            </w:r>
            <w:r w:rsidRPr="00CE6E93">
              <w:rPr>
                <w:rFonts w:asciiTheme="majorHAnsi" w:eastAsia="Times New Roman" w:hAnsiTheme="majorHAnsi" w:cs="Arial"/>
                <w:color w:val="000000"/>
                <w:sz w:val="18"/>
                <w:szCs w:val="18"/>
                <w:lang w:eastAsia="en-AU"/>
              </w:rPr>
              <w:t xml:space="preserve"> months</w:t>
            </w:r>
          </w:p>
        </w:tc>
      </w:tr>
    </w:tbl>
    <w:p w:rsidR="008516ED" w:rsidRDefault="00F95397" w:rsidP="00A57BF3">
      <w:pPr>
        <w:rPr>
          <w:rFonts w:asciiTheme="majorHAnsi" w:hAnsiTheme="majorHAnsi"/>
          <w:i/>
          <w:sz w:val="20"/>
          <w:szCs w:val="20"/>
        </w:rPr>
      </w:pPr>
      <w:r w:rsidRPr="00F95397">
        <w:rPr>
          <w:rFonts w:asciiTheme="majorHAnsi" w:hAnsiTheme="majorHAnsi"/>
          <w:i/>
          <w:sz w:val="20"/>
          <w:szCs w:val="20"/>
        </w:rPr>
        <w:t>Source: www.pbs.gov.au, accessed January 2013</w:t>
      </w:r>
    </w:p>
    <w:p w:rsidR="00F35FCC" w:rsidRPr="00CB3286" w:rsidRDefault="00F35FCC" w:rsidP="009D1AF8">
      <w:pPr>
        <w:jc w:val="both"/>
        <w:rPr>
          <w:rFonts w:asciiTheme="majorHAnsi" w:hAnsiTheme="majorHAnsi"/>
          <w:sz w:val="20"/>
          <w:szCs w:val="20"/>
        </w:rPr>
      </w:pPr>
      <w:r w:rsidRPr="00CB3286">
        <w:rPr>
          <w:rFonts w:asciiTheme="majorHAnsi" w:hAnsiTheme="majorHAnsi"/>
          <w:sz w:val="20"/>
          <w:szCs w:val="20"/>
        </w:rPr>
        <w:t>Note: The shaded boxes represent that the drug is approved by the TGA for that indication</w:t>
      </w:r>
    </w:p>
    <w:p w:rsidR="003154E2" w:rsidRPr="00CE6E93" w:rsidRDefault="00ED73F2" w:rsidP="009D1AF8">
      <w:pPr>
        <w:jc w:val="both"/>
        <w:rPr>
          <w:rFonts w:asciiTheme="majorHAnsi" w:hAnsiTheme="majorHAnsi"/>
        </w:rPr>
      </w:pPr>
      <w:r w:rsidRPr="00CE6E93">
        <w:rPr>
          <w:rFonts w:asciiTheme="majorHAnsi" w:hAnsiTheme="majorHAnsi"/>
        </w:rPr>
        <w:t>Th</w:t>
      </w:r>
      <w:r w:rsidR="006305DE">
        <w:rPr>
          <w:rFonts w:asciiTheme="majorHAnsi" w:hAnsiTheme="majorHAnsi"/>
        </w:rPr>
        <w:t>e</w:t>
      </w:r>
      <w:r w:rsidRPr="00CE6E93">
        <w:rPr>
          <w:rFonts w:asciiTheme="majorHAnsi" w:hAnsiTheme="majorHAnsi"/>
        </w:rPr>
        <w:t xml:space="preserve"> </w:t>
      </w:r>
      <w:r w:rsidR="003154E2" w:rsidRPr="00CE6E93">
        <w:rPr>
          <w:rFonts w:asciiTheme="majorHAnsi" w:hAnsiTheme="majorHAnsi"/>
        </w:rPr>
        <w:t>present study aimed</w:t>
      </w:r>
      <w:r w:rsidRPr="00CE6E93">
        <w:rPr>
          <w:rFonts w:asciiTheme="majorHAnsi" w:hAnsiTheme="majorHAnsi"/>
        </w:rPr>
        <w:t xml:space="preserve"> to </w:t>
      </w:r>
      <w:r w:rsidR="003154E2" w:rsidRPr="00CE6E93">
        <w:rPr>
          <w:rFonts w:asciiTheme="majorHAnsi" w:hAnsiTheme="majorHAnsi"/>
        </w:rPr>
        <w:t xml:space="preserve">examine the patterns of utilisation of </w:t>
      </w:r>
      <w:r w:rsidR="00150D25">
        <w:rPr>
          <w:rFonts w:asciiTheme="majorHAnsi" w:hAnsiTheme="majorHAnsi"/>
        </w:rPr>
        <w:t xml:space="preserve">PBS-listed </w:t>
      </w:r>
      <w:r w:rsidR="003154E2" w:rsidRPr="00CE6E93">
        <w:rPr>
          <w:rFonts w:asciiTheme="majorHAnsi" w:hAnsiTheme="majorHAnsi"/>
        </w:rPr>
        <w:t xml:space="preserve">antipsychotics in Australia using </w:t>
      </w:r>
      <w:r w:rsidR="00E51426">
        <w:rPr>
          <w:rFonts w:asciiTheme="majorHAnsi" w:hAnsiTheme="majorHAnsi"/>
        </w:rPr>
        <w:t xml:space="preserve">pharmacy prescription </w:t>
      </w:r>
      <w:r w:rsidR="00F17F20">
        <w:rPr>
          <w:rFonts w:asciiTheme="majorHAnsi" w:hAnsiTheme="majorHAnsi"/>
        </w:rPr>
        <w:t>claim</w:t>
      </w:r>
      <w:r w:rsidR="003154E2" w:rsidRPr="00CE6E93">
        <w:rPr>
          <w:rFonts w:asciiTheme="majorHAnsi" w:hAnsiTheme="majorHAnsi"/>
        </w:rPr>
        <w:t xml:space="preserve"> data from the PBS</w:t>
      </w:r>
      <w:r w:rsidR="008E4BFE" w:rsidRPr="00CE6E93">
        <w:rPr>
          <w:rFonts w:asciiTheme="majorHAnsi" w:hAnsiTheme="majorHAnsi"/>
        </w:rPr>
        <w:t xml:space="preserve"> during the period </w:t>
      </w:r>
      <w:r w:rsidR="00CD46EE" w:rsidRPr="00CE6E93">
        <w:rPr>
          <w:rFonts w:asciiTheme="majorHAnsi" w:hAnsiTheme="majorHAnsi"/>
        </w:rPr>
        <w:t xml:space="preserve">1 December </w:t>
      </w:r>
      <w:r w:rsidR="008E4BFE" w:rsidRPr="00CE6E93">
        <w:rPr>
          <w:rFonts w:asciiTheme="majorHAnsi" w:hAnsiTheme="majorHAnsi"/>
        </w:rPr>
        <w:t>20</w:t>
      </w:r>
      <w:r w:rsidR="00CD46EE" w:rsidRPr="00CE6E93">
        <w:rPr>
          <w:rFonts w:asciiTheme="majorHAnsi" w:hAnsiTheme="majorHAnsi"/>
        </w:rPr>
        <w:t xml:space="preserve">10 to 31 December </w:t>
      </w:r>
      <w:r w:rsidR="008E4BFE" w:rsidRPr="00CE6E93">
        <w:rPr>
          <w:rFonts w:asciiTheme="majorHAnsi" w:hAnsiTheme="majorHAnsi"/>
        </w:rPr>
        <w:t>201</w:t>
      </w:r>
      <w:r w:rsidR="00CD46EE" w:rsidRPr="00CE6E93">
        <w:rPr>
          <w:rFonts w:asciiTheme="majorHAnsi" w:hAnsiTheme="majorHAnsi"/>
        </w:rPr>
        <w:t>2</w:t>
      </w:r>
      <w:r w:rsidR="003154E2" w:rsidRPr="00CE6E93">
        <w:rPr>
          <w:rFonts w:asciiTheme="majorHAnsi" w:hAnsiTheme="majorHAnsi"/>
        </w:rPr>
        <w:t xml:space="preserve">. </w:t>
      </w:r>
      <w:r w:rsidR="00F17F20">
        <w:rPr>
          <w:rFonts w:asciiTheme="majorHAnsi" w:hAnsiTheme="majorHAnsi"/>
        </w:rPr>
        <w:t xml:space="preserve">Patients eligible for </w:t>
      </w:r>
      <w:r w:rsidR="00631074">
        <w:rPr>
          <w:rFonts w:asciiTheme="majorHAnsi" w:hAnsiTheme="majorHAnsi"/>
        </w:rPr>
        <w:t>Department</w:t>
      </w:r>
      <w:r w:rsidR="00F17F20">
        <w:rPr>
          <w:rFonts w:asciiTheme="majorHAnsi" w:hAnsiTheme="majorHAnsi"/>
        </w:rPr>
        <w:t xml:space="preserve"> of Veterans Affairs subsidised supply of antipsychotics (R</w:t>
      </w:r>
      <w:r w:rsidR="002B4F4A">
        <w:rPr>
          <w:rFonts w:asciiTheme="majorHAnsi" w:hAnsiTheme="majorHAnsi"/>
        </w:rPr>
        <w:t xml:space="preserve">epatriation </w:t>
      </w:r>
      <w:r w:rsidR="00F17F20">
        <w:rPr>
          <w:rFonts w:asciiTheme="majorHAnsi" w:hAnsiTheme="majorHAnsi"/>
        </w:rPr>
        <w:t>PBS</w:t>
      </w:r>
      <w:r w:rsidR="002B4F4A">
        <w:rPr>
          <w:rFonts w:asciiTheme="majorHAnsi" w:hAnsiTheme="majorHAnsi"/>
        </w:rPr>
        <w:t xml:space="preserve"> (RPBS)</w:t>
      </w:r>
      <w:r w:rsidR="00F17F20">
        <w:rPr>
          <w:rFonts w:asciiTheme="majorHAnsi" w:hAnsiTheme="majorHAnsi"/>
        </w:rPr>
        <w:t xml:space="preserve">) </w:t>
      </w:r>
      <w:r w:rsidR="00F70065">
        <w:rPr>
          <w:rFonts w:asciiTheme="majorHAnsi" w:hAnsiTheme="majorHAnsi"/>
        </w:rPr>
        <w:t>we</w:t>
      </w:r>
      <w:r w:rsidR="00F17F20">
        <w:rPr>
          <w:rFonts w:asciiTheme="majorHAnsi" w:hAnsiTheme="majorHAnsi"/>
        </w:rPr>
        <w:t xml:space="preserve">re included in the analysis. </w:t>
      </w:r>
      <w:r w:rsidR="003154E2" w:rsidRPr="00CE6E93">
        <w:rPr>
          <w:rFonts w:asciiTheme="majorHAnsi" w:hAnsiTheme="majorHAnsi"/>
        </w:rPr>
        <w:t xml:space="preserve">The study was designed as a staged analysis that included assessment by age, gender, formulation and strength supplied </w:t>
      </w:r>
      <w:r w:rsidR="00827E13" w:rsidRPr="00CE6E93">
        <w:rPr>
          <w:rFonts w:asciiTheme="majorHAnsi" w:hAnsiTheme="majorHAnsi"/>
        </w:rPr>
        <w:t>(</w:t>
      </w:r>
      <w:r w:rsidR="003154E2" w:rsidRPr="00CE6E93">
        <w:rPr>
          <w:rFonts w:asciiTheme="majorHAnsi" w:hAnsiTheme="majorHAnsi"/>
        </w:rPr>
        <w:t>stage 1</w:t>
      </w:r>
      <w:r w:rsidR="00827E13" w:rsidRPr="00CE6E93">
        <w:rPr>
          <w:rFonts w:asciiTheme="majorHAnsi" w:hAnsiTheme="majorHAnsi"/>
        </w:rPr>
        <w:t>)</w:t>
      </w:r>
      <w:r w:rsidR="003154E2" w:rsidRPr="00CE6E93">
        <w:rPr>
          <w:rFonts w:asciiTheme="majorHAnsi" w:hAnsiTheme="majorHAnsi"/>
        </w:rPr>
        <w:t xml:space="preserve"> and assessment of co-administration of multiple psychotropic </w:t>
      </w:r>
      <w:r w:rsidR="0061726D">
        <w:rPr>
          <w:rFonts w:asciiTheme="majorHAnsi" w:hAnsiTheme="majorHAnsi"/>
        </w:rPr>
        <w:t>medicines</w:t>
      </w:r>
      <w:r w:rsidR="003154E2" w:rsidRPr="00CE6E93">
        <w:rPr>
          <w:rFonts w:asciiTheme="majorHAnsi" w:hAnsiTheme="majorHAnsi"/>
        </w:rPr>
        <w:t xml:space="preserve"> </w:t>
      </w:r>
      <w:r w:rsidR="00827E13" w:rsidRPr="00CE6E93">
        <w:rPr>
          <w:rFonts w:asciiTheme="majorHAnsi" w:hAnsiTheme="majorHAnsi"/>
        </w:rPr>
        <w:t>(</w:t>
      </w:r>
      <w:r w:rsidR="003154E2" w:rsidRPr="00CE6E93">
        <w:rPr>
          <w:rFonts w:asciiTheme="majorHAnsi" w:hAnsiTheme="majorHAnsi"/>
        </w:rPr>
        <w:t>stage 2</w:t>
      </w:r>
      <w:r w:rsidR="00827E13" w:rsidRPr="00CE6E93">
        <w:rPr>
          <w:rFonts w:asciiTheme="majorHAnsi" w:hAnsiTheme="majorHAnsi"/>
        </w:rPr>
        <w:t>)</w:t>
      </w:r>
      <w:r w:rsidR="003154E2" w:rsidRPr="00CE6E93">
        <w:rPr>
          <w:rFonts w:asciiTheme="majorHAnsi" w:hAnsiTheme="majorHAnsi"/>
        </w:rPr>
        <w:t xml:space="preserve">.  This report focuses on the data obtained from </w:t>
      </w:r>
      <w:r w:rsidR="0073229E">
        <w:rPr>
          <w:rFonts w:asciiTheme="majorHAnsi" w:hAnsiTheme="majorHAnsi"/>
        </w:rPr>
        <w:t>middle aged</w:t>
      </w:r>
      <w:r w:rsidR="0061726D">
        <w:rPr>
          <w:rFonts w:asciiTheme="majorHAnsi" w:hAnsiTheme="majorHAnsi"/>
        </w:rPr>
        <w:t xml:space="preserve"> </w:t>
      </w:r>
      <w:r w:rsidR="00D774F1">
        <w:rPr>
          <w:rFonts w:asciiTheme="majorHAnsi" w:hAnsiTheme="majorHAnsi"/>
        </w:rPr>
        <w:t xml:space="preserve">persons </w:t>
      </w:r>
      <w:r w:rsidR="0061726D">
        <w:rPr>
          <w:rFonts w:asciiTheme="majorHAnsi" w:hAnsiTheme="majorHAnsi"/>
        </w:rPr>
        <w:t xml:space="preserve">between </w:t>
      </w:r>
      <w:r w:rsidR="003F2D17">
        <w:rPr>
          <w:rFonts w:asciiTheme="majorHAnsi" w:hAnsiTheme="majorHAnsi"/>
        </w:rPr>
        <w:t>2</w:t>
      </w:r>
      <w:r w:rsidR="0061726D">
        <w:rPr>
          <w:rFonts w:asciiTheme="majorHAnsi" w:hAnsiTheme="majorHAnsi"/>
        </w:rPr>
        <w:t>0–</w:t>
      </w:r>
      <w:r w:rsidR="003F2D17">
        <w:rPr>
          <w:rFonts w:asciiTheme="majorHAnsi" w:hAnsiTheme="majorHAnsi"/>
        </w:rPr>
        <w:t>5</w:t>
      </w:r>
      <w:r w:rsidR="003154E2" w:rsidRPr="00CE6E93">
        <w:rPr>
          <w:rFonts w:asciiTheme="majorHAnsi" w:hAnsiTheme="majorHAnsi"/>
        </w:rPr>
        <w:t xml:space="preserve">9 years of age. </w:t>
      </w:r>
      <w:r w:rsidR="00F17F20">
        <w:rPr>
          <w:rFonts w:asciiTheme="majorHAnsi" w:hAnsiTheme="majorHAnsi"/>
        </w:rPr>
        <w:t xml:space="preserve">The reports were considered by </w:t>
      </w:r>
      <w:r w:rsidR="00541CC0">
        <w:rPr>
          <w:rFonts w:asciiTheme="majorHAnsi" w:hAnsiTheme="majorHAnsi"/>
        </w:rPr>
        <w:t>the Drug Utilisation Sub-Committee (</w:t>
      </w:r>
      <w:r w:rsidR="00F17F20">
        <w:rPr>
          <w:rFonts w:asciiTheme="majorHAnsi" w:hAnsiTheme="majorHAnsi"/>
        </w:rPr>
        <w:t>DUSC</w:t>
      </w:r>
      <w:r w:rsidR="00541CC0">
        <w:rPr>
          <w:rFonts w:asciiTheme="majorHAnsi" w:hAnsiTheme="majorHAnsi"/>
        </w:rPr>
        <w:t>)</w:t>
      </w:r>
      <w:r w:rsidR="00F17F20">
        <w:rPr>
          <w:rFonts w:asciiTheme="majorHAnsi" w:hAnsiTheme="majorHAnsi"/>
        </w:rPr>
        <w:t xml:space="preserve"> at two successive meetings, February 2013 and June 2013, and comments from industry sponsors of all drugs were invited for both stages of the reports.</w:t>
      </w:r>
    </w:p>
    <w:p w:rsidR="008E4BFE" w:rsidRPr="00CE6E93" w:rsidRDefault="008E4BFE" w:rsidP="003B7C41">
      <w:pPr>
        <w:pStyle w:val="Heading2"/>
      </w:pPr>
      <w:r w:rsidRPr="00CE6E93">
        <w:t>Methods</w:t>
      </w:r>
    </w:p>
    <w:p w:rsidR="00F17F20" w:rsidRDefault="00EF616B" w:rsidP="009D1AF8">
      <w:pPr>
        <w:spacing w:after="0" w:line="280" w:lineRule="atLeast"/>
        <w:jc w:val="both"/>
        <w:rPr>
          <w:rFonts w:asciiTheme="majorHAnsi" w:hAnsiTheme="majorHAnsi"/>
        </w:rPr>
      </w:pPr>
      <w:r w:rsidRPr="00CE6E93">
        <w:rPr>
          <w:rFonts w:asciiTheme="majorHAnsi" w:hAnsiTheme="majorHAnsi"/>
        </w:rPr>
        <w:t>Prescription (script) data was extracted from the Medicare D</w:t>
      </w:r>
      <w:r w:rsidR="008E4BFE" w:rsidRPr="00CE6E93">
        <w:rPr>
          <w:rFonts w:asciiTheme="majorHAnsi" w:hAnsiTheme="majorHAnsi"/>
        </w:rPr>
        <w:t>epartment of Human Services (D</w:t>
      </w:r>
      <w:r w:rsidRPr="00CE6E93">
        <w:rPr>
          <w:rFonts w:asciiTheme="majorHAnsi" w:hAnsiTheme="majorHAnsi"/>
        </w:rPr>
        <w:t>HS</w:t>
      </w:r>
      <w:r w:rsidR="008E4BFE" w:rsidRPr="00CE6E93">
        <w:rPr>
          <w:rFonts w:asciiTheme="majorHAnsi" w:hAnsiTheme="majorHAnsi"/>
        </w:rPr>
        <w:t>)</w:t>
      </w:r>
      <w:r w:rsidRPr="00CE6E93">
        <w:rPr>
          <w:rFonts w:asciiTheme="majorHAnsi" w:hAnsiTheme="majorHAnsi"/>
        </w:rPr>
        <w:t xml:space="preserve"> Pharmacy Claims database. Medicare DHS is the Government agency that collects information on all PBS</w:t>
      </w:r>
      <w:r w:rsidR="00F17F20">
        <w:rPr>
          <w:rFonts w:asciiTheme="majorHAnsi" w:hAnsiTheme="majorHAnsi"/>
        </w:rPr>
        <w:t xml:space="preserve"> and RPBS</w:t>
      </w:r>
      <w:r w:rsidRPr="00CE6E93">
        <w:rPr>
          <w:rFonts w:asciiTheme="majorHAnsi" w:hAnsiTheme="majorHAnsi"/>
        </w:rPr>
        <w:t xml:space="preserve"> scripts dispensed in Australia.</w:t>
      </w:r>
      <w:r w:rsidR="00BF75B0" w:rsidRPr="00BF75B0">
        <w:t xml:space="preserve"> </w:t>
      </w:r>
      <w:r w:rsidR="00BF75B0" w:rsidRPr="00BF75B0">
        <w:rPr>
          <w:rFonts w:asciiTheme="majorHAnsi" w:hAnsiTheme="majorHAnsi"/>
        </w:rPr>
        <w:t>The Pharmacy transaction database is an administrative dataset. The data used in this analysis is based on the date of supply of the prescription.</w:t>
      </w:r>
    </w:p>
    <w:p w:rsidR="00F17F20" w:rsidRPr="00CE6E93" w:rsidRDefault="00F17F20" w:rsidP="009D1AF8">
      <w:pPr>
        <w:spacing w:after="0" w:line="280" w:lineRule="atLeast"/>
        <w:jc w:val="both"/>
        <w:rPr>
          <w:rFonts w:asciiTheme="majorHAnsi" w:hAnsiTheme="majorHAnsi"/>
        </w:rPr>
      </w:pPr>
    </w:p>
    <w:p w:rsidR="00EF616B" w:rsidRPr="00CE6E93" w:rsidRDefault="00F17F20" w:rsidP="009D1AF8">
      <w:pPr>
        <w:spacing w:after="0" w:line="280" w:lineRule="atLeast"/>
        <w:jc w:val="both"/>
        <w:rPr>
          <w:rFonts w:asciiTheme="majorHAnsi" w:hAnsiTheme="majorHAnsi"/>
        </w:rPr>
      </w:pPr>
      <w:r>
        <w:rPr>
          <w:rFonts w:asciiTheme="majorHAnsi" w:hAnsiTheme="majorHAnsi"/>
        </w:rPr>
        <w:t xml:space="preserve">The number of </w:t>
      </w:r>
      <w:r w:rsidR="00AD643C">
        <w:rPr>
          <w:rFonts w:asciiTheme="majorHAnsi" w:hAnsiTheme="majorHAnsi"/>
        </w:rPr>
        <w:t>script</w:t>
      </w:r>
      <w:r>
        <w:rPr>
          <w:rFonts w:asciiTheme="majorHAnsi" w:hAnsiTheme="majorHAnsi"/>
        </w:rPr>
        <w:t xml:space="preserve">s for antipsychotics and antidepressants in Australia over the period of study for these analyses results in a very large dataset of scripts. </w:t>
      </w:r>
      <w:r w:rsidR="00CD46EE" w:rsidRPr="00CE6E93">
        <w:rPr>
          <w:rFonts w:asciiTheme="majorHAnsi" w:hAnsiTheme="majorHAnsi"/>
        </w:rPr>
        <w:t xml:space="preserve">To aid in the computation of data, the dataset </w:t>
      </w:r>
      <w:r>
        <w:rPr>
          <w:rFonts w:asciiTheme="majorHAnsi" w:hAnsiTheme="majorHAnsi"/>
        </w:rPr>
        <w:t xml:space="preserve">extracted from the claim data </w:t>
      </w:r>
      <w:r w:rsidR="00CD46EE" w:rsidRPr="00CE6E93">
        <w:rPr>
          <w:rFonts w:asciiTheme="majorHAnsi" w:hAnsiTheme="majorHAnsi"/>
        </w:rPr>
        <w:t xml:space="preserve">was reduced to </w:t>
      </w:r>
      <w:r w:rsidR="00EF616B" w:rsidRPr="00CE6E93">
        <w:rPr>
          <w:rFonts w:asciiTheme="majorHAnsi" w:hAnsiTheme="majorHAnsi"/>
        </w:rPr>
        <w:t xml:space="preserve">a 10% random </w:t>
      </w:r>
      <w:r w:rsidR="00526D50">
        <w:rPr>
          <w:rFonts w:asciiTheme="majorHAnsi" w:hAnsiTheme="majorHAnsi"/>
        </w:rPr>
        <w:t xml:space="preserve">patient </w:t>
      </w:r>
      <w:r w:rsidR="00EF616B" w:rsidRPr="00CE6E93">
        <w:rPr>
          <w:rFonts w:asciiTheme="majorHAnsi" w:hAnsiTheme="majorHAnsi"/>
        </w:rPr>
        <w:t xml:space="preserve">sample. </w:t>
      </w:r>
      <w:r w:rsidR="00BF75B0" w:rsidRPr="00BF75B0">
        <w:rPr>
          <w:rFonts w:asciiTheme="majorHAnsi" w:hAnsiTheme="majorHAnsi"/>
        </w:rPr>
        <w:t xml:space="preserve">This sampling method has been accepted in similar pharmacoepidemiology studies and is considered by DUSC to be reasonably representative of the full data in large prevalent patient populations. </w:t>
      </w:r>
      <w:r w:rsidR="00EF616B" w:rsidRPr="00CE6E93">
        <w:rPr>
          <w:rFonts w:asciiTheme="majorHAnsi" w:hAnsiTheme="majorHAnsi"/>
        </w:rPr>
        <w:t>Analyses that examined small numbers of</w:t>
      </w:r>
      <w:r w:rsidR="00DA72A9">
        <w:rPr>
          <w:rFonts w:asciiTheme="majorHAnsi" w:hAnsiTheme="majorHAnsi"/>
        </w:rPr>
        <w:t xml:space="preserve"> patients over time (</w:t>
      </w:r>
      <w:r w:rsidR="00EF616B" w:rsidRPr="00CE6E93">
        <w:rPr>
          <w:rFonts w:asciiTheme="majorHAnsi" w:hAnsiTheme="majorHAnsi"/>
        </w:rPr>
        <w:t>initiating patient</w:t>
      </w:r>
      <w:r w:rsidR="00DA72A9">
        <w:rPr>
          <w:rFonts w:asciiTheme="majorHAnsi" w:hAnsiTheme="majorHAnsi"/>
        </w:rPr>
        <w:t xml:space="preserve"> analysis</w:t>
      </w:r>
      <w:r w:rsidR="00EF616B" w:rsidRPr="00CE6E93">
        <w:rPr>
          <w:rFonts w:asciiTheme="majorHAnsi" w:hAnsiTheme="majorHAnsi"/>
        </w:rPr>
        <w:t xml:space="preserve">) used </w:t>
      </w:r>
      <w:r w:rsidR="00DA72A9">
        <w:rPr>
          <w:rFonts w:asciiTheme="majorHAnsi" w:hAnsiTheme="majorHAnsi"/>
        </w:rPr>
        <w:t xml:space="preserve">the </w:t>
      </w:r>
      <w:r w:rsidR="00EA62A3">
        <w:rPr>
          <w:rFonts w:asciiTheme="majorHAnsi" w:hAnsiTheme="majorHAnsi"/>
        </w:rPr>
        <w:t xml:space="preserve">complete </w:t>
      </w:r>
      <w:r w:rsidR="00DA72A9">
        <w:rPr>
          <w:rFonts w:asciiTheme="majorHAnsi" w:hAnsiTheme="majorHAnsi"/>
        </w:rPr>
        <w:t>database</w:t>
      </w:r>
      <w:r w:rsidR="00EF616B" w:rsidRPr="00CE6E93">
        <w:rPr>
          <w:rFonts w:asciiTheme="majorHAnsi" w:hAnsiTheme="majorHAnsi"/>
        </w:rPr>
        <w:t>.</w:t>
      </w:r>
    </w:p>
    <w:p w:rsidR="00EF616B" w:rsidRPr="00CE6E93" w:rsidRDefault="00EF616B" w:rsidP="009D1AF8">
      <w:pPr>
        <w:spacing w:after="0" w:line="280" w:lineRule="atLeast"/>
        <w:jc w:val="both"/>
        <w:rPr>
          <w:rFonts w:asciiTheme="majorHAnsi" w:hAnsiTheme="majorHAnsi"/>
        </w:rPr>
      </w:pPr>
    </w:p>
    <w:p w:rsidR="00EF616B" w:rsidRPr="00CE6E93" w:rsidRDefault="00EF616B" w:rsidP="009D1AF8">
      <w:pPr>
        <w:spacing w:after="0" w:line="280" w:lineRule="atLeast"/>
        <w:jc w:val="both"/>
        <w:rPr>
          <w:rFonts w:asciiTheme="majorHAnsi" w:hAnsiTheme="majorHAnsi"/>
        </w:rPr>
      </w:pPr>
      <w:r w:rsidRPr="00CE6E93">
        <w:rPr>
          <w:rFonts w:asciiTheme="majorHAnsi" w:hAnsiTheme="majorHAnsi"/>
        </w:rPr>
        <w:t xml:space="preserve">The extracted data </w:t>
      </w:r>
      <w:r w:rsidR="00EA62A3">
        <w:rPr>
          <w:rFonts w:asciiTheme="majorHAnsi" w:hAnsiTheme="majorHAnsi"/>
        </w:rPr>
        <w:t xml:space="preserve">elements </w:t>
      </w:r>
      <w:r w:rsidRPr="00CE6E93">
        <w:rPr>
          <w:rFonts w:asciiTheme="majorHAnsi" w:hAnsiTheme="majorHAnsi"/>
        </w:rPr>
        <w:t>included:</w:t>
      </w:r>
    </w:p>
    <w:p w:rsidR="00EF616B" w:rsidRPr="00CE6E93" w:rsidRDefault="009969BA" w:rsidP="009D1AF8">
      <w:pPr>
        <w:pStyle w:val="ListParagraph"/>
        <w:numPr>
          <w:ilvl w:val="0"/>
          <w:numId w:val="8"/>
        </w:numPr>
        <w:spacing w:line="280" w:lineRule="atLeast"/>
        <w:jc w:val="both"/>
        <w:rPr>
          <w:rFonts w:asciiTheme="majorHAnsi" w:hAnsiTheme="majorHAnsi"/>
        </w:rPr>
      </w:pPr>
      <w:r>
        <w:rPr>
          <w:rFonts w:asciiTheme="majorHAnsi" w:hAnsiTheme="majorHAnsi"/>
        </w:rPr>
        <w:t>P</w:t>
      </w:r>
      <w:r w:rsidR="00EF616B" w:rsidRPr="00CE6E93">
        <w:rPr>
          <w:rFonts w:asciiTheme="majorHAnsi" w:hAnsiTheme="majorHAnsi"/>
        </w:rPr>
        <w:t xml:space="preserve">atient’s </w:t>
      </w:r>
      <w:r w:rsidR="00DA72A9">
        <w:rPr>
          <w:rFonts w:asciiTheme="majorHAnsi" w:hAnsiTheme="majorHAnsi"/>
        </w:rPr>
        <w:t xml:space="preserve">date of birth to derive </w:t>
      </w:r>
      <w:r w:rsidR="00EF616B" w:rsidRPr="00CE6E93">
        <w:rPr>
          <w:rFonts w:asciiTheme="majorHAnsi" w:hAnsiTheme="majorHAnsi"/>
        </w:rPr>
        <w:t xml:space="preserve">age at either date of first script supply </w:t>
      </w:r>
      <w:r w:rsidR="00CD46EE" w:rsidRPr="00CE6E93">
        <w:rPr>
          <w:rFonts w:asciiTheme="majorHAnsi" w:hAnsiTheme="majorHAnsi"/>
        </w:rPr>
        <w:t xml:space="preserve">for the </w:t>
      </w:r>
      <w:r w:rsidR="00EF616B" w:rsidRPr="00CE6E93">
        <w:rPr>
          <w:rFonts w:asciiTheme="majorHAnsi" w:hAnsiTheme="majorHAnsi"/>
        </w:rPr>
        <w:t xml:space="preserve">initiation </w:t>
      </w:r>
      <w:r w:rsidR="00CD46EE" w:rsidRPr="00CE6E93">
        <w:rPr>
          <w:rFonts w:asciiTheme="majorHAnsi" w:hAnsiTheme="majorHAnsi"/>
        </w:rPr>
        <w:t>analysis,</w:t>
      </w:r>
      <w:r w:rsidR="00EF616B" w:rsidRPr="00CE6E93">
        <w:rPr>
          <w:rFonts w:asciiTheme="majorHAnsi" w:hAnsiTheme="majorHAnsi"/>
        </w:rPr>
        <w:t xml:space="preserve"> or at 31 October 2012 </w:t>
      </w:r>
      <w:r w:rsidR="00CD46EE" w:rsidRPr="00CE6E93">
        <w:rPr>
          <w:rFonts w:asciiTheme="majorHAnsi" w:hAnsiTheme="majorHAnsi"/>
        </w:rPr>
        <w:t xml:space="preserve">for the </w:t>
      </w:r>
      <w:r w:rsidR="00F73370">
        <w:rPr>
          <w:rFonts w:asciiTheme="majorHAnsi" w:hAnsiTheme="majorHAnsi"/>
        </w:rPr>
        <w:t xml:space="preserve">cross section </w:t>
      </w:r>
      <w:r w:rsidR="00CD46EE" w:rsidRPr="00CE6E93">
        <w:rPr>
          <w:rFonts w:asciiTheme="majorHAnsi" w:hAnsiTheme="majorHAnsi"/>
        </w:rPr>
        <w:t>analysis</w:t>
      </w:r>
      <w:r w:rsidR="00F73370">
        <w:rPr>
          <w:rFonts w:asciiTheme="majorHAnsi" w:hAnsiTheme="majorHAnsi"/>
        </w:rPr>
        <w:t>.</w:t>
      </w:r>
    </w:p>
    <w:p w:rsidR="00EF616B" w:rsidRPr="00CE6E93" w:rsidRDefault="009969BA" w:rsidP="009D1AF8">
      <w:pPr>
        <w:pStyle w:val="ListParagraph"/>
        <w:numPr>
          <w:ilvl w:val="0"/>
          <w:numId w:val="8"/>
        </w:numPr>
        <w:spacing w:line="280" w:lineRule="atLeast"/>
        <w:jc w:val="both"/>
        <w:rPr>
          <w:rFonts w:asciiTheme="majorHAnsi" w:hAnsiTheme="majorHAnsi"/>
        </w:rPr>
      </w:pPr>
      <w:r>
        <w:rPr>
          <w:rFonts w:asciiTheme="majorHAnsi" w:hAnsiTheme="majorHAnsi"/>
        </w:rPr>
        <w:t>P</w:t>
      </w:r>
      <w:r w:rsidR="00EF616B" w:rsidRPr="00CE6E93">
        <w:rPr>
          <w:rFonts w:asciiTheme="majorHAnsi" w:hAnsiTheme="majorHAnsi"/>
        </w:rPr>
        <w:t>atient’s gender</w:t>
      </w:r>
      <w:r w:rsidR="00F73370">
        <w:rPr>
          <w:rFonts w:asciiTheme="majorHAnsi" w:hAnsiTheme="majorHAnsi"/>
        </w:rPr>
        <w:t>.</w:t>
      </w:r>
    </w:p>
    <w:p w:rsidR="00E77CF0" w:rsidRDefault="009969BA" w:rsidP="009D1AF8">
      <w:pPr>
        <w:pStyle w:val="ListParagraph"/>
        <w:numPr>
          <w:ilvl w:val="0"/>
          <w:numId w:val="8"/>
        </w:numPr>
        <w:spacing w:line="280" w:lineRule="atLeast"/>
        <w:jc w:val="both"/>
        <w:rPr>
          <w:rFonts w:asciiTheme="majorHAnsi" w:hAnsiTheme="majorHAnsi"/>
        </w:rPr>
      </w:pPr>
      <w:r>
        <w:rPr>
          <w:rFonts w:asciiTheme="majorHAnsi" w:hAnsiTheme="majorHAnsi"/>
        </w:rPr>
        <w:t>P</w:t>
      </w:r>
      <w:r w:rsidR="00EF616B" w:rsidRPr="00CE6E93">
        <w:rPr>
          <w:rFonts w:asciiTheme="majorHAnsi" w:hAnsiTheme="majorHAnsi"/>
        </w:rPr>
        <w:t xml:space="preserve">rescriber </w:t>
      </w:r>
      <w:r w:rsidR="00DA72A9">
        <w:rPr>
          <w:rFonts w:asciiTheme="majorHAnsi" w:hAnsiTheme="majorHAnsi"/>
        </w:rPr>
        <w:t>approval number to derive prescriber specialty</w:t>
      </w:r>
      <w:r w:rsidR="00CD46EE" w:rsidRPr="00CE6E93">
        <w:rPr>
          <w:rFonts w:asciiTheme="majorHAnsi" w:hAnsiTheme="majorHAnsi"/>
        </w:rPr>
        <w:t>.</w:t>
      </w:r>
    </w:p>
    <w:p w:rsidR="00CD46EE" w:rsidRPr="00CE6E93" w:rsidRDefault="00E77CF0" w:rsidP="009D1AF8">
      <w:pPr>
        <w:pStyle w:val="ListParagraph"/>
        <w:numPr>
          <w:ilvl w:val="0"/>
          <w:numId w:val="8"/>
        </w:numPr>
        <w:spacing w:line="280" w:lineRule="atLeast"/>
        <w:jc w:val="both"/>
        <w:rPr>
          <w:rFonts w:asciiTheme="majorHAnsi" w:hAnsiTheme="majorHAnsi"/>
        </w:rPr>
      </w:pPr>
      <w:r>
        <w:rPr>
          <w:rFonts w:asciiTheme="majorHAnsi" w:hAnsiTheme="majorHAnsi"/>
        </w:rPr>
        <w:t>Original or repeat prescription supplied.</w:t>
      </w:r>
      <w:r w:rsidR="00CD46EE" w:rsidRPr="00CE6E93">
        <w:rPr>
          <w:rFonts w:asciiTheme="majorHAnsi" w:hAnsiTheme="majorHAnsi"/>
        </w:rPr>
        <w:t xml:space="preserve"> </w:t>
      </w:r>
    </w:p>
    <w:p w:rsidR="007B6F94" w:rsidRDefault="007B6F94" w:rsidP="009D1AF8">
      <w:pPr>
        <w:spacing w:after="0" w:line="280" w:lineRule="atLeast"/>
        <w:jc w:val="both"/>
        <w:rPr>
          <w:rFonts w:asciiTheme="majorHAnsi" w:hAnsiTheme="majorHAnsi"/>
        </w:rPr>
      </w:pPr>
    </w:p>
    <w:p w:rsidR="001748F6" w:rsidRPr="00CE6E93" w:rsidRDefault="001748F6" w:rsidP="009D1AF8">
      <w:pPr>
        <w:spacing w:after="0" w:line="280" w:lineRule="atLeast"/>
        <w:jc w:val="both"/>
        <w:rPr>
          <w:rFonts w:asciiTheme="majorHAnsi" w:hAnsiTheme="majorHAnsi"/>
        </w:rPr>
      </w:pPr>
      <w:r w:rsidRPr="00CE6E93">
        <w:rPr>
          <w:rFonts w:asciiTheme="majorHAnsi" w:hAnsiTheme="majorHAnsi"/>
        </w:rPr>
        <w:t>Two cohorts were investigated:</w:t>
      </w:r>
    </w:p>
    <w:p w:rsidR="001748F6" w:rsidRPr="00CE6E93" w:rsidRDefault="001748F6" w:rsidP="009D1AF8">
      <w:pPr>
        <w:pStyle w:val="ListParagraph"/>
        <w:numPr>
          <w:ilvl w:val="0"/>
          <w:numId w:val="22"/>
        </w:numPr>
        <w:spacing w:line="280" w:lineRule="atLeast"/>
        <w:jc w:val="both"/>
        <w:rPr>
          <w:rFonts w:asciiTheme="majorHAnsi" w:hAnsiTheme="majorHAnsi"/>
        </w:rPr>
      </w:pPr>
      <w:r w:rsidRPr="00CE6E93">
        <w:rPr>
          <w:rFonts w:asciiTheme="majorHAnsi" w:hAnsiTheme="majorHAnsi"/>
        </w:rPr>
        <w:t>Patients currentl</w:t>
      </w:r>
      <w:r w:rsidR="00EA62A3">
        <w:rPr>
          <w:rFonts w:asciiTheme="majorHAnsi" w:hAnsiTheme="majorHAnsi"/>
        </w:rPr>
        <w:t>y treated with an antipsychotic (cross-section analysis)</w:t>
      </w:r>
      <w:r w:rsidR="00063A52">
        <w:rPr>
          <w:rFonts w:asciiTheme="majorHAnsi" w:hAnsiTheme="majorHAnsi"/>
        </w:rPr>
        <w:t>.</w:t>
      </w:r>
      <w:r w:rsidR="009969BA">
        <w:rPr>
          <w:rFonts w:asciiTheme="majorHAnsi" w:hAnsiTheme="majorHAnsi"/>
        </w:rPr>
        <w:t xml:space="preserve"> </w:t>
      </w:r>
    </w:p>
    <w:p w:rsidR="001748F6" w:rsidRPr="00CE6E93" w:rsidRDefault="001748F6" w:rsidP="009D1AF8">
      <w:pPr>
        <w:pStyle w:val="ListParagraph"/>
        <w:numPr>
          <w:ilvl w:val="0"/>
          <w:numId w:val="22"/>
        </w:numPr>
        <w:spacing w:line="280" w:lineRule="atLeast"/>
        <w:jc w:val="both"/>
        <w:rPr>
          <w:rFonts w:asciiTheme="majorHAnsi" w:hAnsiTheme="majorHAnsi"/>
        </w:rPr>
      </w:pPr>
      <w:r w:rsidRPr="00CE6E93">
        <w:rPr>
          <w:rFonts w:asciiTheme="majorHAnsi" w:hAnsiTheme="majorHAnsi"/>
        </w:rPr>
        <w:t xml:space="preserve">Patients commencing treatment (initiation analysis). </w:t>
      </w:r>
    </w:p>
    <w:p w:rsidR="00CC0275" w:rsidRDefault="00CC0275" w:rsidP="009D1AF8">
      <w:pPr>
        <w:spacing w:line="280" w:lineRule="atLeast"/>
        <w:jc w:val="both"/>
        <w:rPr>
          <w:rFonts w:asciiTheme="majorHAnsi" w:hAnsiTheme="majorHAnsi"/>
        </w:rPr>
      </w:pPr>
    </w:p>
    <w:p w:rsidR="00CC0275" w:rsidRPr="00CC0275" w:rsidRDefault="00CC0275" w:rsidP="009D1AF8">
      <w:pPr>
        <w:spacing w:line="280" w:lineRule="atLeast"/>
        <w:jc w:val="both"/>
        <w:rPr>
          <w:rFonts w:asciiTheme="majorHAnsi" w:hAnsiTheme="majorHAnsi"/>
        </w:rPr>
      </w:pPr>
      <w:r w:rsidRPr="00CC0275">
        <w:rPr>
          <w:rFonts w:asciiTheme="majorHAnsi" w:hAnsiTheme="majorHAnsi"/>
        </w:rPr>
        <w:lastRenderedPageBreak/>
        <w:t xml:space="preserve">A general analysis of scripts and expenditure was also undertaken. In this analysis, de-identified pharmacy claim data for PBS and </w:t>
      </w:r>
      <w:r w:rsidR="00AD643C">
        <w:rPr>
          <w:rFonts w:asciiTheme="majorHAnsi" w:hAnsiTheme="majorHAnsi"/>
        </w:rPr>
        <w:t xml:space="preserve">RPBS </w:t>
      </w:r>
      <w:r w:rsidRPr="00CC0275">
        <w:rPr>
          <w:rFonts w:asciiTheme="majorHAnsi" w:hAnsiTheme="majorHAnsi"/>
        </w:rPr>
        <w:t>subsidised scripts w</w:t>
      </w:r>
      <w:r w:rsidR="00EA62A3">
        <w:rPr>
          <w:rFonts w:asciiTheme="majorHAnsi" w:hAnsiTheme="majorHAnsi"/>
        </w:rPr>
        <w:t>ere</w:t>
      </w:r>
      <w:r w:rsidRPr="00CC0275">
        <w:rPr>
          <w:rFonts w:asciiTheme="majorHAnsi" w:hAnsiTheme="majorHAnsi"/>
        </w:rPr>
        <w:t xml:space="preserve"> extracted from the DUSC database for the period January 2004 to May 2012. The DUSC database combines data for PBS scripts submitted to DHS for payment of a PBS/RPBS subsidy by the Government, with an estimate of under general copayment and private scripts based on dispensing data from a sample of pharmacies. The extracted data included the number of scripts, the patient beneficiary category and Government expenditure based on the price of the medicines published in the PBS schedule and the d</w:t>
      </w:r>
      <w:r>
        <w:rPr>
          <w:rFonts w:asciiTheme="majorHAnsi" w:hAnsiTheme="majorHAnsi"/>
        </w:rPr>
        <w:t>ate of supply of each script.</w:t>
      </w:r>
    </w:p>
    <w:p w:rsidR="00B53BBA" w:rsidRDefault="00EA62A3" w:rsidP="009D1AF8">
      <w:pPr>
        <w:spacing w:after="0" w:line="280" w:lineRule="atLeast"/>
        <w:jc w:val="both"/>
        <w:rPr>
          <w:rFonts w:asciiTheme="majorHAnsi" w:hAnsiTheme="majorHAnsi"/>
        </w:rPr>
      </w:pPr>
      <w:r>
        <w:rPr>
          <w:rFonts w:asciiTheme="majorHAnsi" w:hAnsiTheme="majorHAnsi"/>
        </w:rPr>
        <w:t>To determine the numbers of patients in Australia initiating treatment with an antipsychotic all de-identified p</w:t>
      </w:r>
      <w:r w:rsidR="00F051BE">
        <w:rPr>
          <w:rFonts w:asciiTheme="majorHAnsi" w:hAnsiTheme="majorHAnsi"/>
        </w:rPr>
        <w:t>atients</w:t>
      </w:r>
      <w:r>
        <w:rPr>
          <w:rFonts w:asciiTheme="majorHAnsi" w:hAnsiTheme="majorHAnsi"/>
        </w:rPr>
        <w:t>’</w:t>
      </w:r>
      <w:r w:rsidR="00F051BE">
        <w:rPr>
          <w:rFonts w:asciiTheme="majorHAnsi" w:hAnsiTheme="majorHAnsi"/>
        </w:rPr>
        <w:t xml:space="preserve"> PBS</w:t>
      </w:r>
      <w:r w:rsidR="006765E6">
        <w:rPr>
          <w:rFonts w:asciiTheme="majorHAnsi" w:hAnsiTheme="majorHAnsi"/>
        </w:rPr>
        <w:t>/RPBS</w:t>
      </w:r>
      <w:r w:rsidR="00F051BE">
        <w:rPr>
          <w:rFonts w:asciiTheme="majorHAnsi" w:hAnsiTheme="majorHAnsi"/>
        </w:rPr>
        <w:t xml:space="preserve"> pharmacy claims for an</w:t>
      </w:r>
      <w:r w:rsidR="00CC0275">
        <w:rPr>
          <w:rFonts w:asciiTheme="majorHAnsi" w:hAnsiTheme="majorHAnsi"/>
        </w:rPr>
        <w:t>ti</w:t>
      </w:r>
      <w:r w:rsidR="00F051BE">
        <w:rPr>
          <w:rFonts w:asciiTheme="majorHAnsi" w:hAnsiTheme="majorHAnsi"/>
        </w:rPr>
        <w:t xml:space="preserve">psychotics (N05A) and antidepressants (N06A) were extracted from 1 December 2010 to 31 December 2012. An </w:t>
      </w:r>
      <w:r w:rsidR="00A95751">
        <w:rPr>
          <w:rFonts w:asciiTheme="majorHAnsi" w:hAnsiTheme="majorHAnsi"/>
        </w:rPr>
        <w:t>i</w:t>
      </w:r>
      <w:r w:rsidR="00F051BE">
        <w:rPr>
          <w:rFonts w:asciiTheme="majorHAnsi" w:hAnsiTheme="majorHAnsi"/>
        </w:rPr>
        <w:t xml:space="preserve">nitiating patient was assumed to be a patient who had no prior </w:t>
      </w:r>
      <w:r w:rsidR="00063A52">
        <w:rPr>
          <w:rFonts w:asciiTheme="majorHAnsi" w:hAnsiTheme="majorHAnsi"/>
        </w:rPr>
        <w:t>P</w:t>
      </w:r>
      <w:r w:rsidR="00F051BE">
        <w:rPr>
          <w:rFonts w:asciiTheme="majorHAnsi" w:hAnsiTheme="majorHAnsi"/>
        </w:rPr>
        <w:t>BS</w:t>
      </w:r>
      <w:r w:rsidR="00063A52">
        <w:rPr>
          <w:rFonts w:asciiTheme="majorHAnsi" w:hAnsiTheme="majorHAnsi"/>
        </w:rPr>
        <w:t>/RPBS</w:t>
      </w:r>
      <w:r w:rsidR="00F051BE">
        <w:rPr>
          <w:rFonts w:asciiTheme="majorHAnsi" w:hAnsiTheme="majorHAnsi"/>
        </w:rPr>
        <w:t>-subsidised supply of any antipsychotic in a minimu</w:t>
      </w:r>
      <w:r w:rsidR="008D62F2">
        <w:rPr>
          <w:rFonts w:asciiTheme="majorHAnsi" w:hAnsiTheme="majorHAnsi"/>
        </w:rPr>
        <w:t xml:space="preserve">m period of 12 months prior to the first </w:t>
      </w:r>
      <w:r w:rsidR="004E12BA">
        <w:rPr>
          <w:rFonts w:asciiTheme="majorHAnsi" w:hAnsiTheme="majorHAnsi"/>
        </w:rPr>
        <w:t>s</w:t>
      </w:r>
      <w:r w:rsidR="008D62F2">
        <w:rPr>
          <w:rFonts w:asciiTheme="majorHAnsi" w:hAnsiTheme="majorHAnsi"/>
        </w:rPr>
        <w:t>cript being supplied. The entry criteri</w:t>
      </w:r>
      <w:r w:rsidR="00CC0275">
        <w:rPr>
          <w:rFonts w:asciiTheme="majorHAnsi" w:hAnsiTheme="majorHAnsi"/>
        </w:rPr>
        <w:t>on</w:t>
      </w:r>
      <w:r w:rsidR="008D62F2">
        <w:rPr>
          <w:rFonts w:asciiTheme="majorHAnsi" w:hAnsiTheme="majorHAnsi"/>
        </w:rPr>
        <w:t xml:space="preserve"> for this analysis was any de-identified patient record with a first supply of any antipsychotic between 1 December 2011 and 1 December 2012.</w:t>
      </w:r>
    </w:p>
    <w:p w:rsidR="00B53BBA" w:rsidRDefault="00B53BBA" w:rsidP="009D1AF8">
      <w:pPr>
        <w:spacing w:after="0" w:line="280" w:lineRule="atLeast"/>
        <w:jc w:val="both"/>
        <w:rPr>
          <w:rFonts w:asciiTheme="majorHAnsi" w:hAnsiTheme="majorHAnsi"/>
        </w:rPr>
      </w:pPr>
    </w:p>
    <w:p w:rsidR="0094658B" w:rsidRDefault="00EA62A3" w:rsidP="009D1AF8">
      <w:pPr>
        <w:spacing w:after="0" w:line="280" w:lineRule="atLeast"/>
        <w:jc w:val="both"/>
        <w:rPr>
          <w:rFonts w:asciiTheme="majorHAnsi" w:hAnsiTheme="majorHAnsi"/>
        </w:rPr>
      </w:pPr>
      <w:r>
        <w:rPr>
          <w:rFonts w:asciiTheme="majorHAnsi" w:hAnsiTheme="majorHAnsi"/>
        </w:rPr>
        <w:t xml:space="preserve">In order to examine the </w:t>
      </w:r>
      <w:r w:rsidR="008D62F2">
        <w:rPr>
          <w:rFonts w:asciiTheme="majorHAnsi" w:hAnsiTheme="majorHAnsi"/>
        </w:rPr>
        <w:t xml:space="preserve">drug </w:t>
      </w:r>
      <w:r w:rsidR="00B53BBA" w:rsidRPr="00CE6E93">
        <w:rPr>
          <w:rFonts w:asciiTheme="majorHAnsi" w:hAnsiTheme="majorHAnsi"/>
        </w:rPr>
        <w:t xml:space="preserve">regimens </w:t>
      </w:r>
      <w:r>
        <w:rPr>
          <w:rFonts w:asciiTheme="majorHAnsi" w:hAnsiTheme="majorHAnsi"/>
        </w:rPr>
        <w:t xml:space="preserve">for patients </w:t>
      </w:r>
      <w:r w:rsidR="00F73370">
        <w:rPr>
          <w:rFonts w:asciiTheme="majorHAnsi" w:hAnsiTheme="majorHAnsi"/>
        </w:rPr>
        <w:t xml:space="preserve">taking an antipsychotic </w:t>
      </w:r>
      <w:r>
        <w:rPr>
          <w:rFonts w:asciiTheme="majorHAnsi" w:hAnsiTheme="majorHAnsi"/>
        </w:rPr>
        <w:t xml:space="preserve">a </w:t>
      </w:r>
      <w:r w:rsidR="00955A91">
        <w:rPr>
          <w:rFonts w:asciiTheme="majorHAnsi" w:hAnsiTheme="majorHAnsi"/>
        </w:rPr>
        <w:t xml:space="preserve">random </w:t>
      </w:r>
      <w:r>
        <w:rPr>
          <w:rFonts w:asciiTheme="majorHAnsi" w:hAnsiTheme="majorHAnsi"/>
        </w:rPr>
        <w:t xml:space="preserve">10% sample of </w:t>
      </w:r>
      <w:r w:rsidR="00F73370">
        <w:rPr>
          <w:rFonts w:asciiTheme="majorHAnsi" w:hAnsiTheme="majorHAnsi"/>
        </w:rPr>
        <w:t xml:space="preserve">all de-identified patients receiving a prescription for an antipsychotic between 1 December 2010 and 31 December 2012 were extracted. </w:t>
      </w:r>
      <w:r w:rsidR="00955A91">
        <w:rPr>
          <w:rFonts w:asciiTheme="majorHAnsi" w:hAnsiTheme="majorHAnsi"/>
        </w:rPr>
        <w:t xml:space="preserve">The </w:t>
      </w:r>
      <w:r w:rsidR="00F73370">
        <w:rPr>
          <w:rFonts w:asciiTheme="majorHAnsi" w:hAnsiTheme="majorHAnsi"/>
        </w:rPr>
        <w:t>in</w:t>
      </w:r>
      <w:r>
        <w:rPr>
          <w:rFonts w:asciiTheme="majorHAnsi" w:hAnsiTheme="majorHAnsi"/>
        </w:rPr>
        <w:t>d</w:t>
      </w:r>
      <w:r w:rsidR="00F73370">
        <w:rPr>
          <w:rFonts w:asciiTheme="majorHAnsi" w:hAnsiTheme="majorHAnsi"/>
        </w:rPr>
        <w:t>ex</w:t>
      </w:r>
      <w:r>
        <w:rPr>
          <w:rFonts w:asciiTheme="majorHAnsi" w:hAnsiTheme="majorHAnsi"/>
        </w:rPr>
        <w:t xml:space="preserve"> date </w:t>
      </w:r>
      <w:r w:rsidR="00955A91">
        <w:rPr>
          <w:rFonts w:asciiTheme="majorHAnsi" w:hAnsiTheme="majorHAnsi"/>
        </w:rPr>
        <w:t xml:space="preserve">for ‘on antipsychotic therapy’ </w:t>
      </w:r>
      <w:r>
        <w:rPr>
          <w:rFonts w:asciiTheme="majorHAnsi" w:hAnsiTheme="majorHAnsi"/>
        </w:rPr>
        <w:t xml:space="preserve">of </w:t>
      </w:r>
      <w:r w:rsidR="00F73370">
        <w:rPr>
          <w:rFonts w:asciiTheme="majorHAnsi" w:hAnsiTheme="majorHAnsi"/>
        </w:rPr>
        <w:t xml:space="preserve">31 October 2012 </w:t>
      </w:r>
      <w:r w:rsidR="00955A91">
        <w:rPr>
          <w:rFonts w:asciiTheme="majorHAnsi" w:hAnsiTheme="majorHAnsi"/>
        </w:rPr>
        <w:t xml:space="preserve">was selected. The analysis cohort was </w:t>
      </w:r>
      <w:r w:rsidR="00F73370">
        <w:rPr>
          <w:rFonts w:asciiTheme="majorHAnsi" w:hAnsiTheme="majorHAnsi"/>
        </w:rPr>
        <w:t xml:space="preserve">any patient who was currently </w:t>
      </w:r>
      <w:r w:rsidR="00955A91">
        <w:rPr>
          <w:rFonts w:asciiTheme="majorHAnsi" w:hAnsiTheme="majorHAnsi"/>
        </w:rPr>
        <w:t>having a</w:t>
      </w:r>
      <w:r w:rsidR="00EE7AD2">
        <w:rPr>
          <w:rFonts w:asciiTheme="majorHAnsi" w:hAnsiTheme="majorHAnsi"/>
        </w:rPr>
        <w:t xml:space="preserve">n </w:t>
      </w:r>
      <w:r w:rsidR="00C467A8">
        <w:rPr>
          <w:rFonts w:asciiTheme="majorHAnsi" w:hAnsiTheme="majorHAnsi"/>
        </w:rPr>
        <w:t>antipsychotic</w:t>
      </w:r>
      <w:r w:rsidR="00955A91">
        <w:rPr>
          <w:rFonts w:asciiTheme="majorHAnsi" w:hAnsiTheme="majorHAnsi"/>
        </w:rPr>
        <w:t xml:space="preserve"> medicine. A </w:t>
      </w:r>
      <w:r w:rsidR="00C467A8">
        <w:rPr>
          <w:rFonts w:asciiTheme="majorHAnsi" w:hAnsiTheme="majorHAnsi"/>
        </w:rPr>
        <w:t xml:space="preserve">standard coverage days method based on </w:t>
      </w:r>
      <w:r w:rsidR="00F73370">
        <w:rPr>
          <w:rFonts w:asciiTheme="majorHAnsi" w:hAnsiTheme="majorHAnsi"/>
        </w:rPr>
        <w:t>date of supply of prescriptions</w:t>
      </w:r>
      <w:r w:rsidR="006765E6" w:rsidRPr="006765E6">
        <w:rPr>
          <w:rFonts w:asciiTheme="majorHAnsi" w:hAnsiTheme="majorHAnsi"/>
          <w:vertAlign w:val="superscript"/>
        </w:rPr>
        <w:t>7</w:t>
      </w:r>
      <w:r w:rsidR="006765E6">
        <w:rPr>
          <w:rFonts w:asciiTheme="majorHAnsi" w:hAnsiTheme="majorHAnsi"/>
        </w:rPr>
        <w:t xml:space="preserve"> </w:t>
      </w:r>
      <w:r w:rsidR="00955A91">
        <w:rPr>
          <w:rFonts w:asciiTheme="majorHAnsi" w:hAnsiTheme="majorHAnsi"/>
        </w:rPr>
        <w:t>was used to estimate</w:t>
      </w:r>
      <w:r w:rsidR="00F92A0C" w:rsidRPr="00F92A0C">
        <w:rPr>
          <w:rFonts w:asciiTheme="majorHAnsi" w:hAnsiTheme="majorHAnsi"/>
        </w:rPr>
        <w:t xml:space="preserve"> </w:t>
      </w:r>
      <w:r w:rsidR="00C467A8">
        <w:rPr>
          <w:rFonts w:asciiTheme="majorHAnsi" w:hAnsiTheme="majorHAnsi"/>
        </w:rPr>
        <w:t xml:space="preserve">prior, </w:t>
      </w:r>
      <w:r w:rsidR="00F92A0C" w:rsidRPr="00F92A0C">
        <w:rPr>
          <w:rFonts w:asciiTheme="majorHAnsi" w:hAnsiTheme="majorHAnsi"/>
        </w:rPr>
        <w:t xml:space="preserve">sequential or co-administered psychotropic </w:t>
      </w:r>
      <w:r w:rsidR="00C77401">
        <w:rPr>
          <w:rFonts w:asciiTheme="majorHAnsi" w:hAnsiTheme="majorHAnsi"/>
        </w:rPr>
        <w:t>medicines</w:t>
      </w:r>
      <w:r w:rsidR="00F92A0C" w:rsidRPr="00F92A0C">
        <w:rPr>
          <w:rFonts w:asciiTheme="majorHAnsi" w:hAnsiTheme="majorHAnsi"/>
        </w:rPr>
        <w:t xml:space="preserve"> </w:t>
      </w:r>
      <w:r w:rsidR="00955A91">
        <w:rPr>
          <w:rFonts w:asciiTheme="majorHAnsi" w:hAnsiTheme="majorHAnsi"/>
        </w:rPr>
        <w:t>(using ATC classification N05A and N06A)</w:t>
      </w:r>
      <w:r w:rsidR="00C467A8">
        <w:rPr>
          <w:rFonts w:asciiTheme="majorHAnsi" w:hAnsiTheme="majorHAnsi"/>
        </w:rPr>
        <w:t xml:space="preserve">. </w:t>
      </w:r>
    </w:p>
    <w:p w:rsidR="00CC0275" w:rsidRDefault="00CC0275" w:rsidP="009D1AF8">
      <w:pPr>
        <w:spacing w:after="0" w:line="280" w:lineRule="atLeast"/>
        <w:jc w:val="both"/>
        <w:rPr>
          <w:rFonts w:asciiTheme="majorHAnsi" w:hAnsiTheme="majorHAnsi"/>
        </w:rPr>
      </w:pPr>
    </w:p>
    <w:p w:rsidR="009A12C5" w:rsidRDefault="003B303D" w:rsidP="009D1AF8">
      <w:pPr>
        <w:spacing w:after="0" w:line="280" w:lineRule="atLeast"/>
        <w:jc w:val="both"/>
        <w:rPr>
          <w:rFonts w:asciiTheme="majorHAnsi" w:hAnsiTheme="majorHAnsi"/>
        </w:rPr>
      </w:pPr>
      <w:r>
        <w:rPr>
          <w:rFonts w:asciiTheme="majorHAnsi" w:hAnsiTheme="majorHAnsi"/>
        </w:rPr>
        <w:t>P</w:t>
      </w:r>
      <w:r w:rsidR="0094658B">
        <w:rPr>
          <w:rFonts w:asciiTheme="majorHAnsi" w:hAnsiTheme="majorHAnsi"/>
        </w:rPr>
        <w:t>re</w:t>
      </w:r>
      <w:r w:rsidR="0094658B" w:rsidRPr="0094658B">
        <w:rPr>
          <w:rFonts w:asciiTheme="majorHAnsi" w:hAnsiTheme="majorHAnsi"/>
        </w:rPr>
        <w:t xml:space="preserve">scriber </w:t>
      </w:r>
      <w:r w:rsidR="0094658B">
        <w:rPr>
          <w:rFonts w:asciiTheme="majorHAnsi" w:hAnsiTheme="majorHAnsi"/>
        </w:rPr>
        <w:t>t</w:t>
      </w:r>
      <w:r w:rsidR="0094658B" w:rsidRPr="0094658B">
        <w:rPr>
          <w:rFonts w:asciiTheme="majorHAnsi" w:hAnsiTheme="majorHAnsi"/>
        </w:rPr>
        <w:t xml:space="preserve">ype was </w:t>
      </w:r>
      <w:r w:rsidR="0094658B">
        <w:rPr>
          <w:rFonts w:asciiTheme="majorHAnsi" w:hAnsiTheme="majorHAnsi"/>
        </w:rPr>
        <w:t xml:space="preserve">determined </w:t>
      </w:r>
      <w:r w:rsidR="00CC0275">
        <w:rPr>
          <w:rFonts w:asciiTheme="majorHAnsi" w:hAnsiTheme="majorHAnsi"/>
        </w:rPr>
        <w:t xml:space="preserve">from the speciality of the authorised prescriber in the initiating patients’ </w:t>
      </w:r>
      <w:r w:rsidR="00EC5963">
        <w:rPr>
          <w:rFonts w:asciiTheme="majorHAnsi" w:hAnsiTheme="majorHAnsi"/>
        </w:rPr>
        <w:t xml:space="preserve">dataset </w:t>
      </w:r>
      <w:r w:rsidR="00CC0275">
        <w:rPr>
          <w:rFonts w:asciiTheme="majorHAnsi" w:hAnsiTheme="majorHAnsi"/>
        </w:rPr>
        <w:t>first prescription supplied between 1</w:t>
      </w:r>
      <w:r w:rsidR="0094658B" w:rsidRPr="0094658B">
        <w:rPr>
          <w:rFonts w:asciiTheme="majorHAnsi" w:hAnsiTheme="majorHAnsi"/>
        </w:rPr>
        <w:t xml:space="preserve"> December 2011 </w:t>
      </w:r>
      <w:r w:rsidR="00955A91">
        <w:rPr>
          <w:rFonts w:asciiTheme="majorHAnsi" w:hAnsiTheme="majorHAnsi"/>
        </w:rPr>
        <w:t>and</w:t>
      </w:r>
      <w:r w:rsidR="0094658B" w:rsidRPr="0094658B">
        <w:rPr>
          <w:rFonts w:asciiTheme="majorHAnsi" w:hAnsiTheme="majorHAnsi"/>
        </w:rPr>
        <w:t xml:space="preserve"> </w:t>
      </w:r>
      <w:r w:rsidR="00CC0275">
        <w:rPr>
          <w:rFonts w:asciiTheme="majorHAnsi" w:hAnsiTheme="majorHAnsi"/>
        </w:rPr>
        <w:t xml:space="preserve">31 </w:t>
      </w:r>
      <w:r w:rsidR="0094658B" w:rsidRPr="0094658B">
        <w:rPr>
          <w:rFonts w:asciiTheme="majorHAnsi" w:hAnsiTheme="majorHAnsi"/>
        </w:rPr>
        <w:t>March 2012</w:t>
      </w:r>
      <w:r w:rsidR="0094658B">
        <w:rPr>
          <w:rFonts w:asciiTheme="majorHAnsi" w:hAnsiTheme="majorHAnsi"/>
        </w:rPr>
        <w:t>. Initiators</w:t>
      </w:r>
      <w:r w:rsidR="0094658B" w:rsidRPr="0094658B">
        <w:rPr>
          <w:rFonts w:asciiTheme="majorHAnsi" w:hAnsiTheme="majorHAnsi"/>
        </w:rPr>
        <w:t xml:space="preserve"> were followed up for exactly 9 months</w:t>
      </w:r>
      <w:r w:rsidR="0094658B">
        <w:rPr>
          <w:rFonts w:asciiTheme="majorHAnsi" w:hAnsiTheme="majorHAnsi"/>
        </w:rPr>
        <w:t xml:space="preserve"> and t</w:t>
      </w:r>
      <w:r w:rsidR="0094658B" w:rsidRPr="0094658B">
        <w:rPr>
          <w:rFonts w:asciiTheme="majorHAnsi" w:hAnsiTheme="majorHAnsi"/>
        </w:rPr>
        <w:t>he approved prescriber type of each of the</w:t>
      </w:r>
      <w:r w:rsidR="0094658B">
        <w:rPr>
          <w:rFonts w:asciiTheme="majorHAnsi" w:hAnsiTheme="majorHAnsi"/>
        </w:rPr>
        <w:t xml:space="preserve"> initiator’s first three </w:t>
      </w:r>
      <w:r w:rsidR="0094658B" w:rsidRPr="0094658B">
        <w:rPr>
          <w:rFonts w:asciiTheme="majorHAnsi" w:hAnsiTheme="majorHAnsi"/>
        </w:rPr>
        <w:t xml:space="preserve">original scripts </w:t>
      </w:r>
      <w:r w:rsidR="0094658B">
        <w:rPr>
          <w:rFonts w:asciiTheme="majorHAnsi" w:hAnsiTheme="majorHAnsi"/>
        </w:rPr>
        <w:t xml:space="preserve">supplied </w:t>
      </w:r>
      <w:r w:rsidR="0094658B" w:rsidRPr="0094658B">
        <w:rPr>
          <w:rFonts w:asciiTheme="majorHAnsi" w:hAnsiTheme="majorHAnsi"/>
        </w:rPr>
        <w:t>in this 9</w:t>
      </w:r>
      <w:r w:rsidR="0094658B">
        <w:rPr>
          <w:rFonts w:asciiTheme="majorHAnsi" w:hAnsiTheme="majorHAnsi"/>
        </w:rPr>
        <w:t>-</w:t>
      </w:r>
      <w:r w:rsidR="0094658B" w:rsidRPr="0094658B">
        <w:rPr>
          <w:rFonts w:asciiTheme="majorHAnsi" w:hAnsiTheme="majorHAnsi"/>
        </w:rPr>
        <w:t>month period was determined.</w:t>
      </w:r>
    </w:p>
    <w:p w:rsidR="00310F34" w:rsidRDefault="00310F34" w:rsidP="009A12C5">
      <w:pPr>
        <w:spacing w:after="0" w:line="280" w:lineRule="atLeast"/>
        <w:rPr>
          <w:rFonts w:asciiTheme="majorHAnsi" w:hAnsiTheme="majorHAnsi"/>
        </w:rPr>
      </w:pPr>
    </w:p>
    <w:p w:rsidR="000F5BAA" w:rsidRPr="00CE6E93" w:rsidRDefault="000F5BAA" w:rsidP="009A12C5">
      <w:pPr>
        <w:spacing w:after="0" w:line="280" w:lineRule="atLeast"/>
        <w:rPr>
          <w:rFonts w:asciiTheme="majorHAnsi" w:hAnsiTheme="majorHAnsi"/>
        </w:rPr>
      </w:pPr>
    </w:p>
    <w:p w:rsidR="00EF616B" w:rsidRPr="00CE6E93" w:rsidRDefault="00EF616B" w:rsidP="003B7C41">
      <w:pPr>
        <w:pStyle w:val="Heading2"/>
      </w:pPr>
      <w:r w:rsidRPr="00CE6E93">
        <w:t>Abbreviations</w:t>
      </w:r>
    </w:p>
    <w:tbl>
      <w:tblPr>
        <w:tblW w:w="5660" w:type="dxa"/>
        <w:tblInd w:w="93" w:type="dxa"/>
        <w:tblLook w:val="04A0" w:firstRow="1" w:lastRow="0" w:firstColumn="1" w:lastColumn="0" w:noHBand="0" w:noVBand="1"/>
      </w:tblPr>
      <w:tblGrid>
        <w:gridCol w:w="1980"/>
        <w:gridCol w:w="3680"/>
      </w:tblGrid>
      <w:tr w:rsidR="00F92A0C" w:rsidRPr="00546C60" w:rsidTr="00F92A0C">
        <w:trPr>
          <w:trHeight w:val="300"/>
        </w:trPr>
        <w:tc>
          <w:tcPr>
            <w:tcW w:w="1980" w:type="dxa"/>
            <w:tcBorders>
              <w:top w:val="nil"/>
              <w:left w:val="nil"/>
              <w:bottom w:val="nil"/>
              <w:right w:val="nil"/>
            </w:tcBorders>
            <w:shd w:val="clear" w:color="auto" w:fill="auto"/>
            <w:noWrap/>
            <w:vAlign w:val="bottom"/>
          </w:tcPr>
          <w:p w:rsidR="00F92A0C" w:rsidRPr="00F92A0C" w:rsidRDefault="00F92A0C" w:rsidP="002C53E4">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AC</w:t>
            </w:r>
          </w:p>
        </w:tc>
        <w:tc>
          <w:tcPr>
            <w:tcW w:w="3680" w:type="dxa"/>
            <w:tcBorders>
              <w:top w:val="nil"/>
              <w:left w:val="nil"/>
              <w:bottom w:val="nil"/>
              <w:right w:val="nil"/>
            </w:tcBorders>
            <w:shd w:val="clear" w:color="auto" w:fill="auto"/>
            <w:noWrap/>
            <w:vAlign w:val="bottom"/>
          </w:tcPr>
          <w:p w:rsidR="00F92A0C" w:rsidRPr="00F92A0C" w:rsidRDefault="00F92A0C" w:rsidP="002C53E4">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Anticholinesterases</w:t>
            </w:r>
          </w:p>
        </w:tc>
      </w:tr>
      <w:tr w:rsidR="00F92A0C" w:rsidRPr="00546C60" w:rsidTr="00F92A0C">
        <w:trPr>
          <w:trHeight w:val="300"/>
        </w:trPr>
        <w:tc>
          <w:tcPr>
            <w:tcW w:w="1980" w:type="dxa"/>
            <w:tcBorders>
              <w:top w:val="nil"/>
              <w:left w:val="nil"/>
              <w:bottom w:val="nil"/>
              <w:right w:val="nil"/>
            </w:tcBorders>
            <w:shd w:val="clear" w:color="auto" w:fill="auto"/>
            <w:noWrap/>
            <w:vAlign w:val="bottom"/>
          </w:tcPr>
          <w:p w:rsidR="00F92A0C" w:rsidRPr="00F92A0C" w:rsidRDefault="00F92A0C" w:rsidP="002C53E4">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AD</w:t>
            </w:r>
          </w:p>
        </w:tc>
        <w:tc>
          <w:tcPr>
            <w:tcW w:w="3680" w:type="dxa"/>
            <w:tcBorders>
              <w:top w:val="nil"/>
              <w:left w:val="nil"/>
              <w:bottom w:val="nil"/>
              <w:right w:val="nil"/>
            </w:tcBorders>
            <w:shd w:val="clear" w:color="auto" w:fill="auto"/>
            <w:noWrap/>
            <w:vAlign w:val="bottom"/>
          </w:tcPr>
          <w:p w:rsidR="00F92A0C" w:rsidRPr="00F92A0C" w:rsidRDefault="00F92A0C" w:rsidP="002C53E4">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Antidepressants</w:t>
            </w:r>
          </w:p>
        </w:tc>
      </w:tr>
      <w:tr w:rsidR="00F92A0C" w:rsidRPr="00546C60" w:rsidTr="00F92A0C">
        <w:trPr>
          <w:trHeight w:val="300"/>
        </w:trPr>
        <w:tc>
          <w:tcPr>
            <w:tcW w:w="1980" w:type="dxa"/>
            <w:tcBorders>
              <w:top w:val="nil"/>
              <w:left w:val="nil"/>
              <w:bottom w:val="nil"/>
              <w:right w:val="nil"/>
            </w:tcBorders>
            <w:shd w:val="clear" w:color="auto" w:fill="auto"/>
            <w:noWrap/>
            <w:vAlign w:val="bottom"/>
          </w:tcPr>
          <w:p w:rsidR="00F92A0C" w:rsidRPr="00F92A0C" w:rsidRDefault="00F92A0C" w:rsidP="002C53E4">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AP</w:t>
            </w:r>
          </w:p>
        </w:tc>
        <w:tc>
          <w:tcPr>
            <w:tcW w:w="3680" w:type="dxa"/>
            <w:tcBorders>
              <w:top w:val="nil"/>
              <w:left w:val="nil"/>
              <w:bottom w:val="nil"/>
              <w:right w:val="nil"/>
            </w:tcBorders>
            <w:shd w:val="clear" w:color="auto" w:fill="auto"/>
            <w:noWrap/>
            <w:vAlign w:val="bottom"/>
          </w:tcPr>
          <w:p w:rsidR="00F92A0C" w:rsidRPr="00F92A0C" w:rsidRDefault="00F92A0C" w:rsidP="002C53E4">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Antipsychotics</w:t>
            </w:r>
          </w:p>
        </w:tc>
      </w:tr>
      <w:tr w:rsidR="00392505" w:rsidRPr="00546C60" w:rsidTr="00392505">
        <w:trPr>
          <w:trHeight w:val="300"/>
        </w:trPr>
        <w:tc>
          <w:tcPr>
            <w:tcW w:w="5660" w:type="dxa"/>
            <w:gridSpan w:val="2"/>
            <w:tcBorders>
              <w:top w:val="nil"/>
              <w:left w:val="nil"/>
              <w:bottom w:val="nil"/>
              <w:right w:val="nil"/>
            </w:tcBorders>
            <w:shd w:val="clear" w:color="auto" w:fill="auto"/>
            <w:noWrap/>
            <w:vAlign w:val="bottom"/>
          </w:tcPr>
          <w:p w:rsidR="00392505" w:rsidRPr="00F92A0C" w:rsidRDefault="00392505" w:rsidP="00392505">
            <w:pPr>
              <w:spacing w:after="0"/>
              <w:rPr>
                <w:rFonts w:asciiTheme="majorHAnsi" w:eastAsia="Times New Roman" w:hAnsiTheme="majorHAnsi" w:cs="Calibri"/>
                <w:color w:val="000000"/>
                <w:sz w:val="22"/>
                <w:lang w:eastAsia="en-AU"/>
              </w:rPr>
            </w:pPr>
            <w:r>
              <w:rPr>
                <w:rFonts w:asciiTheme="majorHAnsi" w:eastAsia="Times New Roman" w:hAnsiTheme="majorHAnsi" w:cs="Calibri"/>
                <w:color w:val="000000"/>
                <w:sz w:val="22"/>
                <w:lang w:eastAsia="en-AU"/>
              </w:rPr>
              <w:t>Atypical Antipsychotics</w:t>
            </w:r>
          </w:p>
        </w:tc>
      </w:tr>
      <w:tr w:rsidR="00BD0ED2" w:rsidRPr="00546C60" w:rsidTr="00F92A0C">
        <w:trPr>
          <w:trHeight w:val="300"/>
        </w:trPr>
        <w:tc>
          <w:tcPr>
            <w:tcW w:w="1980" w:type="dxa"/>
            <w:tcBorders>
              <w:top w:val="nil"/>
              <w:left w:val="nil"/>
              <w:bottom w:val="nil"/>
              <w:right w:val="nil"/>
            </w:tcBorders>
            <w:shd w:val="clear" w:color="auto" w:fill="auto"/>
            <w:noWrap/>
            <w:vAlign w:val="bottom"/>
          </w:tcPr>
          <w:p w:rsidR="00BD0ED2" w:rsidRPr="00F92A0C" w:rsidRDefault="00BD0ED2" w:rsidP="002C53E4">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AMIS</w:t>
            </w:r>
          </w:p>
        </w:tc>
        <w:tc>
          <w:tcPr>
            <w:tcW w:w="3680" w:type="dxa"/>
            <w:tcBorders>
              <w:top w:val="nil"/>
              <w:left w:val="nil"/>
              <w:bottom w:val="nil"/>
              <w:right w:val="nil"/>
            </w:tcBorders>
            <w:shd w:val="clear" w:color="auto" w:fill="auto"/>
            <w:noWrap/>
            <w:vAlign w:val="bottom"/>
          </w:tcPr>
          <w:p w:rsidR="00BD0ED2" w:rsidRPr="00F92A0C" w:rsidRDefault="00BD0ED2" w:rsidP="002C53E4">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AMISULPRIDE</w:t>
            </w:r>
          </w:p>
        </w:tc>
      </w:tr>
      <w:tr w:rsidR="00BD0ED2" w:rsidRPr="00546C60" w:rsidTr="00F92A0C">
        <w:trPr>
          <w:trHeight w:val="300"/>
        </w:trPr>
        <w:tc>
          <w:tcPr>
            <w:tcW w:w="1980" w:type="dxa"/>
            <w:tcBorders>
              <w:top w:val="nil"/>
              <w:left w:val="nil"/>
              <w:bottom w:val="nil"/>
              <w:right w:val="nil"/>
            </w:tcBorders>
            <w:shd w:val="clear" w:color="auto" w:fill="auto"/>
            <w:noWrap/>
            <w:vAlign w:val="bottom"/>
          </w:tcPr>
          <w:p w:rsidR="00BD0ED2" w:rsidRPr="00F92A0C" w:rsidRDefault="00BD0ED2" w:rsidP="002C53E4">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ARIP</w:t>
            </w:r>
          </w:p>
        </w:tc>
        <w:tc>
          <w:tcPr>
            <w:tcW w:w="3680" w:type="dxa"/>
            <w:tcBorders>
              <w:top w:val="nil"/>
              <w:left w:val="nil"/>
              <w:bottom w:val="nil"/>
              <w:right w:val="nil"/>
            </w:tcBorders>
            <w:shd w:val="clear" w:color="auto" w:fill="auto"/>
            <w:noWrap/>
            <w:vAlign w:val="bottom"/>
          </w:tcPr>
          <w:p w:rsidR="00BD0ED2" w:rsidRPr="00F92A0C" w:rsidRDefault="00BD0ED2" w:rsidP="002C53E4">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ARIPIPRAZOLE</w:t>
            </w:r>
          </w:p>
        </w:tc>
      </w:tr>
      <w:tr w:rsidR="00BD0ED2" w:rsidRPr="00546C60" w:rsidTr="00F92A0C">
        <w:trPr>
          <w:trHeight w:val="300"/>
        </w:trPr>
        <w:tc>
          <w:tcPr>
            <w:tcW w:w="1980" w:type="dxa"/>
            <w:tcBorders>
              <w:top w:val="nil"/>
              <w:left w:val="nil"/>
              <w:bottom w:val="nil"/>
              <w:right w:val="nil"/>
            </w:tcBorders>
            <w:shd w:val="clear" w:color="auto" w:fill="auto"/>
            <w:noWrap/>
            <w:vAlign w:val="bottom"/>
          </w:tcPr>
          <w:p w:rsidR="00BD0ED2" w:rsidRPr="00F92A0C" w:rsidRDefault="00BD0ED2" w:rsidP="002C53E4">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ASEN</w:t>
            </w:r>
          </w:p>
        </w:tc>
        <w:tc>
          <w:tcPr>
            <w:tcW w:w="3680" w:type="dxa"/>
            <w:tcBorders>
              <w:top w:val="nil"/>
              <w:left w:val="nil"/>
              <w:bottom w:val="nil"/>
              <w:right w:val="nil"/>
            </w:tcBorders>
            <w:shd w:val="clear" w:color="auto" w:fill="auto"/>
            <w:noWrap/>
            <w:vAlign w:val="bottom"/>
          </w:tcPr>
          <w:p w:rsidR="00BD0ED2" w:rsidRPr="00F92A0C" w:rsidRDefault="00BD0ED2" w:rsidP="002C53E4">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ASENAPINE</w:t>
            </w:r>
          </w:p>
        </w:tc>
      </w:tr>
      <w:tr w:rsidR="00BD0ED2" w:rsidRPr="00546C60" w:rsidTr="00F92A0C">
        <w:trPr>
          <w:trHeight w:val="300"/>
        </w:trPr>
        <w:tc>
          <w:tcPr>
            <w:tcW w:w="1980" w:type="dxa"/>
            <w:tcBorders>
              <w:top w:val="nil"/>
              <w:left w:val="nil"/>
              <w:bottom w:val="nil"/>
              <w:right w:val="nil"/>
            </w:tcBorders>
            <w:shd w:val="clear" w:color="auto" w:fill="auto"/>
            <w:noWrap/>
            <w:vAlign w:val="bottom"/>
          </w:tcPr>
          <w:p w:rsidR="00BD0ED2" w:rsidRPr="00F92A0C" w:rsidRDefault="00BD0ED2" w:rsidP="002C53E4">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CLOZ</w:t>
            </w:r>
          </w:p>
        </w:tc>
        <w:tc>
          <w:tcPr>
            <w:tcW w:w="3680" w:type="dxa"/>
            <w:tcBorders>
              <w:top w:val="nil"/>
              <w:left w:val="nil"/>
              <w:bottom w:val="nil"/>
              <w:right w:val="nil"/>
            </w:tcBorders>
            <w:shd w:val="clear" w:color="auto" w:fill="auto"/>
            <w:noWrap/>
            <w:vAlign w:val="bottom"/>
          </w:tcPr>
          <w:p w:rsidR="00BD0ED2" w:rsidRPr="00F92A0C" w:rsidRDefault="00BD0ED2" w:rsidP="002C53E4">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CLOZAPINE</w:t>
            </w:r>
          </w:p>
        </w:tc>
      </w:tr>
      <w:tr w:rsidR="00BD0ED2" w:rsidRPr="00546C60" w:rsidTr="00F92A0C">
        <w:trPr>
          <w:trHeight w:val="300"/>
        </w:trPr>
        <w:tc>
          <w:tcPr>
            <w:tcW w:w="1980" w:type="dxa"/>
            <w:tcBorders>
              <w:top w:val="nil"/>
              <w:left w:val="nil"/>
              <w:bottom w:val="nil"/>
              <w:right w:val="nil"/>
            </w:tcBorders>
            <w:shd w:val="clear" w:color="auto" w:fill="auto"/>
            <w:noWrap/>
            <w:vAlign w:val="bottom"/>
          </w:tcPr>
          <w:p w:rsidR="00BD0ED2" w:rsidRPr="00F92A0C" w:rsidRDefault="00BD0ED2" w:rsidP="002C53E4">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OLAN</w:t>
            </w:r>
          </w:p>
        </w:tc>
        <w:tc>
          <w:tcPr>
            <w:tcW w:w="3680" w:type="dxa"/>
            <w:tcBorders>
              <w:top w:val="nil"/>
              <w:left w:val="nil"/>
              <w:bottom w:val="nil"/>
              <w:right w:val="nil"/>
            </w:tcBorders>
            <w:shd w:val="clear" w:color="auto" w:fill="auto"/>
            <w:noWrap/>
            <w:vAlign w:val="bottom"/>
          </w:tcPr>
          <w:p w:rsidR="00BD0ED2" w:rsidRPr="00F92A0C" w:rsidRDefault="00BD0ED2" w:rsidP="002C53E4">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OLANZAPINE</w:t>
            </w:r>
          </w:p>
        </w:tc>
      </w:tr>
      <w:tr w:rsidR="00BD0ED2" w:rsidRPr="00546C60" w:rsidTr="00F92A0C">
        <w:trPr>
          <w:trHeight w:val="300"/>
        </w:trPr>
        <w:tc>
          <w:tcPr>
            <w:tcW w:w="1980" w:type="dxa"/>
            <w:tcBorders>
              <w:top w:val="nil"/>
              <w:left w:val="nil"/>
              <w:bottom w:val="nil"/>
              <w:right w:val="nil"/>
            </w:tcBorders>
            <w:shd w:val="clear" w:color="auto" w:fill="auto"/>
            <w:noWrap/>
            <w:vAlign w:val="bottom"/>
          </w:tcPr>
          <w:p w:rsidR="00BD0ED2" w:rsidRPr="00F92A0C" w:rsidRDefault="00BD0ED2" w:rsidP="002C53E4">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PALI</w:t>
            </w:r>
          </w:p>
        </w:tc>
        <w:tc>
          <w:tcPr>
            <w:tcW w:w="3680" w:type="dxa"/>
            <w:tcBorders>
              <w:top w:val="nil"/>
              <w:left w:val="nil"/>
              <w:bottom w:val="nil"/>
              <w:right w:val="nil"/>
            </w:tcBorders>
            <w:shd w:val="clear" w:color="auto" w:fill="auto"/>
            <w:noWrap/>
            <w:vAlign w:val="bottom"/>
          </w:tcPr>
          <w:p w:rsidR="00BD0ED2" w:rsidRPr="00F92A0C" w:rsidRDefault="00BD0ED2" w:rsidP="002C53E4">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PALIPERIDONE</w:t>
            </w:r>
          </w:p>
        </w:tc>
      </w:tr>
      <w:tr w:rsidR="00BD0ED2" w:rsidRPr="00546C60" w:rsidTr="00F92A0C">
        <w:trPr>
          <w:trHeight w:val="300"/>
        </w:trPr>
        <w:tc>
          <w:tcPr>
            <w:tcW w:w="1980" w:type="dxa"/>
            <w:tcBorders>
              <w:top w:val="nil"/>
              <w:left w:val="nil"/>
              <w:bottom w:val="nil"/>
              <w:right w:val="nil"/>
            </w:tcBorders>
            <w:shd w:val="clear" w:color="auto" w:fill="auto"/>
            <w:noWrap/>
            <w:vAlign w:val="bottom"/>
          </w:tcPr>
          <w:p w:rsidR="00BD0ED2" w:rsidRPr="00F92A0C" w:rsidRDefault="00BD0ED2" w:rsidP="002C53E4">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QUET</w:t>
            </w:r>
          </w:p>
        </w:tc>
        <w:tc>
          <w:tcPr>
            <w:tcW w:w="3680" w:type="dxa"/>
            <w:tcBorders>
              <w:top w:val="nil"/>
              <w:left w:val="nil"/>
              <w:bottom w:val="nil"/>
              <w:right w:val="nil"/>
            </w:tcBorders>
            <w:shd w:val="clear" w:color="auto" w:fill="auto"/>
            <w:noWrap/>
            <w:vAlign w:val="bottom"/>
          </w:tcPr>
          <w:p w:rsidR="00BD0ED2" w:rsidRPr="00F92A0C" w:rsidRDefault="00BD0ED2" w:rsidP="002C53E4">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QUETIAPINE</w:t>
            </w:r>
          </w:p>
        </w:tc>
      </w:tr>
      <w:tr w:rsidR="00BD0ED2" w:rsidRPr="00546C60" w:rsidTr="00F92A0C">
        <w:trPr>
          <w:trHeight w:val="300"/>
        </w:trPr>
        <w:tc>
          <w:tcPr>
            <w:tcW w:w="1980" w:type="dxa"/>
            <w:tcBorders>
              <w:top w:val="nil"/>
              <w:left w:val="nil"/>
              <w:bottom w:val="nil"/>
              <w:right w:val="nil"/>
            </w:tcBorders>
            <w:shd w:val="clear" w:color="auto" w:fill="auto"/>
            <w:noWrap/>
            <w:vAlign w:val="bottom"/>
          </w:tcPr>
          <w:p w:rsidR="00BD0ED2" w:rsidRPr="00F92A0C" w:rsidRDefault="00BD0ED2" w:rsidP="002C53E4">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lastRenderedPageBreak/>
              <w:t>RISP</w:t>
            </w:r>
          </w:p>
        </w:tc>
        <w:tc>
          <w:tcPr>
            <w:tcW w:w="3680" w:type="dxa"/>
            <w:tcBorders>
              <w:top w:val="nil"/>
              <w:left w:val="nil"/>
              <w:bottom w:val="nil"/>
              <w:right w:val="nil"/>
            </w:tcBorders>
            <w:shd w:val="clear" w:color="auto" w:fill="auto"/>
            <w:noWrap/>
            <w:vAlign w:val="bottom"/>
          </w:tcPr>
          <w:p w:rsidR="00BD0ED2" w:rsidRPr="00F92A0C" w:rsidRDefault="00BD0ED2" w:rsidP="002C53E4">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RISPERIDONE</w:t>
            </w:r>
          </w:p>
        </w:tc>
      </w:tr>
      <w:tr w:rsidR="00BD0ED2" w:rsidRPr="00546C60" w:rsidTr="00F92A0C">
        <w:trPr>
          <w:trHeight w:val="300"/>
        </w:trPr>
        <w:tc>
          <w:tcPr>
            <w:tcW w:w="1980" w:type="dxa"/>
            <w:tcBorders>
              <w:top w:val="nil"/>
              <w:left w:val="nil"/>
              <w:bottom w:val="nil"/>
              <w:right w:val="nil"/>
            </w:tcBorders>
            <w:shd w:val="clear" w:color="auto" w:fill="auto"/>
            <w:noWrap/>
            <w:vAlign w:val="bottom"/>
          </w:tcPr>
          <w:p w:rsidR="00BD0ED2" w:rsidRPr="00F92A0C" w:rsidRDefault="00BD0ED2" w:rsidP="002C53E4">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ZIPR</w:t>
            </w:r>
          </w:p>
        </w:tc>
        <w:tc>
          <w:tcPr>
            <w:tcW w:w="3680" w:type="dxa"/>
            <w:tcBorders>
              <w:top w:val="nil"/>
              <w:left w:val="nil"/>
              <w:bottom w:val="nil"/>
              <w:right w:val="nil"/>
            </w:tcBorders>
            <w:shd w:val="clear" w:color="auto" w:fill="auto"/>
            <w:noWrap/>
            <w:vAlign w:val="bottom"/>
          </w:tcPr>
          <w:p w:rsidR="00BD0ED2" w:rsidRPr="00F92A0C" w:rsidRDefault="00BD0ED2" w:rsidP="002C53E4">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ZIPRASIDONE</w:t>
            </w:r>
          </w:p>
        </w:tc>
      </w:tr>
      <w:tr w:rsidR="00392505" w:rsidRPr="00CE6E93" w:rsidTr="00392505">
        <w:trPr>
          <w:trHeight w:val="300"/>
        </w:trPr>
        <w:tc>
          <w:tcPr>
            <w:tcW w:w="5660" w:type="dxa"/>
            <w:gridSpan w:val="2"/>
            <w:tcBorders>
              <w:top w:val="nil"/>
              <w:left w:val="nil"/>
              <w:bottom w:val="nil"/>
              <w:right w:val="nil"/>
            </w:tcBorders>
            <w:shd w:val="clear" w:color="auto" w:fill="auto"/>
            <w:noWrap/>
            <w:vAlign w:val="bottom"/>
          </w:tcPr>
          <w:p w:rsidR="00392505" w:rsidRPr="00CE6E93" w:rsidRDefault="00392505" w:rsidP="00392505">
            <w:pPr>
              <w:spacing w:after="0"/>
              <w:rPr>
                <w:rFonts w:asciiTheme="majorHAnsi" w:eastAsia="Times New Roman" w:hAnsiTheme="majorHAnsi" w:cs="Calibri"/>
                <w:color w:val="000000"/>
                <w:sz w:val="22"/>
                <w:lang w:eastAsia="en-AU"/>
              </w:rPr>
            </w:pPr>
            <w:r>
              <w:rPr>
                <w:rFonts w:asciiTheme="majorHAnsi" w:eastAsia="Times New Roman" w:hAnsiTheme="majorHAnsi" w:cs="Calibri"/>
                <w:color w:val="000000"/>
                <w:sz w:val="22"/>
                <w:lang w:eastAsia="en-AU"/>
              </w:rPr>
              <w:t xml:space="preserve">Typical </w:t>
            </w:r>
            <w:r w:rsidR="00015D32">
              <w:rPr>
                <w:rFonts w:asciiTheme="majorHAnsi" w:eastAsia="Times New Roman" w:hAnsiTheme="majorHAnsi" w:cs="Calibri"/>
                <w:color w:val="000000"/>
                <w:sz w:val="22"/>
                <w:lang w:eastAsia="en-AU"/>
              </w:rPr>
              <w:t>Antipsychotics</w:t>
            </w:r>
          </w:p>
        </w:tc>
      </w:tr>
      <w:tr w:rsidR="00015D32" w:rsidRPr="00CE6E93" w:rsidTr="00015D32">
        <w:trPr>
          <w:trHeight w:val="300"/>
        </w:trPr>
        <w:tc>
          <w:tcPr>
            <w:tcW w:w="1980" w:type="dxa"/>
            <w:tcBorders>
              <w:top w:val="nil"/>
              <w:left w:val="nil"/>
              <w:bottom w:val="nil"/>
              <w:right w:val="nil"/>
            </w:tcBorders>
            <w:shd w:val="clear" w:color="auto" w:fill="auto"/>
            <w:noWrap/>
            <w:vAlign w:val="bottom"/>
          </w:tcPr>
          <w:p w:rsidR="00015D32" w:rsidRPr="00CE6E93" w:rsidRDefault="00015D32" w:rsidP="00015D32">
            <w:pPr>
              <w:spacing w:after="0"/>
              <w:rPr>
                <w:rFonts w:asciiTheme="majorHAnsi" w:eastAsia="Times New Roman" w:hAnsiTheme="majorHAnsi" w:cs="Calibri"/>
                <w:color w:val="000000"/>
                <w:sz w:val="22"/>
                <w:lang w:eastAsia="en-AU"/>
              </w:rPr>
            </w:pPr>
            <w:r w:rsidRPr="00CE6E93">
              <w:rPr>
                <w:rFonts w:asciiTheme="majorHAnsi" w:eastAsia="Times New Roman" w:hAnsiTheme="majorHAnsi" w:cs="Calibri"/>
                <w:color w:val="000000"/>
                <w:sz w:val="22"/>
                <w:lang w:eastAsia="en-AU"/>
              </w:rPr>
              <w:t>CHLO</w:t>
            </w:r>
          </w:p>
        </w:tc>
        <w:tc>
          <w:tcPr>
            <w:tcW w:w="3680" w:type="dxa"/>
            <w:tcBorders>
              <w:top w:val="nil"/>
              <w:left w:val="nil"/>
              <w:bottom w:val="nil"/>
              <w:right w:val="nil"/>
            </w:tcBorders>
            <w:shd w:val="clear" w:color="auto" w:fill="auto"/>
            <w:noWrap/>
            <w:vAlign w:val="bottom"/>
          </w:tcPr>
          <w:p w:rsidR="00015D32" w:rsidRPr="00CE6E93" w:rsidRDefault="00015D32" w:rsidP="00015D32">
            <w:pPr>
              <w:spacing w:after="0"/>
              <w:rPr>
                <w:rFonts w:asciiTheme="majorHAnsi" w:eastAsia="Times New Roman" w:hAnsiTheme="majorHAnsi" w:cs="Calibri"/>
                <w:color w:val="000000"/>
                <w:sz w:val="22"/>
                <w:lang w:eastAsia="en-AU"/>
              </w:rPr>
            </w:pPr>
            <w:r w:rsidRPr="00CE6E93">
              <w:rPr>
                <w:rFonts w:asciiTheme="majorHAnsi" w:eastAsia="Times New Roman" w:hAnsiTheme="majorHAnsi" w:cs="Calibri"/>
                <w:color w:val="000000"/>
                <w:sz w:val="22"/>
                <w:lang w:eastAsia="en-AU"/>
              </w:rPr>
              <w:t>CHLORPROMAZINE</w:t>
            </w:r>
          </w:p>
        </w:tc>
      </w:tr>
      <w:tr w:rsidR="00015D32" w:rsidRPr="00F92A0C" w:rsidTr="00015D32">
        <w:trPr>
          <w:trHeight w:val="300"/>
        </w:trPr>
        <w:tc>
          <w:tcPr>
            <w:tcW w:w="1980" w:type="dxa"/>
            <w:tcBorders>
              <w:top w:val="nil"/>
              <w:left w:val="nil"/>
              <w:bottom w:val="nil"/>
              <w:right w:val="nil"/>
            </w:tcBorders>
            <w:shd w:val="clear" w:color="auto" w:fill="auto"/>
            <w:noWrap/>
            <w:vAlign w:val="bottom"/>
          </w:tcPr>
          <w:p w:rsidR="00015D32" w:rsidRPr="00F92A0C" w:rsidRDefault="00015D32" w:rsidP="00015D32">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FLXD</w:t>
            </w:r>
          </w:p>
        </w:tc>
        <w:tc>
          <w:tcPr>
            <w:tcW w:w="3680" w:type="dxa"/>
            <w:tcBorders>
              <w:top w:val="nil"/>
              <w:left w:val="nil"/>
              <w:bottom w:val="nil"/>
              <w:right w:val="nil"/>
            </w:tcBorders>
            <w:shd w:val="clear" w:color="auto" w:fill="auto"/>
            <w:noWrap/>
            <w:vAlign w:val="bottom"/>
          </w:tcPr>
          <w:p w:rsidR="00015D32" w:rsidRPr="00F92A0C" w:rsidRDefault="00015D32" w:rsidP="00015D32">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FLUPENTHIXOL DECANOATE</w:t>
            </w:r>
          </w:p>
        </w:tc>
      </w:tr>
      <w:tr w:rsidR="00015D32" w:rsidRPr="00F92A0C" w:rsidTr="00015D32">
        <w:trPr>
          <w:trHeight w:val="300"/>
        </w:trPr>
        <w:tc>
          <w:tcPr>
            <w:tcW w:w="1980" w:type="dxa"/>
            <w:tcBorders>
              <w:top w:val="nil"/>
              <w:left w:val="nil"/>
              <w:bottom w:val="nil"/>
              <w:right w:val="nil"/>
            </w:tcBorders>
            <w:shd w:val="clear" w:color="auto" w:fill="auto"/>
            <w:noWrap/>
            <w:vAlign w:val="bottom"/>
          </w:tcPr>
          <w:p w:rsidR="00015D32" w:rsidRPr="00F92A0C" w:rsidRDefault="00015D32" w:rsidP="00015D32">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FLZD</w:t>
            </w:r>
          </w:p>
        </w:tc>
        <w:tc>
          <w:tcPr>
            <w:tcW w:w="3680" w:type="dxa"/>
            <w:tcBorders>
              <w:top w:val="nil"/>
              <w:left w:val="nil"/>
              <w:bottom w:val="nil"/>
              <w:right w:val="nil"/>
            </w:tcBorders>
            <w:shd w:val="clear" w:color="auto" w:fill="auto"/>
            <w:noWrap/>
            <w:vAlign w:val="bottom"/>
          </w:tcPr>
          <w:p w:rsidR="00015D32" w:rsidRPr="00F92A0C" w:rsidRDefault="00015D32" w:rsidP="00015D32">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FLUPHENAZINE DECANOATE</w:t>
            </w:r>
          </w:p>
        </w:tc>
      </w:tr>
      <w:tr w:rsidR="00015D32" w:rsidRPr="00F92A0C" w:rsidTr="00015D32">
        <w:trPr>
          <w:trHeight w:val="300"/>
        </w:trPr>
        <w:tc>
          <w:tcPr>
            <w:tcW w:w="1980" w:type="dxa"/>
            <w:tcBorders>
              <w:top w:val="nil"/>
              <w:left w:val="nil"/>
              <w:bottom w:val="nil"/>
              <w:right w:val="nil"/>
            </w:tcBorders>
            <w:shd w:val="clear" w:color="auto" w:fill="auto"/>
            <w:noWrap/>
            <w:vAlign w:val="bottom"/>
          </w:tcPr>
          <w:p w:rsidR="00015D32" w:rsidRPr="00F92A0C" w:rsidRDefault="00015D32" w:rsidP="00015D32">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HALD</w:t>
            </w:r>
          </w:p>
        </w:tc>
        <w:tc>
          <w:tcPr>
            <w:tcW w:w="3680" w:type="dxa"/>
            <w:tcBorders>
              <w:top w:val="nil"/>
              <w:left w:val="nil"/>
              <w:bottom w:val="nil"/>
              <w:right w:val="nil"/>
            </w:tcBorders>
            <w:shd w:val="clear" w:color="auto" w:fill="auto"/>
            <w:noWrap/>
            <w:vAlign w:val="bottom"/>
          </w:tcPr>
          <w:p w:rsidR="00015D32" w:rsidRPr="00F92A0C" w:rsidRDefault="00015D32" w:rsidP="00015D32">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HALOPERIDOL DECANOATE</w:t>
            </w:r>
          </w:p>
        </w:tc>
      </w:tr>
      <w:tr w:rsidR="00015D32" w:rsidRPr="00CE6E93" w:rsidTr="00015D32">
        <w:trPr>
          <w:trHeight w:val="300"/>
        </w:trPr>
        <w:tc>
          <w:tcPr>
            <w:tcW w:w="1980" w:type="dxa"/>
            <w:tcBorders>
              <w:top w:val="nil"/>
              <w:left w:val="nil"/>
              <w:bottom w:val="nil"/>
              <w:right w:val="nil"/>
            </w:tcBorders>
            <w:shd w:val="clear" w:color="auto" w:fill="auto"/>
            <w:noWrap/>
            <w:vAlign w:val="bottom"/>
          </w:tcPr>
          <w:p w:rsidR="00015D32" w:rsidRPr="00CE6E93" w:rsidRDefault="00015D32" w:rsidP="00015D32">
            <w:pPr>
              <w:spacing w:after="0"/>
              <w:rPr>
                <w:rFonts w:asciiTheme="majorHAnsi" w:eastAsia="Times New Roman" w:hAnsiTheme="majorHAnsi" w:cs="Calibri"/>
                <w:color w:val="000000"/>
                <w:sz w:val="22"/>
                <w:lang w:eastAsia="en-AU"/>
              </w:rPr>
            </w:pPr>
            <w:r w:rsidRPr="00CE6E93">
              <w:rPr>
                <w:rFonts w:asciiTheme="majorHAnsi" w:eastAsia="Times New Roman" w:hAnsiTheme="majorHAnsi" w:cs="Calibri"/>
                <w:color w:val="000000"/>
                <w:sz w:val="22"/>
                <w:lang w:eastAsia="en-AU"/>
              </w:rPr>
              <w:t>HALO</w:t>
            </w:r>
          </w:p>
        </w:tc>
        <w:tc>
          <w:tcPr>
            <w:tcW w:w="3680" w:type="dxa"/>
            <w:tcBorders>
              <w:top w:val="nil"/>
              <w:left w:val="nil"/>
              <w:bottom w:val="nil"/>
              <w:right w:val="nil"/>
            </w:tcBorders>
            <w:shd w:val="clear" w:color="auto" w:fill="auto"/>
            <w:noWrap/>
            <w:vAlign w:val="bottom"/>
          </w:tcPr>
          <w:p w:rsidR="00015D32" w:rsidRPr="00CE6E93" w:rsidRDefault="00015D32" w:rsidP="00015D32">
            <w:pPr>
              <w:spacing w:after="0"/>
              <w:rPr>
                <w:rFonts w:asciiTheme="majorHAnsi" w:eastAsia="Times New Roman" w:hAnsiTheme="majorHAnsi" w:cs="Calibri"/>
                <w:color w:val="000000"/>
                <w:sz w:val="22"/>
                <w:lang w:eastAsia="en-AU"/>
              </w:rPr>
            </w:pPr>
            <w:r w:rsidRPr="00CE6E93">
              <w:rPr>
                <w:rFonts w:asciiTheme="majorHAnsi" w:eastAsia="Times New Roman" w:hAnsiTheme="majorHAnsi" w:cs="Calibri"/>
                <w:color w:val="000000"/>
                <w:sz w:val="22"/>
                <w:lang w:eastAsia="en-AU"/>
              </w:rPr>
              <w:t>HALOPERIDOL</w:t>
            </w:r>
          </w:p>
        </w:tc>
      </w:tr>
      <w:tr w:rsidR="00015D32" w:rsidRPr="00F92A0C" w:rsidTr="00015D32">
        <w:trPr>
          <w:trHeight w:val="300"/>
        </w:trPr>
        <w:tc>
          <w:tcPr>
            <w:tcW w:w="1980" w:type="dxa"/>
            <w:tcBorders>
              <w:top w:val="nil"/>
              <w:left w:val="nil"/>
              <w:bottom w:val="nil"/>
              <w:right w:val="nil"/>
            </w:tcBorders>
            <w:shd w:val="clear" w:color="auto" w:fill="auto"/>
            <w:noWrap/>
            <w:vAlign w:val="bottom"/>
          </w:tcPr>
          <w:p w:rsidR="00015D32" w:rsidRPr="00F92A0C" w:rsidRDefault="00015D32" w:rsidP="00015D32">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PERI</w:t>
            </w:r>
          </w:p>
        </w:tc>
        <w:tc>
          <w:tcPr>
            <w:tcW w:w="3680" w:type="dxa"/>
            <w:tcBorders>
              <w:top w:val="nil"/>
              <w:left w:val="nil"/>
              <w:bottom w:val="nil"/>
              <w:right w:val="nil"/>
            </w:tcBorders>
            <w:shd w:val="clear" w:color="auto" w:fill="auto"/>
            <w:noWrap/>
            <w:vAlign w:val="bottom"/>
          </w:tcPr>
          <w:p w:rsidR="00015D32" w:rsidRPr="00F92A0C" w:rsidRDefault="00015D32" w:rsidP="00015D32">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PERICYAZINE</w:t>
            </w:r>
          </w:p>
        </w:tc>
      </w:tr>
      <w:tr w:rsidR="00015D32" w:rsidRPr="00F92A0C" w:rsidTr="00015D32">
        <w:trPr>
          <w:trHeight w:val="300"/>
        </w:trPr>
        <w:tc>
          <w:tcPr>
            <w:tcW w:w="1980" w:type="dxa"/>
            <w:tcBorders>
              <w:top w:val="nil"/>
              <w:left w:val="nil"/>
              <w:bottom w:val="nil"/>
              <w:right w:val="nil"/>
            </w:tcBorders>
            <w:shd w:val="clear" w:color="auto" w:fill="auto"/>
            <w:noWrap/>
            <w:vAlign w:val="bottom"/>
          </w:tcPr>
          <w:p w:rsidR="00015D32" w:rsidRPr="00F92A0C" w:rsidRDefault="00015D32" w:rsidP="00015D32">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TRIF</w:t>
            </w:r>
          </w:p>
        </w:tc>
        <w:tc>
          <w:tcPr>
            <w:tcW w:w="3680" w:type="dxa"/>
            <w:tcBorders>
              <w:top w:val="nil"/>
              <w:left w:val="nil"/>
              <w:bottom w:val="nil"/>
              <w:right w:val="nil"/>
            </w:tcBorders>
            <w:shd w:val="clear" w:color="auto" w:fill="auto"/>
            <w:noWrap/>
            <w:vAlign w:val="bottom"/>
          </w:tcPr>
          <w:p w:rsidR="00015D32" w:rsidRPr="00F92A0C" w:rsidRDefault="00015D32" w:rsidP="00015D32">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TRIFLUOPERAZINE</w:t>
            </w:r>
          </w:p>
        </w:tc>
      </w:tr>
      <w:tr w:rsidR="00015D32" w:rsidRPr="00F92A0C" w:rsidTr="00015D32">
        <w:trPr>
          <w:trHeight w:val="300"/>
        </w:trPr>
        <w:tc>
          <w:tcPr>
            <w:tcW w:w="1980" w:type="dxa"/>
            <w:tcBorders>
              <w:top w:val="nil"/>
              <w:left w:val="nil"/>
              <w:bottom w:val="nil"/>
              <w:right w:val="nil"/>
            </w:tcBorders>
            <w:shd w:val="clear" w:color="auto" w:fill="auto"/>
            <w:noWrap/>
            <w:vAlign w:val="bottom"/>
          </w:tcPr>
          <w:p w:rsidR="00015D32" w:rsidRPr="00F92A0C" w:rsidRDefault="00015D32" w:rsidP="00015D32">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ZUCD</w:t>
            </w:r>
          </w:p>
        </w:tc>
        <w:tc>
          <w:tcPr>
            <w:tcW w:w="3680" w:type="dxa"/>
            <w:tcBorders>
              <w:top w:val="nil"/>
              <w:left w:val="nil"/>
              <w:bottom w:val="nil"/>
              <w:right w:val="nil"/>
            </w:tcBorders>
            <w:shd w:val="clear" w:color="auto" w:fill="auto"/>
            <w:noWrap/>
            <w:vAlign w:val="bottom"/>
          </w:tcPr>
          <w:p w:rsidR="00015D32" w:rsidRPr="00F92A0C" w:rsidRDefault="00015D32" w:rsidP="00015D32">
            <w:pPr>
              <w:spacing w:after="0"/>
              <w:rPr>
                <w:rFonts w:asciiTheme="majorHAnsi" w:eastAsia="Times New Roman" w:hAnsiTheme="majorHAnsi" w:cs="Calibri"/>
                <w:color w:val="000000"/>
                <w:sz w:val="22"/>
                <w:lang w:eastAsia="en-AU"/>
              </w:rPr>
            </w:pPr>
            <w:r w:rsidRPr="00F92A0C">
              <w:rPr>
                <w:rFonts w:asciiTheme="majorHAnsi" w:eastAsia="Times New Roman" w:hAnsiTheme="majorHAnsi" w:cs="Calibri"/>
                <w:color w:val="000000"/>
                <w:sz w:val="22"/>
                <w:lang w:eastAsia="en-AU"/>
              </w:rPr>
              <w:t>ZUCLOPENTHIXOL DECANOATE</w:t>
            </w:r>
          </w:p>
        </w:tc>
      </w:tr>
    </w:tbl>
    <w:p w:rsidR="00EF616B" w:rsidRPr="00CE6E93" w:rsidRDefault="00EF616B" w:rsidP="00A57BF3">
      <w:pPr>
        <w:rPr>
          <w:rFonts w:asciiTheme="majorHAnsi" w:hAnsiTheme="majorHAnsi"/>
          <w:b/>
        </w:rPr>
      </w:pPr>
    </w:p>
    <w:p w:rsidR="00BE0EC7" w:rsidRPr="00CE6E93" w:rsidRDefault="00374BF9" w:rsidP="003B7C41">
      <w:pPr>
        <w:pStyle w:val="Heading2"/>
      </w:pPr>
      <w:r w:rsidRPr="00CE6E93">
        <w:t>Results</w:t>
      </w:r>
    </w:p>
    <w:p w:rsidR="00BE0EC7" w:rsidRPr="003B7C41" w:rsidRDefault="00BE0EC7" w:rsidP="003B7C41">
      <w:pPr>
        <w:pStyle w:val="Heading3"/>
      </w:pPr>
      <w:r w:rsidRPr="003B7C41">
        <w:t>Overall use of antipsychotics in Australia</w:t>
      </w:r>
    </w:p>
    <w:p w:rsidR="00BE0EC7" w:rsidRPr="00CE6E93" w:rsidRDefault="003A6CF7" w:rsidP="003A6CF7">
      <w:pPr>
        <w:rPr>
          <w:rFonts w:asciiTheme="majorHAnsi" w:hAnsiTheme="majorHAnsi"/>
        </w:rPr>
      </w:pPr>
      <w:r>
        <w:rPr>
          <w:rFonts w:asciiTheme="majorHAnsi" w:hAnsiTheme="majorHAnsi"/>
        </w:rPr>
        <w:t>The</w:t>
      </w:r>
      <w:r w:rsidR="00576EBC" w:rsidRPr="00CE6E93">
        <w:rPr>
          <w:rFonts w:asciiTheme="majorHAnsi" w:hAnsiTheme="majorHAnsi"/>
        </w:rPr>
        <w:t xml:space="preserve"> use of atypical antipsychotics i</w:t>
      </w:r>
      <w:r w:rsidR="00B61411">
        <w:rPr>
          <w:rFonts w:asciiTheme="majorHAnsi" w:hAnsiTheme="majorHAnsi"/>
        </w:rPr>
        <w:t>n Australia i</w:t>
      </w:r>
      <w:r w:rsidR="00576EBC" w:rsidRPr="00CE6E93">
        <w:rPr>
          <w:rFonts w:asciiTheme="majorHAnsi" w:hAnsiTheme="majorHAnsi"/>
        </w:rPr>
        <w:t>s growing</w:t>
      </w:r>
      <w:r>
        <w:rPr>
          <w:rFonts w:asciiTheme="majorHAnsi" w:hAnsiTheme="majorHAnsi"/>
        </w:rPr>
        <w:t xml:space="preserve"> (Figure 1)</w:t>
      </w:r>
      <w:r w:rsidR="00576EBC" w:rsidRPr="00CE6E93">
        <w:rPr>
          <w:rFonts w:asciiTheme="majorHAnsi" w:hAnsiTheme="majorHAnsi"/>
        </w:rPr>
        <w:t xml:space="preserve">. </w:t>
      </w:r>
    </w:p>
    <w:p w:rsidR="00BE0EC7" w:rsidRPr="00CE6E93" w:rsidRDefault="00B61411" w:rsidP="00A57BF3">
      <w:pPr>
        <w:spacing w:after="0"/>
        <w:rPr>
          <w:rFonts w:asciiTheme="majorHAnsi" w:hAnsiTheme="majorHAnsi"/>
        </w:rPr>
      </w:pPr>
      <w:r>
        <w:rPr>
          <w:noProof/>
          <w:lang w:eastAsia="en-AU"/>
        </w:rPr>
        <w:drawing>
          <wp:inline distT="0" distB="0" distL="0" distR="0" wp14:anchorId="001521E9" wp14:editId="45C28AA3">
            <wp:extent cx="5270500" cy="3071343"/>
            <wp:effectExtent l="0" t="0" r="25400" b="15240"/>
            <wp:docPr id="2" name="Chart 2" descr="Prescription volume between 2004 and 2011 by type of antipsychotic medicine"/>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E0EC7" w:rsidRPr="00CE6E93" w:rsidRDefault="00BE0EC7" w:rsidP="00A57BF3">
      <w:pPr>
        <w:spacing w:after="0"/>
        <w:rPr>
          <w:rFonts w:asciiTheme="majorHAnsi" w:hAnsiTheme="majorHAnsi" w:cs="Arial"/>
          <w:b/>
          <w:sz w:val="20"/>
          <w:szCs w:val="20"/>
        </w:rPr>
      </w:pPr>
      <w:r w:rsidRPr="00CE6E93">
        <w:rPr>
          <w:rFonts w:asciiTheme="majorHAnsi" w:hAnsiTheme="majorHAnsi" w:cs="Arial"/>
          <w:b/>
          <w:sz w:val="20"/>
          <w:szCs w:val="20"/>
        </w:rPr>
        <w:t>Figure 1: Prescription volume between 2004 and 2011 by type of antipsychotic medicine</w:t>
      </w:r>
    </w:p>
    <w:p w:rsidR="00DC72AE" w:rsidRPr="00CE6E93" w:rsidRDefault="00DC72AE" w:rsidP="00DC72AE">
      <w:pPr>
        <w:rPr>
          <w:rFonts w:asciiTheme="majorHAnsi" w:hAnsiTheme="majorHAnsi" w:cs="Arial"/>
          <w:i/>
          <w:sz w:val="20"/>
          <w:szCs w:val="20"/>
        </w:rPr>
      </w:pPr>
      <w:r w:rsidRPr="00CE6E93">
        <w:rPr>
          <w:rFonts w:asciiTheme="majorHAnsi" w:hAnsiTheme="majorHAnsi" w:cs="Arial"/>
          <w:i/>
          <w:sz w:val="20"/>
          <w:szCs w:val="20"/>
        </w:rPr>
        <w:t>Source: DUSC Database accessed 9 August 2012</w:t>
      </w:r>
    </w:p>
    <w:p w:rsidR="003C401F" w:rsidRPr="00FC29E3" w:rsidRDefault="00392505" w:rsidP="003C401F">
      <w:pPr>
        <w:autoSpaceDE w:val="0"/>
        <w:autoSpaceDN w:val="0"/>
        <w:adjustRightInd w:val="0"/>
        <w:spacing w:after="0"/>
        <w:rPr>
          <w:rFonts w:asciiTheme="majorHAnsi" w:hAnsiTheme="majorHAnsi" w:cs="Helv"/>
          <w:color w:val="000000"/>
        </w:rPr>
      </w:pPr>
      <w:r>
        <w:rPr>
          <w:rFonts w:asciiTheme="majorHAnsi" w:hAnsiTheme="majorHAnsi" w:cs="Helv"/>
          <w:color w:val="000000"/>
        </w:rPr>
        <w:t>The growth i</w:t>
      </w:r>
      <w:r w:rsidR="00CA67C4">
        <w:rPr>
          <w:rFonts w:asciiTheme="majorHAnsi" w:hAnsiTheme="majorHAnsi" w:cs="Helv"/>
          <w:color w:val="000000"/>
        </w:rPr>
        <w:t>n prescriptions is</w:t>
      </w:r>
      <w:r>
        <w:rPr>
          <w:rFonts w:asciiTheme="majorHAnsi" w:hAnsiTheme="majorHAnsi" w:cs="Helv"/>
          <w:color w:val="000000"/>
        </w:rPr>
        <w:t xml:space="preserve"> in the atypical antipsychotic group</w:t>
      </w:r>
      <w:r w:rsidR="00CA67C4">
        <w:rPr>
          <w:rFonts w:asciiTheme="majorHAnsi" w:hAnsiTheme="majorHAnsi" w:cs="Helv"/>
          <w:color w:val="000000"/>
        </w:rPr>
        <w:t>.</w:t>
      </w:r>
      <w:r>
        <w:rPr>
          <w:rFonts w:asciiTheme="majorHAnsi" w:hAnsiTheme="majorHAnsi" w:cs="Helv"/>
          <w:color w:val="000000"/>
        </w:rPr>
        <w:t xml:space="preserve"> </w:t>
      </w:r>
      <w:r w:rsidR="003C401F" w:rsidRPr="00FC29E3">
        <w:rPr>
          <w:rFonts w:asciiTheme="majorHAnsi" w:hAnsiTheme="majorHAnsi" w:cs="Helv"/>
          <w:color w:val="000000"/>
        </w:rPr>
        <w:t xml:space="preserve">The total number of scripts supplied for </w:t>
      </w:r>
      <w:r w:rsidR="003C401F">
        <w:rPr>
          <w:rFonts w:asciiTheme="majorHAnsi" w:hAnsiTheme="majorHAnsi" w:cs="Helv"/>
          <w:color w:val="000000"/>
        </w:rPr>
        <w:t xml:space="preserve">the atypical </w:t>
      </w:r>
      <w:r w:rsidR="003C401F" w:rsidRPr="00FC29E3">
        <w:rPr>
          <w:rFonts w:asciiTheme="majorHAnsi" w:hAnsiTheme="majorHAnsi" w:cs="Helv"/>
          <w:color w:val="000000"/>
        </w:rPr>
        <w:t>antipsychotic</w:t>
      </w:r>
      <w:r w:rsidR="003C401F">
        <w:rPr>
          <w:rFonts w:asciiTheme="majorHAnsi" w:hAnsiTheme="majorHAnsi" w:cs="Helv"/>
          <w:color w:val="000000"/>
        </w:rPr>
        <w:t>s</w:t>
      </w:r>
      <w:r w:rsidR="003C401F" w:rsidRPr="00FC29E3">
        <w:rPr>
          <w:rFonts w:asciiTheme="majorHAnsi" w:hAnsiTheme="majorHAnsi" w:cs="Helv"/>
          <w:color w:val="000000"/>
        </w:rPr>
        <w:t xml:space="preserve"> </w:t>
      </w:r>
      <w:r w:rsidR="003C401F">
        <w:rPr>
          <w:rFonts w:asciiTheme="majorHAnsi" w:hAnsiTheme="majorHAnsi" w:cs="Helv"/>
          <w:color w:val="000000"/>
        </w:rPr>
        <w:t xml:space="preserve">across all age groups </w:t>
      </w:r>
      <w:r w:rsidR="003C401F" w:rsidRPr="00FC29E3">
        <w:rPr>
          <w:rFonts w:asciiTheme="majorHAnsi" w:hAnsiTheme="majorHAnsi" w:cs="Helv"/>
          <w:color w:val="000000"/>
        </w:rPr>
        <w:t xml:space="preserve">from January 2004 to May 2012 is illustrated in Figure </w:t>
      </w:r>
      <w:r w:rsidR="003C401F">
        <w:rPr>
          <w:rFonts w:asciiTheme="majorHAnsi" w:hAnsiTheme="majorHAnsi" w:cs="Helv"/>
          <w:color w:val="000000"/>
        </w:rPr>
        <w:t>2</w:t>
      </w:r>
      <w:r w:rsidR="003C401F" w:rsidRPr="00FC29E3">
        <w:rPr>
          <w:rFonts w:asciiTheme="majorHAnsi" w:hAnsiTheme="majorHAnsi" w:cs="Helv"/>
          <w:color w:val="000000"/>
        </w:rPr>
        <w:t>.</w:t>
      </w:r>
      <w:r w:rsidR="003C401F">
        <w:rPr>
          <w:rFonts w:asciiTheme="majorHAnsi" w:hAnsiTheme="majorHAnsi" w:cs="Helv"/>
          <w:color w:val="000000"/>
        </w:rPr>
        <w:t xml:space="preserve"> Use of both </w:t>
      </w:r>
      <w:r w:rsidR="00CA67C4">
        <w:rPr>
          <w:rFonts w:asciiTheme="majorHAnsi" w:hAnsiTheme="majorHAnsi" w:cs="Helv"/>
          <w:color w:val="000000"/>
        </w:rPr>
        <w:t xml:space="preserve">quetiapine and </w:t>
      </w:r>
      <w:r w:rsidR="00631074">
        <w:rPr>
          <w:rFonts w:asciiTheme="majorHAnsi" w:hAnsiTheme="majorHAnsi" w:cs="Helv"/>
          <w:color w:val="000000"/>
        </w:rPr>
        <w:t>olanzapine</w:t>
      </w:r>
      <w:r w:rsidR="003C401F">
        <w:rPr>
          <w:rFonts w:asciiTheme="majorHAnsi" w:hAnsiTheme="majorHAnsi" w:cs="Helv"/>
          <w:color w:val="000000"/>
        </w:rPr>
        <w:t xml:space="preserve"> has increased</w:t>
      </w:r>
      <w:r w:rsidR="00CA67C4">
        <w:rPr>
          <w:rFonts w:asciiTheme="majorHAnsi" w:hAnsiTheme="majorHAnsi" w:cs="Helv"/>
          <w:color w:val="000000"/>
        </w:rPr>
        <w:t xml:space="preserve"> over the period</w:t>
      </w:r>
      <w:r w:rsidR="003C401F">
        <w:rPr>
          <w:rFonts w:asciiTheme="majorHAnsi" w:hAnsiTheme="majorHAnsi" w:cs="Helv"/>
          <w:color w:val="000000"/>
        </w:rPr>
        <w:t xml:space="preserve">, with risperidone use plateauing. </w:t>
      </w:r>
      <w:r w:rsidR="00CA67C4">
        <w:rPr>
          <w:rFonts w:asciiTheme="majorHAnsi" w:hAnsiTheme="majorHAnsi" w:cs="Helv"/>
          <w:color w:val="000000"/>
        </w:rPr>
        <w:t>The other PBS</w:t>
      </w:r>
      <w:r w:rsidR="0001534E">
        <w:rPr>
          <w:rFonts w:asciiTheme="majorHAnsi" w:hAnsiTheme="majorHAnsi" w:cs="Helv"/>
          <w:color w:val="000000"/>
        </w:rPr>
        <w:t>-</w:t>
      </w:r>
      <w:r w:rsidR="00CA67C4">
        <w:rPr>
          <w:rFonts w:asciiTheme="majorHAnsi" w:hAnsiTheme="majorHAnsi" w:cs="Helv"/>
          <w:color w:val="000000"/>
        </w:rPr>
        <w:t xml:space="preserve">listed products </w:t>
      </w:r>
      <w:r w:rsidR="0001534E">
        <w:rPr>
          <w:rFonts w:asciiTheme="majorHAnsi" w:hAnsiTheme="majorHAnsi" w:cs="Helv"/>
          <w:color w:val="000000"/>
        </w:rPr>
        <w:t>continue to have</w:t>
      </w:r>
      <w:r w:rsidR="00CA67C4">
        <w:rPr>
          <w:rFonts w:asciiTheme="majorHAnsi" w:hAnsiTheme="majorHAnsi" w:cs="Helv"/>
          <w:color w:val="000000"/>
        </w:rPr>
        <w:t xml:space="preserve"> a small and steady share of the overall market.</w:t>
      </w:r>
    </w:p>
    <w:p w:rsidR="003C401F" w:rsidRDefault="003C401F" w:rsidP="00A57BF3">
      <w:pPr>
        <w:spacing w:after="0"/>
        <w:rPr>
          <w:rFonts w:asciiTheme="majorHAnsi" w:hAnsiTheme="majorHAnsi" w:cs="Times New Roman"/>
        </w:rPr>
      </w:pPr>
    </w:p>
    <w:p w:rsidR="003C401F" w:rsidRDefault="003C401F" w:rsidP="00A57BF3">
      <w:pPr>
        <w:spacing w:after="0"/>
        <w:rPr>
          <w:rFonts w:asciiTheme="majorHAnsi" w:hAnsiTheme="majorHAnsi" w:cs="Times New Roman"/>
        </w:rPr>
      </w:pPr>
      <w:r>
        <w:rPr>
          <w:noProof/>
          <w:lang w:eastAsia="en-AU"/>
        </w:rPr>
        <w:lastRenderedPageBreak/>
        <w:drawing>
          <wp:inline distT="0" distB="0" distL="0" distR="0" wp14:anchorId="534D6263" wp14:editId="5AC448E7">
            <wp:extent cx="5270500" cy="4252595"/>
            <wp:effectExtent l="0" t="0" r="25400" b="14605"/>
            <wp:docPr id="14" name="Chart 14" descr="PBS/RPBS Script volume for atypical antipsychotics&#10;Private scripts are not included. Under-copayment prescriptions (estimated to March 2012 and Medicare from April 2012) are included.&#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41418" w:rsidRPr="00FC29E3" w:rsidRDefault="00C41418" w:rsidP="00C41418">
      <w:pPr>
        <w:spacing w:after="0"/>
        <w:rPr>
          <w:rFonts w:asciiTheme="majorHAnsi" w:hAnsiTheme="majorHAnsi"/>
          <w:b/>
          <w:sz w:val="20"/>
          <w:szCs w:val="20"/>
        </w:rPr>
      </w:pPr>
      <w:r w:rsidRPr="00FC29E3">
        <w:rPr>
          <w:rFonts w:asciiTheme="majorHAnsi" w:hAnsiTheme="majorHAnsi"/>
          <w:b/>
          <w:sz w:val="20"/>
          <w:szCs w:val="20"/>
        </w:rPr>
        <w:t xml:space="preserve">Figure </w:t>
      </w:r>
      <w:r>
        <w:rPr>
          <w:rFonts w:asciiTheme="majorHAnsi" w:hAnsiTheme="majorHAnsi"/>
          <w:b/>
          <w:sz w:val="20"/>
          <w:szCs w:val="20"/>
        </w:rPr>
        <w:t>2</w:t>
      </w:r>
      <w:r w:rsidRPr="00FC29E3">
        <w:rPr>
          <w:rFonts w:asciiTheme="majorHAnsi" w:hAnsiTheme="majorHAnsi"/>
          <w:b/>
          <w:sz w:val="20"/>
          <w:szCs w:val="20"/>
        </w:rPr>
        <w:t xml:space="preserve">: PBS/RPBS </w:t>
      </w:r>
      <w:r>
        <w:rPr>
          <w:rFonts w:asciiTheme="majorHAnsi" w:hAnsiTheme="majorHAnsi"/>
          <w:b/>
          <w:sz w:val="20"/>
          <w:szCs w:val="20"/>
        </w:rPr>
        <w:t>Script</w:t>
      </w:r>
      <w:r w:rsidRPr="00FC29E3">
        <w:rPr>
          <w:rFonts w:asciiTheme="majorHAnsi" w:hAnsiTheme="majorHAnsi"/>
          <w:b/>
          <w:sz w:val="20"/>
          <w:szCs w:val="20"/>
        </w:rPr>
        <w:t xml:space="preserve"> volume for atypical antipsychotics</w:t>
      </w:r>
    </w:p>
    <w:p w:rsidR="00C41418" w:rsidRPr="00915161" w:rsidRDefault="00C41418" w:rsidP="00C41418">
      <w:pPr>
        <w:spacing w:after="0"/>
        <w:rPr>
          <w:rFonts w:asciiTheme="majorHAnsi" w:hAnsiTheme="majorHAnsi"/>
          <w:sz w:val="20"/>
          <w:szCs w:val="20"/>
        </w:rPr>
      </w:pPr>
      <w:r w:rsidRPr="00915161">
        <w:rPr>
          <w:rFonts w:asciiTheme="majorHAnsi" w:hAnsiTheme="majorHAnsi"/>
          <w:sz w:val="20"/>
          <w:szCs w:val="20"/>
        </w:rPr>
        <w:t>Private scripts are not included. Under-copayment prescriptions (estimated to March 2012 and Medicare from April 2012) are included.</w:t>
      </w:r>
    </w:p>
    <w:p w:rsidR="00C41418" w:rsidRPr="0011501B" w:rsidRDefault="00C41418" w:rsidP="00C41418">
      <w:pPr>
        <w:spacing w:after="0"/>
        <w:rPr>
          <w:rFonts w:asciiTheme="majorHAnsi" w:hAnsiTheme="majorHAnsi"/>
          <w:i/>
          <w:sz w:val="20"/>
          <w:szCs w:val="20"/>
        </w:rPr>
      </w:pPr>
      <w:r w:rsidRPr="0011501B">
        <w:rPr>
          <w:rFonts w:asciiTheme="majorHAnsi" w:hAnsiTheme="majorHAnsi"/>
          <w:i/>
          <w:sz w:val="20"/>
          <w:szCs w:val="20"/>
        </w:rPr>
        <w:t>Source: DUSC Database accessed 9 August 2012</w:t>
      </w:r>
    </w:p>
    <w:p w:rsidR="003C401F" w:rsidRDefault="003C401F" w:rsidP="00A57BF3">
      <w:pPr>
        <w:spacing w:after="0"/>
        <w:rPr>
          <w:rFonts w:asciiTheme="majorHAnsi" w:hAnsiTheme="majorHAnsi" w:cs="Times New Roman"/>
        </w:rPr>
      </w:pPr>
    </w:p>
    <w:p w:rsidR="00B275E9" w:rsidRDefault="00B275E9" w:rsidP="00A57BF3">
      <w:pPr>
        <w:spacing w:after="0"/>
        <w:rPr>
          <w:rFonts w:asciiTheme="majorHAnsi" w:hAnsiTheme="majorHAnsi" w:cs="Times New Roman"/>
        </w:rPr>
      </w:pPr>
      <w:r w:rsidRPr="00CE6E93">
        <w:rPr>
          <w:rFonts w:asciiTheme="majorHAnsi" w:hAnsiTheme="majorHAnsi" w:cs="Times New Roman"/>
        </w:rPr>
        <w:t>Government expenditure for atypical antipsychotics is shown in Figure</w:t>
      </w:r>
      <w:r w:rsidR="00C56FA3" w:rsidRPr="00CE6E93">
        <w:rPr>
          <w:rFonts w:asciiTheme="majorHAnsi" w:hAnsiTheme="majorHAnsi" w:cs="Times New Roman"/>
        </w:rPr>
        <w:t xml:space="preserve"> </w:t>
      </w:r>
      <w:r w:rsidR="00C41418">
        <w:rPr>
          <w:rFonts w:asciiTheme="majorHAnsi" w:hAnsiTheme="majorHAnsi" w:cs="Times New Roman"/>
        </w:rPr>
        <w:t>3</w:t>
      </w:r>
      <w:r w:rsidRPr="00CE6E93">
        <w:rPr>
          <w:rFonts w:asciiTheme="majorHAnsi" w:hAnsiTheme="majorHAnsi" w:cs="Times New Roman"/>
        </w:rPr>
        <w:t>.</w:t>
      </w:r>
    </w:p>
    <w:p w:rsidR="007A7B5E" w:rsidRPr="00CE6E93" w:rsidRDefault="007A7B5E" w:rsidP="00A57BF3">
      <w:pPr>
        <w:spacing w:after="0"/>
        <w:rPr>
          <w:rFonts w:asciiTheme="majorHAnsi" w:hAnsiTheme="majorHAnsi" w:cs="Times New Roman"/>
        </w:rPr>
      </w:pPr>
    </w:p>
    <w:p w:rsidR="00B61411" w:rsidRDefault="00B61411" w:rsidP="00A57BF3">
      <w:pPr>
        <w:spacing w:after="0"/>
        <w:rPr>
          <w:rFonts w:asciiTheme="majorHAnsi" w:hAnsiTheme="majorHAnsi"/>
          <w:noProof/>
          <w:lang w:eastAsia="en-AU"/>
        </w:rPr>
      </w:pPr>
      <w:r>
        <w:rPr>
          <w:noProof/>
          <w:lang w:eastAsia="en-AU"/>
        </w:rPr>
        <w:lastRenderedPageBreak/>
        <w:drawing>
          <wp:inline distT="0" distB="0" distL="0" distR="0" wp14:anchorId="372DB710" wp14:editId="6FD49EED">
            <wp:extent cx="5270500" cy="4183928"/>
            <wp:effectExtent l="0" t="0" r="25400" b="26670"/>
            <wp:docPr id="6" name="Chart 6" descr="Government expenditure for atypical antipsychotics&#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275E9" w:rsidRPr="00CE6E93" w:rsidRDefault="00B275E9" w:rsidP="00A57BF3">
      <w:pPr>
        <w:spacing w:after="0"/>
        <w:rPr>
          <w:rFonts w:asciiTheme="majorHAnsi" w:hAnsiTheme="majorHAnsi" w:cs="Arial"/>
          <w:b/>
          <w:sz w:val="20"/>
          <w:szCs w:val="20"/>
        </w:rPr>
      </w:pPr>
      <w:r w:rsidRPr="00CE6E93">
        <w:rPr>
          <w:rFonts w:asciiTheme="majorHAnsi" w:hAnsiTheme="majorHAnsi" w:cs="Arial"/>
          <w:b/>
          <w:sz w:val="20"/>
          <w:szCs w:val="20"/>
        </w:rPr>
        <w:t xml:space="preserve">Figure </w:t>
      </w:r>
      <w:r w:rsidR="00C41418">
        <w:rPr>
          <w:rFonts w:asciiTheme="majorHAnsi" w:hAnsiTheme="majorHAnsi" w:cs="Arial"/>
          <w:b/>
          <w:sz w:val="20"/>
          <w:szCs w:val="20"/>
        </w:rPr>
        <w:t>3</w:t>
      </w:r>
      <w:r w:rsidRPr="00CE6E93">
        <w:rPr>
          <w:rFonts w:asciiTheme="majorHAnsi" w:hAnsiTheme="majorHAnsi" w:cs="Arial"/>
          <w:b/>
          <w:sz w:val="20"/>
          <w:szCs w:val="20"/>
        </w:rPr>
        <w:t>: Government expenditure for atypical antipsychotics</w:t>
      </w:r>
    </w:p>
    <w:p w:rsidR="00B275E9" w:rsidRDefault="002C53E4" w:rsidP="00A57BF3">
      <w:pPr>
        <w:spacing w:after="0"/>
        <w:rPr>
          <w:rFonts w:asciiTheme="majorHAnsi" w:hAnsiTheme="majorHAnsi" w:cs="Arial"/>
          <w:sz w:val="20"/>
        </w:rPr>
      </w:pPr>
      <w:r>
        <w:rPr>
          <w:rFonts w:asciiTheme="majorHAnsi" w:hAnsiTheme="majorHAnsi" w:cs="Arial"/>
          <w:sz w:val="20"/>
        </w:rPr>
        <w:t xml:space="preserve">Note: </w:t>
      </w:r>
      <w:r w:rsidR="00B275E9" w:rsidRPr="00CE6E93">
        <w:rPr>
          <w:rFonts w:asciiTheme="majorHAnsi" w:hAnsiTheme="majorHAnsi" w:cs="Arial"/>
          <w:sz w:val="20"/>
        </w:rPr>
        <w:t>Government expenditure excludes any patient or other third party contribution. Note that the price of risperidone decreased on 1 April 2011, and the prices of olanzapine, quetiapine and clozapine decreased on 1 April 2012.</w:t>
      </w:r>
    </w:p>
    <w:p w:rsidR="00DC72AE" w:rsidRPr="00CE6E93" w:rsidRDefault="00DC72AE" w:rsidP="00DC72AE">
      <w:pPr>
        <w:spacing w:after="0"/>
        <w:rPr>
          <w:rFonts w:asciiTheme="majorHAnsi" w:hAnsiTheme="majorHAnsi" w:cs="Arial"/>
          <w:i/>
          <w:sz w:val="20"/>
          <w:szCs w:val="20"/>
        </w:rPr>
      </w:pPr>
      <w:r w:rsidRPr="00CE6E93">
        <w:rPr>
          <w:rFonts w:asciiTheme="majorHAnsi" w:hAnsiTheme="majorHAnsi" w:cs="Arial"/>
          <w:i/>
          <w:sz w:val="20"/>
          <w:szCs w:val="20"/>
        </w:rPr>
        <w:t>Source: DUSC Database accessed January 2013</w:t>
      </w:r>
    </w:p>
    <w:p w:rsidR="00B275E9" w:rsidRPr="00CE6E93" w:rsidRDefault="00B275E9" w:rsidP="00A57BF3">
      <w:pPr>
        <w:spacing w:after="0"/>
        <w:rPr>
          <w:rFonts w:asciiTheme="majorHAnsi" w:hAnsiTheme="majorHAnsi"/>
          <w:sz w:val="20"/>
        </w:rPr>
      </w:pPr>
    </w:p>
    <w:p w:rsidR="00B275E9" w:rsidRPr="00CE6E93" w:rsidRDefault="00B275E9" w:rsidP="009D1AF8">
      <w:pPr>
        <w:spacing w:after="0"/>
        <w:jc w:val="both"/>
        <w:rPr>
          <w:rFonts w:asciiTheme="majorHAnsi" w:hAnsiTheme="majorHAnsi"/>
        </w:rPr>
      </w:pPr>
      <w:r w:rsidRPr="00CE6E93">
        <w:rPr>
          <w:rFonts w:asciiTheme="majorHAnsi" w:hAnsiTheme="majorHAnsi"/>
        </w:rPr>
        <w:t>Government expenditure for all subsidised prescriptions appears to have decreased in 2012</w:t>
      </w:r>
      <w:r w:rsidR="00C56FA3" w:rsidRPr="00CE6E93">
        <w:rPr>
          <w:rFonts w:asciiTheme="majorHAnsi" w:hAnsiTheme="majorHAnsi"/>
        </w:rPr>
        <w:t>. This</w:t>
      </w:r>
      <w:r w:rsidRPr="00CE6E93">
        <w:rPr>
          <w:rFonts w:asciiTheme="majorHAnsi" w:hAnsiTheme="majorHAnsi"/>
        </w:rPr>
        <w:t xml:space="preserve"> is likely </w:t>
      </w:r>
      <w:r w:rsidR="00C56FA3" w:rsidRPr="00CE6E93">
        <w:rPr>
          <w:rFonts w:asciiTheme="majorHAnsi" w:hAnsiTheme="majorHAnsi"/>
        </w:rPr>
        <w:t xml:space="preserve">to be </w:t>
      </w:r>
      <w:r w:rsidRPr="00CE6E93">
        <w:rPr>
          <w:rFonts w:asciiTheme="majorHAnsi" w:hAnsiTheme="majorHAnsi"/>
        </w:rPr>
        <w:t xml:space="preserve">due to price reductions for some brands, as the number of prescriptions increased in 2012 (Figure </w:t>
      </w:r>
      <w:r w:rsidR="001748F6" w:rsidRPr="00CE6E93">
        <w:rPr>
          <w:rFonts w:asciiTheme="majorHAnsi" w:hAnsiTheme="majorHAnsi"/>
        </w:rPr>
        <w:t>1</w:t>
      </w:r>
      <w:r w:rsidRPr="00CE6E93">
        <w:rPr>
          <w:rFonts w:asciiTheme="majorHAnsi" w:hAnsiTheme="majorHAnsi"/>
        </w:rPr>
        <w:t>). The downward trend relates to a short time period at the beginning of 2012, and as expenditure tends to decrease in January and February and increase through the year, it is too early to determine whether the overall</w:t>
      </w:r>
      <w:r w:rsidR="009D1AF8">
        <w:rPr>
          <w:rFonts w:asciiTheme="majorHAnsi" w:hAnsiTheme="majorHAnsi"/>
        </w:rPr>
        <w:t xml:space="preserve"> trend will continue downwards.</w:t>
      </w:r>
    </w:p>
    <w:p w:rsidR="00A665B6" w:rsidRDefault="00A665B6" w:rsidP="00A57BF3">
      <w:pPr>
        <w:spacing w:after="0"/>
        <w:rPr>
          <w:rFonts w:asciiTheme="majorHAnsi" w:hAnsiTheme="majorHAnsi"/>
        </w:rPr>
      </w:pPr>
    </w:p>
    <w:p w:rsidR="00C41418" w:rsidRPr="003F1DEC" w:rsidRDefault="00C41418" w:rsidP="00467FB0">
      <w:pPr>
        <w:pStyle w:val="Heading3"/>
      </w:pPr>
      <w:r w:rsidRPr="003F1DEC">
        <w:t xml:space="preserve">Utilisation of antipsychotics in </w:t>
      </w:r>
      <w:r>
        <w:t>the middle aged</w:t>
      </w:r>
    </w:p>
    <w:p w:rsidR="00C41418" w:rsidRDefault="00C41418" w:rsidP="00A57BF3">
      <w:pPr>
        <w:spacing w:after="0"/>
        <w:rPr>
          <w:rFonts w:asciiTheme="majorHAnsi" w:hAnsiTheme="majorHAnsi"/>
        </w:rPr>
      </w:pPr>
    </w:p>
    <w:p w:rsidR="0030612B" w:rsidRDefault="0030612B" w:rsidP="00E77CF0">
      <w:pPr>
        <w:spacing w:after="0"/>
        <w:jc w:val="both"/>
        <w:rPr>
          <w:rFonts w:asciiTheme="majorHAnsi" w:hAnsiTheme="majorHAnsi"/>
        </w:rPr>
      </w:pPr>
      <w:r w:rsidRPr="0030612B">
        <w:rPr>
          <w:rFonts w:asciiTheme="majorHAnsi" w:hAnsiTheme="majorHAnsi"/>
        </w:rPr>
        <w:t>When examined by age at the time of first script</w:t>
      </w:r>
      <w:r w:rsidR="00D774F1">
        <w:rPr>
          <w:rFonts w:asciiTheme="majorHAnsi" w:hAnsiTheme="majorHAnsi"/>
        </w:rPr>
        <w:t xml:space="preserve"> of any atypical antipsychotic </w:t>
      </w:r>
      <w:r w:rsidRPr="0030612B">
        <w:rPr>
          <w:rFonts w:asciiTheme="majorHAnsi" w:hAnsiTheme="majorHAnsi"/>
        </w:rPr>
        <w:t xml:space="preserve">the pharmacy claim data </w:t>
      </w:r>
      <w:r w:rsidR="00C41418">
        <w:rPr>
          <w:rFonts w:asciiTheme="majorHAnsi" w:hAnsiTheme="majorHAnsi"/>
        </w:rPr>
        <w:t xml:space="preserve">for the calendar year 2011 </w:t>
      </w:r>
      <w:r w:rsidRPr="0030612B">
        <w:rPr>
          <w:rFonts w:asciiTheme="majorHAnsi" w:hAnsiTheme="majorHAnsi"/>
        </w:rPr>
        <w:t>reveals different patterns of use according to age (Figure</w:t>
      </w:r>
      <w:r>
        <w:rPr>
          <w:rFonts w:asciiTheme="majorHAnsi" w:hAnsiTheme="majorHAnsi"/>
        </w:rPr>
        <w:t xml:space="preserve"> </w:t>
      </w:r>
      <w:r w:rsidR="003F1DEC">
        <w:rPr>
          <w:rFonts w:asciiTheme="majorHAnsi" w:hAnsiTheme="majorHAnsi"/>
        </w:rPr>
        <w:t>4</w:t>
      </w:r>
      <w:r w:rsidRPr="0030612B">
        <w:rPr>
          <w:rFonts w:asciiTheme="majorHAnsi" w:hAnsiTheme="majorHAnsi"/>
        </w:rPr>
        <w:t xml:space="preserve">). </w:t>
      </w:r>
      <w:r w:rsidR="00C41418">
        <w:rPr>
          <w:rFonts w:asciiTheme="majorHAnsi" w:hAnsiTheme="majorHAnsi"/>
        </w:rPr>
        <w:t xml:space="preserve">A greater proportion of males commence treatment at younger ages (less than 50 years of age). </w:t>
      </w:r>
      <w:r w:rsidR="00392505">
        <w:rPr>
          <w:rFonts w:asciiTheme="majorHAnsi" w:hAnsiTheme="majorHAnsi"/>
        </w:rPr>
        <w:t xml:space="preserve">The peak time for commencing any atypical antipsychotic is </w:t>
      </w:r>
      <w:r w:rsidR="00BD0ED2">
        <w:rPr>
          <w:rFonts w:asciiTheme="majorHAnsi" w:hAnsiTheme="majorHAnsi"/>
        </w:rPr>
        <w:t>between 35 and 45 years of age for people in this group although there is a difference between males and females. Take up of antipsychotics rises rapidly from around 30 years of ag</w:t>
      </w:r>
      <w:r w:rsidR="00CA67C4">
        <w:rPr>
          <w:rFonts w:asciiTheme="majorHAnsi" w:hAnsiTheme="majorHAnsi"/>
        </w:rPr>
        <w:t>e and appears to plateau around</w:t>
      </w:r>
      <w:r w:rsidR="00F95397">
        <w:rPr>
          <w:rFonts w:asciiTheme="majorHAnsi" w:hAnsiTheme="majorHAnsi"/>
        </w:rPr>
        <w:t xml:space="preserve"> 40–</w:t>
      </w:r>
      <w:r w:rsidR="00BD0ED2">
        <w:rPr>
          <w:rFonts w:asciiTheme="majorHAnsi" w:hAnsiTheme="majorHAnsi"/>
        </w:rPr>
        <w:t>55 years of age then a small decrease after 55 years of age.</w:t>
      </w:r>
    </w:p>
    <w:p w:rsidR="0030612B" w:rsidRDefault="0030612B" w:rsidP="00E77CF0">
      <w:pPr>
        <w:spacing w:after="0"/>
        <w:jc w:val="both"/>
        <w:rPr>
          <w:rFonts w:asciiTheme="majorHAnsi" w:hAnsiTheme="majorHAnsi"/>
        </w:rPr>
      </w:pPr>
    </w:p>
    <w:p w:rsidR="002C53E4" w:rsidRDefault="009D1AF8" w:rsidP="00A57BF3">
      <w:pPr>
        <w:spacing w:after="0"/>
        <w:rPr>
          <w:rFonts w:asciiTheme="majorHAnsi" w:hAnsiTheme="majorHAnsi" w:cs="Arial"/>
          <w:b/>
          <w:sz w:val="20"/>
          <w:szCs w:val="20"/>
        </w:rPr>
      </w:pPr>
      <w:r>
        <w:rPr>
          <w:noProof/>
          <w:lang w:eastAsia="en-AU"/>
        </w:rPr>
        <w:lastRenderedPageBreak/>
        <w:drawing>
          <wp:inline distT="0" distB="0" distL="0" distR="0" wp14:anchorId="4AE1DA31" wp14:editId="557C5973">
            <wp:extent cx="5419725" cy="3314700"/>
            <wp:effectExtent l="0" t="0" r="9525" b="19050"/>
            <wp:docPr id="10" name="Chart 10" descr="Age and gender of patients 20 to 64 years at first PBS/RPBS supply for any atypical antipsychotic in 2011 (standardised by 1000 population for each 5 year age group and gender)&#10;Note: The age and gender of patients receiving under-copayment scripts were not collected and so are not included in this analysi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B275E9" w:rsidRPr="00CE6E93">
        <w:rPr>
          <w:rFonts w:asciiTheme="majorHAnsi" w:hAnsiTheme="majorHAnsi" w:cs="Arial"/>
          <w:b/>
          <w:sz w:val="20"/>
          <w:szCs w:val="20"/>
        </w:rPr>
        <w:t xml:space="preserve">Figure </w:t>
      </w:r>
      <w:r w:rsidR="00C41418">
        <w:rPr>
          <w:rFonts w:asciiTheme="majorHAnsi" w:hAnsiTheme="majorHAnsi" w:cs="Arial"/>
          <w:b/>
          <w:sz w:val="20"/>
          <w:szCs w:val="20"/>
        </w:rPr>
        <w:t>4</w:t>
      </w:r>
      <w:r w:rsidR="00B275E9" w:rsidRPr="00CE6E93">
        <w:rPr>
          <w:rFonts w:asciiTheme="majorHAnsi" w:hAnsiTheme="majorHAnsi" w:cs="Arial"/>
          <w:b/>
          <w:sz w:val="20"/>
          <w:szCs w:val="20"/>
        </w:rPr>
        <w:t xml:space="preserve">: Age and gender of patients </w:t>
      </w:r>
      <w:r w:rsidR="003C401F">
        <w:rPr>
          <w:rFonts w:asciiTheme="majorHAnsi" w:hAnsiTheme="majorHAnsi" w:cs="Arial"/>
          <w:b/>
          <w:sz w:val="20"/>
          <w:szCs w:val="20"/>
        </w:rPr>
        <w:t xml:space="preserve">20 to 64 years </w:t>
      </w:r>
      <w:r w:rsidR="00B275E9" w:rsidRPr="00CE6E93">
        <w:rPr>
          <w:rFonts w:asciiTheme="majorHAnsi" w:hAnsiTheme="majorHAnsi" w:cs="Arial"/>
          <w:b/>
          <w:sz w:val="20"/>
          <w:szCs w:val="20"/>
        </w:rPr>
        <w:t>at first PBS</w:t>
      </w:r>
      <w:r w:rsidR="00E21718" w:rsidRPr="00CE6E93">
        <w:rPr>
          <w:rFonts w:asciiTheme="majorHAnsi" w:hAnsiTheme="majorHAnsi" w:cs="Arial"/>
          <w:b/>
          <w:sz w:val="20"/>
          <w:szCs w:val="20"/>
        </w:rPr>
        <w:t>/RPBS</w:t>
      </w:r>
      <w:r w:rsidR="00B275E9" w:rsidRPr="00CE6E93">
        <w:rPr>
          <w:rFonts w:asciiTheme="majorHAnsi" w:hAnsiTheme="majorHAnsi" w:cs="Arial"/>
          <w:b/>
          <w:sz w:val="20"/>
          <w:szCs w:val="20"/>
        </w:rPr>
        <w:t xml:space="preserve"> supply for any atypical antipsychotic in 2011 (standardised</w:t>
      </w:r>
      <w:r w:rsidR="00541AB4" w:rsidRPr="00CE6E93">
        <w:rPr>
          <w:rFonts w:asciiTheme="majorHAnsi" w:hAnsiTheme="majorHAnsi" w:cs="Arial"/>
          <w:b/>
          <w:sz w:val="20"/>
          <w:szCs w:val="20"/>
        </w:rPr>
        <w:t xml:space="preserve"> by 1000 population</w:t>
      </w:r>
      <w:r w:rsidR="003C401F">
        <w:rPr>
          <w:rFonts w:asciiTheme="majorHAnsi" w:hAnsiTheme="majorHAnsi" w:cs="Arial"/>
          <w:b/>
          <w:sz w:val="20"/>
          <w:szCs w:val="20"/>
        </w:rPr>
        <w:t xml:space="preserve"> for each 5 year age group and g</w:t>
      </w:r>
      <w:r w:rsidR="00541AB4" w:rsidRPr="00CE6E93">
        <w:rPr>
          <w:rFonts w:asciiTheme="majorHAnsi" w:hAnsiTheme="majorHAnsi" w:cs="Arial"/>
          <w:b/>
          <w:sz w:val="20"/>
          <w:szCs w:val="20"/>
        </w:rPr>
        <w:t>ender</w:t>
      </w:r>
      <w:r w:rsidR="00B275E9" w:rsidRPr="00CE6E93">
        <w:rPr>
          <w:rFonts w:asciiTheme="majorHAnsi" w:hAnsiTheme="majorHAnsi" w:cs="Arial"/>
          <w:b/>
          <w:sz w:val="20"/>
          <w:szCs w:val="20"/>
        </w:rPr>
        <w:t>)</w:t>
      </w:r>
    </w:p>
    <w:p w:rsidR="00B275E9" w:rsidRPr="00CE6E93" w:rsidRDefault="002C53E4" w:rsidP="00A57BF3">
      <w:pPr>
        <w:spacing w:after="0"/>
        <w:rPr>
          <w:rFonts w:asciiTheme="majorHAnsi" w:hAnsiTheme="majorHAnsi" w:cs="Arial"/>
          <w:sz w:val="20"/>
          <w:szCs w:val="20"/>
        </w:rPr>
      </w:pPr>
      <w:r w:rsidRPr="002C53E4">
        <w:rPr>
          <w:rFonts w:asciiTheme="majorHAnsi" w:hAnsiTheme="majorHAnsi" w:cs="Arial"/>
          <w:sz w:val="20"/>
          <w:szCs w:val="20"/>
        </w:rPr>
        <w:t>Note:</w:t>
      </w:r>
      <w:r w:rsidR="00B275E9" w:rsidRPr="00CE6E93">
        <w:rPr>
          <w:rFonts w:asciiTheme="majorHAnsi" w:hAnsiTheme="majorHAnsi" w:cs="Arial"/>
          <w:sz w:val="20"/>
          <w:szCs w:val="20"/>
        </w:rPr>
        <w:t xml:space="preserve"> The age and gender of patients receiving under</w:t>
      </w:r>
      <w:r w:rsidR="00C56FA3" w:rsidRPr="00CE6E93">
        <w:rPr>
          <w:rFonts w:asciiTheme="majorHAnsi" w:hAnsiTheme="majorHAnsi" w:cs="Arial"/>
          <w:sz w:val="20"/>
          <w:szCs w:val="20"/>
        </w:rPr>
        <w:t>-</w:t>
      </w:r>
      <w:r w:rsidR="00B275E9" w:rsidRPr="00CE6E93">
        <w:rPr>
          <w:rFonts w:asciiTheme="majorHAnsi" w:hAnsiTheme="majorHAnsi" w:cs="Arial"/>
          <w:sz w:val="20"/>
          <w:szCs w:val="20"/>
        </w:rPr>
        <w:t xml:space="preserve">copayment scripts were not collected and so are not included in this analysis. </w:t>
      </w:r>
    </w:p>
    <w:p w:rsidR="00FC29E3" w:rsidRPr="0036315A" w:rsidRDefault="0036315A" w:rsidP="00A57BF3">
      <w:pPr>
        <w:autoSpaceDE w:val="0"/>
        <w:autoSpaceDN w:val="0"/>
        <w:adjustRightInd w:val="0"/>
        <w:spacing w:after="0"/>
        <w:rPr>
          <w:rFonts w:asciiTheme="majorHAnsi" w:hAnsiTheme="majorHAnsi" w:cs="Helv"/>
          <w:i/>
          <w:color w:val="000000"/>
          <w:sz w:val="20"/>
        </w:rPr>
      </w:pPr>
      <w:r w:rsidRPr="0036315A">
        <w:rPr>
          <w:rFonts w:asciiTheme="majorHAnsi" w:hAnsiTheme="majorHAnsi" w:cs="Helv"/>
          <w:i/>
          <w:color w:val="000000"/>
          <w:sz w:val="20"/>
        </w:rPr>
        <w:t>Source: Medicare DHS Supplied Prescription Database, accessed November 2012</w:t>
      </w:r>
    </w:p>
    <w:p w:rsidR="0036315A" w:rsidRPr="00FC29E3" w:rsidRDefault="0036315A" w:rsidP="00A57BF3">
      <w:pPr>
        <w:autoSpaceDE w:val="0"/>
        <w:autoSpaceDN w:val="0"/>
        <w:adjustRightInd w:val="0"/>
        <w:spacing w:after="0"/>
        <w:rPr>
          <w:rFonts w:asciiTheme="majorHAnsi" w:hAnsiTheme="majorHAnsi" w:cs="Helv"/>
          <w:color w:val="000000"/>
          <w:sz w:val="20"/>
        </w:rPr>
      </w:pPr>
    </w:p>
    <w:p w:rsidR="0051374C" w:rsidRDefault="00F82963" w:rsidP="00E77CF0">
      <w:pPr>
        <w:spacing w:after="0"/>
        <w:jc w:val="both"/>
        <w:rPr>
          <w:rFonts w:asciiTheme="majorHAnsi" w:hAnsiTheme="majorHAnsi" w:cs="Times New Roman"/>
        </w:rPr>
      </w:pPr>
      <w:r>
        <w:rPr>
          <w:rFonts w:asciiTheme="majorHAnsi" w:hAnsiTheme="majorHAnsi" w:cs="Times New Roman"/>
        </w:rPr>
        <w:t xml:space="preserve">Figure </w:t>
      </w:r>
      <w:r w:rsidR="00C41418">
        <w:rPr>
          <w:rFonts w:asciiTheme="majorHAnsi" w:hAnsiTheme="majorHAnsi" w:cs="Times New Roman"/>
        </w:rPr>
        <w:t>5</w:t>
      </w:r>
      <w:r>
        <w:rPr>
          <w:rFonts w:asciiTheme="majorHAnsi" w:hAnsiTheme="majorHAnsi" w:cs="Times New Roman"/>
        </w:rPr>
        <w:t xml:space="preserve"> illustrates the use of antipsychotics in middle aged persons during 2011</w:t>
      </w:r>
      <w:r w:rsidR="00435861">
        <w:rPr>
          <w:rFonts w:asciiTheme="majorHAnsi" w:hAnsiTheme="majorHAnsi" w:cs="Times New Roman"/>
        </w:rPr>
        <w:t xml:space="preserve"> based on age of first supply</w:t>
      </w:r>
      <w:r>
        <w:rPr>
          <w:rFonts w:asciiTheme="majorHAnsi" w:hAnsiTheme="majorHAnsi" w:cs="Times New Roman"/>
        </w:rPr>
        <w:t xml:space="preserve">. </w:t>
      </w:r>
      <w:r w:rsidR="00E76D5A">
        <w:rPr>
          <w:rFonts w:asciiTheme="majorHAnsi" w:hAnsiTheme="majorHAnsi" w:cs="Times New Roman"/>
        </w:rPr>
        <w:t>Q</w:t>
      </w:r>
      <w:r>
        <w:rPr>
          <w:rFonts w:asciiTheme="majorHAnsi" w:hAnsiTheme="majorHAnsi" w:cs="Times New Roman"/>
        </w:rPr>
        <w:t>uetiapine was the most common antipsychotic</w:t>
      </w:r>
      <w:r w:rsidR="00E76D5A">
        <w:rPr>
          <w:rFonts w:asciiTheme="majorHAnsi" w:hAnsiTheme="majorHAnsi" w:cs="Times New Roman"/>
        </w:rPr>
        <w:t xml:space="preserve"> </w:t>
      </w:r>
      <w:r w:rsidR="00435861">
        <w:rPr>
          <w:rFonts w:asciiTheme="majorHAnsi" w:hAnsiTheme="majorHAnsi" w:cs="Times New Roman"/>
        </w:rPr>
        <w:t xml:space="preserve">used for </w:t>
      </w:r>
      <w:r w:rsidR="00C41418">
        <w:rPr>
          <w:rFonts w:asciiTheme="majorHAnsi" w:hAnsiTheme="majorHAnsi" w:cs="Times New Roman"/>
        </w:rPr>
        <w:t>initiation</w:t>
      </w:r>
      <w:r w:rsidR="00435861">
        <w:rPr>
          <w:rFonts w:asciiTheme="majorHAnsi" w:hAnsiTheme="majorHAnsi" w:cs="Times New Roman"/>
        </w:rPr>
        <w:t xml:space="preserve"> </w:t>
      </w:r>
      <w:r w:rsidR="00E76D5A">
        <w:rPr>
          <w:rFonts w:asciiTheme="majorHAnsi" w:hAnsiTheme="majorHAnsi" w:cs="Times New Roman"/>
        </w:rPr>
        <w:t>a</w:t>
      </w:r>
      <w:r w:rsidR="00E76D5A" w:rsidRPr="00E76D5A">
        <w:rPr>
          <w:rFonts w:asciiTheme="majorHAnsi" w:hAnsiTheme="majorHAnsi" w:cs="Times New Roman"/>
        </w:rPr>
        <w:t>cross all age groups wi</w:t>
      </w:r>
      <w:r w:rsidR="00E76D5A">
        <w:rPr>
          <w:rFonts w:asciiTheme="majorHAnsi" w:hAnsiTheme="majorHAnsi" w:cs="Times New Roman"/>
        </w:rPr>
        <w:t>thin the 20–59 year age bracket</w:t>
      </w:r>
      <w:r w:rsidR="00C41418">
        <w:rPr>
          <w:rFonts w:asciiTheme="majorHAnsi" w:hAnsiTheme="majorHAnsi" w:cs="Times New Roman"/>
        </w:rPr>
        <w:t xml:space="preserve"> with olanzapine and risperidone next in order of market share.</w:t>
      </w:r>
    </w:p>
    <w:p w:rsidR="008C0719" w:rsidRDefault="008C0719" w:rsidP="00CD10DB">
      <w:pPr>
        <w:spacing w:after="0"/>
        <w:rPr>
          <w:rFonts w:asciiTheme="majorHAnsi" w:hAnsiTheme="majorHAnsi" w:cs="Times New Roman"/>
        </w:rPr>
      </w:pPr>
      <w:r>
        <w:rPr>
          <w:noProof/>
          <w:lang w:eastAsia="en-AU"/>
        </w:rPr>
        <w:lastRenderedPageBreak/>
        <w:drawing>
          <wp:inline distT="0" distB="0" distL="0" distR="0" wp14:anchorId="1E806DD7" wp14:editId="40029B82">
            <wp:extent cx="5270500" cy="4489450"/>
            <wp:effectExtent l="0" t="0" r="25400" b="25400"/>
            <wp:docPr id="18" name="Chart 18" descr="Population standardised number of patients supplied a subsidised PBS/RPBS antipsychotic medicines in 2011, by age of patient at first supply "/>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40E20" w:rsidRPr="00B40E20" w:rsidRDefault="00B40E20" w:rsidP="00B40E20">
      <w:pPr>
        <w:spacing w:after="0"/>
        <w:rPr>
          <w:rFonts w:asciiTheme="majorHAnsi" w:hAnsiTheme="majorHAnsi" w:cs="Times New Roman"/>
          <w:b/>
          <w:sz w:val="20"/>
          <w:szCs w:val="20"/>
        </w:rPr>
      </w:pPr>
      <w:r w:rsidRPr="00B40E20">
        <w:rPr>
          <w:rFonts w:asciiTheme="majorHAnsi" w:hAnsiTheme="majorHAnsi" w:cs="Times New Roman"/>
          <w:b/>
          <w:sz w:val="20"/>
          <w:szCs w:val="20"/>
        </w:rPr>
        <w:t xml:space="preserve">Figure </w:t>
      </w:r>
      <w:r w:rsidR="00C41418">
        <w:rPr>
          <w:rFonts w:asciiTheme="majorHAnsi" w:hAnsiTheme="majorHAnsi" w:cs="Times New Roman"/>
          <w:b/>
          <w:sz w:val="20"/>
          <w:szCs w:val="20"/>
        </w:rPr>
        <w:t>5</w:t>
      </w:r>
      <w:r w:rsidRPr="00B40E20">
        <w:rPr>
          <w:rFonts w:asciiTheme="majorHAnsi" w:hAnsiTheme="majorHAnsi" w:cs="Times New Roman"/>
          <w:b/>
          <w:sz w:val="20"/>
          <w:szCs w:val="20"/>
        </w:rPr>
        <w:t>: Population standardised number of patients supplied a subsidised PBS/RPBS</w:t>
      </w:r>
      <w:r w:rsidR="00111F99">
        <w:rPr>
          <w:rFonts w:asciiTheme="majorHAnsi" w:hAnsiTheme="majorHAnsi" w:cs="Times New Roman"/>
          <w:b/>
          <w:sz w:val="20"/>
          <w:szCs w:val="20"/>
        </w:rPr>
        <w:t xml:space="preserve"> antipsychotic </w:t>
      </w:r>
      <w:r w:rsidR="00CA67C4">
        <w:rPr>
          <w:rFonts w:asciiTheme="majorHAnsi" w:hAnsiTheme="majorHAnsi" w:cs="Times New Roman"/>
          <w:b/>
          <w:sz w:val="20"/>
          <w:szCs w:val="20"/>
        </w:rPr>
        <w:t xml:space="preserve">medicines </w:t>
      </w:r>
      <w:r w:rsidR="00111F99">
        <w:rPr>
          <w:rFonts w:asciiTheme="majorHAnsi" w:hAnsiTheme="majorHAnsi" w:cs="Times New Roman"/>
          <w:b/>
          <w:sz w:val="20"/>
          <w:szCs w:val="20"/>
        </w:rPr>
        <w:t>in 2011, by age of patient</w:t>
      </w:r>
      <w:r w:rsidR="00435861">
        <w:rPr>
          <w:rFonts w:asciiTheme="majorHAnsi" w:hAnsiTheme="majorHAnsi" w:cs="Times New Roman"/>
          <w:b/>
          <w:sz w:val="20"/>
          <w:szCs w:val="20"/>
        </w:rPr>
        <w:t xml:space="preserve"> at first supply</w:t>
      </w:r>
      <w:r w:rsidR="00111F99">
        <w:rPr>
          <w:rFonts w:asciiTheme="majorHAnsi" w:hAnsiTheme="majorHAnsi" w:cs="Times New Roman"/>
          <w:b/>
          <w:sz w:val="20"/>
          <w:szCs w:val="20"/>
        </w:rPr>
        <w:t xml:space="preserve"> </w:t>
      </w:r>
    </w:p>
    <w:p w:rsidR="0036315A" w:rsidRPr="0011501B" w:rsidRDefault="0036315A" w:rsidP="0036315A">
      <w:pPr>
        <w:spacing w:after="0"/>
        <w:rPr>
          <w:rFonts w:asciiTheme="majorHAnsi" w:hAnsiTheme="majorHAnsi" w:cs="Times New Roman"/>
          <w:i/>
          <w:sz w:val="20"/>
          <w:szCs w:val="20"/>
        </w:rPr>
      </w:pPr>
      <w:r w:rsidRPr="0011501B">
        <w:rPr>
          <w:rFonts w:asciiTheme="majorHAnsi" w:hAnsiTheme="majorHAnsi" w:cs="Times New Roman"/>
          <w:i/>
          <w:sz w:val="20"/>
          <w:szCs w:val="20"/>
        </w:rPr>
        <w:t>Source: Medicare DHS Supplied Prescription Database, accessed November 2012</w:t>
      </w:r>
    </w:p>
    <w:p w:rsidR="00B40E20" w:rsidRDefault="00B40E20" w:rsidP="00CD10DB">
      <w:pPr>
        <w:spacing w:after="0"/>
        <w:rPr>
          <w:rFonts w:asciiTheme="majorHAnsi" w:hAnsiTheme="majorHAnsi" w:cs="Times New Roman"/>
        </w:rPr>
      </w:pPr>
    </w:p>
    <w:p w:rsidR="00CE59F1" w:rsidRDefault="00F82963" w:rsidP="00E77CF0">
      <w:pPr>
        <w:spacing w:after="0"/>
        <w:jc w:val="both"/>
        <w:rPr>
          <w:rFonts w:asciiTheme="majorHAnsi" w:hAnsiTheme="majorHAnsi" w:cs="Times New Roman"/>
        </w:rPr>
      </w:pPr>
      <w:r>
        <w:rPr>
          <w:rFonts w:asciiTheme="majorHAnsi" w:hAnsiTheme="majorHAnsi" w:cs="Times New Roman"/>
        </w:rPr>
        <w:t xml:space="preserve">Quetiapine use </w:t>
      </w:r>
      <w:r w:rsidR="00BD0ED2">
        <w:rPr>
          <w:rFonts w:asciiTheme="majorHAnsi" w:hAnsiTheme="majorHAnsi" w:cs="Times New Roman"/>
        </w:rPr>
        <w:t>is increasing and is the major contributor to the increasing use of antipsychotics (Figure 2)</w:t>
      </w:r>
      <w:r>
        <w:rPr>
          <w:rFonts w:asciiTheme="majorHAnsi" w:hAnsiTheme="majorHAnsi" w:cs="Times New Roman"/>
        </w:rPr>
        <w:t xml:space="preserve">. </w:t>
      </w:r>
      <w:r w:rsidR="00CE59F1">
        <w:rPr>
          <w:rFonts w:asciiTheme="majorHAnsi" w:hAnsiTheme="majorHAnsi" w:cs="Times New Roman"/>
        </w:rPr>
        <w:t xml:space="preserve">The growth in quetiapine is also seen in a comparison of the number of prescriptions dispensed (age-standardised) between 2008 and 2011 (Figure 6). This analysis </w:t>
      </w:r>
      <w:r w:rsidR="00CE59F1" w:rsidRPr="00F82963">
        <w:rPr>
          <w:rFonts w:asciiTheme="majorHAnsi" w:hAnsiTheme="majorHAnsi" w:cs="Times New Roman"/>
        </w:rPr>
        <w:t xml:space="preserve">shows that quetiapine use </w:t>
      </w:r>
      <w:r w:rsidR="00CE59F1">
        <w:rPr>
          <w:rFonts w:asciiTheme="majorHAnsi" w:hAnsiTheme="majorHAnsi" w:cs="Times New Roman"/>
        </w:rPr>
        <w:t>increased by 82%. The increased use of quetiapine was somewhat offset by reduced use of</w:t>
      </w:r>
      <w:r w:rsidR="00CE59F1" w:rsidRPr="00F82963">
        <w:rPr>
          <w:rFonts w:asciiTheme="majorHAnsi" w:hAnsiTheme="majorHAnsi" w:cs="Times New Roman"/>
        </w:rPr>
        <w:t xml:space="preserve"> olanzapine </w:t>
      </w:r>
      <w:r w:rsidR="00CE59F1">
        <w:rPr>
          <w:rFonts w:asciiTheme="majorHAnsi" w:hAnsiTheme="majorHAnsi" w:cs="Times New Roman"/>
        </w:rPr>
        <w:t xml:space="preserve">(-3%) </w:t>
      </w:r>
      <w:r w:rsidR="00CE59F1" w:rsidRPr="00F82963">
        <w:rPr>
          <w:rFonts w:asciiTheme="majorHAnsi" w:hAnsiTheme="majorHAnsi" w:cs="Times New Roman"/>
        </w:rPr>
        <w:t>and risperidone</w:t>
      </w:r>
      <w:r w:rsidR="00CE59F1">
        <w:rPr>
          <w:rFonts w:asciiTheme="majorHAnsi" w:hAnsiTheme="majorHAnsi" w:cs="Times New Roman"/>
        </w:rPr>
        <w:t xml:space="preserve"> (-6%), resulting in an overall growth rate for these three antipsychotics of 22%</w:t>
      </w:r>
      <w:r w:rsidR="00CE59F1" w:rsidRPr="00F82963">
        <w:rPr>
          <w:rFonts w:asciiTheme="majorHAnsi" w:hAnsiTheme="majorHAnsi" w:cs="Times New Roman"/>
        </w:rPr>
        <w:t xml:space="preserve"> (Figure </w:t>
      </w:r>
      <w:r w:rsidR="00CE59F1">
        <w:rPr>
          <w:rFonts w:asciiTheme="majorHAnsi" w:hAnsiTheme="majorHAnsi" w:cs="Times New Roman"/>
        </w:rPr>
        <w:t>7</w:t>
      </w:r>
      <w:r w:rsidR="00CE59F1" w:rsidRPr="00F82963">
        <w:rPr>
          <w:rFonts w:asciiTheme="majorHAnsi" w:hAnsiTheme="majorHAnsi" w:cs="Times New Roman"/>
        </w:rPr>
        <w:t>).</w:t>
      </w:r>
    </w:p>
    <w:p w:rsidR="00CE59F1" w:rsidRDefault="00CE59F1" w:rsidP="00E77CF0">
      <w:pPr>
        <w:spacing w:after="0"/>
        <w:jc w:val="both"/>
        <w:rPr>
          <w:rFonts w:asciiTheme="majorHAnsi" w:hAnsiTheme="majorHAnsi" w:cs="Times New Roman"/>
        </w:rPr>
      </w:pPr>
    </w:p>
    <w:p w:rsidR="00CE59F1" w:rsidRDefault="00CE59F1" w:rsidP="00E77CF0">
      <w:pPr>
        <w:spacing w:after="0"/>
        <w:jc w:val="both"/>
        <w:rPr>
          <w:rFonts w:asciiTheme="majorHAnsi" w:hAnsiTheme="majorHAnsi" w:cs="Times New Roman"/>
        </w:rPr>
      </w:pPr>
      <w:r>
        <w:rPr>
          <w:rFonts w:asciiTheme="majorHAnsi" w:hAnsiTheme="majorHAnsi" w:cs="Times New Roman"/>
        </w:rPr>
        <w:t>In the 20</w:t>
      </w:r>
      <w:r w:rsidR="00424D43">
        <w:rPr>
          <w:rFonts w:asciiTheme="majorHAnsi" w:hAnsiTheme="majorHAnsi" w:cs="Times New Roman"/>
        </w:rPr>
        <w:t>–</w:t>
      </w:r>
      <w:r>
        <w:rPr>
          <w:rFonts w:asciiTheme="majorHAnsi" w:hAnsiTheme="majorHAnsi" w:cs="Times New Roman"/>
        </w:rPr>
        <w:t>55</w:t>
      </w:r>
      <w:r w:rsidR="00424D43">
        <w:rPr>
          <w:rFonts w:asciiTheme="majorHAnsi" w:hAnsiTheme="majorHAnsi" w:cs="Times New Roman"/>
        </w:rPr>
        <w:t xml:space="preserve"> year</w:t>
      </w:r>
      <w:r>
        <w:rPr>
          <w:rFonts w:asciiTheme="majorHAnsi" w:hAnsiTheme="majorHAnsi" w:cs="Times New Roman"/>
        </w:rPr>
        <w:t xml:space="preserve"> age group the first drug is more often quetiapine, particularly in the 20</w:t>
      </w:r>
      <w:r w:rsidR="00424D43" w:rsidRPr="00424D43">
        <w:rPr>
          <w:rFonts w:asciiTheme="majorHAnsi" w:hAnsiTheme="majorHAnsi" w:cs="Times New Roman"/>
        </w:rPr>
        <w:t>–</w:t>
      </w:r>
      <w:r>
        <w:rPr>
          <w:rFonts w:asciiTheme="majorHAnsi" w:hAnsiTheme="majorHAnsi" w:cs="Times New Roman"/>
        </w:rPr>
        <w:t>40 year age group (Figure 5).</w:t>
      </w:r>
    </w:p>
    <w:p w:rsidR="00F82963" w:rsidRDefault="005D2DBD" w:rsidP="00CD10DB">
      <w:pPr>
        <w:spacing w:after="0"/>
        <w:rPr>
          <w:rFonts w:asciiTheme="majorHAnsi" w:hAnsiTheme="majorHAnsi" w:cs="Times New Roman"/>
        </w:rPr>
      </w:pPr>
      <w:r>
        <w:rPr>
          <w:rFonts w:asciiTheme="majorHAnsi" w:hAnsiTheme="majorHAnsi" w:cs="Times New Roman"/>
          <w:noProof/>
          <w:lang w:eastAsia="en-AU"/>
        </w:rPr>
        <w:lastRenderedPageBreak/>
        <w:drawing>
          <wp:inline distT="0" distB="0" distL="0" distR="0" wp14:anchorId="3F14B23A" wp14:editId="18063968">
            <wp:extent cx="5334000" cy="2884769"/>
            <wp:effectExtent l="0" t="0" r="0" b="0"/>
            <wp:docPr id="23" name="Picture 23" descr="Population standardised number of patients supplied a subsidised PBS/RPBS atypical antipsychotic in 2008 and 2011 for the three most frequently prescribed medic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42313" cy="2889265"/>
                    </a:xfrm>
                    <a:prstGeom prst="rect">
                      <a:avLst/>
                    </a:prstGeom>
                    <a:noFill/>
                  </pic:spPr>
                </pic:pic>
              </a:graphicData>
            </a:graphic>
          </wp:inline>
        </w:drawing>
      </w:r>
    </w:p>
    <w:p w:rsidR="00F82963" w:rsidRPr="00F82963" w:rsidRDefault="00F82963" w:rsidP="00F82963">
      <w:pPr>
        <w:spacing w:after="0"/>
        <w:rPr>
          <w:rFonts w:asciiTheme="majorHAnsi" w:hAnsiTheme="majorHAnsi" w:cs="Times New Roman"/>
          <w:b/>
          <w:sz w:val="20"/>
          <w:szCs w:val="20"/>
        </w:rPr>
      </w:pPr>
      <w:r w:rsidRPr="00F82963">
        <w:rPr>
          <w:rFonts w:asciiTheme="majorHAnsi" w:hAnsiTheme="majorHAnsi" w:cs="Times New Roman"/>
          <w:b/>
          <w:sz w:val="20"/>
          <w:szCs w:val="20"/>
        </w:rPr>
        <w:t xml:space="preserve">Figure </w:t>
      </w:r>
      <w:r w:rsidR="00CE59F1">
        <w:rPr>
          <w:rFonts w:asciiTheme="majorHAnsi" w:hAnsiTheme="majorHAnsi" w:cs="Times New Roman"/>
          <w:b/>
          <w:sz w:val="20"/>
          <w:szCs w:val="20"/>
        </w:rPr>
        <w:t>6</w:t>
      </w:r>
      <w:r w:rsidRPr="00F82963">
        <w:rPr>
          <w:rFonts w:asciiTheme="majorHAnsi" w:hAnsiTheme="majorHAnsi" w:cs="Times New Roman"/>
          <w:b/>
          <w:sz w:val="20"/>
          <w:szCs w:val="20"/>
        </w:rPr>
        <w:t xml:space="preserve">: Population standardised number of patients supplied a subsidised PBS/RPBS atypical antipsychotic in 2008 and 2011 for the three most frequently prescribed </w:t>
      </w:r>
      <w:r w:rsidR="00FF0C5D">
        <w:rPr>
          <w:rFonts w:asciiTheme="majorHAnsi" w:hAnsiTheme="majorHAnsi" w:cs="Times New Roman"/>
          <w:b/>
          <w:sz w:val="20"/>
          <w:szCs w:val="20"/>
        </w:rPr>
        <w:t>medicines</w:t>
      </w:r>
    </w:p>
    <w:p w:rsidR="0036315A" w:rsidRPr="0011501B" w:rsidRDefault="0036315A" w:rsidP="0036315A">
      <w:pPr>
        <w:spacing w:after="0"/>
        <w:rPr>
          <w:rFonts w:asciiTheme="majorHAnsi" w:hAnsiTheme="majorHAnsi" w:cs="Times New Roman"/>
          <w:i/>
          <w:sz w:val="20"/>
          <w:szCs w:val="20"/>
        </w:rPr>
      </w:pPr>
      <w:r w:rsidRPr="0011501B">
        <w:rPr>
          <w:rFonts w:asciiTheme="majorHAnsi" w:hAnsiTheme="majorHAnsi" w:cs="Times New Roman"/>
          <w:i/>
          <w:sz w:val="20"/>
          <w:szCs w:val="20"/>
        </w:rPr>
        <w:t>Source: Medicare DHS Supplied Prescription Database, accessed November 2012</w:t>
      </w:r>
    </w:p>
    <w:p w:rsidR="00F82963" w:rsidRDefault="00F82963" w:rsidP="00CD10DB">
      <w:pPr>
        <w:spacing w:after="0"/>
        <w:rPr>
          <w:rFonts w:asciiTheme="majorHAnsi" w:hAnsiTheme="majorHAnsi" w:cs="Times New Roman"/>
        </w:rPr>
      </w:pPr>
    </w:p>
    <w:p w:rsidR="00F82963" w:rsidRPr="00F82963" w:rsidRDefault="00F82963" w:rsidP="00467FB0">
      <w:pPr>
        <w:pStyle w:val="Heading3"/>
      </w:pPr>
      <w:r w:rsidRPr="00F82963">
        <w:t>Co-administration analysis</w:t>
      </w:r>
    </w:p>
    <w:p w:rsidR="00F82963" w:rsidRDefault="00F82963" w:rsidP="00CD10DB">
      <w:pPr>
        <w:spacing w:after="0"/>
        <w:rPr>
          <w:rFonts w:asciiTheme="majorHAnsi" w:hAnsiTheme="majorHAnsi" w:cs="Times New Roman"/>
        </w:rPr>
      </w:pPr>
    </w:p>
    <w:p w:rsidR="00F54DF0" w:rsidRDefault="00F54DF0" w:rsidP="00E77CF0">
      <w:pPr>
        <w:spacing w:after="0"/>
        <w:jc w:val="both"/>
        <w:rPr>
          <w:rFonts w:asciiTheme="majorHAnsi" w:hAnsiTheme="majorHAnsi" w:cs="Times New Roman"/>
        </w:rPr>
      </w:pPr>
      <w:r w:rsidRPr="00F54DF0">
        <w:rPr>
          <w:rFonts w:asciiTheme="majorHAnsi" w:hAnsiTheme="majorHAnsi" w:cs="Times New Roman"/>
        </w:rPr>
        <w:t xml:space="preserve">The most common </w:t>
      </w:r>
      <w:r w:rsidR="00CE59F1">
        <w:rPr>
          <w:rFonts w:asciiTheme="majorHAnsi" w:hAnsiTheme="majorHAnsi" w:cs="Times New Roman"/>
        </w:rPr>
        <w:t xml:space="preserve">drug </w:t>
      </w:r>
      <w:r w:rsidRPr="00F54DF0">
        <w:rPr>
          <w:rFonts w:asciiTheme="majorHAnsi" w:hAnsiTheme="majorHAnsi" w:cs="Times New Roman"/>
        </w:rPr>
        <w:t>regimens for p</w:t>
      </w:r>
      <w:r w:rsidR="00D57F64">
        <w:rPr>
          <w:rFonts w:asciiTheme="majorHAnsi" w:hAnsiTheme="majorHAnsi" w:cs="Times New Roman"/>
        </w:rPr>
        <w:t>ersons</w:t>
      </w:r>
      <w:r w:rsidRPr="00F54DF0">
        <w:rPr>
          <w:rFonts w:asciiTheme="majorHAnsi" w:hAnsiTheme="majorHAnsi" w:cs="Times New Roman"/>
        </w:rPr>
        <w:t xml:space="preserve"> aged 20</w:t>
      </w:r>
      <w:r>
        <w:rPr>
          <w:rFonts w:asciiTheme="majorHAnsi" w:hAnsiTheme="majorHAnsi" w:cs="Times New Roman"/>
        </w:rPr>
        <w:t>–</w:t>
      </w:r>
      <w:r w:rsidRPr="00F54DF0">
        <w:rPr>
          <w:rFonts w:asciiTheme="majorHAnsi" w:hAnsiTheme="majorHAnsi" w:cs="Times New Roman"/>
        </w:rPr>
        <w:t xml:space="preserve">59 years taking an antipsychotic are shown in Figure </w:t>
      </w:r>
      <w:r w:rsidR="00CE59F1">
        <w:rPr>
          <w:rFonts w:asciiTheme="majorHAnsi" w:hAnsiTheme="majorHAnsi" w:cs="Times New Roman"/>
        </w:rPr>
        <w:t>7</w:t>
      </w:r>
      <w:r w:rsidRPr="00F54DF0">
        <w:rPr>
          <w:rFonts w:asciiTheme="majorHAnsi" w:hAnsiTheme="majorHAnsi" w:cs="Times New Roman"/>
        </w:rPr>
        <w:t>.</w:t>
      </w:r>
      <w:r w:rsidR="00E76D5A">
        <w:rPr>
          <w:rFonts w:asciiTheme="majorHAnsi" w:hAnsiTheme="majorHAnsi" w:cs="Times New Roman"/>
        </w:rPr>
        <w:t xml:space="preserve"> The regimen</w:t>
      </w:r>
      <w:r w:rsidR="00FF0C5D">
        <w:rPr>
          <w:rFonts w:asciiTheme="majorHAnsi" w:hAnsiTheme="majorHAnsi" w:cs="Times New Roman"/>
        </w:rPr>
        <w:t xml:space="preserve"> </w:t>
      </w:r>
      <w:r w:rsidR="00CE08F0">
        <w:rPr>
          <w:rFonts w:asciiTheme="majorHAnsi" w:hAnsiTheme="majorHAnsi" w:cs="Times New Roman"/>
        </w:rPr>
        <w:t xml:space="preserve">that was widely used </w:t>
      </w:r>
      <w:r w:rsidR="00E76D5A">
        <w:rPr>
          <w:rFonts w:asciiTheme="majorHAnsi" w:hAnsiTheme="majorHAnsi" w:cs="Times New Roman"/>
        </w:rPr>
        <w:t xml:space="preserve">across all age groups in this age bracket was quetiapine </w:t>
      </w:r>
      <w:r w:rsidR="00FF0C5D">
        <w:rPr>
          <w:rFonts w:asciiTheme="majorHAnsi" w:hAnsiTheme="majorHAnsi" w:cs="Times New Roman"/>
        </w:rPr>
        <w:t xml:space="preserve">plus </w:t>
      </w:r>
      <w:r w:rsidR="00E76D5A">
        <w:rPr>
          <w:rFonts w:asciiTheme="majorHAnsi" w:hAnsiTheme="majorHAnsi" w:cs="Times New Roman"/>
        </w:rPr>
        <w:t xml:space="preserve">an antidepressant. In younger </w:t>
      </w:r>
      <w:r w:rsidR="00FF0C5D">
        <w:rPr>
          <w:rFonts w:asciiTheme="majorHAnsi" w:hAnsiTheme="majorHAnsi" w:cs="Times New Roman"/>
        </w:rPr>
        <w:t>adults aged</w:t>
      </w:r>
      <w:r w:rsidR="00E76D5A">
        <w:rPr>
          <w:rFonts w:asciiTheme="majorHAnsi" w:hAnsiTheme="majorHAnsi" w:cs="Times New Roman"/>
        </w:rPr>
        <w:t xml:space="preserve"> 20–39 years, quetiapine and olanzapine were also commonly prescribed as single agents. </w:t>
      </w:r>
      <w:r w:rsidR="00FC29E3">
        <w:rPr>
          <w:rFonts w:asciiTheme="majorHAnsi" w:hAnsiTheme="majorHAnsi" w:cs="Times New Roman"/>
        </w:rPr>
        <w:t>In p</w:t>
      </w:r>
      <w:r w:rsidR="00592826">
        <w:rPr>
          <w:rFonts w:asciiTheme="majorHAnsi" w:hAnsiTheme="majorHAnsi" w:cs="Times New Roman"/>
        </w:rPr>
        <w:t>atients</w:t>
      </w:r>
      <w:r w:rsidR="00FC29E3">
        <w:rPr>
          <w:rFonts w:asciiTheme="majorHAnsi" w:hAnsiTheme="majorHAnsi" w:cs="Times New Roman"/>
        </w:rPr>
        <w:t xml:space="preserve"> aged 44–59 years of age, co-administration of an antipsychotic plus an antidepressant </w:t>
      </w:r>
      <w:r w:rsidR="00CE08F0">
        <w:rPr>
          <w:rFonts w:asciiTheme="majorHAnsi" w:hAnsiTheme="majorHAnsi" w:cs="Times New Roman"/>
        </w:rPr>
        <w:t xml:space="preserve">occurred </w:t>
      </w:r>
      <w:r w:rsidR="00FC29E3">
        <w:rPr>
          <w:rFonts w:asciiTheme="majorHAnsi" w:hAnsiTheme="majorHAnsi" w:cs="Times New Roman"/>
        </w:rPr>
        <w:t xml:space="preserve">more </w:t>
      </w:r>
      <w:r w:rsidR="00CE08F0">
        <w:rPr>
          <w:rFonts w:asciiTheme="majorHAnsi" w:hAnsiTheme="majorHAnsi" w:cs="Times New Roman"/>
        </w:rPr>
        <w:t>often</w:t>
      </w:r>
      <w:r w:rsidR="00FC29E3">
        <w:rPr>
          <w:rFonts w:asciiTheme="majorHAnsi" w:hAnsiTheme="majorHAnsi" w:cs="Times New Roman"/>
        </w:rPr>
        <w:t xml:space="preserve"> than prescription of </w:t>
      </w:r>
      <w:r w:rsidR="00FF0C5D">
        <w:rPr>
          <w:rFonts w:asciiTheme="majorHAnsi" w:hAnsiTheme="majorHAnsi" w:cs="Times New Roman"/>
        </w:rPr>
        <w:t xml:space="preserve">any </w:t>
      </w:r>
      <w:r w:rsidR="00FC29E3">
        <w:rPr>
          <w:rFonts w:asciiTheme="majorHAnsi" w:hAnsiTheme="majorHAnsi" w:cs="Times New Roman"/>
        </w:rPr>
        <w:t xml:space="preserve">single </w:t>
      </w:r>
      <w:r w:rsidR="0009436D">
        <w:rPr>
          <w:rFonts w:asciiTheme="majorHAnsi" w:hAnsiTheme="majorHAnsi" w:cs="Times New Roman"/>
        </w:rPr>
        <w:t xml:space="preserve">antipsychotic </w:t>
      </w:r>
      <w:r w:rsidR="00FC29E3">
        <w:rPr>
          <w:rFonts w:asciiTheme="majorHAnsi" w:hAnsiTheme="majorHAnsi" w:cs="Times New Roman"/>
        </w:rPr>
        <w:t>agent therapy.</w:t>
      </w:r>
      <w:r w:rsidR="0009436D">
        <w:rPr>
          <w:rFonts w:asciiTheme="majorHAnsi" w:hAnsiTheme="majorHAnsi" w:cs="Times New Roman"/>
        </w:rPr>
        <w:t xml:space="preserve"> The analysis also examined the number</w:t>
      </w:r>
      <w:r w:rsidR="0020262E">
        <w:rPr>
          <w:rFonts w:asciiTheme="majorHAnsi" w:hAnsiTheme="majorHAnsi" w:cs="Times New Roman"/>
        </w:rPr>
        <w:t xml:space="preserve"> of patients </w:t>
      </w:r>
      <w:r w:rsidR="0009436D">
        <w:rPr>
          <w:rFonts w:asciiTheme="majorHAnsi" w:hAnsiTheme="majorHAnsi" w:cs="Times New Roman"/>
        </w:rPr>
        <w:t>taking an antidepressant only. As this number of patients is much larger than those taking an antipsychotic, with or without an antidepressant these have been left out of the analysis.</w:t>
      </w:r>
    </w:p>
    <w:p w:rsidR="00F54DF0" w:rsidRDefault="00F54DF0" w:rsidP="00CD10DB">
      <w:pPr>
        <w:spacing w:after="0"/>
        <w:rPr>
          <w:rFonts w:ascii="Times New Roman" w:eastAsia="Calibri" w:hAnsi="Times New Roman" w:cs="Times New Roman"/>
          <w:noProof/>
          <w:szCs w:val="22"/>
          <w:lang w:eastAsia="en-AU"/>
        </w:rPr>
      </w:pPr>
    </w:p>
    <w:p w:rsidR="00233972" w:rsidRDefault="00233972" w:rsidP="00CD10DB">
      <w:pPr>
        <w:spacing w:after="0"/>
        <w:rPr>
          <w:rFonts w:ascii="Times New Roman" w:eastAsia="Calibri" w:hAnsi="Times New Roman" w:cs="Times New Roman"/>
          <w:noProof/>
          <w:szCs w:val="22"/>
          <w:lang w:eastAsia="en-AU"/>
        </w:rPr>
      </w:pPr>
      <w:r w:rsidRPr="007432B9">
        <w:rPr>
          <w:noProof/>
          <w:sz w:val="16"/>
          <w:szCs w:val="16"/>
          <w:lang w:eastAsia="en-AU"/>
        </w:rPr>
        <w:lastRenderedPageBreak/>
        <w:drawing>
          <wp:inline distT="0" distB="0" distL="0" distR="0" wp14:anchorId="41D5188F" wp14:editId="271BEE42">
            <wp:extent cx="5270500" cy="3450601"/>
            <wp:effectExtent l="0" t="0" r="6350" b="0"/>
            <wp:docPr id="13" name="Chart 13" descr="Regimens for prevalent patients taking any antipsychotic for all patients from 10% sample, for patients supplied an AD or AP medicine from December 2010 to December 2012 inclusive&#10;Note: Only the 17 most common regimens are shown. The AD only regimen is excluded.&#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460A2" w:rsidRPr="00A460A2" w:rsidRDefault="00CD10DB" w:rsidP="00A460A2">
      <w:pPr>
        <w:spacing w:after="0"/>
        <w:rPr>
          <w:rFonts w:asciiTheme="majorHAnsi" w:hAnsiTheme="majorHAnsi" w:cs="Times New Roman"/>
          <w:b/>
          <w:sz w:val="20"/>
          <w:szCs w:val="20"/>
        </w:rPr>
      </w:pPr>
      <w:r w:rsidRPr="00CD10DB">
        <w:rPr>
          <w:rFonts w:asciiTheme="majorHAnsi" w:hAnsiTheme="majorHAnsi" w:cs="Times New Roman"/>
          <w:b/>
          <w:sz w:val="20"/>
          <w:szCs w:val="20"/>
        </w:rPr>
        <w:t xml:space="preserve">Figure </w:t>
      </w:r>
      <w:r w:rsidR="00CE59F1">
        <w:rPr>
          <w:rFonts w:asciiTheme="majorHAnsi" w:hAnsiTheme="majorHAnsi" w:cs="Times New Roman"/>
          <w:b/>
          <w:sz w:val="20"/>
          <w:szCs w:val="20"/>
        </w:rPr>
        <w:t>7</w:t>
      </w:r>
      <w:r w:rsidRPr="00CD10DB">
        <w:rPr>
          <w:rFonts w:asciiTheme="majorHAnsi" w:hAnsiTheme="majorHAnsi" w:cs="Times New Roman"/>
          <w:b/>
          <w:sz w:val="20"/>
          <w:szCs w:val="20"/>
        </w:rPr>
        <w:t xml:space="preserve">: </w:t>
      </w:r>
      <w:r w:rsidR="0011501B">
        <w:rPr>
          <w:rFonts w:asciiTheme="majorHAnsi" w:hAnsiTheme="majorHAnsi" w:cs="Times New Roman"/>
          <w:b/>
          <w:sz w:val="20"/>
          <w:szCs w:val="20"/>
        </w:rPr>
        <w:t>R</w:t>
      </w:r>
      <w:r w:rsidR="00A460A2" w:rsidRPr="00A460A2">
        <w:rPr>
          <w:rFonts w:asciiTheme="majorHAnsi" w:hAnsiTheme="majorHAnsi" w:cs="Times New Roman"/>
          <w:b/>
          <w:sz w:val="20"/>
          <w:szCs w:val="20"/>
        </w:rPr>
        <w:t>egimens for prevalent patients taking any antipsychotic</w:t>
      </w:r>
      <w:r w:rsidR="007F26D8">
        <w:rPr>
          <w:rFonts w:asciiTheme="majorHAnsi" w:hAnsiTheme="majorHAnsi" w:cs="Times New Roman"/>
          <w:b/>
          <w:sz w:val="20"/>
          <w:szCs w:val="20"/>
        </w:rPr>
        <w:t xml:space="preserve"> </w:t>
      </w:r>
      <w:r w:rsidR="00313A97" w:rsidRPr="00313A97">
        <w:rPr>
          <w:rFonts w:asciiTheme="majorHAnsi" w:hAnsiTheme="majorHAnsi" w:cs="Times New Roman"/>
          <w:b/>
          <w:sz w:val="20"/>
          <w:szCs w:val="20"/>
        </w:rPr>
        <w:t>for all patients from 10% sample, for patients supplied an AD or AP medicine from December 2010 to December 2012 inclusive</w:t>
      </w:r>
    </w:p>
    <w:p w:rsidR="00CD10DB" w:rsidRPr="00A460A2" w:rsidRDefault="00A460A2" w:rsidP="00A460A2">
      <w:pPr>
        <w:spacing w:after="0"/>
        <w:rPr>
          <w:rFonts w:asciiTheme="majorHAnsi" w:hAnsiTheme="majorHAnsi" w:cs="Times New Roman"/>
          <w:sz w:val="20"/>
          <w:szCs w:val="20"/>
        </w:rPr>
      </w:pPr>
      <w:r w:rsidRPr="00A460A2">
        <w:rPr>
          <w:rFonts w:asciiTheme="majorHAnsi" w:hAnsiTheme="majorHAnsi" w:cs="Times New Roman"/>
          <w:sz w:val="20"/>
          <w:szCs w:val="20"/>
        </w:rPr>
        <w:t>Note: Only the 17 most common regimens are shown</w:t>
      </w:r>
      <w:r w:rsidR="007F26D8">
        <w:rPr>
          <w:rFonts w:asciiTheme="majorHAnsi" w:hAnsiTheme="majorHAnsi" w:cs="Times New Roman"/>
          <w:sz w:val="20"/>
          <w:szCs w:val="20"/>
        </w:rPr>
        <w:t>. The AD only regimen is excluded</w:t>
      </w:r>
      <w:r w:rsidRPr="00A460A2">
        <w:rPr>
          <w:rFonts w:asciiTheme="majorHAnsi" w:hAnsiTheme="majorHAnsi" w:cs="Times New Roman"/>
          <w:sz w:val="20"/>
          <w:szCs w:val="20"/>
        </w:rPr>
        <w:t>.</w:t>
      </w:r>
    </w:p>
    <w:p w:rsidR="00A460A2" w:rsidRDefault="00233972" w:rsidP="00A460A2">
      <w:pPr>
        <w:spacing w:after="0"/>
        <w:rPr>
          <w:rFonts w:asciiTheme="majorHAnsi" w:hAnsiTheme="majorHAnsi" w:cs="Times New Roman"/>
          <w:i/>
          <w:sz w:val="20"/>
          <w:szCs w:val="20"/>
        </w:rPr>
      </w:pPr>
      <w:r w:rsidRPr="00233972">
        <w:rPr>
          <w:rFonts w:asciiTheme="majorHAnsi" w:hAnsiTheme="majorHAnsi" w:cs="Times New Roman"/>
          <w:i/>
          <w:sz w:val="20"/>
          <w:szCs w:val="20"/>
        </w:rPr>
        <w:t>Source: Medicare DHS Supplied Prescription Database, accessed November 2012</w:t>
      </w:r>
    </w:p>
    <w:p w:rsidR="00233972" w:rsidRDefault="00233972" w:rsidP="00A460A2">
      <w:pPr>
        <w:spacing w:after="0"/>
        <w:rPr>
          <w:rFonts w:asciiTheme="majorHAnsi" w:hAnsiTheme="majorHAnsi" w:cs="Times New Roman"/>
          <w:highlight w:val="yellow"/>
        </w:rPr>
      </w:pPr>
    </w:p>
    <w:p w:rsidR="00FF0C5D" w:rsidRPr="00FF0C5D" w:rsidRDefault="00FF0C5D" w:rsidP="00467FB0">
      <w:pPr>
        <w:pStyle w:val="Heading3"/>
      </w:pPr>
      <w:r w:rsidRPr="00FF0C5D">
        <w:t>Maximum quantity analysis</w:t>
      </w:r>
    </w:p>
    <w:p w:rsidR="00FF0C5D" w:rsidRDefault="00FF0C5D" w:rsidP="00A460A2">
      <w:pPr>
        <w:spacing w:after="0"/>
        <w:rPr>
          <w:rFonts w:asciiTheme="majorHAnsi" w:hAnsiTheme="majorHAnsi" w:cs="Times New Roman"/>
        </w:rPr>
      </w:pPr>
    </w:p>
    <w:p w:rsidR="0009436D" w:rsidRDefault="0009436D" w:rsidP="00E77CF0">
      <w:pPr>
        <w:spacing w:after="0"/>
        <w:jc w:val="both"/>
        <w:rPr>
          <w:rFonts w:asciiTheme="majorHAnsi" w:hAnsiTheme="majorHAnsi" w:cs="Times New Roman"/>
        </w:rPr>
      </w:pPr>
      <w:r>
        <w:rPr>
          <w:rFonts w:asciiTheme="majorHAnsi" w:hAnsiTheme="majorHAnsi" w:cs="Times New Roman"/>
        </w:rPr>
        <w:t>A defined daily dose analysis was not considered appropriate for this report. The DDD allocated to antipsychotics is based on treatment of psychosis and other uses for antipsychotics are u</w:t>
      </w:r>
      <w:r w:rsidR="00A62FA2">
        <w:rPr>
          <w:rFonts w:asciiTheme="majorHAnsi" w:hAnsiTheme="majorHAnsi" w:cs="Times New Roman"/>
        </w:rPr>
        <w:t>sually at much lower doses</w:t>
      </w:r>
      <w:r>
        <w:rPr>
          <w:rFonts w:asciiTheme="majorHAnsi" w:hAnsiTheme="majorHAnsi" w:cs="Times New Roman"/>
        </w:rPr>
        <w:t>.</w:t>
      </w:r>
      <w:r w:rsidR="00A62FA2">
        <w:rPr>
          <w:rFonts w:asciiTheme="majorHAnsi" w:hAnsiTheme="majorHAnsi" w:cs="Times New Roman"/>
          <w:vertAlign w:val="superscript"/>
        </w:rPr>
        <w:t>8</w:t>
      </w:r>
      <w:r>
        <w:rPr>
          <w:rFonts w:asciiTheme="majorHAnsi" w:hAnsiTheme="majorHAnsi" w:cs="Times New Roman"/>
        </w:rPr>
        <w:t xml:space="preserve"> Therefore the analysis examined the </w:t>
      </w:r>
      <w:r w:rsidR="00631074">
        <w:rPr>
          <w:rFonts w:asciiTheme="majorHAnsi" w:hAnsiTheme="majorHAnsi" w:cs="Times New Roman"/>
        </w:rPr>
        <w:t>quantity</w:t>
      </w:r>
      <w:r>
        <w:rPr>
          <w:rFonts w:asciiTheme="majorHAnsi" w:hAnsiTheme="majorHAnsi" w:cs="Times New Roman"/>
        </w:rPr>
        <w:t xml:space="preserve"> supplied per script</w:t>
      </w:r>
      <w:r w:rsidR="00F95397">
        <w:rPr>
          <w:rFonts w:asciiTheme="majorHAnsi" w:hAnsiTheme="majorHAnsi" w:cs="Times New Roman"/>
        </w:rPr>
        <w:t xml:space="preserve"> </w:t>
      </w:r>
      <w:r>
        <w:rPr>
          <w:rFonts w:asciiTheme="majorHAnsi" w:hAnsiTheme="majorHAnsi" w:cs="Times New Roman"/>
        </w:rPr>
        <w:t>to further explain the patterns of use.</w:t>
      </w:r>
    </w:p>
    <w:p w:rsidR="0009436D" w:rsidRDefault="0009436D" w:rsidP="00E77CF0">
      <w:pPr>
        <w:spacing w:after="0"/>
        <w:jc w:val="both"/>
        <w:rPr>
          <w:rFonts w:asciiTheme="majorHAnsi" w:hAnsiTheme="majorHAnsi" w:cs="Times New Roman"/>
        </w:rPr>
      </w:pPr>
    </w:p>
    <w:p w:rsidR="000A5517" w:rsidRDefault="000A5517" w:rsidP="00E77CF0">
      <w:pPr>
        <w:spacing w:after="0"/>
        <w:jc w:val="both"/>
        <w:rPr>
          <w:rFonts w:asciiTheme="majorHAnsi" w:hAnsiTheme="majorHAnsi" w:cs="Times New Roman"/>
        </w:rPr>
      </w:pPr>
      <w:r w:rsidRPr="000A5517">
        <w:rPr>
          <w:rFonts w:asciiTheme="majorHAnsi" w:hAnsiTheme="majorHAnsi" w:cs="Times New Roman"/>
        </w:rPr>
        <w:t>For the period December 2011 to July 2012 the quantities supplied were compared to the maximum quantity</w:t>
      </w:r>
      <w:r w:rsidR="00D85573">
        <w:rPr>
          <w:rFonts w:asciiTheme="majorHAnsi" w:hAnsiTheme="majorHAnsi" w:cs="Times New Roman"/>
        </w:rPr>
        <w:t xml:space="preserve"> allowed on the PBS</w:t>
      </w:r>
      <w:r w:rsidRPr="000A5517">
        <w:rPr>
          <w:rFonts w:asciiTheme="majorHAnsi" w:hAnsiTheme="majorHAnsi" w:cs="Times New Roman"/>
        </w:rPr>
        <w:t xml:space="preserve"> to determine whether a large proportion of antipsychotic </w:t>
      </w:r>
      <w:r w:rsidR="00D85573">
        <w:rPr>
          <w:rFonts w:asciiTheme="majorHAnsi" w:hAnsiTheme="majorHAnsi" w:cs="Times New Roman"/>
        </w:rPr>
        <w:t>script</w:t>
      </w:r>
      <w:r w:rsidRPr="000A5517">
        <w:rPr>
          <w:rFonts w:asciiTheme="majorHAnsi" w:hAnsiTheme="majorHAnsi" w:cs="Times New Roman"/>
        </w:rPr>
        <w:t xml:space="preserve">s are for </w:t>
      </w:r>
      <w:r w:rsidR="00D85573">
        <w:rPr>
          <w:rFonts w:asciiTheme="majorHAnsi" w:hAnsiTheme="majorHAnsi" w:cs="Times New Roman"/>
        </w:rPr>
        <w:t xml:space="preserve">an </w:t>
      </w:r>
      <w:r w:rsidRPr="000A5517">
        <w:rPr>
          <w:rFonts w:asciiTheme="majorHAnsi" w:hAnsiTheme="majorHAnsi" w:cs="Times New Roman"/>
        </w:rPr>
        <w:t>increase</w:t>
      </w:r>
      <w:r w:rsidR="00D85573">
        <w:rPr>
          <w:rFonts w:asciiTheme="majorHAnsi" w:hAnsiTheme="majorHAnsi" w:cs="Times New Roman"/>
        </w:rPr>
        <w:t xml:space="preserve"> in the</w:t>
      </w:r>
      <w:r w:rsidRPr="000A5517">
        <w:rPr>
          <w:rFonts w:asciiTheme="majorHAnsi" w:hAnsiTheme="majorHAnsi" w:cs="Times New Roman"/>
        </w:rPr>
        <w:t xml:space="preserve"> maximum quant</w:t>
      </w:r>
      <w:r w:rsidR="00FC29E3">
        <w:rPr>
          <w:rFonts w:asciiTheme="majorHAnsi" w:hAnsiTheme="majorHAnsi" w:cs="Times New Roman"/>
        </w:rPr>
        <w:t>it</w:t>
      </w:r>
      <w:r w:rsidR="00D85573">
        <w:rPr>
          <w:rFonts w:asciiTheme="majorHAnsi" w:hAnsiTheme="majorHAnsi" w:cs="Times New Roman"/>
        </w:rPr>
        <w:t>y</w:t>
      </w:r>
      <w:r w:rsidRPr="000A5517">
        <w:rPr>
          <w:rFonts w:asciiTheme="majorHAnsi" w:hAnsiTheme="majorHAnsi" w:cs="Times New Roman"/>
        </w:rPr>
        <w:t>.</w:t>
      </w:r>
      <w:r w:rsidR="00EF5074" w:rsidRPr="00EF5074">
        <w:rPr>
          <w:rFonts w:asciiTheme="majorHAnsi" w:hAnsiTheme="majorHAnsi" w:cs="Times New Roman"/>
        </w:rPr>
        <w:t xml:space="preserve"> </w:t>
      </w:r>
      <w:r w:rsidR="00EF5074">
        <w:rPr>
          <w:rFonts w:asciiTheme="majorHAnsi" w:hAnsiTheme="majorHAnsi" w:cs="Times New Roman"/>
        </w:rPr>
        <w:t xml:space="preserve">The maximum quantity on the PBS is usually sufficient supply for approximately </w:t>
      </w:r>
      <w:r w:rsidR="00592826">
        <w:rPr>
          <w:rFonts w:asciiTheme="majorHAnsi" w:hAnsiTheme="majorHAnsi" w:cs="Times New Roman"/>
        </w:rPr>
        <w:t>1</w:t>
      </w:r>
      <w:r w:rsidR="00EF5074">
        <w:rPr>
          <w:rFonts w:asciiTheme="majorHAnsi" w:hAnsiTheme="majorHAnsi" w:cs="Times New Roman"/>
        </w:rPr>
        <w:t xml:space="preserve"> month of treatment.</w:t>
      </w:r>
    </w:p>
    <w:p w:rsidR="000A5517" w:rsidRDefault="000A5517" w:rsidP="00E77CF0">
      <w:pPr>
        <w:spacing w:after="0"/>
        <w:jc w:val="both"/>
        <w:rPr>
          <w:rFonts w:asciiTheme="majorHAnsi" w:hAnsiTheme="majorHAnsi" w:cs="Times New Roman"/>
        </w:rPr>
      </w:pPr>
    </w:p>
    <w:p w:rsidR="00EF5074" w:rsidRPr="000A5517" w:rsidRDefault="00EF5074" w:rsidP="00E77CF0">
      <w:pPr>
        <w:spacing w:after="0"/>
        <w:jc w:val="both"/>
        <w:rPr>
          <w:rFonts w:asciiTheme="majorHAnsi" w:hAnsiTheme="majorHAnsi" w:cs="Times New Roman"/>
        </w:rPr>
      </w:pPr>
      <w:r w:rsidRPr="000A5517">
        <w:rPr>
          <w:rFonts w:asciiTheme="majorHAnsi" w:hAnsiTheme="majorHAnsi" w:cs="Times New Roman"/>
        </w:rPr>
        <w:t>The vast majority (89</w:t>
      </w:r>
      <w:r>
        <w:rPr>
          <w:rFonts w:asciiTheme="majorHAnsi" w:hAnsiTheme="majorHAnsi" w:cs="Times New Roman"/>
        </w:rPr>
        <w:t>%</w:t>
      </w:r>
      <w:r w:rsidRPr="000A5517">
        <w:rPr>
          <w:rFonts w:asciiTheme="majorHAnsi" w:hAnsiTheme="majorHAnsi" w:cs="Times New Roman"/>
        </w:rPr>
        <w:t xml:space="preserve">) of </w:t>
      </w:r>
      <w:r>
        <w:rPr>
          <w:rFonts w:asciiTheme="majorHAnsi" w:hAnsiTheme="majorHAnsi" w:cs="Times New Roman"/>
        </w:rPr>
        <w:t>s</w:t>
      </w:r>
      <w:r w:rsidRPr="000A5517">
        <w:rPr>
          <w:rFonts w:asciiTheme="majorHAnsi" w:hAnsiTheme="majorHAnsi" w:cs="Times New Roman"/>
        </w:rPr>
        <w:t xml:space="preserve">cripts supplied </w:t>
      </w:r>
      <w:r>
        <w:rPr>
          <w:rFonts w:asciiTheme="majorHAnsi" w:hAnsiTheme="majorHAnsi" w:cs="Times New Roman"/>
        </w:rPr>
        <w:t xml:space="preserve">over all age groups were for </w:t>
      </w:r>
      <w:r w:rsidRPr="000A5517">
        <w:rPr>
          <w:rFonts w:asciiTheme="majorHAnsi" w:hAnsiTheme="majorHAnsi" w:cs="Times New Roman"/>
        </w:rPr>
        <w:t>the maximum quantity</w:t>
      </w:r>
      <w:r>
        <w:rPr>
          <w:rFonts w:asciiTheme="majorHAnsi" w:hAnsiTheme="majorHAnsi" w:cs="Times New Roman"/>
        </w:rPr>
        <w:t xml:space="preserve"> on the PBS</w:t>
      </w:r>
      <w:r w:rsidRPr="000A5517">
        <w:rPr>
          <w:rFonts w:asciiTheme="majorHAnsi" w:hAnsiTheme="majorHAnsi" w:cs="Times New Roman"/>
        </w:rPr>
        <w:t xml:space="preserve">, </w:t>
      </w:r>
      <w:r>
        <w:rPr>
          <w:rFonts w:asciiTheme="majorHAnsi" w:hAnsiTheme="majorHAnsi" w:cs="Times New Roman"/>
        </w:rPr>
        <w:t>6%</w:t>
      </w:r>
      <w:r w:rsidRPr="000A5517">
        <w:rPr>
          <w:rFonts w:asciiTheme="majorHAnsi" w:hAnsiTheme="majorHAnsi" w:cs="Times New Roman"/>
        </w:rPr>
        <w:t xml:space="preserve"> for twice the maximum quantity, and 1.7</w:t>
      </w:r>
      <w:r>
        <w:rPr>
          <w:rFonts w:asciiTheme="majorHAnsi" w:hAnsiTheme="majorHAnsi" w:cs="Times New Roman"/>
        </w:rPr>
        <w:t xml:space="preserve">% </w:t>
      </w:r>
      <w:r w:rsidRPr="000A5517">
        <w:rPr>
          <w:rFonts w:asciiTheme="majorHAnsi" w:hAnsiTheme="majorHAnsi" w:cs="Times New Roman"/>
        </w:rPr>
        <w:t xml:space="preserve">for three times the maximum quantity. Most </w:t>
      </w:r>
      <w:r>
        <w:rPr>
          <w:rFonts w:asciiTheme="majorHAnsi" w:hAnsiTheme="majorHAnsi" w:cs="Times New Roman"/>
        </w:rPr>
        <w:t xml:space="preserve">supplies that involved more than the </w:t>
      </w:r>
      <w:r w:rsidRPr="000A5517">
        <w:rPr>
          <w:rFonts w:asciiTheme="majorHAnsi" w:hAnsiTheme="majorHAnsi" w:cs="Times New Roman"/>
        </w:rPr>
        <w:t>maximum quantit</w:t>
      </w:r>
      <w:r>
        <w:rPr>
          <w:rFonts w:asciiTheme="majorHAnsi" w:hAnsiTheme="majorHAnsi" w:cs="Times New Roman"/>
        </w:rPr>
        <w:t>y we</w:t>
      </w:r>
      <w:r w:rsidRPr="000A5517">
        <w:rPr>
          <w:rFonts w:asciiTheme="majorHAnsi" w:hAnsiTheme="majorHAnsi" w:cs="Times New Roman"/>
        </w:rPr>
        <w:t>re for p</w:t>
      </w:r>
      <w:r>
        <w:rPr>
          <w:rFonts w:asciiTheme="majorHAnsi" w:hAnsiTheme="majorHAnsi" w:cs="Times New Roman"/>
        </w:rPr>
        <w:t>ersons</w:t>
      </w:r>
      <w:r w:rsidRPr="000A5517">
        <w:rPr>
          <w:rFonts w:asciiTheme="majorHAnsi" w:hAnsiTheme="majorHAnsi" w:cs="Times New Roman"/>
        </w:rPr>
        <w:t xml:space="preserve"> </w:t>
      </w:r>
      <w:r>
        <w:rPr>
          <w:rFonts w:asciiTheme="majorHAnsi" w:hAnsiTheme="majorHAnsi" w:cs="Times New Roman"/>
        </w:rPr>
        <w:t>in the middle year age brackets</w:t>
      </w:r>
      <w:r w:rsidRPr="000A5517">
        <w:rPr>
          <w:rFonts w:asciiTheme="majorHAnsi" w:hAnsiTheme="majorHAnsi" w:cs="Times New Roman"/>
        </w:rPr>
        <w:t>.</w:t>
      </w:r>
    </w:p>
    <w:p w:rsidR="00EF5074" w:rsidRDefault="00EF5074" w:rsidP="00A460A2">
      <w:pPr>
        <w:spacing w:after="0"/>
        <w:rPr>
          <w:rFonts w:asciiTheme="majorHAnsi" w:hAnsiTheme="majorHAnsi" w:cs="Times New Roman"/>
        </w:rPr>
      </w:pPr>
    </w:p>
    <w:p w:rsidR="000A5517" w:rsidRDefault="000A5517" w:rsidP="00A460A2">
      <w:pPr>
        <w:spacing w:after="0"/>
        <w:rPr>
          <w:rFonts w:asciiTheme="majorHAnsi" w:hAnsiTheme="majorHAnsi" w:cs="Times New Roman"/>
          <w:highlight w:val="yellow"/>
        </w:rPr>
      </w:pPr>
      <w:r>
        <w:rPr>
          <w:noProof/>
          <w:lang w:eastAsia="en-AU"/>
        </w:rPr>
        <w:lastRenderedPageBreak/>
        <w:drawing>
          <wp:inline distT="0" distB="0" distL="0" distR="0" wp14:anchorId="75901850" wp14:editId="3401BA10">
            <wp:extent cx="5270500" cy="3750141"/>
            <wp:effectExtent l="0" t="0" r="25400" b="22225"/>
            <wp:docPr id="17" name="Chart 17" descr="Quantities of antipsychotics supplied by patient age in years"/>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A5517" w:rsidRPr="0072648E" w:rsidRDefault="000A5517" w:rsidP="000A5517">
      <w:pPr>
        <w:spacing w:after="0"/>
        <w:rPr>
          <w:rFonts w:asciiTheme="majorHAnsi" w:hAnsiTheme="majorHAnsi" w:cs="Times New Roman"/>
          <w:b/>
          <w:sz w:val="20"/>
          <w:szCs w:val="20"/>
        </w:rPr>
      </w:pPr>
      <w:r w:rsidRPr="0072648E">
        <w:rPr>
          <w:rFonts w:asciiTheme="majorHAnsi" w:hAnsiTheme="majorHAnsi" w:cs="Times New Roman"/>
          <w:b/>
          <w:sz w:val="20"/>
          <w:szCs w:val="20"/>
        </w:rPr>
        <w:t xml:space="preserve">Figure </w:t>
      </w:r>
      <w:r w:rsidR="000A7DB1">
        <w:rPr>
          <w:rFonts w:asciiTheme="majorHAnsi" w:hAnsiTheme="majorHAnsi" w:cs="Times New Roman"/>
          <w:b/>
          <w:sz w:val="20"/>
          <w:szCs w:val="20"/>
        </w:rPr>
        <w:t>8</w:t>
      </w:r>
      <w:r w:rsidRPr="0072648E">
        <w:rPr>
          <w:rFonts w:asciiTheme="majorHAnsi" w:hAnsiTheme="majorHAnsi" w:cs="Times New Roman"/>
          <w:b/>
          <w:sz w:val="20"/>
          <w:szCs w:val="20"/>
        </w:rPr>
        <w:t>: Quantities of antipsychotics supplied by patient age</w:t>
      </w:r>
      <w:r w:rsidR="00763781">
        <w:rPr>
          <w:rFonts w:asciiTheme="majorHAnsi" w:hAnsiTheme="majorHAnsi" w:cs="Times New Roman"/>
          <w:b/>
          <w:sz w:val="20"/>
          <w:szCs w:val="20"/>
        </w:rPr>
        <w:t xml:space="preserve"> in years</w:t>
      </w:r>
    </w:p>
    <w:p w:rsidR="0036315A" w:rsidRPr="0011501B" w:rsidRDefault="0036315A" w:rsidP="0036315A">
      <w:pPr>
        <w:spacing w:after="0"/>
        <w:rPr>
          <w:rFonts w:asciiTheme="majorHAnsi" w:hAnsiTheme="majorHAnsi" w:cs="Times New Roman"/>
          <w:i/>
          <w:sz w:val="20"/>
          <w:szCs w:val="20"/>
        </w:rPr>
      </w:pPr>
      <w:r w:rsidRPr="0011501B">
        <w:rPr>
          <w:rFonts w:asciiTheme="majorHAnsi" w:hAnsiTheme="majorHAnsi" w:cs="Times New Roman"/>
          <w:i/>
          <w:sz w:val="20"/>
          <w:szCs w:val="20"/>
        </w:rPr>
        <w:t>Source: Medicare DHS Supplied Prescription Database, accessed November 2012</w:t>
      </w:r>
    </w:p>
    <w:p w:rsidR="000A5517" w:rsidRDefault="000A5517" w:rsidP="00A460A2">
      <w:pPr>
        <w:spacing w:after="0"/>
        <w:rPr>
          <w:rFonts w:asciiTheme="majorHAnsi" w:hAnsiTheme="majorHAnsi" w:cs="Times New Roman"/>
          <w:highlight w:val="yellow"/>
        </w:rPr>
      </w:pPr>
    </w:p>
    <w:p w:rsidR="006064B5" w:rsidRPr="006064B5" w:rsidRDefault="006064B5" w:rsidP="00A54E6C">
      <w:pPr>
        <w:pStyle w:val="Heading3"/>
      </w:pPr>
      <w:r w:rsidRPr="006064B5">
        <w:t>Quetiapine analysis</w:t>
      </w:r>
    </w:p>
    <w:p w:rsidR="006064B5" w:rsidRDefault="006064B5" w:rsidP="00E77CF0">
      <w:pPr>
        <w:spacing w:after="0"/>
        <w:jc w:val="both"/>
        <w:rPr>
          <w:rFonts w:asciiTheme="majorHAnsi" w:hAnsiTheme="majorHAnsi" w:cs="Times New Roman"/>
        </w:rPr>
      </w:pPr>
    </w:p>
    <w:p w:rsidR="00EF5074" w:rsidRDefault="00EF5074" w:rsidP="00E77CF0">
      <w:pPr>
        <w:spacing w:after="0"/>
        <w:jc w:val="both"/>
        <w:rPr>
          <w:rFonts w:asciiTheme="majorHAnsi" w:hAnsiTheme="majorHAnsi" w:cs="Times New Roman"/>
        </w:rPr>
      </w:pPr>
      <w:r>
        <w:rPr>
          <w:rFonts w:asciiTheme="majorHAnsi" w:hAnsiTheme="majorHAnsi" w:cs="Times New Roman"/>
        </w:rPr>
        <w:t xml:space="preserve">The report undertook additional analysis for quetiapine as it had the largest increase and greatest use in this age bracket. </w:t>
      </w:r>
      <w:r w:rsidR="000A7DB1" w:rsidRPr="00BF5613">
        <w:rPr>
          <w:rFonts w:asciiTheme="majorHAnsi" w:hAnsiTheme="majorHAnsi" w:cs="Times New Roman"/>
        </w:rPr>
        <w:t>A breakdown of the various dose forms of quetiapine supplied showed that the 25 mg strength of quetiapine was the most c</w:t>
      </w:r>
      <w:r w:rsidR="000A7DB1">
        <w:rPr>
          <w:rFonts w:asciiTheme="majorHAnsi" w:hAnsiTheme="majorHAnsi" w:cs="Times New Roman"/>
        </w:rPr>
        <w:t>ommonly supplied item (Figure 9</w:t>
      </w:r>
      <w:r w:rsidR="000A7DB1" w:rsidRPr="00BF5613">
        <w:rPr>
          <w:rFonts w:asciiTheme="majorHAnsi" w:hAnsiTheme="majorHAnsi" w:cs="Times New Roman"/>
        </w:rPr>
        <w:t>)</w:t>
      </w:r>
      <w:r w:rsidR="000A7DB1">
        <w:rPr>
          <w:rFonts w:asciiTheme="majorHAnsi" w:hAnsiTheme="majorHAnsi" w:cs="Times New Roman"/>
        </w:rPr>
        <w:t xml:space="preserve"> from 15 years of age onwards</w:t>
      </w:r>
      <w:r w:rsidR="000A7DB1" w:rsidRPr="00BF5613">
        <w:rPr>
          <w:rFonts w:asciiTheme="majorHAnsi" w:hAnsiTheme="majorHAnsi" w:cs="Times New Roman"/>
        </w:rPr>
        <w:t>.</w:t>
      </w:r>
      <w:r w:rsidR="000A7DB1" w:rsidRPr="00BF5613">
        <w:t xml:space="preserve"> </w:t>
      </w:r>
      <w:r w:rsidR="000A7DB1" w:rsidRPr="00BF5613">
        <w:rPr>
          <w:rFonts w:asciiTheme="majorHAnsi" w:hAnsiTheme="majorHAnsi" w:cs="Times New Roman"/>
        </w:rPr>
        <w:t>Co-administration of quetiapine with an antidepressant increased significantly with age</w:t>
      </w:r>
      <w:r w:rsidR="000A7DB1">
        <w:rPr>
          <w:rFonts w:asciiTheme="majorHAnsi" w:hAnsiTheme="majorHAnsi" w:cs="Times New Roman"/>
        </w:rPr>
        <w:t>,</w:t>
      </w:r>
      <w:r w:rsidR="000A7DB1" w:rsidRPr="00BF5613">
        <w:rPr>
          <w:rFonts w:asciiTheme="majorHAnsi" w:hAnsiTheme="majorHAnsi" w:cs="Times New Roman"/>
        </w:rPr>
        <w:t xml:space="preserve"> with use peaking in adults aged 40–44 years</w:t>
      </w:r>
      <w:r w:rsidR="000A7DB1">
        <w:rPr>
          <w:rFonts w:asciiTheme="majorHAnsi" w:hAnsiTheme="majorHAnsi" w:cs="Times New Roman"/>
        </w:rPr>
        <w:t xml:space="preserve"> (Figure 10).</w:t>
      </w:r>
    </w:p>
    <w:p w:rsidR="00EF5074" w:rsidRDefault="00EF5074" w:rsidP="00A460A2">
      <w:pPr>
        <w:spacing w:after="0"/>
        <w:rPr>
          <w:rFonts w:asciiTheme="majorHAnsi" w:hAnsiTheme="majorHAnsi" w:cs="Times New Roman"/>
        </w:rPr>
      </w:pPr>
    </w:p>
    <w:p w:rsidR="009C06D8" w:rsidRDefault="009C06D8" w:rsidP="00A460A2">
      <w:pPr>
        <w:spacing w:after="0"/>
        <w:rPr>
          <w:rFonts w:asciiTheme="majorHAnsi" w:hAnsiTheme="majorHAnsi" w:cs="Times New Roman"/>
        </w:rPr>
      </w:pPr>
    </w:p>
    <w:p w:rsidR="002C53E4" w:rsidRDefault="002C53E4" w:rsidP="00A460A2">
      <w:pPr>
        <w:spacing w:after="0"/>
        <w:rPr>
          <w:rFonts w:asciiTheme="majorHAnsi" w:hAnsiTheme="majorHAnsi" w:cs="Times New Roman"/>
          <w:highlight w:val="yellow"/>
        </w:rPr>
      </w:pPr>
    </w:p>
    <w:p w:rsidR="008E28DC" w:rsidRDefault="008E28DC" w:rsidP="002C53E4">
      <w:pPr>
        <w:spacing w:after="0"/>
        <w:rPr>
          <w:rFonts w:asciiTheme="majorHAnsi" w:hAnsiTheme="majorHAnsi" w:cs="Times New Roman"/>
          <w:b/>
          <w:sz w:val="20"/>
          <w:szCs w:val="20"/>
        </w:rPr>
      </w:pPr>
      <w:r>
        <w:rPr>
          <w:noProof/>
          <w:lang w:eastAsia="en-AU"/>
        </w:rPr>
        <w:lastRenderedPageBreak/>
        <w:drawing>
          <wp:inline distT="0" distB="0" distL="0" distR="0" wp14:anchorId="414BBB2C" wp14:editId="11586C24">
            <wp:extent cx="5400675" cy="5257800"/>
            <wp:effectExtent l="0" t="0" r="9525" b="19050"/>
            <wp:docPr id="3" name="Chart 3" descr="Number of patients supplied oral quetiapine by form and strength in 2011 (age-standardised), by patient age in years"/>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E28DC" w:rsidRDefault="008E28DC" w:rsidP="002C53E4">
      <w:pPr>
        <w:spacing w:after="0"/>
        <w:rPr>
          <w:rFonts w:asciiTheme="majorHAnsi" w:hAnsiTheme="majorHAnsi" w:cs="Times New Roman"/>
          <w:b/>
          <w:sz w:val="20"/>
          <w:szCs w:val="20"/>
        </w:rPr>
      </w:pPr>
    </w:p>
    <w:p w:rsidR="002C53E4" w:rsidRPr="002C53E4" w:rsidRDefault="0072648E" w:rsidP="002C53E4">
      <w:pPr>
        <w:spacing w:after="0"/>
        <w:rPr>
          <w:rFonts w:asciiTheme="majorHAnsi" w:hAnsiTheme="majorHAnsi" w:cs="Times New Roman"/>
          <w:b/>
          <w:sz w:val="20"/>
          <w:szCs w:val="20"/>
        </w:rPr>
      </w:pPr>
      <w:r>
        <w:rPr>
          <w:rFonts w:asciiTheme="majorHAnsi" w:hAnsiTheme="majorHAnsi" w:cs="Times New Roman"/>
          <w:b/>
          <w:sz w:val="20"/>
          <w:szCs w:val="20"/>
        </w:rPr>
        <w:t xml:space="preserve">Figure </w:t>
      </w:r>
      <w:r w:rsidR="00A26481">
        <w:rPr>
          <w:rFonts w:asciiTheme="majorHAnsi" w:hAnsiTheme="majorHAnsi" w:cs="Times New Roman"/>
          <w:b/>
          <w:sz w:val="20"/>
          <w:szCs w:val="20"/>
        </w:rPr>
        <w:t>9</w:t>
      </w:r>
      <w:r w:rsidR="002C53E4" w:rsidRPr="002C53E4">
        <w:rPr>
          <w:rFonts w:asciiTheme="majorHAnsi" w:hAnsiTheme="majorHAnsi" w:cs="Times New Roman"/>
          <w:b/>
          <w:sz w:val="20"/>
          <w:szCs w:val="20"/>
        </w:rPr>
        <w:t>: Number of patients supplied oral quetiapine by form and strength in 2011 (</w:t>
      </w:r>
      <w:r w:rsidR="002C53E4">
        <w:rPr>
          <w:rFonts w:asciiTheme="majorHAnsi" w:hAnsiTheme="majorHAnsi" w:cs="Times New Roman"/>
          <w:b/>
          <w:sz w:val="20"/>
          <w:szCs w:val="20"/>
        </w:rPr>
        <w:t>age-</w:t>
      </w:r>
      <w:r w:rsidR="002C53E4" w:rsidRPr="002C53E4">
        <w:rPr>
          <w:rFonts w:asciiTheme="majorHAnsi" w:hAnsiTheme="majorHAnsi" w:cs="Times New Roman"/>
          <w:b/>
          <w:sz w:val="20"/>
          <w:szCs w:val="20"/>
        </w:rPr>
        <w:t>standardised)</w:t>
      </w:r>
      <w:r w:rsidR="00763781">
        <w:rPr>
          <w:rFonts w:asciiTheme="majorHAnsi" w:hAnsiTheme="majorHAnsi" w:cs="Times New Roman"/>
          <w:b/>
          <w:sz w:val="20"/>
          <w:szCs w:val="20"/>
        </w:rPr>
        <w:t>, by patient age in years</w:t>
      </w:r>
    </w:p>
    <w:p w:rsidR="0036315A" w:rsidRPr="0011501B" w:rsidRDefault="0036315A" w:rsidP="0036315A">
      <w:pPr>
        <w:spacing w:after="0"/>
        <w:rPr>
          <w:rFonts w:asciiTheme="majorHAnsi" w:hAnsiTheme="majorHAnsi" w:cs="Times New Roman"/>
          <w:i/>
          <w:sz w:val="20"/>
          <w:szCs w:val="20"/>
          <w:highlight w:val="yellow"/>
        </w:rPr>
      </w:pPr>
      <w:r w:rsidRPr="0011501B">
        <w:rPr>
          <w:rFonts w:asciiTheme="majorHAnsi" w:hAnsiTheme="majorHAnsi" w:cs="Times New Roman"/>
          <w:i/>
          <w:sz w:val="20"/>
          <w:szCs w:val="20"/>
        </w:rPr>
        <w:t>Source: Medicare DHS Supplied Prescription Database, accessed January 2013</w:t>
      </w:r>
    </w:p>
    <w:p w:rsidR="002C53E4" w:rsidRDefault="002C53E4" w:rsidP="00E77CF0">
      <w:pPr>
        <w:spacing w:after="0"/>
        <w:jc w:val="both"/>
        <w:rPr>
          <w:rFonts w:asciiTheme="majorHAnsi" w:hAnsiTheme="majorHAnsi" w:cs="Times New Roman"/>
          <w:b/>
        </w:rPr>
      </w:pPr>
    </w:p>
    <w:p w:rsidR="00A26481" w:rsidRDefault="00A26481" w:rsidP="00E77CF0">
      <w:pPr>
        <w:spacing w:after="0"/>
        <w:jc w:val="both"/>
        <w:rPr>
          <w:rFonts w:asciiTheme="majorHAnsi" w:hAnsiTheme="majorHAnsi" w:cs="Times New Roman"/>
        </w:rPr>
      </w:pPr>
      <w:r>
        <w:rPr>
          <w:rFonts w:asciiTheme="majorHAnsi" w:hAnsiTheme="majorHAnsi" w:cs="Times New Roman"/>
        </w:rPr>
        <w:t>T</w:t>
      </w:r>
      <w:r w:rsidRPr="005C53BF">
        <w:rPr>
          <w:rFonts w:asciiTheme="majorHAnsi" w:hAnsiTheme="majorHAnsi" w:cs="Times New Roman"/>
        </w:rPr>
        <w:t xml:space="preserve">he top </w:t>
      </w:r>
      <w:r>
        <w:rPr>
          <w:rFonts w:asciiTheme="majorHAnsi" w:hAnsiTheme="majorHAnsi" w:cs="Times New Roman"/>
        </w:rPr>
        <w:t>ten</w:t>
      </w:r>
      <w:r w:rsidRPr="005C53BF">
        <w:rPr>
          <w:rFonts w:asciiTheme="majorHAnsi" w:hAnsiTheme="majorHAnsi" w:cs="Times New Roman"/>
        </w:rPr>
        <w:t xml:space="preserve"> drug regimens </w:t>
      </w:r>
      <w:r>
        <w:rPr>
          <w:rFonts w:asciiTheme="majorHAnsi" w:hAnsiTheme="majorHAnsi" w:cs="Times New Roman"/>
        </w:rPr>
        <w:t xml:space="preserve">including </w:t>
      </w:r>
      <w:r w:rsidRPr="005C53BF">
        <w:rPr>
          <w:rFonts w:asciiTheme="majorHAnsi" w:hAnsiTheme="majorHAnsi" w:cs="Times New Roman"/>
        </w:rPr>
        <w:t>quetiapine 25</w:t>
      </w:r>
      <w:r>
        <w:rPr>
          <w:rFonts w:asciiTheme="majorHAnsi" w:hAnsiTheme="majorHAnsi" w:cs="Times New Roman"/>
        </w:rPr>
        <w:t xml:space="preserve"> </w:t>
      </w:r>
      <w:r w:rsidRPr="005C53BF">
        <w:rPr>
          <w:rFonts w:asciiTheme="majorHAnsi" w:hAnsiTheme="majorHAnsi" w:cs="Times New Roman"/>
        </w:rPr>
        <w:t>mg</w:t>
      </w:r>
      <w:r>
        <w:rPr>
          <w:rFonts w:asciiTheme="majorHAnsi" w:hAnsiTheme="majorHAnsi" w:cs="Times New Roman"/>
        </w:rPr>
        <w:t xml:space="preserve"> are detailed in Figure 10</w:t>
      </w:r>
      <w:r w:rsidRPr="005C53BF">
        <w:rPr>
          <w:rFonts w:asciiTheme="majorHAnsi" w:hAnsiTheme="majorHAnsi" w:cs="Times New Roman"/>
        </w:rPr>
        <w:t xml:space="preserve">. </w:t>
      </w:r>
      <w:r>
        <w:rPr>
          <w:rFonts w:asciiTheme="majorHAnsi" w:hAnsiTheme="majorHAnsi" w:cs="Times New Roman"/>
        </w:rPr>
        <w:t xml:space="preserve">Combinations of various </w:t>
      </w:r>
      <w:r w:rsidRPr="005C53BF">
        <w:rPr>
          <w:rFonts w:asciiTheme="majorHAnsi" w:hAnsiTheme="majorHAnsi" w:cs="Times New Roman"/>
        </w:rPr>
        <w:t xml:space="preserve">strengths </w:t>
      </w:r>
      <w:r>
        <w:rPr>
          <w:rFonts w:asciiTheme="majorHAnsi" w:hAnsiTheme="majorHAnsi" w:cs="Times New Roman"/>
        </w:rPr>
        <w:t xml:space="preserve">of quetiapine are not common. When </w:t>
      </w:r>
      <w:r w:rsidRPr="005F5184">
        <w:rPr>
          <w:rFonts w:asciiTheme="majorHAnsi" w:hAnsiTheme="majorHAnsi" w:cs="Times New Roman"/>
        </w:rPr>
        <w:t xml:space="preserve">the 25 mg strength is used in combination with another strength, both strengths are usually </w:t>
      </w:r>
      <w:r>
        <w:rPr>
          <w:rFonts w:asciiTheme="majorHAnsi" w:hAnsiTheme="majorHAnsi" w:cs="Times New Roman"/>
        </w:rPr>
        <w:t xml:space="preserve">co-administered with an antidepressant, with the most common combination being quetiapine 100 mg </w:t>
      </w:r>
      <w:r w:rsidR="007720F7">
        <w:rPr>
          <w:rFonts w:asciiTheme="majorHAnsi" w:hAnsiTheme="majorHAnsi" w:cs="Times New Roman"/>
        </w:rPr>
        <w:t xml:space="preserve">plus antidepressant </w:t>
      </w:r>
      <w:r>
        <w:rPr>
          <w:rFonts w:asciiTheme="majorHAnsi" w:hAnsiTheme="majorHAnsi" w:cs="Times New Roman"/>
        </w:rPr>
        <w:t xml:space="preserve">and 25 mg plus </w:t>
      </w:r>
      <w:r w:rsidRPr="00935B72">
        <w:rPr>
          <w:rFonts w:asciiTheme="majorHAnsi" w:hAnsiTheme="majorHAnsi" w:cs="Times New Roman"/>
        </w:rPr>
        <w:t>an antidepressant.</w:t>
      </w:r>
    </w:p>
    <w:p w:rsidR="00A26481" w:rsidRDefault="00A26481" w:rsidP="00A26481">
      <w:pPr>
        <w:spacing w:after="0"/>
        <w:rPr>
          <w:rFonts w:asciiTheme="majorHAnsi" w:hAnsiTheme="majorHAnsi" w:cs="Times New Roman"/>
        </w:rPr>
      </w:pPr>
    </w:p>
    <w:p w:rsidR="00A26481" w:rsidRDefault="00A26481" w:rsidP="00A26481">
      <w:pPr>
        <w:spacing w:after="0"/>
        <w:rPr>
          <w:rFonts w:asciiTheme="majorHAnsi" w:hAnsiTheme="majorHAnsi" w:cs="Times New Roman"/>
        </w:rPr>
      </w:pPr>
    </w:p>
    <w:p w:rsidR="00A26481" w:rsidRPr="00A26481" w:rsidRDefault="00A26481" w:rsidP="00A460A2">
      <w:pPr>
        <w:spacing w:after="0"/>
        <w:rPr>
          <w:rFonts w:asciiTheme="majorHAnsi" w:hAnsiTheme="majorHAnsi" w:cs="Times New Roman"/>
          <w:b/>
        </w:rPr>
      </w:pPr>
    </w:p>
    <w:p w:rsidR="005C53BF" w:rsidRDefault="00991057" w:rsidP="00A460A2">
      <w:pPr>
        <w:spacing w:after="0"/>
        <w:rPr>
          <w:rFonts w:asciiTheme="majorHAnsi" w:hAnsiTheme="majorHAnsi" w:cs="Times New Roman"/>
        </w:rPr>
      </w:pPr>
      <w:r>
        <w:rPr>
          <w:rFonts w:asciiTheme="majorHAnsi" w:hAnsiTheme="majorHAnsi" w:cs="Times New Roman"/>
          <w:noProof/>
          <w:lang w:eastAsia="en-AU"/>
        </w:rPr>
        <w:lastRenderedPageBreak/>
        <w:drawing>
          <wp:inline distT="0" distB="0" distL="0" distR="0" wp14:anchorId="08395CCD" wp14:editId="1BA9CF09">
            <wp:extent cx="4897320" cy="3206750"/>
            <wp:effectExtent l="0" t="0" r="0" b="0"/>
            <wp:docPr id="1" name="Picture 1" descr="Regimens for patients on quetiapine supplied an AD from December 2010 to December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02746" cy="3210303"/>
                    </a:xfrm>
                    <a:prstGeom prst="rect">
                      <a:avLst/>
                    </a:prstGeom>
                    <a:noFill/>
                  </pic:spPr>
                </pic:pic>
              </a:graphicData>
            </a:graphic>
          </wp:inline>
        </w:drawing>
      </w:r>
    </w:p>
    <w:p w:rsidR="005C53BF" w:rsidRPr="005C53BF" w:rsidRDefault="005C53BF" w:rsidP="005C53BF">
      <w:pPr>
        <w:spacing w:after="0"/>
        <w:rPr>
          <w:rFonts w:asciiTheme="majorHAnsi" w:hAnsiTheme="majorHAnsi" w:cs="Times New Roman"/>
          <w:b/>
          <w:sz w:val="20"/>
          <w:szCs w:val="20"/>
        </w:rPr>
      </w:pPr>
      <w:r w:rsidRPr="005C53BF">
        <w:rPr>
          <w:rFonts w:asciiTheme="majorHAnsi" w:hAnsiTheme="majorHAnsi" w:cs="Times New Roman"/>
          <w:b/>
          <w:sz w:val="20"/>
          <w:szCs w:val="20"/>
        </w:rPr>
        <w:t xml:space="preserve">Figure </w:t>
      </w:r>
      <w:r w:rsidR="00B40E20">
        <w:rPr>
          <w:rFonts w:asciiTheme="majorHAnsi" w:hAnsiTheme="majorHAnsi" w:cs="Times New Roman"/>
          <w:b/>
          <w:sz w:val="20"/>
          <w:szCs w:val="20"/>
        </w:rPr>
        <w:t>1</w:t>
      </w:r>
      <w:r w:rsidR="00A26481">
        <w:rPr>
          <w:rFonts w:asciiTheme="majorHAnsi" w:hAnsiTheme="majorHAnsi" w:cs="Times New Roman"/>
          <w:b/>
          <w:sz w:val="20"/>
          <w:szCs w:val="20"/>
        </w:rPr>
        <w:t>0</w:t>
      </w:r>
      <w:r>
        <w:rPr>
          <w:rFonts w:asciiTheme="majorHAnsi" w:hAnsiTheme="majorHAnsi" w:cs="Times New Roman"/>
          <w:b/>
          <w:sz w:val="20"/>
          <w:szCs w:val="20"/>
        </w:rPr>
        <w:t>:</w:t>
      </w:r>
      <w:r w:rsidRPr="005C53BF">
        <w:rPr>
          <w:rFonts w:asciiTheme="majorHAnsi" w:hAnsiTheme="majorHAnsi" w:cs="Times New Roman"/>
          <w:b/>
          <w:sz w:val="20"/>
          <w:szCs w:val="20"/>
        </w:rPr>
        <w:t xml:space="preserve"> </w:t>
      </w:r>
      <w:r w:rsidR="009D7505">
        <w:rPr>
          <w:rFonts w:asciiTheme="majorHAnsi" w:hAnsiTheme="majorHAnsi" w:cs="Times New Roman"/>
          <w:b/>
          <w:sz w:val="20"/>
          <w:szCs w:val="20"/>
        </w:rPr>
        <w:t>R</w:t>
      </w:r>
      <w:r w:rsidR="009C06D8">
        <w:rPr>
          <w:rFonts w:asciiTheme="majorHAnsi" w:hAnsiTheme="majorHAnsi" w:cs="Times New Roman"/>
          <w:b/>
          <w:sz w:val="20"/>
          <w:szCs w:val="20"/>
        </w:rPr>
        <w:t xml:space="preserve">egimens for patients on </w:t>
      </w:r>
      <w:r w:rsidRPr="005C53BF">
        <w:rPr>
          <w:rFonts w:asciiTheme="majorHAnsi" w:hAnsiTheme="majorHAnsi" w:cs="Times New Roman"/>
          <w:b/>
          <w:sz w:val="20"/>
          <w:szCs w:val="20"/>
        </w:rPr>
        <w:t>quetiapine</w:t>
      </w:r>
      <w:r w:rsidR="004E4C95" w:rsidRPr="004E4C95">
        <w:rPr>
          <w:rFonts w:asciiTheme="majorHAnsi" w:hAnsiTheme="majorHAnsi" w:cs="Times New Roman"/>
          <w:b/>
          <w:sz w:val="20"/>
          <w:szCs w:val="20"/>
        </w:rPr>
        <w:t xml:space="preserve"> supplied an AD from December 2010 to December 2012</w:t>
      </w:r>
    </w:p>
    <w:p w:rsidR="005C53BF" w:rsidRPr="005C53BF" w:rsidRDefault="005C53BF" w:rsidP="005C53BF">
      <w:pPr>
        <w:spacing w:after="0"/>
        <w:rPr>
          <w:rFonts w:asciiTheme="majorHAnsi" w:hAnsiTheme="majorHAnsi" w:cs="Times New Roman"/>
          <w:sz w:val="20"/>
          <w:szCs w:val="20"/>
        </w:rPr>
      </w:pPr>
      <w:r w:rsidRPr="005C53BF">
        <w:rPr>
          <w:rFonts w:asciiTheme="majorHAnsi" w:hAnsiTheme="majorHAnsi" w:cs="Times New Roman"/>
          <w:sz w:val="20"/>
          <w:szCs w:val="20"/>
        </w:rPr>
        <w:t>Note: For readability, this figure only shows the top 10 regimens.</w:t>
      </w:r>
    </w:p>
    <w:p w:rsidR="005C53BF" w:rsidRDefault="00547375" w:rsidP="005C53BF">
      <w:pPr>
        <w:spacing w:after="0"/>
        <w:rPr>
          <w:rFonts w:asciiTheme="majorHAnsi" w:hAnsiTheme="majorHAnsi" w:cs="Times New Roman"/>
          <w:i/>
          <w:sz w:val="20"/>
          <w:szCs w:val="20"/>
        </w:rPr>
      </w:pPr>
      <w:r w:rsidRPr="00547375">
        <w:rPr>
          <w:rFonts w:asciiTheme="majorHAnsi" w:hAnsiTheme="majorHAnsi" w:cs="Times New Roman"/>
          <w:i/>
          <w:sz w:val="20"/>
          <w:szCs w:val="20"/>
        </w:rPr>
        <w:t>Source: Medicare DHS Supplied Prescription Database, accessed January 2013</w:t>
      </w:r>
    </w:p>
    <w:p w:rsidR="00A26481" w:rsidRDefault="00A26481" w:rsidP="005C53BF">
      <w:pPr>
        <w:spacing w:after="0"/>
        <w:rPr>
          <w:rFonts w:asciiTheme="majorHAnsi" w:hAnsiTheme="majorHAnsi" w:cs="Times New Roman"/>
        </w:rPr>
      </w:pPr>
    </w:p>
    <w:p w:rsidR="00547375" w:rsidRDefault="00A26481" w:rsidP="00E77CF0">
      <w:pPr>
        <w:spacing w:after="0"/>
        <w:jc w:val="both"/>
        <w:rPr>
          <w:rFonts w:asciiTheme="majorHAnsi" w:hAnsiTheme="majorHAnsi" w:cs="Times New Roman"/>
        </w:rPr>
      </w:pPr>
      <w:r>
        <w:rPr>
          <w:rFonts w:asciiTheme="majorHAnsi" w:hAnsiTheme="majorHAnsi" w:cs="Times New Roman"/>
        </w:rPr>
        <w:t xml:space="preserve">To investigate the possibility that quetiapine </w:t>
      </w:r>
      <w:r w:rsidR="001568DF">
        <w:rPr>
          <w:rFonts w:asciiTheme="majorHAnsi" w:hAnsiTheme="majorHAnsi" w:cs="Times New Roman"/>
        </w:rPr>
        <w:t>25 mg</w:t>
      </w:r>
      <w:r>
        <w:rPr>
          <w:rFonts w:asciiTheme="majorHAnsi" w:hAnsiTheme="majorHAnsi" w:cs="Times New Roman"/>
        </w:rPr>
        <w:t xml:space="preserve"> was concomitantly supplied with higher doses</w:t>
      </w:r>
      <w:r w:rsidR="00592826">
        <w:rPr>
          <w:rFonts w:asciiTheme="majorHAnsi" w:hAnsiTheme="majorHAnsi" w:cs="Times New Roman"/>
        </w:rPr>
        <w:t>,</w:t>
      </w:r>
      <w:r>
        <w:rPr>
          <w:rFonts w:asciiTheme="majorHAnsi" w:hAnsiTheme="majorHAnsi" w:cs="Times New Roman"/>
        </w:rPr>
        <w:t xml:space="preserve"> the 10% sample was examined (Figure 11). From the 10% sample analysis examining drug regimens, extrapolated for the Australian population, an estimated </w:t>
      </w:r>
      <w:r w:rsidRPr="002C53E4">
        <w:rPr>
          <w:rFonts w:asciiTheme="majorHAnsi" w:hAnsiTheme="majorHAnsi" w:cs="Times New Roman"/>
        </w:rPr>
        <w:t xml:space="preserve">155,630 patients had any antipsychotic in </w:t>
      </w:r>
      <w:r w:rsidRPr="00606F3C">
        <w:rPr>
          <w:rFonts w:asciiTheme="majorHAnsi" w:hAnsiTheme="majorHAnsi" w:cs="Times New Roman"/>
        </w:rPr>
        <w:t>their regimen</w:t>
      </w:r>
      <w:r w:rsidR="004C0DD4" w:rsidRPr="00606F3C">
        <w:rPr>
          <w:rFonts w:asciiTheme="majorHAnsi" w:hAnsiTheme="majorHAnsi" w:cs="Times New Roman"/>
        </w:rPr>
        <w:t xml:space="preserve"> (10 x 15,563)</w:t>
      </w:r>
      <w:r w:rsidRPr="00606F3C">
        <w:rPr>
          <w:rFonts w:asciiTheme="majorHAnsi" w:hAnsiTheme="majorHAnsi" w:cs="Times New Roman"/>
        </w:rPr>
        <w:t>. Of these 58,450 had a regimen containing quetiapine</w:t>
      </w:r>
      <w:r w:rsidR="007C0EB4">
        <w:rPr>
          <w:rFonts w:asciiTheme="majorHAnsi" w:hAnsiTheme="majorHAnsi" w:cs="Times New Roman"/>
        </w:rPr>
        <w:t>. Of these, a</w:t>
      </w:r>
      <w:r w:rsidR="007C0EB4" w:rsidRPr="00606F3C">
        <w:rPr>
          <w:rFonts w:asciiTheme="majorHAnsi" w:hAnsiTheme="majorHAnsi" w:cs="Times New Roman"/>
        </w:rPr>
        <w:t xml:space="preserve"> total of 23.2% (13,792/58,450)</w:t>
      </w:r>
      <w:r w:rsidR="007C0EB4">
        <w:rPr>
          <w:rFonts w:asciiTheme="majorHAnsi" w:hAnsiTheme="majorHAnsi" w:cs="Times New Roman"/>
        </w:rPr>
        <w:t xml:space="preserve"> </w:t>
      </w:r>
      <w:r w:rsidR="007C0EB4" w:rsidRPr="002C53E4">
        <w:rPr>
          <w:rFonts w:asciiTheme="majorHAnsi" w:hAnsiTheme="majorHAnsi" w:cs="Times New Roman"/>
        </w:rPr>
        <w:t>of patients had regimens that only included the 25</w:t>
      </w:r>
      <w:r w:rsidR="007C0EB4">
        <w:rPr>
          <w:rFonts w:asciiTheme="majorHAnsi" w:hAnsiTheme="majorHAnsi" w:cs="Times New Roman"/>
        </w:rPr>
        <w:t xml:space="preserve"> </w:t>
      </w:r>
      <w:r w:rsidR="007C0EB4" w:rsidRPr="002C53E4">
        <w:rPr>
          <w:rFonts w:asciiTheme="majorHAnsi" w:hAnsiTheme="majorHAnsi" w:cs="Times New Roman"/>
        </w:rPr>
        <w:t>mg strength of quetiapine</w:t>
      </w:r>
      <w:r w:rsidRPr="00606F3C">
        <w:rPr>
          <w:rFonts w:asciiTheme="majorHAnsi" w:hAnsiTheme="majorHAnsi" w:cs="Times New Roman"/>
        </w:rPr>
        <w:t>: 13.8% (</w:t>
      </w:r>
      <w:r w:rsidR="004C0DD4" w:rsidRPr="00606F3C">
        <w:rPr>
          <w:rFonts w:asciiTheme="majorHAnsi" w:hAnsiTheme="majorHAnsi" w:cs="Times New Roman"/>
        </w:rPr>
        <w:t>8,204</w:t>
      </w:r>
      <w:r w:rsidRPr="00606F3C">
        <w:rPr>
          <w:rFonts w:asciiTheme="majorHAnsi" w:hAnsiTheme="majorHAnsi" w:cs="Times New Roman"/>
        </w:rPr>
        <w:t>/58,450) received an antidepressant plus quetiapine 25 mg (AD+Q25) and 9.4% (</w:t>
      </w:r>
      <w:r w:rsidR="004C0DD4" w:rsidRPr="00606F3C">
        <w:rPr>
          <w:rFonts w:asciiTheme="majorHAnsi" w:hAnsiTheme="majorHAnsi" w:cs="Times New Roman"/>
        </w:rPr>
        <w:t>5,588</w:t>
      </w:r>
      <w:r w:rsidRPr="00606F3C">
        <w:rPr>
          <w:rFonts w:asciiTheme="majorHAnsi" w:hAnsiTheme="majorHAnsi" w:cs="Times New Roman"/>
        </w:rPr>
        <w:t xml:space="preserve">/58,450) received single agent quetiapine 25 mg (Q25). </w:t>
      </w:r>
    </w:p>
    <w:p w:rsidR="008437BE" w:rsidRPr="005C53BF" w:rsidRDefault="008437BE" w:rsidP="00E77CF0">
      <w:pPr>
        <w:spacing w:after="0"/>
        <w:jc w:val="both"/>
        <w:rPr>
          <w:rFonts w:asciiTheme="majorHAnsi" w:hAnsiTheme="majorHAnsi" w:cs="Times New Roman"/>
        </w:rPr>
      </w:pPr>
    </w:p>
    <w:p w:rsidR="005C53BF" w:rsidRDefault="004E4C95" w:rsidP="005C53BF">
      <w:pPr>
        <w:spacing w:after="0"/>
        <w:rPr>
          <w:rFonts w:asciiTheme="majorHAnsi" w:hAnsiTheme="majorHAnsi" w:cs="Times New Roman"/>
        </w:rPr>
      </w:pPr>
      <w:r>
        <w:rPr>
          <w:rFonts w:asciiTheme="majorHAnsi" w:hAnsiTheme="majorHAnsi" w:cs="Times New Roman"/>
          <w:noProof/>
          <w:lang w:eastAsia="en-AU"/>
        </w:rPr>
        <w:lastRenderedPageBreak/>
        <w:drawing>
          <wp:inline distT="0" distB="0" distL="0" distR="0" wp14:anchorId="5C784656" wp14:editId="0D2F48AE">
            <wp:extent cx="4933950" cy="3230736"/>
            <wp:effectExtent l="0" t="0" r="0" b="8255"/>
            <wp:docPr id="5" name="Picture 5" descr="Regimens including quetiapine 25 mg as at 31/10/2012 for 10% sample in patients aged 20-60, for patients supplied an AD and 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34956" cy="3231394"/>
                    </a:xfrm>
                    <a:prstGeom prst="rect">
                      <a:avLst/>
                    </a:prstGeom>
                    <a:noFill/>
                  </pic:spPr>
                </pic:pic>
              </a:graphicData>
            </a:graphic>
          </wp:inline>
        </w:drawing>
      </w:r>
    </w:p>
    <w:p w:rsidR="007E09D4" w:rsidRPr="007E09D4" w:rsidRDefault="007E09D4" w:rsidP="007E09D4">
      <w:pPr>
        <w:spacing w:after="0"/>
        <w:rPr>
          <w:rFonts w:asciiTheme="majorHAnsi" w:hAnsiTheme="majorHAnsi" w:cs="Times New Roman"/>
          <w:b/>
          <w:sz w:val="20"/>
          <w:szCs w:val="20"/>
        </w:rPr>
      </w:pPr>
      <w:r w:rsidRPr="007E09D4">
        <w:rPr>
          <w:rFonts w:asciiTheme="majorHAnsi" w:hAnsiTheme="majorHAnsi" w:cs="Times New Roman"/>
          <w:b/>
          <w:sz w:val="20"/>
          <w:szCs w:val="20"/>
        </w:rPr>
        <w:t xml:space="preserve">Figure </w:t>
      </w:r>
      <w:r w:rsidR="00B40E20">
        <w:rPr>
          <w:rFonts w:asciiTheme="majorHAnsi" w:hAnsiTheme="majorHAnsi" w:cs="Times New Roman"/>
          <w:b/>
          <w:sz w:val="20"/>
          <w:szCs w:val="20"/>
        </w:rPr>
        <w:t>1</w:t>
      </w:r>
      <w:r w:rsidR="00A26481">
        <w:rPr>
          <w:rFonts w:asciiTheme="majorHAnsi" w:hAnsiTheme="majorHAnsi" w:cs="Times New Roman"/>
          <w:b/>
          <w:sz w:val="20"/>
          <w:szCs w:val="20"/>
        </w:rPr>
        <w:t>1</w:t>
      </w:r>
      <w:r w:rsidRPr="007E09D4">
        <w:rPr>
          <w:rFonts w:asciiTheme="majorHAnsi" w:hAnsiTheme="majorHAnsi" w:cs="Times New Roman"/>
          <w:b/>
          <w:sz w:val="20"/>
          <w:szCs w:val="20"/>
        </w:rPr>
        <w:t>:</w:t>
      </w:r>
      <w:r>
        <w:rPr>
          <w:rFonts w:asciiTheme="majorHAnsi" w:hAnsiTheme="majorHAnsi" w:cs="Times New Roman"/>
          <w:b/>
          <w:sz w:val="20"/>
          <w:szCs w:val="20"/>
        </w:rPr>
        <w:t xml:space="preserve"> </w:t>
      </w:r>
      <w:r w:rsidR="009D7505">
        <w:rPr>
          <w:rFonts w:asciiTheme="majorHAnsi" w:hAnsiTheme="majorHAnsi" w:cs="Times New Roman"/>
          <w:b/>
          <w:sz w:val="20"/>
          <w:szCs w:val="20"/>
        </w:rPr>
        <w:t>R</w:t>
      </w:r>
      <w:r>
        <w:rPr>
          <w:rFonts w:asciiTheme="majorHAnsi" w:hAnsiTheme="majorHAnsi" w:cs="Times New Roman"/>
          <w:b/>
          <w:sz w:val="20"/>
          <w:szCs w:val="20"/>
        </w:rPr>
        <w:t xml:space="preserve">egimens including quetiapine 25 mg as at 31/10/2012 for 10% sample in </w:t>
      </w:r>
      <w:r w:rsidR="00A26481">
        <w:rPr>
          <w:rFonts w:asciiTheme="majorHAnsi" w:hAnsiTheme="majorHAnsi" w:cs="Times New Roman"/>
          <w:b/>
          <w:sz w:val="20"/>
          <w:szCs w:val="20"/>
        </w:rPr>
        <w:t>patients aged 20-60</w:t>
      </w:r>
      <w:r w:rsidR="004E4C95">
        <w:rPr>
          <w:rFonts w:asciiTheme="majorHAnsi" w:hAnsiTheme="majorHAnsi" w:cs="Times New Roman"/>
          <w:b/>
          <w:sz w:val="20"/>
          <w:szCs w:val="20"/>
        </w:rPr>
        <w:t>,</w:t>
      </w:r>
      <w:r w:rsidR="00A26481">
        <w:rPr>
          <w:rFonts w:asciiTheme="majorHAnsi" w:hAnsiTheme="majorHAnsi" w:cs="Times New Roman"/>
          <w:b/>
          <w:sz w:val="20"/>
          <w:szCs w:val="20"/>
        </w:rPr>
        <w:t xml:space="preserve"> for patients supplied an AD and AP.</w:t>
      </w:r>
    </w:p>
    <w:p w:rsidR="00A460A2" w:rsidRDefault="007E09D4" w:rsidP="007E09D4">
      <w:pPr>
        <w:spacing w:after="0"/>
        <w:rPr>
          <w:rFonts w:asciiTheme="majorHAnsi" w:hAnsiTheme="majorHAnsi" w:cs="Times New Roman"/>
          <w:sz w:val="20"/>
          <w:szCs w:val="20"/>
        </w:rPr>
      </w:pPr>
      <w:r w:rsidRPr="007E09D4">
        <w:rPr>
          <w:rFonts w:asciiTheme="majorHAnsi" w:hAnsiTheme="majorHAnsi" w:cs="Times New Roman"/>
          <w:sz w:val="20"/>
          <w:szCs w:val="20"/>
        </w:rPr>
        <w:t>Note: For readability, this figure only shows the top 10 regimens.</w:t>
      </w:r>
    </w:p>
    <w:p w:rsidR="00A460A2" w:rsidRDefault="00547375" w:rsidP="00A57BF3">
      <w:pPr>
        <w:spacing w:after="0"/>
        <w:rPr>
          <w:rFonts w:asciiTheme="majorHAnsi" w:hAnsiTheme="majorHAnsi" w:cs="Times New Roman"/>
          <w:i/>
          <w:sz w:val="20"/>
          <w:szCs w:val="20"/>
        </w:rPr>
      </w:pPr>
      <w:r w:rsidRPr="00547375">
        <w:rPr>
          <w:rFonts w:asciiTheme="majorHAnsi" w:hAnsiTheme="majorHAnsi" w:cs="Times New Roman"/>
          <w:i/>
          <w:sz w:val="20"/>
          <w:szCs w:val="20"/>
        </w:rPr>
        <w:t>Source: Medicare DHS Supplied Prescription Database, accessed January 2013</w:t>
      </w:r>
    </w:p>
    <w:p w:rsidR="00547375" w:rsidRDefault="00547375" w:rsidP="00A57BF3">
      <w:pPr>
        <w:spacing w:after="0"/>
        <w:rPr>
          <w:rFonts w:asciiTheme="majorHAnsi" w:hAnsiTheme="majorHAnsi" w:cs="Times New Roman"/>
        </w:rPr>
      </w:pPr>
    </w:p>
    <w:p w:rsidR="007720F7" w:rsidRDefault="007720F7" w:rsidP="00A57BF3">
      <w:pPr>
        <w:spacing w:after="0"/>
        <w:rPr>
          <w:rFonts w:asciiTheme="majorHAnsi" w:hAnsiTheme="majorHAnsi" w:cs="Times New Roman"/>
        </w:rPr>
      </w:pPr>
      <w:r>
        <w:rPr>
          <w:rFonts w:asciiTheme="majorHAnsi" w:hAnsiTheme="majorHAnsi" w:cs="Times New Roman"/>
        </w:rPr>
        <w:t>Small numbers of people appear to be taking two antipsychotics and an antidepressant or two antidepressant</w:t>
      </w:r>
      <w:r w:rsidR="008437BE">
        <w:rPr>
          <w:rFonts w:asciiTheme="majorHAnsi" w:hAnsiTheme="majorHAnsi" w:cs="Times New Roman"/>
        </w:rPr>
        <w:t>s</w:t>
      </w:r>
      <w:r>
        <w:rPr>
          <w:rFonts w:asciiTheme="majorHAnsi" w:hAnsiTheme="majorHAnsi" w:cs="Times New Roman"/>
        </w:rPr>
        <w:t>.</w:t>
      </w:r>
    </w:p>
    <w:p w:rsidR="007720F7" w:rsidRDefault="007720F7" w:rsidP="00A57BF3">
      <w:pPr>
        <w:spacing w:after="0"/>
        <w:rPr>
          <w:rFonts w:asciiTheme="majorHAnsi" w:hAnsiTheme="majorHAnsi" w:cs="Times New Roman"/>
        </w:rPr>
      </w:pPr>
    </w:p>
    <w:p w:rsidR="005F5184" w:rsidRDefault="00A26481" w:rsidP="00E77CF0">
      <w:pPr>
        <w:spacing w:after="0"/>
        <w:jc w:val="both"/>
        <w:rPr>
          <w:rFonts w:asciiTheme="majorHAnsi" w:hAnsiTheme="majorHAnsi" w:cs="Times New Roman"/>
        </w:rPr>
      </w:pPr>
      <w:r>
        <w:rPr>
          <w:rFonts w:asciiTheme="majorHAnsi" w:hAnsiTheme="majorHAnsi" w:cs="Times New Roman"/>
        </w:rPr>
        <w:t>To investigate the possibility that quetiapine 25</w:t>
      </w:r>
      <w:r w:rsidR="001568DF">
        <w:rPr>
          <w:rFonts w:asciiTheme="majorHAnsi" w:hAnsiTheme="majorHAnsi" w:cs="Times New Roman"/>
        </w:rPr>
        <w:t xml:space="preserve"> </w:t>
      </w:r>
      <w:r>
        <w:rPr>
          <w:rFonts w:asciiTheme="majorHAnsi" w:hAnsiTheme="majorHAnsi" w:cs="Times New Roman"/>
        </w:rPr>
        <w:t>mg is used for other reasons than titration</w:t>
      </w:r>
      <w:r w:rsidR="00592826">
        <w:rPr>
          <w:rFonts w:asciiTheme="majorHAnsi" w:hAnsiTheme="majorHAnsi" w:cs="Times New Roman"/>
        </w:rPr>
        <w:t>,</w:t>
      </w:r>
      <w:r>
        <w:rPr>
          <w:rFonts w:asciiTheme="majorHAnsi" w:hAnsiTheme="majorHAnsi" w:cs="Times New Roman"/>
        </w:rPr>
        <w:t xml:space="preserve"> an analysis of the frequency of refilling prescriptions was undertaken. Patients taking the </w:t>
      </w:r>
      <w:r w:rsidR="00E77CF0">
        <w:rPr>
          <w:rFonts w:asciiTheme="majorHAnsi" w:hAnsiTheme="majorHAnsi" w:cs="Times New Roman"/>
        </w:rPr>
        <w:t xml:space="preserve">60 pack </w:t>
      </w:r>
      <w:r>
        <w:rPr>
          <w:rFonts w:asciiTheme="majorHAnsi" w:hAnsiTheme="majorHAnsi" w:cs="Times New Roman"/>
        </w:rPr>
        <w:t>quantity on a</w:t>
      </w:r>
      <w:r w:rsidR="008437BE">
        <w:rPr>
          <w:rFonts w:asciiTheme="majorHAnsi" w:hAnsiTheme="majorHAnsi" w:cs="Times New Roman"/>
        </w:rPr>
        <w:t>n as required (</w:t>
      </w:r>
      <w:r>
        <w:rPr>
          <w:rFonts w:asciiTheme="majorHAnsi" w:hAnsiTheme="majorHAnsi" w:cs="Times New Roman"/>
        </w:rPr>
        <w:t>prn</w:t>
      </w:r>
      <w:r w:rsidR="008437BE">
        <w:rPr>
          <w:rFonts w:asciiTheme="majorHAnsi" w:hAnsiTheme="majorHAnsi" w:cs="Times New Roman"/>
        </w:rPr>
        <w:t>)</w:t>
      </w:r>
      <w:r>
        <w:rPr>
          <w:rFonts w:asciiTheme="majorHAnsi" w:hAnsiTheme="majorHAnsi" w:cs="Times New Roman"/>
        </w:rPr>
        <w:t xml:space="preserve"> or </w:t>
      </w:r>
      <w:r w:rsidR="00E77CF0">
        <w:rPr>
          <w:rFonts w:asciiTheme="majorHAnsi" w:hAnsiTheme="majorHAnsi" w:cs="Times New Roman"/>
        </w:rPr>
        <w:t xml:space="preserve">single daily basis would have approximately 60 days at least between refills. </w:t>
      </w:r>
      <w:r w:rsidR="005F5184" w:rsidRPr="005F5184">
        <w:rPr>
          <w:rFonts w:asciiTheme="majorHAnsi" w:hAnsiTheme="majorHAnsi" w:cs="Times New Roman"/>
        </w:rPr>
        <w:t>Figure 1</w:t>
      </w:r>
      <w:r>
        <w:rPr>
          <w:rFonts w:asciiTheme="majorHAnsi" w:hAnsiTheme="majorHAnsi" w:cs="Times New Roman"/>
        </w:rPr>
        <w:t>2</w:t>
      </w:r>
      <w:r w:rsidR="005F5184" w:rsidRPr="005F5184">
        <w:rPr>
          <w:rFonts w:asciiTheme="majorHAnsi" w:hAnsiTheme="majorHAnsi" w:cs="Times New Roman"/>
        </w:rPr>
        <w:t xml:space="preserve"> presents the frequency of refill of </w:t>
      </w:r>
      <w:r w:rsidR="00153370">
        <w:rPr>
          <w:rFonts w:asciiTheme="majorHAnsi" w:hAnsiTheme="majorHAnsi" w:cs="Times New Roman"/>
        </w:rPr>
        <w:t>s</w:t>
      </w:r>
      <w:r w:rsidR="005F5184" w:rsidRPr="005F5184">
        <w:rPr>
          <w:rFonts w:asciiTheme="majorHAnsi" w:hAnsiTheme="majorHAnsi" w:cs="Times New Roman"/>
        </w:rPr>
        <w:t xml:space="preserve">cripts for quetiapine 25 mg. </w:t>
      </w:r>
      <w:r w:rsidR="000D3875">
        <w:rPr>
          <w:rFonts w:asciiTheme="majorHAnsi" w:hAnsiTheme="majorHAnsi" w:cs="Times New Roman"/>
        </w:rPr>
        <w:t>Th</w:t>
      </w:r>
      <w:r w:rsidR="00E77CF0">
        <w:rPr>
          <w:rFonts w:asciiTheme="majorHAnsi" w:hAnsiTheme="majorHAnsi" w:cs="Times New Roman"/>
        </w:rPr>
        <w:t>is figure</w:t>
      </w:r>
      <w:r w:rsidR="005F5184" w:rsidRPr="005F5184">
        <w:rPr>
          <w:rFonts w:asciiTheme="majorHAnsi" w:hAnsiTheme="majorHAnsi" w:cs="Times New Roman"/>
        </w:rPr>
        <w:t xml:space="preserve"> compares the time to refill of quetiapine 25 mg script</w:t>
      </w:r>
      <w:r w:rsidR="00153370">
        <w:rPr>
          <w:rFonts w:asciiTheme="majorHAnsi" w:hAnsiTheme="majorHAnsi" w:cs="Times New Roman"/>
        </w:rPr>
        <w:t>s</w:t>
      </w:r>
      <w:r w:rsidR="005F5184" w:rsidRPr="005F5184">
        <w:rPr>
          <w:rFonts w:asciiTheme="majorHAnsi" w:hAnsiTheme="majorHAnsi" w:cs="Times New Roman"/>
        </w:rPr>
        <w:t xml:space="preserve"> for two patient groups whose age at last supply was in the range </w:t>
      </w:r>
      <w:r w:rsidR="00D85573">
        <w:rPr>
          <w:rFonts w:asciiTheme="majorHAnsi" w:hAnsiTheme="majorHAnsi" w:cs="Times New Roman"/>
        </w:rPr>
        <w:t xml:space="preserve">of </w:t>
      </w:r>
      <w:r w:rsidR="005F5184" w:rsidRPr="005F5184">
        <w:rPr>
          <w:rFonts w:asciiTheme="majorHAnsi" w:hAnsiTheme="majorHAnsi" w:cs="Times New Roman"/>
        </w:rPr>
        <w:t xml:space="preserve">20–59 years. The first group </w:t>
      </w:r>
      <w:r w:rsidR="000D3875" w:rsidRPr="000D3875">
        <w:rPr>
          <w:rFonts w:asciiTheme="majorHAnsi" w:hAnsiTheme="majorHAnsi" w:cs="Times New Roman"/>
        </w:rPr>
        <w:t>were supplied 25</w:t>
      </w:r>
      <w:r w:rsidR="001568DF">
        <w:rPr>
          <w:rFonts w:asciiTheme="majorHAnsi" w:hAnsiTheme="majorHAnsi" w:cs="Times New Roman"/>
        </w:rPr>
        <w:t xml:space="preserve"> </w:t>
      </w:r>
      <w:r w:rsidR="000D3875" w:rsidRPr="000D3875">
        <w:rPr>
          <w:rFonts w:asciiTheme="majorHAnsi" w:hAnsiTheme="majorHAnsi" w:cs="Times New Roman"/>
        </w:rPr>
        <w:t xml:space="preserve">mg and another strength of quetiapine in the same period. </w:t>
      </w:r>
      <w:r w:rsidR="000D3875">
        <w:rPr>
          <w:rFonts w:asciiTheme="majorHAnsi" w:hAnsiTheme="majorHAnsi" w:cs="Times New Roman"/>
        </w:rPr>
        <w:t xml:space="preserve">The second group </w:t>
      </w:r>
      <w:r w:rsidR="000D3875" w:rsidRPr="000D3875">
        <w:rPr>
          <w:rFonts w:asciiTheme="majorHAnsi" w:hAnsiTheme="majorHAnsi" w:cs="Times New Roman"/>
        </w:rPr>
        <w:t>were only supplied quetiapine 25</w:t>
      </w:r>
      <w:r w:rsidR="001568DF">
        <w:rPr>
          <w:rFonts w:asciiTheme="majorHAnsi" w:hAnsiTheme="majorHAnsi" w:cs="Times New Roman"/>
        </w:rPr>
        <w:t xml:space="preserve"> </w:t>
      </w:r>
      <w:r w:rsidR="000D3875" w:rsidRPr="000D3875">
        <w:rPr>
          <w:rFonts w:asciiTheme="majorHAnsi" w:hAnsiTheme="majorHAnsi" w:cs="Times New Roman"/>
        </w:rPr>
        <w:t xml:space="preserve">mg in the period Dec 2010 to June 2012. </w:t>
      </w:r>
      <w:r w:rsidR="00153370">
        <w:rPr>
          <w:rFonts w:asciiTheme="majorHAnsi" w:hAnsiTheme="majorHAnsi" w:cs="Times New Roman"/>
        </w:rPr>
        <w:t>Quetiapine 25</w:t>
      </w:r>
      <w:r w:rsidR="001568DF">
        <w:rPr>
          <w:rFonts w:asciiTheme="majorHAnsi" w:hAnsiTheme="majorHAnsi" w:cs="Times New Roman"/>
        </w:rPr>
        <w:t xml:space="preserve"> </w:t>
      </w:r>
      <w:r w:rsidR="00153370">
        <w:rPr>
          <w:rFonts w:asciiTheme="majorHAnsi" w:hAnsiTheme="majorHAnsi" w:cs="Times New Roman"/>
        </w:rPr>
        <w:t xml:space="preserve">mg </w:t>
      </w:r>
      <w:r w:rsidR="00153370" w:rsidRPr="00153370">
        <w:rPr>
          <w:rFonts w:asciiTheme="majorHAnsi" w:hAnsiTheme="majorHAnsi" w:cs="Times New Roman"/>
        </w:rPr>
        <w:t>is supplied in a pack of 60 tablets</w:t>
      </w:r>
      <w:r w:rsidR="00153370">
        <w:rPr>
          <w:rFonts w:asciiTheme="majorHAnsi" w:hAnsiTheme="majorHAnsi" w:cs="Times New Roman"/>
        </w:rPr>
        <w:t xml:space="preserve"> and therefore</w:t>
      </w:r>
      <w:r w:rsidR="00153370" w:rsidRPr="00153370">
        <w:rPr>
          <w:rFonts w:asciiTheme="majorHAnsi" w:hAnsiTheme="majorHAnsi" w:cs="Times New Roman"/>
        </w:rPr>
        <w:t xml:space="preserve"> refill at 30 days may indicate </w:t>
      </w:r>
      <w:r w:rsidR="001E69DC">
        <w:rPr>
          <w:rFonts w:asciiTheme="majorHAnsi" w:hAnsiTheme="majorHAnsi" w:cs="Times New Roman"/>
        </w:rPr>
        <w:t xml:space="preserve">that </w:t>
      </w:r>
      <w:r w:rsidR="00153370" w:rsidRPr="00153370">
        <w:rPr>
          <w:rFonts w:asciiTheme="majorHAnsi" w:hAnsiTheme="majorHAnsi" w:cs="Times New Roman"/>
        </w:rPr>
        <w:t xml:space="preserve">patients are taking two tablets each day, and refill at 60 days may indicate one tablet daily. </w:t>
      </w:r>
      <w:r w:rsidR="005F5184" w:rsidRPr="005F5184">
        <w:rPr>
          <w:rFonts w:asciiTheme="majorHAnsi" w:hAnsiTheme="majorHAnsi" w:cs="Times New Roman"/>
        </w:rPr>
        <w:t xml:space="preserve">The </w:t>
      </w:r>
      <w:r w:rsidR="000D3875">
        <w:rPr>
          <w:rFonts w:asciiTheme="majorHAnsi" w:hAnsiTheme="majorHAnsi" w:cs="Times New Roman"/>
        </w:rPr>
        <w:t>quetiapine 25</w:t>
      </w:r>
      <w:r w:rsidR="001568DF">
        <w:rPr>
          <w:rFonts w:asciiTheme="majorHAnsi" w:hAnsiTheme="majorHAnsi" w:cs="Times New Roman"/>
        </w:rPr>
        <w:t xml:space="preserve"> </w:t>
      </w:r>
      <w:r w:rsidR="000D3875">
        <w:rPr>
          <w:rFonts w:asciiTheme="majorHAnsi" w:hAnsiTheme="majorHAnsi" w:cs="Times New Roman"/>
        </w:rPr>
        <w:t>mg only</w:t>
      </w:r>
      <w:r w:rsidR="005F5184" w:rsidRPr="005F5184">
        <w:rPr>
          <w:rFonts w:asciiTheme="majorHAnsi" w:hAnsiTheme="majorHAnsi" w:cs="Times New Roman"/>
        </w:rPr>
        <w:t xml:space="preserve"> group </w:t>
      </w:r>
      <w:r w:rsidR="00153370">
        <w:rPr>
          <w:rFonts w:asciiTheme="majorHAnsi" w:hAnsiTheme="majorHAnsi" w:cs="Times New Roman"/>
        </w:rPr>
        <w:t>had</w:t>
      </w:r>
      <w:r w:rsidR="005F5184" w:rsidRPr="005F5184">
        <w:rPr>
          <w:rFonts w:asciiTheme="majorHAnsi" w:hAnsiTheme="majorHAnsi" w:cs="Times New Roman"/>
        </w:rPr>
        <w:t xml:space="preserve"> a slightly higher proportion of scripts resupplied around 60 days</w:t>
      </w:r>
      <w:r w:rsidR="000D3875">
        <w:rPr>
          <w:rFonts w:asciiTheme="majorHAnsi" w:hAnsiTheme="majorHAnsi" w:cs="Times New Roman"/>
        </w:rPr>
        <w:t xml:space="preserve">, indicating that </w:t>
      </w:r>
      <w:r w:rsidR="00D85573">
        <w:rPr>
          <w:rFonts w:asciiTheme="majorHAnsi" w:hAnsiTheme="majorHAnsi" w:cs="Times New Roman"/>
        </w:rPr>
        <w:t xml:space="preserve">some patients in </w:t>
      </w:r>
      <w:r w:rsidR="000D3875">
        <w:rPr>
          <w:rFonts w:asciiTheme="majorHAnsi" w:hAnsiTheme="majorHAnsi" w:cs="Times New Roman"/>
        </w:rPr>
        <w:t>this group</w:t>
      </w:r>
      <w:r w:rsidR="00153370">
        <w:rPr>
          <w:rFonts w:asciiTheme="majorHAnsi" w:hAnsiTheme="majorHAnsi" w:cs="Times New Roman"/>
        </w:rPr>
        <w:t xml:space="preserve"> may be taking o</w:t>
      </w:r>
      <w:r w:rsidR="005F5184" w:rsidRPr="005F5184">
        <w:rPr>
          <w:rFonts w:asciiTheme="majorHAnsi" w:hAnsiTheme="majorHAnsi" w:cs="Times New Roman"/>
        </w:rPr>
        <w:t>nly one tablet a day.</w:t>
      </w:r>
    </w:p>
    <w:p w:rsidR="005F5184" w:rsidRDefault="005F5184" w:rsidP="00A57BF3">
      <w:pPr>
        <w:spacing w:after="0"/>
        <w:rPr>
          <w:rFonts w:asciiTheme="majorHAnsi" w:hAnsiTheme="majorHAnsi" w:cs="Times New Roman"/>
        </w:rPr>
      </w:pPr>
    </w:p>
    <w:p w:rsidR="0073229E" w:rsidRDefault="0073229E" w:rsidP="00A57BF3">
      <w:pPr>
        <w:spacing w:after="0"/>
        <w:rPr>
          <w:rFonts w:asciiTheme="majorHAnsi" w:hAnsiTheme="majorHAnsi" w:cs="Times New Roman"/>
        </w:rPr>
      </w:pPr>
    </w:p>
    <w:p w:rsidR="0073229E" w:rsidRDefault="00525B0B" w:rsidP="00A57BF3">
      <w:pPr>
        <w:spacing w:after="0"/>
        <w:rPr>
          <w:rFonts w:asciiTheme="majorHAnsi" w:hAnsiTheme="majorHAnsi" w:cs="Times New Roman"/>
        </w:rPr>
      </w:pPr>
      <w:r>
        <w:rPr>
          <w:rFonts w:asciiTheme="majorHAnsi" w:hAnsiTheme="majorHAnsi" w:cs="Times New Roman"/>
          <w:noProof/>
          <w:lang w:eastAsia="en-AU"/>
        </w:rPr>
        <w:lastRenderedPageBreak/>
        <w:drawing>
          <wp:inline distT="0" distB="0" distL="0" distR="0" wp14:anchorId="6A040337" wp14:editId="36FC442D">
            <wp:extent cx="5076825" cy="3310280"/>
            <wp:effectExtent l="0" t="0" r="0" b="4445"/>
            <wp:docPr id="9" name="Picture 9" descr="Quetiapine 25 mg scripts supplied from December 2010 to June 2012 with at least 6 months follow-up, by patient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78274" cy="3311225"/>
                    </a:xfrm>
                    <a:prstGeom prst="rect">
                      <a:avLst/>
                    </a:prstGeom>
                    <a:noFill/>
                  </pic:spPr>
                </pic:pic>
              </a:graphicData>
            </a:graphic>
          </wp:inline>
        </w:drawing>
      </w:r>
    </w:p>
    <w:p w:rsidR="0073229E" w:rsidRDefault="0073229E" w:rsidP="0073229E">
      <w:pPr>
        <w:contextualSpacing/>
        <w:rPr>
          <w:rFonts w:asciiTheme="majorHAnsi" w:hAnsiTheme="majorHAnsi" w:cs="Times New Roman"/>
          <w:b/>
          <w:sz w:val="20"/>
          <w:szCs w:val="20"/>
        </w:rPr>
      </w:pPr>
      <w:r w:rsidRPr="0073229E">
        <w:rPr>
          <w:rFonts w:asciiTheme="majorHAnsi" w:hAnsiTheme="majorHAnsi" w:cs="Times New Roman"/>
          <w:b/>
          <w:sz w:val="20"/>
          <w:szCs w:val="20"/>
        </w:rPr>
        <w:t>Figure 1</w:t>
      </w:r>
      <w:r w:rsidR="00A26481">
        <w:rPr>
          <w:rFonts w:asciiTheme="majorHAnsi" w:hAnsiTheme="majorHAnsi" w:cs="Times New Roman"/>
          <w:b/>
          <w:sz w:val="20"/>
          <w:szCs w:val="20"/>
        </w:rPr>
        <w:t>2</w:t>
      </w:r>
      <w:r w:rsidRPr="0073229E">
        <w:rPr>
          <w:rFonts w:asciiTheme="majorHAnsi" w:hAnsiTheme="majorHAnsi" w:cs="Times New Roman"/>
          <w:b/>
          <w:sz w:val="20"/>
          <w:szCs w:val="20"/>
        </w:rPr>
        <w:t xml:space="preserve">: Quetiapine 25 mg scripts </w:t>
      </w:r>
      <w:r w:rsidR="003E2B0E">
        <w:rPr>
          <w:rFonts w:asciiTheme="majorHAnsi" w:hAnsiTheme="majorHAnsi" w:cs="Times New Roman"/>
          <w:b/>
          <w:sz w:val="20"/>
          <w:szCs w:val="20"/>
        </w:rPr>
        <w:t xml:space="preserve">supplied from December 2010 to June 2012 with at least 6 months follow-up, </w:t>
      </w:r>
      <w:r w:rsidRPr="0073229E">
        <w:rPr>
          <w:rFonts w:asciiTheme="majorHAnsi" w:hAnsiTheme="majorHAnsi" w:cs="Times New Roman"/>
          <w:b/>
          <w:sz w:val="20"/>
          <w:szCs w:val="20"/>
        </w:rPr>
        <w:t>by patient status</w:t>
      </w:r>
    </w:p>
    <w:p w:rsidR="00A97183" w:rsidRDefault="00547375" w:rsidP="0073229E">
      <w:pPr>
        <w:contextualSpacing/>
        <w:rPr>
          <w:rFonts w:asciiTheme="majorHAnsi" w:hAnsiTheme="majorHAnsi" w:cs="Times New Roman"/>
          <w:i/>
          <w:sz w:val="20"/>
          <w:szCs w:val="20"/>
        </w:rPr>
      </w:pPr>
      <w:r w:rsidRPr="00547375">
        <w:rPr>
          <w:rFonts w:asciiTheme="majorHAnsi" w:hAnsiTheme="majorHAnsi" w:cs="Times New Roman"/>
          <w:i/>
          <w:sz w:val="20"/>
          <w:szCs w:val="20"/>
        </w:rPr>
        <w:t>Source: Medicare DHS Supplied Prescription Database, accessed January 2013</w:t>
      </w:r>
    </w:p>
    <w:p w:rsidR="00547375" w:rsidRPr="00A97183" w:rsidRDefault="00547375" w:rsidP="0073229E">
      <w:pPr>
        <w:contextualSpacing/>
        <w:rPr>
          <w:rFonts w:asciiTheme="majorHAnsi" w:hAnsiTheme="majorHAnsi" w:cs="Times New Roman"/>
          <w:b/>
          <w:i/>
          <w:sz w:val="20"/>
          <w:szCs w:val="20"/>
        </w:rPr>
      </w:pPr>
    </w:p>
    <w:p w:rsidR="006064B5" w:rsidRPr="006064B5" w:rsidRDefault="006064B5" w:rsidP="00A54E6C">
      <w:pPr>
        <w:pStyle w:val="Heading3"/>
      </w:pPr>
      <w:r w:rsidRPr="006064B5">
        <w:t xml:space="preserve">Prescriber analysis </w:t>
      </w:r>
    </w:p>
    <w:p w:rsidR="00A76CEF" w:rsidRDefault="00E77CF0" w:rsidP="006064B5">
      <w:pPr>
        <w:rPr>
          <w:rFonts w:asciiTheme="majorHAnsi" w:hAnsiTheme="majorHAnsi" w:cs="Times New Roman"/>
        </w:rPr>
      </w:pPr>
      <w:r>
        <w:rPr>
          <w:rFonts w:asciiTheme="majorHAnsi" w:hAnsiTheme="majorHAnsi" w:cs="Times New Roman"/>
        </w:rPr>
        <w:t xml:space="preserve">The pattern of uptake in the community may be influenced by the initiating physician. </w:t>
      </w:r>
      <w:r w:rsidR="00F27C6B">
        <w:rPr>
          <w:rFonts w:asciiTheme="majorHAnsi" w:hAnsiTheme="majorHAnsi" w:cs="Times New Roman"/>
        </w:rPr>
        <w:t xml:space="preserve">Medicare Australia data for first presentation of prescription (original script) was examined by de-identified patient and prescriber approval number. </w:t>
      </w:r>
      <w:r w:rsidR="006064B5" w:rsidRPr="006064B5">
        <w:rPr>
          <w:rFonts w:asciiTheme="majorHAnsi" w:hAnsiTheme="majorHAnsi" w:cs="Times New Roman"/>
        </w:rPr>
        <w:t xml:space="preserve">Figure </w:t>
      </w:r>
      <w:r w:rsidR="006064B5">
        <w:rPr>
          <w:rFonts w:asciiTheme="majorHAnsi" w:hAnsiTheme="majorHAnsi" w:cs="Times New Roman"/>
        </w:rPr>
        <w:t>1</w:t>
      </w:r>
      <w:r>
        <w:rPr>
          <w:rFonts w:asciiTheme="majorHAnsi" w:hAnsiTheme="majorHAnsi" w:cs="Times New Roman"/>
        </w:rPr>
        <w:t>3</w:t>
      </w:r>
      <w:r w:rsidR="006064B5" w:rsidRPr="006064B5">
        <w:rPr>
          <w:rFonts w:asciiTheme="majorHAnsi" w:hAnsiTheme="majorHAnsi" w:cs="Times New Roman"/>
        </w:rPr>
        <w:t xml:space="preserve"> shows patient numbers by drug, original script count since initiation and prescriber </w:t>
      </w:r>
      <w:r w:rsidR="00F27C6B">
        <w:rPr>
          <w:rFonts w:asciiTheme="majorHAnsi" w:hAnsiTheme="majorHAnsi" w:cs="Times New Roman"/>
        </w:rPr>
        <w:t xml:space="preserve">specialty </w:t>
      </w:r>
      <w:r w:rsidR="006064B5" w:rsidRPr="006064B5">
        <w:rPr>
          <w:rFonts w:asciiTheme="majorHAnsi" w:hAnsiTheme="majorHAnsi" w:cs="Times New Roman"/>
        </w:rPr>
        <w:t>type</w:t>
      </w:r>
      <w:r w:rsidR="00F27C6B">
        <w:rPr>
          <w:rFonts w:asciiTheme="majorHAnsi" w:hAnsiTheme="majorHAnsi" w:cs="Times New Roman"/>
        </w:rPr>
        <w:t xml:space="preserve"> (derived from Medicare Australia records)</w:t>
      </w:r>
      <w:r w:rsidR="006064B5" w:rsidRPr="006064B5">
        <w:rPr>
          <w:rFonts w:asciiTheme="majorHAnsi" w:hAnsiTheme="majorHAnsi" w:cs="Times New Roman"/>
        </w:rPr>
        <w:t xml:space="preserve">. Figure </w:t>
      </w:r>
      <w:r w:rsidR="006064B5">
        <w:rPr>
          <w:rFonts w:asciiTheme="majorHAnsi" w:hAnsiTheme="majorHAnsi" w:cs="Times New Roman"/>
        </w:rPr>
        <w:t>1</w:t>
      </w:r>
      <w:r w:rsidR="00F27C6B">
        <w:rPr>
          <w:rFonts w:asciiTheme="majorHAnsi" w:hAnsiTheme="majorHAnsi" w:cs="Times New Roman"/>
        </w:rPr>
        <w:t>4</w:t>
      </w:r>
      <w:r w:rsidR="006064B5" w:rsidRPr="006064B5">
        <w:rPr>
          <w:rFonts w:asciiTheme="majorHAnsi" w:hAnsiTheme="majorHAnsi" w:cs="Times New Roman"/>
        </w:rPr>
        <w:t xml:space="preserve"> shows the percentage distribution of scripts by prescriber type </w:t>
      </w:r>
      <w:r w:rsidR="00E163BA">
        <w:rPr>
          <w:rFonts w:asciiTheme="majorHAnsi" w:hAnsiTheme="majorHAnsi" w:cs="Times New Roman"/>
        </w:rPr>
        <w:t>for</w:t>
      </w:r>
      <w:r w:rsidR="006064B5" w:rsidRPr="006064B5">
        <w:rPr>
          <w:rFonts w:asciiTheme="majorHAnsi" w:hAnsiTheme="majorHAnsi" w:cs="Times New Roman"/>
        </w:rPr>
        <w:t xml:space="preserve"> each drug and </w:t>
      </w:r>
      <w:r w:rsidR="00E163BA">
        <w:rPr>
          <w:rFonts w:asciiTheme="majorHAnsi" w:hAnsiTheme="majorHAnsi" w:cs="Times New Roman"/>
        </w:rPr>
        <w:t xml:space="preserve">by </w:t>
      </w:r>
      <w:r w:rsidR="00565B28">
        <w:rPr>
          <w:rFonts w:asciiTheme="majorHAnsi" w:hAnsiTheme="majorHAnsi" w:cs="Times New Roman"/>
        </w:rPr>
        <w:t xml:space="preserve">the </w:t>
      </w:r>
      <w:r w:rsidR="006064B5" w:rsidRPr="006064B5">
        <w:rPr>
          <w:rFonts w:asciiTheme="majorHAnsi" w:hAnsiTheme="majorHAnsi" w:cs="Times New Roman"/>
        </w:rPr>
        <w:t xml:space="preserve">original </w:t>
      </w:r>
      <w:r w:rsidR="00E163BA">
        <w:rPr>
          <w:rFonts w:asciiTheme="majorHAnsi" w:hAnsiTheme="majorHAnsi" w:cs="Times New Roman"/>
        </w:rPr>
        <w:t xml:space="preserve">script </w:t>
      </w:r>
      <w:r w:rsidR="006064B5" w:rsidRPr="006064B5">
        <w:rPr>
          <w:rFonts w:asciiTheme="majorHAnsi" w:hAnsiTheme="majorHAnsi" w:cs="Times New Roman"/>
        </w:rPr>
        <w:t>number.</w:t>
      </w:r>
      <w:r w:rsidR="00F27C6B">
        <w:rPr>
          <w:rFonts w:asciiTheme="majorHAnsi" w:hAnsiTheme="majorHAnsi" w:cs="Times New Roman"/>
        </w:rPr>
        <w:t xml:space="preserve"> Approved prescribers are separated into general practitioner</w:t>
      </w:r>
      <w:r w:rsidR="008437BE">
        <w:rPr>
          <w:rFonts w:asciiTheme="majorHAnsi" w:hAnsiTheme="majorHAnsi" w:cs="Times New Roman"/>
        </w:rPr>
        <w:t xml:space="preserve"> (GP)</w:t>
      </w:r>
      <w:r w:rsidR="00F27C6B">
        <w:rPr>
          <w:rFonts w:asciiTheme="majorHAnsi" w:hAnsiTheme="majorHAnsi" w:cs="Times New Roman"/>
        </w:rPr>
        <w:t>, psychiatrist and other specialists.</w:t>
      </w:r>
    </w:p>
    <w:p w:rsidR="00A76CEF" w:rsidRDefault="00A76CEF">
      <w:pPr>
        <w:rPr>
          <w:rFonts w:asciiTheme="majorHAnsi" w:hAnsiTheme="majorHAnsi" w:cs="Times New Roman"/>
        </w:rPr>
      </w:pPr>
      <w:r>
        <w:rPr>
          <w:rFonts w:asciiTheme="majorHAnsi" w:hAnsiTheme="majorHAnsi" w:cs="Times New Roman"/>
        </w:rPr>
        <w:br w:type="page"/>
      </w:r>
    </w:p>
    <w:p w:rsidR="006064B5" w:rsidRPr="006064B5" w:rsidRDefault="006064B5" w:rsidP="006064B5">
      <w:pPr>
        <w:rPr>
          <w:rFonts w:asciiTheme="majorHAnsi" w:hAnsiTheme="majorHAnsi" w:cs="Times New Roman"/>
        </w:rPr>
      </w:pPr>
    </w:p>
    <w:p w:rsidR="00547375" w:rsidRDefault="00547375" w:rsidP="006064B5">
      <w:pPr>
        <w:spacing w:after="120"/>
        <w:contextualSpacing/>
        <w:rPr>
          <w:rFonts w:asciiTheme="majorHAnsi" w:hAnsiTheme="majorHAnsi" w:cs="Times New Roman"/>
          <w:b/>
          <w:sz w:val="20"/>
          <w:szCs w:val="20"/>
        </w:rPr>
      </w:pPr>
      <w:r>
        <w:rPr>
          <w:rFonts w:asciiTheme="majorHAnsi" w:hAnsiTheme="majorHAnsi" w:cs="Times New Roman"/>
          <w:b/>
          <w:noProof/>
          <w:sz w:val="20"/>
          <w:szCs w:val="20"/>
          <w:lang w:eastAsia="en-AU"/>
        </w:rPr>
        <w:drawing>
          <wp:inline distT="0" distB="0" distL="0" distR="0" wp14:anchorId="06D03B1B" wp14:editId="7D783C98">
            <wp:extent cx="4584700" cy="2987325"/>
            <wp:effectExtent l="0" t="0" r="6350" b="3810"/>
            <wp:docPr id="21" name="Picture 21" descr="Original scripts dispensed by approved prescriber type for patients aged 20-59 years who initiated antipsychotic therapy between December 2011 and March 2012 inclusive, with a 12-month no-prior-script period and exactly 9 months follow-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84511" cy="2987202"/>
                    </a:xfrm>
                    <a:prstGeom prst="rect">
                      <a:avLst/>
                    </a:prstGeom>
                    <a:noFill/>
                  </pic:spPr>
                </pic:pic>
              </a:graphicData>
            </a:graphic>
          </wp:inline>
        </w:drawing>
      </w:r>
    </w:p>
    <w:p w:rsidR="006064B5" w:rsidRDefault="006064B5" w:rsidP="006064B5">
      <w:pPr>
        <w:spacing w:after="120"/>
        <w:contextualSpacing/>
        <w:rPr>
          <w:rFonts w:asciiTheme="majorHAnsi" w:hAnsiTheme="majorHAnsi" w:cs="Times New Roman"/>
          <w:b/>
          <w:sz w:val="20"/>
          <w:szCs w:val="20"/>
        </w:rPr>
      </w:pPr>
      <w:r w:rsidRPr="006064B5">
        <w:rPr>
          <w:rFonts w:asciiTheme="majorHAnsi" w:hAnsiTheme="majorHAnsi" w:cs="Times New Roman"/>
          <w:b/>
          <w:sz w:val="20"/>
          <w:szCs w:val="20"/>
        </w:rPr>
        <w:t>Figure 1</w:t>
      </w:r>
      <w:r w:rsidR="00F27C6B">
        <w:rPr>
          <w:rFonts w:asciiTheme="majorHAnsi" w:hAnsiTheme="majorHAnsi" w:cs="Times New Roman"/>
          <w:b/>
          <w:sz w:val="20"/>
          <w:szCs w:val="20"/>
        </w:rPr>
        <w:t>3</w:t>
      </w:r>
      <w:r w:rsidRPr="006064B5">
        <w:rPr>
          <w:rFonts w:asciiTheme="majorHAnsi" w:hAnsiTheme="majorHAnsi" w:cs="Times New Roman"/>
          <w:b/>
          <w:sz w:val="20"/>
          <w:szCs w:val="20"/>
        </w:rPr>
        <w:t>: Original scripts dispensed by approved prescriber type</w:t>
      </w:r>
      <w:r w:rsidR="00547375">
        <w:rPr>
          <w:rFonts w:asciiTheme="majorHAnsi" w:hAnsiTheme="majorHAnsi" w:cs="Times New Roman"/>
          <w:b/>
          <w:sz w:val="20"/>
          <w:szCs w:val="20"/>
        </w:rPr>
        <w:t xml:space="preserve"> for patients </w:t>
      </w:r>
      <w:r w:rsidR="006C4CFF">
        <w:rPr>
          <w:rFonts w:asciiTheme="majorHAnsi" w:hAnsiTheme="majorHAnsi" w:cs="Times New Roman"/>
          <w:b/>
          <w:sz w:val="20"/>
          <w:szCs w:val="20"/>
        </w:rPr>
        <w:t xml:space="preserve">aged 20-59 years </w:t>
      </w:r>
      <w:r w:rsidR="00547375">
        <w:rPr>
          <w:rFonts w:asciiTheme="majorHAnsi" w:hAnsiTheme="majorHAnsi" w:cs="Times New Roman"/>
          <w:b/>
          <w:sz w:val="20"/>
          <w:szCs w:val="20"/>
        </w:rPr>
        <w:t>who initiated AP therapy between December 2011 and March 2012 inclusive, with a 12-month no-prior-script period and exactly 9 months follow-up</w:t>
      </w:r>
    </w:p>
    <w:p w:rsidR="00F27C6B" w:rsidRDefault="00547375" w:rsidP="006064B5">
      <w:pPr>
        <w:spacing w:after="120"/>
        <w:contextualSpacing/>
        <w:rPr>
          <w:rFonts w:asciiTheme="majorHAnsi" w:hAnsiTheme="majorHAnsi" w:cs="Times New Roman"/>
          <w:i/>
          <w:sz w:val="20"/>
          <w:szCs w:val="20"/>
        </w:rPr>
      </w:pPr>
      <w:r w:rsidRPr="00547375">
        <w:rPr>
          <w:rFonts w:asciiTheme="majorHAnsi" w:hAnsiTheme="majorHAnsi" w:cs="Times New Roman"/>
          <w:i/>
          <w:sz w:val="20"/>
          <w:szCs w:val="20"/>
        </w:rPr>
        <w:t>Source: Medicare DHS Supplied Prescription Database, accessed January 2013</w:t>
      </w:r>
    </w:p>
    <w:p w:rsidR="00F27C6B" w:rsidRDefault="00F27C6B" w:rsidP="006064B5">
      <w:pPr>
        <w:spacing w:after="120"/>
        <w:contextualSpacing/>
        <w:rPr>
          <w:rFonts w:asciiTheme="majorHAnsi" w:hAnsiTheme="majorHAnsi" w:cs="Times New Roman"/>
          <w:i/>
          <w:sz w:val="20"/>
          <w:szCs w:val="20"/>
        </w:rPr>
      </w:pPr>
    </w:p>
    <w:p w:rsidR="00F27C6B" w:rsidRDefault="00F27C6B" w:rsidP="006C4CFF">
      <w:pPr>
        <w:jc w:val="both"/>
        <w:rPr>
          <w:rFonts w:asciiTheme="majorHAnsi" w:hAnsiTheme="majorHAnsi" w:cs="Times New Roman"/>
        </w:rPr>
      </w:pPr>
      <w:r>
        <w:rPr>
          <w:rFonts w:asciiTheme="majorHAnsi" w:hAnsiTheme="majorHAnsi" w:cs="Times New Roman"/>
        </w:rPr>
        <w:t>F</w:t>
      </w:r>
      <w:r w:rsidRPr="006064B5">
        <w:rPr>
          <w:rFonts w:asciiTheme="majorHAnsi" w:hAnsiTheme="majorHAnsi" w:cs="Times New Roman"/>
        </w:rPr>
        <w:t>or patients aged 20</w:t>
      </w:r>
      <w:r>
        <w:rPr>
          <w:rFonts w:asciiTheme="majorHAnsi" w:hAnsiTheme="majorHAnsi" w:cs="Times New Roman"/>
        </w:rPr>
        <w:t>–</w:t>
      </w:r>
      <w:r w:rsidRPr="006064B5">
        <w:rPr>
          <w:rFonts w:asciiTheme="majorHAnsi" w:hAnsiTheme="majorHAnsi" w:cs="Times New Roman"/>
        </w:rPr>
        <w:t xml:space="preserve">59 </w:t>
      </w:r>
      <w:r>
        <w:rPr>
          <w:rFonts w:asciiTheme="majorHAnsi" w:hAnsiTheme="majorHAnsi" w:cs="Times New Roman"/>
        </w:rPr>
        <w:t xml:space="preserve">years, </w:t>
      </w:r>
      <w:r w:rsidR="003B2A09">
        <w:rPr>
          <w:rFonts w:asciiTheme="majorHAnsi" w:hAnsiTheme="majorHAnsi" w:cs="Times New Roman"/>
        </w:rPr>
        <w:t>GPs</w:t>
      </w:r>
      <w:r w:rsidR="00BF5E54">
        <w:rPr>
          <w:rFonts w:asciiTheme="majorHAnsi" w:hAnsiTheme="majorHAnsi" w:cs="Times New Roman"/>
        </w:rPr>
        <w:t xml:space="preserve"> wrote a total of 42,880 antipsychotic original scripts (2.44 scripts </w:t>
      </w:r>
      <w:r w:rsidR="004B1D70">
        <w:rPr>
          <w:rFonts w:asciiTheme="majorHAnsi" w:hAnsiTheme="majorHAnsi" w:cs="Times New Roman"/>
        </w:rPr>
        <w:t>per full-time GP equivalent).</w:t>
      </w:r>
      <w:r w:rsidR="009026DE" w:rsidRPr="009026DE">
        <w:rPr>
          <w:rFonts w:asciiTheme="majorHAnsi" w:hAnsiTheme="majorHAnsi" w:cs="Times New Roman"/>
          <w:vertAlign w:val="superscript"/>
        </w:rPr>
        <w:t>9</w:t>
      </w:r>
      <w:r w:rsidR="004B1D70">
        <w:rPr>
          <w:rFonts w:asciiTheme="majorHAnsi" w:hAnsiTheme="majorHAnsi" w:cs="Times New Roman"/>
        </w:rPr>
        <w:t xml:space="preserve"> </w:t>
      </w:r>
      <w:r w:rsidR="00BF5E54">
        <w:rPr>
          <w:rFonts w:asciiTheme="majorHAnsi" w:hAnsiTheme="majorHAnsi" w:cs="Times New Roman"/>
        </w:rPr>
        <w:t>Psychiatrists wrote a total of 12,980 antipsychotic original scripts (4.5</w:t>
      </w:r>
      <w:r w:rsidR="003B2A09">
        <w:rPr>
          <w:rFonts w:asciiTheme="majorHAnsi" w:hAnsiTheme="majorHAnsi" w:cs="Times New Roman"/>
        </w:rPr>
        <w:t>0</w:t>
      </w:r>
      <w:r w:rsidR="00BF5E54">
        <w:rPr>
          <w:rFonts w:asciiTheme="majorHAnsi" w:hAnsiTheme="majorHAnsi" w:cs="Times New Roman"/>
        </w:rPr>
        <w:t xml:space="preserve"> scripts per full-time psychiatrist equivalent).</w:t>
      </w:r>
      <w:r w:rsidR="00725FE4" w:rsidRPr="00725FE4">
        <w:rPr>
          <w:rFonts w:asciiTheme="majorHAnsi" w:hAnsiTheme="majorHAnsi" w:cs="Times New Roman"/>
          <w:vertAlign w:val="superscript"/>
        </w:rPr>
        <w:t>10</w:t>
      </w:r>
      <w:r w:rsidR="00BF5E54">
        <w:rPr>
          <w:rFonts w:asciiTheme="majorHAnsi" w:hAnsiTheme="majorHAnsi" w:cs="Times New Roman"/>
        </w:rPr>
        <w:t xml:space="preserve"> </w:t>
      </w:r>
      <w:r>
        <w:rPr>
          <w:rFonts w:asciiTheme="majorHAnsi" w:hAnsiTheme="majorHAnsi" w:cs="Times New Roman"/>
        </w:rPr>
        <w:t xml:space="preserve">The more frequently prescribed antipsychotics </w:t>
      </w:r>
      <w:r w:rsidR="00BF5E54">
        <w:rPr>
          <w:rFonts w:asciiTheme="majorHAnsi" w:hAnsiTheme="majorHAnsi" w:cs="Times New Roman"/>
        </w:rPr>
        <w:t>we</w:t>
      </w:r>
      <w:r>
        <w:rPr>
          <w:rFonts w:asciiTheme="majorHAnsi" w:hAnsiTheme="majorHAnsi" w:cs="Times New Roman"/>
        </w:rPr>
        <w:t>re proportionally prescribed more often by GPs</w:t>
      </w:r>
      <w:r w:rsidR="003B2A09">
        <w:rPr>
          <w:rFonts w:asciiTheme="majorHAnsi" w:hAnsiTheme="majorHAnsi" w:cs="Times New Roman"/>
        </w:rPr>
        <w:t xml:space="preserve"> in absolute terms, although prescribing rates were higher per physician for psychiatrists than for GPs when the number of FTE physicians was taken in to consideration. Risperidone was a</w:t>
      </w:r>
      <w:r>
        <w:rPr>
          <w:rFonts w:asciiTheme="majorHAnsi" w:hAnsiTheme="majorHAnsi" w:cs="Times New Roman"/>
        </w:rPr>
        <w:t xml:space="preserve"> possible exception </w:t>
      </w:r>
      <w:r w:rsidR="003B2A09">
        <w:rPr>
          <w:rFonts w:asciiTheme="majorHAnsi" w:hAnsiTheme="majorHAnsi" w:cs="Times New Roman"/>
        </w:rPr>
        <w:t>(0.78 scripts per GP FTE and 0.66 scripts per psychiatrist FTE)</w:t>
      </w:r>
      <w:r>
        <w:rPr>
          <w:rFonts w:asciiTheme="majorHAnsi" w:hAnsiTheme="majorHAnsi" w:cs="Times New Roman"/>
        </w:rPr>
        <w:t xml:space="preserve">. </w:t>
      </w:r>
      <w:r w:rsidR="006C4CFF">
        <w:rPr>
          <w:rFonts w:asciiTheme="majorHAnsi" w:hAnsiTheme="majorHAnsi" w:cs="Times New Roman"/>
        </w:rPr>
        <w:t>This analysis is not able to distinguish when a GP wrote a prescription following consultation with a specialist. A</w:t>
      </w:r>
      <w:r w:rsidRPr="006064B5">
        <w:rPr>
          <w:rFonts w:asciiTheme="majorHAnsi" w:hAnsiTheme="majorHAnsi" w:cs="Times New Roman"/>
        </w:rPr>
        <w:t xml:space="preserve">ripiprazole, asenapine, paliperidone and ziprasidone </w:t>
      </w:r>
      <w:r w:rsidR="00592826">
        <w:rPr>
          <w:rFonts w:asciiTheme="majorHAnsi" w:hAnsiTheme="majorHAnsi" w:cs="Times New Roman"/>
        </w:rPr>
        <w:t xml:space="preserve">were </w:t>
      </w:r>
      <w:r>
        <w:rPr>
          <w:rFonts w:asciiTheme="majorHAnsi" w:hAnsiTheme="majorHAnsi" w:cs="Times New Roman"/>
        </w:rPr>
        <w:t xml:space="preserve">prescribed more often by </w:t>
      </w:r>
      <w:r w:rsidRPr="006064B5">
        <w:rPr>
          <w:rFonts w:asciiTheme="majorHAnsi" w:hAnsiTheme="majorHAnsi" w:cs="Times New Roman"/>
        </w:rPr>
        <w:t xml:space="preserve">psychiatrists </w:t>
      </w:r>
      <w:r>
        <w:rPr>
          <w:rFonts w:asciiTheme="majorHAnsi" w:hAnsiTheme="majorHAnsi" w:cs="Times New Roman"/>
        </w:rPr>
        <w:t>compared to</w:t>
      </w:r>
      <w:r w:rsidRPr="006064B5">
        <w:rPr>
          <w:rFonts w:asciiTheme="majorHAnsi" w:hAnsiTheme="majorHAnsi" w:cs="Times New Roman"/>
        </w:rPr>
        <w:t xml:space="preserve"> the other antipsychotics</w:t>
      </w:r>
      <w:r w:rsidR="006C4CFF">
        <w:rPr>
          <w:rFonts w:asciiTheme="majorHAnsi" w:hAnsiTheme="majorHAnsi" w:cs="Times New Roman"/>
        </w:rPr>
        <w:t xml:space="preserve"> (Figure 14)</w:t>
      </w:r>
      <w:r w:rsidRPr="006064B5">
        <w:rPr>
          <w:rFonts w:asciiTheme="majorHAnsi" w:hAnsiTheme="majorHAnsi" w:cs="Times New Roman"/>
        </w:rPr>
        <w:t>.</w:t>
      </w:r>
    </w:p>
    <w:p w:rsidR="00F27C6B" w:rsidRDefault="00F27C6B" w:rsidP="00F27C6B">
      <w:pPr>
        <w:rPr>
          <w:rFonts w:asciiTheme="majorHAnsi" w:hAnsiTheme="majorHAnsi" w:cs="Times New Roman"/>
        </w:rPr>
      </w:pPr>
    </w:p>
    <w:p w:rsidR="00EF616B" w:rsidRPr="00CE6E93" w:rsidRDefault="00EF616B" w:rsidP="006064B5">
      <w:pPr>
        <w:spacing w:after="0" w:line="280" w:lineRule="atLeast"/>
        <w:rPr>
          <w:rFonts w:asciiTheme="majorHAnsi" w:hAnsiTheme="majorHAnsi"/>
        </w:rPr>
      </w:pPr>
      <w:r w:rsidRPr="00CE6E93">
        <w:rPr>
          <w:rFonts w:asciiTheme="majorHAnsi" w:hAnsiTheme="majorHAnsi" w:cs="Arial"/>
          <w:b/>
          <w:sz w:val="20"/>
          <w:szCs w:val="20"/>
        </w:rPr>
        <w:lastRenderedPageBreak/>
        <w:t xml:space="preserve"> </w:t>
      </w:r>
      <w:r w:rsidR="00F2645B">
        <w:rPr>
          <w:rFonts w:asciiTheme="majorHAnsi" w:hAnsiTheme="majorHAnsi" w:cs="Arial"/>
          <w:b/>
          <w:noProof/>
          <w:sz w:val="20"/>
          <w:szCs w:val="20"/>
          <w:lang w:eastAsia="en-AU"/>
        </w:rPr>
        <w:drawing>
          <wp:inline distT="0" distB="0" distL="0" distR="0" wp14:anchorId="08B97F7E" wp14:editId="4F5CCA62">
            <wp:extent cx="4774789" cy="3111183"/>
            <wp:effectExtent l="0" t="0" r="6985" b="0"/>
            <wp:docPr id="22" name="Picture 22" descr="Prescriber type distribution by original script number for patients who initiated antipsychotic therapy between December 2011 and March 2012 inclusive, with a 12-month no-prior-script period and exactly 9 months follow-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78304" cy="3113473"/>
                    </a:xfrm>
                    <a:prstGeom prst="rect">
                      <a:avLst/>
                    </a:prstGeom>
                    <a:noFill/>
                  </pic:spPr>
                </pic:pic>
              </a:graphicData>
            </a:graphic>
          </wp:inline>
        </w:drawing>
      </w:r>
    </w:p>
    <w:p w:rsidR="00DB0191" w:rsidRPr="00DB0191" w:rsidRDefault="00DB0191" w:rsidP="00DB0191">
      <w:pPr>
        <w:spacing w:after="0" w:line="280" w:lineRule="atLeast"/>
        <w:rPr>
          <w:rFonts w:asciiTheme="majorHAnsi" w:hAnsiTheme="majorHAnsi"/>
          <w:b/>
          <w:sz w:val="20"/>
          <w:szCs w:val="20"/>
        </w:rPr>
      </w:pPr>
      <w:r w:rsidRPr="00DB0191">
        <w:rPr>
          <w:rFonts w:asciiTheme="majorHAnsi" w:hAnsiTheme="majorHAnsi"/>
          <w:b/>
          <w:sz w:val="20"/>
          <w:szCs w:val="20"/>
        </w:rPr>
        <w:t>Figure 1</w:t>
      </w:r>
      <w:r w:rsidR="00F27C6B">
        <w:rPr>
          <w:rFonts w:asciiTheme="majorHAnsi" w:hAnsiTheme="majorHAnsi"/>
          <w:b/>
          <w:sz w:val="20"/>
          <w:szCs w:val="20"/>
        </w:rPr>
        <w:t>4</w:t>
      </w:r>
      <w:r w:rsidRPr="00DB0191">
        <w:rPr>
          <w:rFonts w:asciiTheme="majorHAnsi" w:hAnsiTheme="majorHAnsi"/>
          <w:b/>
          <w:sz w:val="20"/>
          <w:szCs w:val="20"/>
        </w:rPr>
        <w:t xml:space="preserve">: </w:t>
      </w:r>
      <w:r>
        <w:rPr>
          <w:rFonts w:asciiTheme="majorHAnsi" w:hAnsiTheme="majorHAnsi"/>
          <w:b/>
          <w:sz w:val="20"/>
          <w:szCs w:val="20"/>
        </w:rPr>
        <w:t>Prescriber type distribution by original script number</w:t>
      </w:r>
      <w:r w:rsidR="00547375">
        <w:rPr>
          <w:rFonts w:asciiTheme="majorHAnsi" w:hAnsiTheme="majorHAnsi"/>
          <w:b/>
          <w:sz w:val="20"/>
          <w:szCs w:val="20"/>
        </w:rPr>
        <w:t xml:space="preserve"> </w:t>
      </w:r>
      <w:r w:rsidR="00547375" w:rsidRPr="00547375">
        <w:rPr>
          <w:rFonts w:asciiTheme="majorHAnsi" w:hAnsiTheme="majorHAnsi"/>
          <w:b/>
          <w:sz w:val="20"/>
          <w:szCs w:val="20"/>
        </w:rPr>
        <w:t>for patients who initiated AP therapy between December 2011 and March 2012 inclusive, with a 12-month no-prior-script period and exactly 9 months follow-up</w:t>
      </w:r>
    </w:p>
    <w:p w:rsidR="00DB0191" w:rsidRDefault="00547375" w:rsidP="00A57BF3">
      <w:pPr>
        <w:spacing w:after="0" w:line="280" w:lineRule="atLeast"/>
        <w:rPr>
          <w:rFonts w:asciiTheme="majorHAnsi" w:hAnsiTheme="majorHAnsi" w:cs="Times New Roman"/>
          <w:i/>
          <w:sz w:val="20"/>
          <w:szCs w:val="20"/>
        </w:rPr>
      </w:pPr>
      <w:r w:rsidRPr="00547375">
        <w:rPr>
          <w:rFonts w:asciiTheme="majorHAnsi" w:hAnsiTheme="majorHAnsi" w:cs="Times New Roman"/>
          <w:i/>
          <w:sz w:val="20"/>
          <w:szCs w:val="20"/>
        </w:rPr>
        <w:t>Source: Medicare DHS Supplied Prescription Database, accessed January 2013</w:t>
      </w:r>
    </w:p>
    <w:p w:rsidR="00547375" w:rsidRPr="00CE6E93" w:rsidRDefault="00547375" w:rsidP="00A57BF3">
      <w:pPr>
        <w:spacing w:after="0" w:line="280" w:lineRule="atLeast"/>
        <w:rPr>
          <w:rFonts w:asciiTheme="majorHAnsi" w:hAnsiTheme="majorHAnsi"/>
          <w:b/>
        </w:rPr>
      </w:pPr>
    </w:p>
    <w:p w:rsidR="002D6350" w:rsidRPr="00CE6E93" w:rsidRDefault="002D6350" w:rsidP="00A54E6C">
      <w:pPr>
        <w:pStyle w:val="Heading2"/>
      </w:pPr>
      <w:r w:rsidRPr="00CE6E93">
        <w:t>Discussion</w:t>
      </w:r>
    </w:p>
    <w:p w:rsidR="002D6350" w:rsidRPr="00CE6E93" w:rsidRDefault="002D6350" w:rsidP="00A57BF3">
      <w:pPr>
        <w:spacing w:after="0" w:line="280" w:lineRule="atLeast"/>
        <w:rPr>
          <w:rFonts w:asciiTheme="majorHAnsi" w:hAnsiTheme="majorHAnsi"/>
          <w:b/>
        </w:rPr>
      </w:pPr>
    </w:p>
    <w:p w:rsidR="00D57F64" w:rsidRDefault="00044771" w:rsidP="001450C5">
      <w:pPr>
        <w:spacing w:after="0" w:line="280" w:lineRule="atLeast"/>
        <w:jc w:val="both"/>
        <w:rPr>
          <w:rFonts w:asciiTheme="majorHAnsi" w:hAnsiTheme="majorHAnsi"/>
        </w:rPr>
      </w:pPr>
      <w:r w:rsidRPr="00044771">
        <w:rPr>
          <w:rFonts w:asciiTheme="majorHAnsi" w:hAnsiTheme="majorHAnsi"/>
        </w:rPr>
        <w:t>Use of atypical antipsychotics in Australia is growing. The number of scripts supplied has increased by 70% across all age groups over the past 5 years</w:t>
      </w:r>
      <w:r w:rsidR="007720F7">
        <w:rPr>
          <w:rFonts w:asciiTheme="majorHAnsi" w:hAnsiTheme="majorHAnsi"/>
        </w:rPr>
        <w:t>. Use is</w:t>
      </w:r>
      <w:r w:rsidRPr="00044771">
        <w:rPr>
          <w:rFonts w:asciiTheme="majorHAnsi" w:hAnsiTheme="majorHAnsi"/>
        </w:rPr>
        <w:t xml:space="preserve"> increasing in </w:t>
      </w:r>
      <w:r w:rsidR="007720F7">
        <w:rPr>
          <w:rFonts w:asciiTheme="majorHAnsi" w:hAnsiTheme="majorHAnsi"/>
        </w:rPr>
        <w:t xml:space="preserve">adults between 20 and 60 </w:t>
      </w:r>
      <w:r w:rsidR="00C10639">
        <w:rPr>
          <w:rFonts w:asciiTheme="majorHAnsi" w:hAnsiTheme="majorHAnsi"/>
        </w:rPr>
        <w:t>years (</w:t>
      </w:r>
      <w:r w:rsidRPr="00044771">
        <w:rPr>
          <w:rFonts w:asciiTheme="majorHAnsi" w:hAnsiTheme="majorHAnsi"/>
        </w:rPr>
        <w:t>middle aged</w:t>
      </w:r>
      <w:r w:rsidR="00C10639">
        <w:rPr>
          <w:rFonts w:asciiTheme="majorHAnsi" w:hAnsiTheme="majorHAnsi"/>
        </w:rPr>
        <w:t xml:space="preserve"> adults)</w:t>
      </w:r>
      <w:r w:rsidRPr="00044771">
        <w:rPr>
          <w:rFonts w:asciiTheme="majorHAnsi" w:hAnsiTheme="majorHAnsi"/>
        </w:rPr>
        <w:t>. During the same time period, conventional antipsychotic use has remained very steady</w:t>
      </w:r>
      <w:r w:rsidR="00F11204">
        <w:rPr>
          <w:rFonts w:asciiTheme="majorHAnsi" w:hAnsiTheme="majorHAnsi"/>
        </w:rPr>
        <w:t xml:space="preserve"> if not decreased slightly. This trend is consistent with reported use in the USA where the largest rate of growth of atypical antipsychotics was in the 18</w:t>
      </w:r>
      <w:r w:rsidR="00BD2863" w:rsidRPr="00BD2863">
        <w:rPr>
          <w:rFonts w:asciiTheme="majorHAnsi" w:hAnsiTheme="majorHAnsi"/>
        </w:rPr>
        <w:t>–</w:t>
      </w:r>
      <w:r w:rsidR="00F11204">
        <w:rPr>
          <w:rFonts w:asciiTheme="majorHAnsi" w:hAnsiTheme="majorHAnsi"/>
        </w:rPr>
        <w:t>64 year age group</w:t>
      </w:r>
      <w:r w:rsidR="00F11204" w:rsidRPr="00F11204">
        <w:rPr>
          <w:rFonts w:asciiTheme="majorHAnsi" w:hAnsiTheme="majorHAnsi"/>
          <w:vertAlign w:val="superscript"/>
        </w:rPr>
        <w:t>1</w:t>
      </w:r>
      <w:r w:rsidR="00725FE4">
        <w:rPr>
          <w:rFonts w:asciiTheme="majorHAnsi" w:hAnsiTheme="majorHAnsi"/>
          <w:vertAlign w:val="superscript"/>
        </w:rPr>
        <w:t>1</w:t>
      </w:r>
      <w:r w:rsidRPr="00044771">
        <w:rPr>
          <w:rFonts w:asciiTheme="majorHAnsi" w:hAnsiTheme="majorHAnsi"/>
        </w:rPr>
        <w:t xml:space="preserve">. Vitiello </w:t>
      </w:r>
      <w:r w:rsidR="00603F1D">
        <w:rPr>
          <w:rFonts w:asciiTheme="majorHAnsi" w:hAnsiTheme="majorHAnsi"/>
        </w:rPr>
        <w:t>and colleagues</w:t>
      </w:r>
      <w:r w:rsidR="00C10639">
        <w:rPr>
          <w:rFonts w:asciiTheme="majorHAnsi" w:hAnsiTheme="majorHAnsi"/>
        </w:rPr>
        <w:t xml:space="preserve"> (2009)</w:t>
      </w:r>
      <w:r w:rsidRPr="00044771">
        <w:rPr>
          <w:rFonts w:asciiTheme="majorHAnsi" w:hAnsiTheme="majorHAnsi"/>
        </w:rPr>
        <w:t xml:space="preserve"> suggest that factors contributing to increased use of atypical antipsychotics </w:t>
      </w:r>
      <w:r w:rsidR="0083788E">
        <w:rPr>
          <w:rFonts w:asciiTheme="majorHAnsi" w:hAnsiTheme="majorHAnsi"/>
        </w:rPr>
        <w:t xml:space="preserve">in adolescents </w:t>
      </w:r>
      <w:r w:rsidRPr="00044771">
        <w:rPr>
          <w:rFonts w:asciiTheme="majorHAnsi" w:hAnsiTheme="majorHAnsi"/>
        </w:rPr>
        <w:t>may include increased diagnosis, regulatory approvals for expanded uses and a belief that atypical antipsychotics are safer and easier to use th</w:t>
      </w:r>
      <w:r w:rsidR="00DB5AD0">
        <w:rPr>
          <w:rFonts w:asciiTheme="majorHAnsi" w:hAnsiTheme="majorHAnsi"/>
        </w:rPr>
        <w:t>an conventional antipsychotics.</w:t>
      </w:r>
      <w:r w:rsidR="009026DE">
        <w:rPr>
          <w:rFonts w:asciiTheme="majorHAnsi" w:hAnsiTheme="majorHAnsi"/>
          <w:vertAlign w:val="superscript"/>
        </w:rPr>
        <w:t>1</w:t>
      </w:r>
      <w:r w:rsidR="00725FE4">
        <w:rPr>
          <w:rFonts w:asciiTheme="majorHAnsi" w:hAnsiTheme="majorHAnsi"/>
          <w:vertAlign w:val="superscript"/>
        </w:rPr>
        <w:t>2</w:t>
      </w:r>
      <w:r w:rsidR="00DB5AD0">
        <w:rPr>
          <w:rFonts w:asciiTheme="majorHAnsi" w:hAnsiTheme="majorHAnsi"/>
        </w:rPr>
        <w:t xml:space="preserve"> </w:t>
      </w:r>
      <w:r w:rsidR="00C10639">
        <w:rPr>
          <w:rFonts w:asciiTheme="majorHAnsi" w:hAnsiTheme="majorHAnsi"/>
        </w:rPr>
        <w:t>These factors may also contribute to increasing use in middle aged adults.</w:t>
      </w:r>
    </w:p>
    <w:p w:rsidR="00044771" w:rsidRDefault="00044771" w:rsidP="00141869">
      <w:pPr>
        <w:spacing w:after="0" w:line="280" w:lineRule="atLeast"/>
        <w:rPr>
          <w:rFonts w:asciiTheme="majorHAnsi" w:hAnsiTheme="majorHAnsi"/>
        </w:rPr>
      </w:pPr>
    </w:p>
    <w:p w:rsidR="001450C5" w:rsidRDefault="00C10639" w:rsidP="001450C5">
      <w:pPr>
        <w:jc w:val="both"/>
        <w:rPr>
          <w:rFonts w:asciiTheme="majorHAnsi" w:hAnsiTheme="majorHAnsi"/>
        </w:rPr>
      </w:pPr>
      <w:r>
        <w:rPr>
          <w:rFonts w:asciiTheme="majorHAnsi" w:hAnsiTheme="majorHAnsi"/>
        </w:rPr>
        <w:t xml:space="preserve">The analyses above show that at least </w:t>
      </w:r>
      <w:r w:rsidR="00B074D6">
        <w:rPr>
          <w:rFonts w:asciiTheme="majorHAnsi" w:hAnsiTheme="majorHAnsi"/>
        </w:rPr>
        <w:t xml:space="preserve">155,630 </w:t>
      </w:r>
      <w:r w:rsidR="00E65B3B">
        <w:rPr>
          <w:rFonts w:asciiTheme="majorHAnsi" w:hAnsiTheme="majorHAnsi"/>
        </w:rPr>
        <w:t>adults</w:t>
      </w:r>
      <w:r w:rsidR="00E65B3B" w:rsidRPr="00E65B3B">
        <w:t xml:space="preserve"> </w:t>
      </w:r>
      <w:r w:rsidR="00E65B3B">
        <w:rPr>
          <w:rFonts w:asciiTheme="majorHAnsi" w:hAnsiTheme="majorHAnsi"/>
        </w:rPr>
        <w:t>w</w:t>
      </w:r>
      <w:r w:rsidR="00E65B3B" w:rsidRPr="00E65B3B">
        <w:rPr>
          <w:rFonts w:asciiTheme="majorHAnsi" w:hAnsiTheme="majorHAnsi"/>
        </w:rPr>
        <w:t>ithin the 20–59 year age bracket</w:t>
      </w:r>
      <w:r w:rsidR="00F5334A">
        <w:rPr>
          <w:rFonts w:asciiTheme="majorHAnsi" w:hAnsiTheme="majorHAnsi"/>
        </w:rPr>
        <w:t xml:space="preserve"> </w:t>
      </w:r>
      <w:r w:rsidR="00603F1D">
        <w:rPr>
          <w:rFonts w:asciiTheme="majorHAnsi" w:hAnsiTheme="majorHAnsi"/>
        </w:rPr>
        <w:t xml:space="preserve">were </w:t>
      </w:r>
      <w:r w:rsidR="00B074D6">
        <w:rPr>
          <w:rFonts w:asciiTheme="majorHAnsi" w:hAnsiTheme="majorHAnsi"/>
        </w:rPr>
        <w:t xml:space="preserve">taking an </w:t>
      </w:r>
      <w:r w:rsidR="00D57F64" w:rsidRPr="00D57F64">
        <w:rPr>
          <w:rFonts w:asciiTheme="majorHAnsi" w:hAnsiTheme="majorHAnsi"/>
        </w:rPr>
        <w:t>antipsychotic</w:t>
      </w:r>
      <w:r>
        <w:rPr>
          <w:rFonts w:asciiTheme="majorHAnsi" w:hAnsiTheme="majorHAnsi"/>
        </w:rPr>
        <w:t xml:space="preserve"> in 2012</w:t>
      </w:r>
      <w:r w:rsidR="00D57F64" w:rsidRPr="00D57F64">
        <w:rPr>
          <w:rFonts w:asciiTheme="majorHAnsi" w:hAnsiTheme="majorHAnsi"/>
        </w:rPr>
        <w:t xml:space="preserve">. This </w:t>
      </w:r>
      <w:r w:rsidR="00BD46A0">
        <w:rPr>
          <w:rFonts w:asciiTheme="majorHAnsi" w:hAnsiTheme="majorHAnsi"/>
        </w:rPr>
        <w:t>equates to</w:t>
      </w:r>
      <w:r w:rsidR="00481BA1">
        <w:rPr>
          <w:rFonts w:asciiTheme="majorHAnsi" w:hAnsiTheme="majorHAnsi"/>
        </w:rPr>
        <w:t xml:space="preserve"> 1.24</w:t>
      </w:r>
      <w:r w:rsidR="00D57F64" w:rsidRPr="00D57F64">
        <w:rPr>
          <w:rFonts w:asciiTheme="majorHAnsi" w:hAnsiTheme="majorHAnsi"/>
        </w:rPr>
        <w:t>% of the Australian population for this age group.</w:t>
      </w:r>
      <w:r w:rsidR="00B074D6">
        <w:rPr>
          <w:rFonts w:asciiTheme="majorHAnsi" w:hAnsiTheme="majorHAnsi"/>
        </w:rPr>
        <w:t xml:space="preserve"> </w:t>
      </w:r>
      <w:r w:rsidR="001450C5">
        <w:rPr>
          <w:rFonts w:asciiTheme="majorHAnsi" w:hAnsiTheme="majorHAnsi"/>
        </w:rPr>
        <w:t>The numbers of people treated with antipsychotics is considerably higher than expected from estimates of the age prevalence of schizophrenia</w:t>
      </w:r>
      <w:r w:rsidR="009569BD">
        <w:rPr>
          <w:rFonts w:asciiTheme="majorHAnsi" w:hAnsiTheme="majorHAnsi"/>
        </w:rPr>
        <w:t xml:space="preserve"> </w:t>
      </w:r>
      <w:r w:rsidR="009569BD" w:rsidRPr="00606F3C">
        <w:rPr>
          <w:rFonts w:asciiTheme="majorHAnsi" w:hAnsiTheme="majorHAnsi"/>
        </w:rPr>
        <w:t>and BPD</w:t>
      </w:r>
      <w:r w:rsidR="00481BA1" w:rsidRPr="00606F3C">
        <w:rPr>
          <w:rFonts w:asciiTheme="majorHAnsi" w:hAnsiTheme="majorHAnsi"/>
        </w:rPr>
        <w:t>.</w:t>
      </w:r>
      <w:r w:rsidR="00481BA1" w:rsidRPr="00606F3C">
        <w:rPr>
          <w:rFonts w:asciiTheme="majorHAnsi" w:hAnsiTheme="majorHAnsi"/>
          <w:vertAlign w:val="superscript"/>
        </w:rPr>
        <w:t>1</w:t>
      </w:r>
      <w:r w:rsidR="00725FE4">
        <w:rPr>
          <w:rFonts w:asciiTheme="majorHAnsi" w:hAnsiTheme="majorHAnsi"/>
          <w:vertAlign w:val="superscript"/>
        </w:rPr>
        <w:t>3</w:t>
      </w:r>
      <w:r w:rsidR="001450C5">
        <w:rPr>
          <w:rFonts w:asciiTheme="majorHAnsi" w:hAnsiTheme="majorHAnsi"/>
        </w:rPr>
        <w:t xml:space="preserve"> </w:t>
      </w:r>
      <w:r w:rsidR="00481BA1">
        <w:rPr>
          <w:rFonts w:asciiTheme="majorHAnsi" w:hAnsiTheme="majorHAnsi"/>
        </w:rPr>
        <w:t>I</w:t>
      </w:r>
      <w:r w:rsidR="001450C5">
        <w:rPr>
          <w:rFonts w:asciiTheme="majorHAnsi" w:hAnsiTheme="majorHAnsi"/>
        </w:rPr>
        <w:t xml:space="preserve">n a 2002 </w:t>
      </w:r>
      <w:r w:rsidR="00481BA1">
        <w:rPr>
          <w:rFonts w:asciiTheme="majorHAnsi" w:hAnsiTheme="majorHAnsi"/>
        </w:rPr>
        <w:t xml:space="preserve">Access Economics </w:t>
      </w:r>
      <w:r w:rsidR="001450C5">
        <w:rPr>
          <w:rFonts w:asciiTheme="majorHAnsi" w:hAnsiTheme="majorHAnsi"/>
        </w:rPr>
        <w:t>report</w:t>
      </w:r>
      <w:r w:rsidR="00603F1D" w:rsidRPr="00603F1D">
        <w:rPr>
          <w:rFonts w:asciiTheme="majorHAnsi" w:hAnsiTheme="majorHAnsi"/>
          <w:vertAlign w:val="superscript"/>
        </w:rPr>
        <w:t>1</w:t>
      </w:r>
      <w:r w:rsidR="001450C5" w:rsidRPr="00603F1D">
        <w:rPr>
          <w:rFonts w:asciiTheme="majorHAnsi" w:hAnsiTheme="majorHAnsi"/>
          <w:vertAlign w:val="superscript"/>
        </w:rPr>
        <w:t xml:space="preserve"> </w:t>
      </w:r>
      <w:r w:rsidR="00603F1D">
        <w:rPr>
          <w:rFonts w:asciiTheme="majorHAnsi" w:hAnsiTheme="majorHAnsi"/>
        </w:rPr>
        <w:t>th</w:t>
      </w:r>
      <w:r w:rsidR="00481BA1">
        <w:rPr>
          <w:rFonts w:asciiTheme="majorHAnsi" w:hAnsiTheme="majorHAnsi"/>
        </w:rPr>
        <w:t>e expected prevalence was</w:t>
      </w:r>
      <w:r w:rsidR="00C80B1C">
        <w:rPr>
          <w:rFonts w:asciiTheme="majorHAnsi" w:hAnsiTheme="majorHAnsi"/>
        </w:rPr>
        <w:t xml:space="preserve"> 0.18% for schizophrenia (people aged 18</w:t>
      </w:r>
      <w:r w:rsidR="00603F1D">
        <w:rPr>
          <w:rFonts w:asciiTheme="majorHAnsi" w:hAnsiTheme="majorHAnsi"/>
        </w:rPr>
        <w:t>–</w:t>
      </w:r>
      <w:r w:rsidR="00C80B1C">
        <w:rPr>
          <w:rFonts w:asciiTheme="majorHAnsi" w:hAnsiTheme="majorHAnsi"/>
        </w:rPr>
        <w:t>64</w:t>
      </w:r>
      <w:r w:rsidR="00603F1D">
        <w:rPr>
          <w:rFonts w:asciiTheme="majorHAnsi" w:hAnsiTheme="majorHAnsi"/>
        </w:rPr>
        <w:t xml:space="preserve"> years</w:t>
      </w:r>
      <w:r w:rsidR="00C80B1C">
        <w:rPr>
          <w:rFonts w:asciiTheme="majorHAnsi" w:hAnsiTheme="majorHAnsi"/>
        </w:rPr>
        <w:t>)</w:t>
      </w:r>
      <w:r w:rsidR="00603F1D">
        <w:rPr>
          <w:rFonts w:asciiTheme="majorHAnsi" w:hAnsiTheme="majorHAnsi"/>
        </w:rPr>
        <w:t xml:space="preserve"> </w:t>
      </w:r>
      <w:r w:rsidR="00C80B1C">
        <w:rPr>
          <w:rFonts w:asciiTheme="majorHAnsi" w:hAnsiTheme="majorHAnsi"/>
        </w:rPr>
        <w:t>and 0.776% for BPD (people aged 18</w:t>
      </w:r>
      <w:r w:rsidR="00603F1D">
        <w:rPr>
          <w:rFonts w:asciiTheme="majorHAnsi" w:hAnsiTheme="majorHAnsi"/>
        </w:rPr>
        <w:t>–</w:t>
      </w:r>
      <w:r w:rsidR="00C80B1C">
        <w:rPr>
          <w:rFonts w:asciiTheme="majorHAnsi" w:hAnsiTheme="majorHAnsi"/>
        </w:rPr>
        <w:t>55</w:t>
      </w:r>
      <w:r w:rsidR="00603F1D">
        <w:rPr>
          <w:rFonts w:asciiTheme="majorHAnsi" w:hAnsiTheme="majorHAnsi"/>
        </w:rPr>
        <w:t xml:space="preserve"> years</w:t>
      </w:r>
      <w:r w:rsidR="00C80B1C">
        <w:rPr>
          <w:rFonts w:asciiTheme="majorHAnsi" w:hAnsiTheme="majorHAnsi"/>
        </w:rPr>
        <w:t>)</w:t>
      </w:r>
      <w:r w:rsidR="00603F1D">
        <w:rPr>
          <w:rFonts w:asciiTheme="majorHAnsi" w:hAnsiTheme="majorHAnsi"/>
        </w:rPr>
        <w:t xml:space="preserve">. </w:t>
      </w:r>
      <w:r w:rsidR="001450C5">
        <w:rPr>
          <w:rFonts w:asciiTheme="majorHAnsi" w:hAnsiTheme="majorHAnsi"/>
        </w:rPr>
        <w:t>Th</w:t>
      </w:r>
      <w:r w:rsidR="00C80B1C">
        <w:rPr>
          <w:rFonts w:asciiTheme="majorHAnsi" w:hAnsiTheme="majorHAnsi"/>
        </w:rPr>
        <w:t>e Access Economics (2002)</w:t>
      </w:r>
      <w:r w:rsidR="001450C5">
        <w:rPr>
          <w:rFonts w:asciiTheme="majorHAnsi" w:hAnsiTheme="majorHAnsi"/>
        </w:rPr>
        <w:t xml:space="preserve"> report is likely to underestimate the prevalence of schizophrenia to some extent</w:t>
      </w:r>
      <w:r w:rsidR="00C80B1C">
        <w:rPr>
          <w:rFonts w:asciiTheme="majorHAnsi" w:hAnsiTheme="majorHAnsi"/>
        </w:rPr>
        <w:t xml:space="preserve"> as the prevalence of schizophrenia has increased since 2002 (expected to be an increase of 26% in people </w:t>
      </w:r>
      <w:r w:rsidR="005E2C79" w:rsidRPr="00606F3C">
        <w:rPr>
          <w:rFonts w:asciiTheme="majorHAnsi" w:hAnsiTheme="majorHAnsi"/>
        </w:rPr>
        <w:t>45–64</w:t>
      </w:r>
      <w:r w:rsidR="00C80B1C" w:rsidRPr="00606F3C">
        <w:rPr>
          <w:rFonts w:asciiTheme="majorHAnsi" w:hAnsiTheme="majorHAnsi"/>
        </w:rPr>
        <w:t xml:space="preserve"> years</w:t>
      </w:r>
      <w:r w:rsidR="00C80B1C">
        <w:rPr>
          <w:rFonts w:asciiTheme="majorHAnsi" w:hAnsiTheme="majorHAnsi"/>
        </w:rPr>
        <w:t xml:space="preserve"> of age by 2010</w:t>
      </w:r>
      <w:r w:rsidR="00603F1D" w:rsidRPr="00603F1D">
        <w:rPr>
          <w:rFonts w:asciiTheme="majorHAnsi" w:hAnsiTheme="majorHAnsi"/>
          <w:vertAlign w:val="superscript"/>
        </w:rPr>
        <w:t>1</w:t>
      </w:r>
      <w:r w:rsidR="00FA5ADE" w:rsidRPr="00CB3286">
        <w:rPr>
          <w:rFonts w:asciiTheme="majorHAnsi" w:hAnsiTheme="majorHAnsi"/>
        </w:rPr>
        <w:t>)</w:t>
      </w:r>
      <w:r w:rsidR="00FA5ADE">
        <w:rPr>
          <w:rFonts w:asciiTheme="majorHAnsi" w:hAnsiTheme="majorHAnsi"/>
          <w:vertAlign w:val="superscript"/>
        </w:rPr>
        <w:t xml:space="preserve"> </w:t>
      </w:r>
      <w:r w:rsidR="001450C5">
        <w:rPr>
          <w:rFonts w:asciiTheme="majorHAnsi" w:hAnsiTheme="majorHAnsi"/>
        </w:rPr>
        <w:t>and other authors have suggested higher prevalence</w:t>
      </w:r>
      <w:r w:rsidR="00C80B1C">
        <w:rPr>
          <w:rFonts w:asciiTheme="majorHAnsi" w:hAnsiTheme="majorHAnsi"/>
        </w:rPr>
        <w:t xml:space="preserve"> particularl</w:t>
      </w:r>
      <w:r w:rsidR="005A54D5">
        <w:rPr>
          <w:rFonts w:asciiTheme="majorHAnsi" w:hAnsiTheme="majorHAnsi"/>
        </w:rPr>
        <w:t>y in specific population groups</w:t>
      </w:r>
      <w:r w:rsidR="006765E6">
        <w:rPr>
          <w:rFonts w:asciiTheme="majorHAnsi" w:hAnsiTheme="majorHAnsi"/>
          <w:vertAlign w:val="superscript"/>
        </w:rPr>
        <w:t>1</w:t>
      </w:r>
      <w:r w:rsidR="00725FE4">
        <w:rPr>
          <w:rFonts w:asciiTheme="majorHAnsi" w:hAnsiTheme="majorHAnsi"/>
          <w:vertAlign w:val="superscript"/>
        </w:rPr>
        <w:t>4</w:t>
      </w:r>
      <w:r w:rsidR="005A54D5">
        <w:rPr>
          <w:rFonts w:asciiTheme="majorHAnsi" w:hAnsiTheme="majorHAnsi"/>
        </w:rPr>
        <w:t>.</w:t>
      </w:r>
      <w:r w:rsidR="00C80B1C">
        <w:rPr>
          <w:rFonts w:asciiTheme="majorHAnsi" w:hAnsiTheme="majorHAnsi"/>
        </w:rPr>
        <w:t xml:space="preserve"> Overall the numbers using </w:t>
      </w:r>
      <w:r w:rsidR="00631074">
        <w:rPr>
          <w:rFonts w:asciiTheme="majorHAnsi" w:hAnsiTheme="majorHAnsi"/>
        </w:rPr>
        <w:t>antipsychotics</w:t>
      </w:r>
      <w:r w:rsidR="00C80B1C">
        <w:rPr>
          <w:rFonts w:asciiTheme="majorHAnsi" w:hAnsiTheme="majorHAnsi"/>
        </w:rPr>
        <w:t xml:space="preserve"> </w:t>
      </w:r>
      <w:r w:rsidR="00C80B1C">
        <w:rPr>
          <w:rFonts w:asciiTheme="majorHAnsi" w:hAnsiTheme="majorHAnsi"/>
        </w:rPr>
        <w:lastRenderedPageBreak/>
        <w:t>lends weight to use in conditions other than schizophrenia and BPD in people aged between 20 and 60 years of age.</w:t>
      </w:r>
    </w:p>
    <w:p w:rsidR="00C10639" w:rsidRDefault="00C10639" w:rsidP="001450C5">
      <w:pPr>
        <w:jc w:val="both"/>
        <w:rPr>
          <w:rFonts w:asciiTheme="majorHAnsi" w:hAnsiTheme="majorHAnsi"/>
        </w:rPr>
      </w:pPr>
      <w:r>
        <w:rPr>
          <w:rFonts w:asciiTheme="majorHAnsi" w:hAnsiTheme="majorHAnsi"/>
        </w:rPr>
        <w:t>There are different patterns of use in males and females across this age range. Males commence treatment earlier compared to females; however a similar proportion of females initiate each year of age after 40 years, unlike males who show a decline in the proportion initiating.</w:t>
      </w:r>
      <w:r w:rsidR="006E202B">
        <w:rPr>
          <w:rFonts w:asciiTheme="majorHAnsi" w:hAnsiTheme="majorHAnsi"/>
        </w:rPr>
        <w:t xml:space="preserve"> The earlier take up of treatment in males might reflect earlier diagnosis of schizophrenia</w:t>
      </w:r>
      <w:r w:rsidR="005A54D5" w:rsidRPr="005A54D5">
        <w:rPr>
          <w:rFonts w:asciiTheme="majorHAnsi" w:hAnsiTheme="majorHAnsi"/>
          <w:vertAlign w:val="superscript"/>
        </w:rPr>
        <w:t>1</w:t>
      </w:r>
      <w:r w:rsidR="00725FE4">
        <w:rPr>
          <w:rFonts w:asciiTheme="majorHAnsi" w:hAnsiTheme="majorHAnsi"/>
          <w:vertAlign w:val="superscript"/>
        </w:rPr>
        <w:t>5</w:t>
      </w:r>
      <w:r w:rsidR="005A54D5">
        <w:rPr>
          <w:rFonts w:asciiTheme="majorHAnsi" w:hAnsiTheme="majorHAnsi"/>
        </w:rPr>
        <w:t xml:space="preserve"> </w:t>
      </w:r>
      <w:r w:rsidR="006E202B">
        <w:rPr>
          <w:rFonts w:asciiTheme="majorHAnsi" w:hAnsiTheme="majorHAnsi"/>
        </w:rPr>
        <w:t>although the reported gender differences and differences in age of onset between males and females are not completely suppo</w:t>
      </w:r>
      <w:r w:rsidR="005A54D5">
        <w:rPr>
          <w:rFonts w:asciiTheme="majorHAnsi" w:hAnsiTheme="majorHAnsi"/>
        </w:rPr>
        <w:t>rted by epidemiological studies</w:t>
      </w:r>
      <w:r w:rsidR="005A54D5" w:rsidRPr="005A54D5">
        <w:rPr>
          <w:rFonts w:asciiTheme="majorHAnsi" w:hAnsiTheme="majorHAnsi"/>
          <w:vertAlign w:val="superscript"/>
        </w:rPr>
        <w:t>1</w:t>
      </w:r>
      <w:r w:rsidR="00725FE4">
        <w:rPr>
          <w:rFonts w:asciiTheme="majorHAnsi" w:hAnsiTheme="majorHAnsi"/>
          <w:vertAlign w:val="superscript"/>
        </w:rPr>
        <w:t>6</w:t>
      </w:r>
      <w:r w:rsidR="005A54D5">
        <w:rPr>
          <w:rFonts w:asciiTheme="majorHAnsi" w:hAnsiTheme="majorHAnsi"/>
        </w:rPr>
        <w:t xml:space="preserve"> </w:t>
      </w:r>
      <w:r w:rsidR="001450C5">
        <w:rPr>
          <w:rFonts w:asciiTheme="majorHAnsi" w:hAnsiTheme="majorHAnsi"/>
        </w:rPr>
        <w:t>and studies in BPD do not show differ</w:t>
      </w:r>
      <w:r w:rsidR="005A54D5">
        <w:rPr>
          <w:rFonts w:asciiTheme="majorHAnsi" w:hAnsiTheme="majorHAnsi"/>
        </w:rPr>
        <w:t>ences between males and females</w:t>
      </w:r>
      <w:r w:rsidR="005A54D5" w:rsidRPr="005A54D5">
        <w:rPr>
          <w:rFonts w:asciiTheme="majorHAnsi" w:hAnsiTheme="majorHAnsi"/>
          <w:vertAlign w:val="superscript"/>
        </w:rPr>
        <w:t>1</w:t>
      </w:r>
      <w:r w:rsidR="00725FE4">
        <w:rPr>
          <w:rFonts w:asciiTheme="majorHAnsi" w:hAnsiTheme="majorHAnsi"/>
          <w:vertAlign w:val="superscript"/>
        </w:rPr>
        <w:t>5</w:t>
      </w:r>
      <w:r w:rsidR="005A54D5">
        <w:rPr>
          <w:rFonts w:asciiTheme="majorHAnsi" w:hAnsiTheme="majorHAnsi"/>
        </w:rPr>
        <w:t xml:space="preserve">. </w:t>
      </w:r>
      <w:r w:rsidR="001450C5">
        <w:rPr>
          <w:rFonts w:asciiTheme="majorHAnsi" w:hAnsiTheme="majorHAnsi"/>
        </w:rPr>
        <w:t>Studies do support later onset of schizophrenia, af</w:t>
      </w:r>
      <w:r w:rsidR="005A54D5">
        <w:rPr>
          <w:rFonts w:asciiTheme="majorHAnsi" w:hAnsiTheme="majorHAnsi"/>
        </w:rPr>
        <w:t>ter 40 years of age, in females.</w:t>
      </w:r>
      <w:r w:rsidR="005A54D5" w:rsidRPr="005A54D5">
        <w:rPr>
          <w:rFonts w:asciiTheme="majorHAnsi" w:hAnsiTheme="majorHAnsi"/>
          <w:vertAlign w:val="superscript"/>
        </w:rPr>
        <w:t>1</w:t>
      </w:r>
      <w:r w:rsidR="00725FE4">
        <w:rPr>
          <w:rFonts w:asciiTheme="majorHAnsi" w:hAnsiTheme="majorHAnsi"/>
          <w:vertAlign w:val="superscript"/>
        </w:rPr>
        <w:t>5</w:t>
      </w:r>
      <w:r w:rsidR="006765E6">
        <w:rPr>
          <w:rFonts w:asciiTheme="majorHAnsi" w:hAnsiTheme="majorHAnsi"/>
          <w:vertAlign w:val="superscript"/>
        </w:rPr>
        <w:t>,1</w:t>
      </w:r>
      <w:r w:rsidR="00725FE4">
        <w:rPr>
          <w:rFonts w:asciiTheme="majorHAnsi" w:hAnsiTheme="majorHAnsi"/>
          <w:vertAlign w:val="superscript"/>
        </w:rPr>
        <w:t>6</w:t>
      </w:r>
      <w:r w:rsidR="005A54D5">
        <w:rPr>
          <w:rFonts w:asciiTheme="majorHAnsi" w:hAnsiTheme="majorHAnsi"/>
        </w:rPr>
        <w:t xml:space="preserve"> </w:t>
      </w:r>
      <w:r w:rsidR="00E74BF3">
        <w:rPr>
          <w:rFonts w:asciiTheme="majorHAnsi" w:hAnsiTheme="majorHAnsi"/>
        </w:rPr>
        <w:t>This may explain why the initiation of antipsychotics remains steady in females while declining in males after 40 years of age.</w:t>
      </w:r>
    </w:p>
    <w:p w:rsidR="00E11452" w:rsidRDefault="00261BA6" w:rsidP="00640C37">
      <w:pPr>
        <w:spacing w:after="0" w:line="280" w:lineRule="atLeast"/>
        <w:jc w:val="both"/>
        <w:rPr>
          <w:rFonts w:asciiTheme="majorHAnsi" w:hAnsiTheme="majorHAnsi"/>
        </w:rPr>
      </w:pPr>
      <w:r>
        <w:rPr>
          <w:rFonts w:asciiTheme="majorHAnsi" w:hAnsiTheme="majorHAnsi"/>
        </w:rPr>
        <w:t>Q</w:t>
      </w:r>
      <w:r w:rsidR="00141869" w:rsidRPr="00141869">
        <w:rPr>
          <w:rFonts w:asciiTheme="majorHAnsi" w:hAnsiTheme="majorHAnsi"/>
        </w:rPr>
        <w:t>uetiapine use has grown steadily</w:t>
      </w:r>
      <w:r w:rsidR="009D0665">
        <w:rPr>
          <w:rFonts w:asciiTheme="majorHAnsi" w:hAnsiTheme="majorHAnsi"/>
        </w:rPr>
        <w:t xml:space="preserve"> </w:t>
      </w:r>
      <w:r w:rsidR="00E74BF3">
        <w:rPr>
          <w:rFonts w:asciiTheme="majorHAnsi" w:hAnsiTheme="majorHAnsi"/>
        </w:rPr>
        <w:t xml:space="preserve">since listing </w:t>
      </w:r>
      <w:r w:rsidR="009D0665">
        <w:rPr>
          <w:rFonts w:asciiTheme="majorHAnsi" w:hAnsiTheme="majorHAnsi"/>
        </w:rPr>
        <w:t xml:space="preserve">and now exceeds that of olanzapine in </w:t>
      </w:r>
      <w:r w:rsidR="00053C43">
        <w:rPr>
          <w:rFonts w:asciiTheme="majorHAnsi" w:hAnsiTheme="majorHAnsi"/>
        </w:rPr>
        <w:t>adults aged 20–59 years</w:t>
      </w:r>
      <w:r w:rsidR="00E74BF3">
        <w:rPr>
          <w:rFonts w:asciiTheme="majorHAnsi" w:hAnsiTheme="majorHAnsi"/>
        </w:rPr>
        <w:t>.</w:t>
      </w:r>
      <w:r>
        <w:rPr>
          <w:rFonts w:asciiTheme="majorHAnsi" w:hAnsiTheme="majorHAnsi"/>
        </w:rPr>
        <w:t xml:space="preserve"> </w:t>
      </w:r>
      <w:r w:rsidR="00E74BF3">
        <w:rPr>
          <w:rFonts w:asciiTheme="majorHAnsi" w:hAnsiTheme="majorHAnsi"/>
        </w:rPr>
        <w:t>In particular the u</w:t>
      </w:r>
      <w:r w:rsidR="00695EA1">
        <w:rPr>
          <w:rFonts w:asciiTheme="majorHAnsi" w:hAnsiTheme="majorHAnsi"/>
        </w:rPr>
        <w:t xml:space="preserve">se </w:t>
      </w:r>
      <w:r>
        <w:rPr>
          <w:rFonts w:asciiTheme="majorHAnsi" w:hAnsiTheme="majorHAnsi"/>
        </w:rPr>
        <w:t xml:space="preserve">of the 25 mg strength </w:t>
      </w:r>
      <w:r w:rsidR="00817F22">
        <w:rPr>
          <w:rFonts w:asciiTheme="majorHAnsi" w:hAnsiTheme="majorHAnsi"/>
        </w:rPr>
        <w:t>of quetiapi</w:t>
      </w:r>
      <w:r w:rsidR="00FF319A">
        <w:rPr>
          <w:rFonts w:asciiTheme="majorHAnsi" w:hAnsiTheme="majorHAnsi"/>
        </w:rPr>
        <w:t>ne</w:t>
      </w:r>
      <w:r w:rsidR="00817F22">
        <w:rPr>
          <w:rFonts w:asciiTheme="majorHAnsi" w:hAnsiTheme="majorHAnsi"/>
        </w:rPr>
        <w:t xml:space="preserve"> </w:t>
      </w:r>
      <w:r w:rsidR="00E74BF3">
        <w:rPr>
          <w:rFonts w:asciiTheme="majorHAnsi" w:hAnsiTheme="majorHAnsi"/>
        </w:rPr>
        <w:t>was</w:t>
      </w:r>
      <w:r w:rsidR="00695EA1">
        <w:rPr>
          <w:rFonts w:asciiTheme="majorHAnsi" w:hAnsiTheme="majorHAnsi"/>
        </w:rPr>
        <w:t xml:space="preserve"> higher than expe</w:t>
      </w:r>
      <w:r>
        <w:rPr>
          <w:rFonts w:asciiTheme="majorHAnsi" w:hAnsiTheme="majorHAnsi"/>
        </w:rPr>
        <w:t>c</w:t>
      </w:r>
      <w:r w:rsidR="00695EA1">
        <w:rPr>
          <w:rFonts w:asciiTheme="majorHAnsi" w:hAnsiTheme="majorHAnsi"/>
        </w:rPr>
        <w:t>ted</w:t>
      </w:r>
      <w:r w:rsidR="00E74BF3">
        <w:rPr>
          <w:rFonts w:asciiTheme="majorHAnsi" w:hAnsiTheme="majorHAnsi"/>
        </w:rPr>
        <w:t xml:space="preserve"> in the study</w:t>
      </w:r>
      <w:r w:rsidR="00FB06E9" w:rsidRPr="00FB06E9">
        <w:rPr>
          <w:rFonts w:asciiTheme="majorHAnsi" w:hAnsiTheme="majorHAnsi"/>
        </w:rPr>
        <w:t xml:space="preserve">. </w:t>
      </w:r>
      <w:r w:rsidR="00111CAC">
        <w:rPr>
          <w:rFonts w:asciiTheme="majorHAnsi" w:hAnsiTheme="majorHAnsi"/>
        </w:rPr>
        <w:t>As t</w:t>
      </w:r>
      <w:r w:rsidR="00FB06E9" w:rsidRPr="00FB06E9">
        <w:rPr>
          <w:rFonts w:asciiTheme="majorHAnsi" w:hAnsiTheme="majorHAnsi"/>
        </w:rPr>
        <w:t>h</w:t>
      </w:r>
      <w:r w:rsidR="009D0665">
        <w:rPr>
          <w:rFonts w:asciiTheme="majorHAnsi" w:hAnsiTheme="majorHAnsi"/>
        </w:rPr>
        <w:t xml:space="preserve">is </w:t>
      </w:r>
      <w:r w:rsidR="00FB06E9" w:rsidRPr="00FB06E9">
        <w:rPr>
          <w:rFonts w:asciiTheme="majorHAnsi" w:hAnsiTheme="majorHAnsi"/>
        </w:rPr>
        <w:t xml:space="preserve">strength is sub-therapeutic for </w:t>
      </w:r>
      <w:r w:rsidR="009D0665">
        <w:rPr>
          <w:rFonts w:asciiTheme="majorHAnsi" w:hAnsiTheme="majorHAnsi"/>
        </w:rPr>
        <w:t xml:space="preserve">the </w:t>
      </w:r>
      <w:r w:rsidR="00FB06E9" w:rsidRPr="00FB06E9">
        <w:rPr>
          <w:rFonts w:asciiTheme="majorHAnsi" w:hAnsiTheme="majorHAnsi"/>
        </w:rPr>
        <w:t xml:space="preserve">treatment of schizophrenia, </w:t>
      </w:r>
      <w:r w:rsidR="009F09D5">
        <w:rPr>
          <w:rFonts w:asciiTheme="majorHAnsi" w:hAnsiTheme="majorHAnsi"/>
        </w:rPr>
        <w:t>BPD</w:t>
      </w:r>
      <w:r w:rsidR="00FB06E9" w:rsidRPr="00FB06E9">
        <w:rPr>
          <w:rFonts w:asciiTheme="majorHAnsi" w:hAnsiTheme="majorHAnsi"/>
        </w:rPr>
        <w:t xml:space="preserve">, </w:t>
      </w:r>
      <w:r w:rsidR="00817F22">
        <w:rPr>
          <w:rFonts w:asciiTheme="majorHAnsi" w:hAnsiTheme="majorHAnsi"/>
        </w:rPr>
        <w:t xml:space="preserve">GAD </w:t>
      </w:r>
      <w:r w:rsidR="009D0665">
        <w:rPr>
          <w:rFonts w:asciiTheme="majorHAnsi" w:hAnsiTheme="majorHAnsi"/>
        </w:rPr>
        <w:t>and</w:t>
      </w:r>
      <w:r w:rsidR="00FB06E9" w:rsidRPr="00FB06E9">
        <w:rPr>
          <w:rFonts w:asciiTheme="majorHAnsi" w:hAnsiTheme="majorHAnsi"/>
        </w:rPr>
        <w:t xml:space="preserve"> major depression (the latter </w:t>
      </w:r>
      <w:r w:rsidR="00817F22">
        <w:rPr>
          <w:rFonts w:asciiTheme="majorHAnsi" w:hAnsiTheme="majorHAnsi"/>
        </w:rPr>
        <w:t xml:space="preserve">two </w:t>
      </w:r>
      <w:r w:rsidR="00FB06E9" w:rsidRPr="00FB06E9">
        <w:rPr>
          <w:rFonts w:asciiTheme="majorHAnsi" w:hAnsiTheme="majorHAnsi"/>
        </w:rPr>
        <w:t>not being PBS</w:t>
      </w:r>
      <w:r w:rsidR="006064B5">
        <w:rPr>
          <w:rFonts w:asciiTheme="majorHAnsi" w:hAnsiTheme="majorHAnsi"/>
        </w:rPr>
        <w:t>-</w:t>
      </w:r>
      <w:r w:rsidR="00FB06E9" w:rsidRPr="00FB06E9">
        <w:rPr>
          <w:rFonts w:asciiTheme="majorHAnsi" w:hAnsiTheme="majorHAnsi"/>
        </w:rPr>
        <w:t>listed)</w:t>
      </w:r>
      <w:r w:rsidR="00111CAC">
        <w:rPr>
          <w:rFonts w:asciiTheme="majorHAnsi" w:hAnsiTheme="majorHAnsi"/>
        </w:rPr>
        <w:t xml:space="preserve">, </w:t>
      </w:r>
      <w:r w:rsidR="00727B80">
        <w:rPr>
          <w:rFonts w:asciiTheme="majorHAnsi" w:hAnsiTheme="majorHAnsi"/>
        </w:rPr>
        <w:t>this</w:t>
      </w:r>
      <w:r w:rsidR="007C0218" w:rsidRPr="007C0218">
        <w:rPr>
          <w:rFonts w:asciiTheme="majorHAnsi" w:hAnsiTheme="majorHAnsi"/>
        </w:rPr>
        <w:t xml:space="preserve"> may indicate </w:t>
      </w:r>
      <w:r w:rsidR="00E74BF3">
        <w:rPr>
          <w:rFonts w:asciiTheme="majorHAnsi" w:hAnsiTheme="majorHAnsi"/>
        </w:rPr>
        <w:t>some ‘</w:t>
      </w:r>
      <w:r w:rsidR="007C0218" w:rsidRPr="007C0218">
        <w:rPr>
          <w:rFonts w:asciiTheme="majorHAnsi" w:hAnsiTheme="majorHAnsi"/>
        </w:rPr>
        <w:t>off-label</w:t>
      </w:r>
      <w:r w:rsidR="00E74BF3">
        <w:rPr>
          <w:rFonts w:asciiTheme="majorHAnsi" w:hAnsiTheme="majorHAnsi"/>
        </w:rPr>
        <w:t>’</w:t>
      </w:r>
      <w:r w:rsidR="007C0218" w:rsidRPr="007C0218">
        <w:rPr>
          <w:rFonts w:asciiTheme="majorHAnsi" w:hAnsiTheme="majorHAnsi"/>
        </w:rPr>
        <w:t xml:space="preserve"> use for </w:t>
      </w:r>
      <w:r w:rsidR="00A738DE">
        <w:rPr>
          <w:rFonts w:asciiTheme="majorHAnsi" w:hAnsiTheme="majorHAnsi"/>
        </w:rPr>
        <w:t>conditions such as i</w:t>
      </w:r>
      <w:r w:rsidR="007C0218" w:rsidRPr="007C0218">
        <w:rPr>
          <w:rFonts w:asciiTheme="majorHAnsi" w:hAnsiTheme="majorHAnsi"/>
        </w:rPr>
        <w:t>nsomnia where reported doses of quetiapine range from 25–200 mg</w:t>
      </w:r>
      <w:r w:rsidR="00727B80">
        <w:rPr>
          <w:rFonts w:asciiTheme="majorHAnsi" w:hAnsiTheme="majorHAnsi"/>
        </w:rPr>
        <w:t>.</w:t>
      </w:r>
      <w:r w:rsidR="00DB626A" w:rsidRPr="00DB626A">
        <w:rPr>
          <w:vertAlign w:val="superscript"/>
        </w:rPr>
        <w:t>1</w:t>
      </w:r>
      <w:r w:rsidR="00725FE4">
        <w:rPr>
          <w:vertAlign w:val="superscript"/>
        </w:rPr>
        <w:t>7</w:t>
      </w:r>
      <w:r w:rsidR="00DB626A" w:rsidRPr="00DB626A">
        <w:rPr>
          <w:vertAlign w:val="superscript"/>
        </w:rPr>
        <w:t>,1</w:t>
      </w:r>
      <w:r w:rsidR="00725FE4">
        <w:rPr>
          <w:vertAlign w:val="superscript"/>
        </w:rPr>
        <w:t>8</w:t>
      </w:r>
      <w:r w:rsidR="00E74BF3">
        <w:rPr>
          <w:rFonts w:asciiTheme="majorHAnsi" w:hAnsiTheme="majorHAnsi"/>
        </w:rPr>
        <w:t xml:space="preserve"> The frequency of refill of to 60 pack of quetiapine </w:t>
      </w:r>
      <w:r w:rsidR="001568DF">
        <w:rPr>
          <w:rFonts w:asciiTheme="majorHAnsi" w:hAnsiTheme="majorHAnsi"/>
        </w:rPr>
        <w:t>25 mg</w:t>
      </w:r>
      <w:r w:rsidR="00E74BF3">
        <w:rPr>
          <w:rFonts w:asciiTheme="majorHAnsi" w:hAnsiTheme="majorHAnsi"/>
        </w:rPr>
        <w:t xml:space="preserve"> tablets supplied as a single antipsychotic therapy being 60 days provides additional support for use of the </w:t>
      </w:r>
      <w:r w:rsidR="001568DF">
        <w:rPr>
          <w:rFonts w:asciiTheme="majorHAnsi" w:hAnsiTheme="majorHAnsi"/>
        </w:rPr>
        <w:t>25 mg</w:t>
      </w:r>
      <w:r w:rsidR="00E74BF3">
        <w:rPr>
          <w:rFonts w:asciiTheme="majorHAnsi" w:hAnsiTheme="majorHAnsi"/>
        </w:rPr>
        <w:t xml:space="preserve"> once daily in many patients. </w:t>
      </w:r>
      <w:r w:rsidR="00727B80">
        <w:rPr>
          <w:rFonts w:asciiTheme="majorHAnsi" w:hAnsiTheme="majorHAnsi"/>
        </w:rPr>
        <w:t>T</w:t>
      </w:r>
      <w:r w:rsidR="00111CAC">
        <w:rPr>
          <w:rFonts w:asciiTheme="majorHAnsi" w:hAnsiTheme="majorHAnsi"/>
        </w:rPr>
        <w:t xml:space="preserve">here is also </w:t>
      </w:r>
      <w:r w:rsidR="00BC64E8">
        <w:rPr>
          <w:rFonts w:asciiTheme="majorHAnsi" w:hAnsiTheme="majorHAnsi"/>
        </w:rPr>
        <w:t xml:space="preserve">the possibility of </w:t>
      </w:r>
      <w:r w:rsidR="00111CAC">
        <w:rPr>
          <w:rFonts w:asciiTheme="majorHAnsi" w:hAnsiTheme="majorHAnsi"/>
        </w:rPr>
        <w:t>diversion</w:t>
      </w:r>
      <w:r w:rsidR="00727B80">
        <w:rPr>
          <w:rFonts w:asciiTheme="majorHAnsi" w:hAnsiTheme="majorHAnsi"/>
        </w:rPr>
        <w:t>, with p</w:t>
      </w:r>
      <w:r w:rsidR="00727B80" w:rsidRPr="00727B80">
        <w:rPr>
          <w:rFonts w:asciiTheme="majorHAnsi" w:hAnsiTheme="majorHAnsi"/>
        </w:rPr>
        <w:t xml:space="preserve">rescription shopping </w:t>
      </w:r>
      <w:r w:rsidR="00BC64E8">
        <w:rPr>
          <w:rFonts w:asciiTheme="majorHAnsi" w:hAnsiTheme="majorHAnsi"/>
        </w:rPr>
        <w:t xml:space="preserve">for this medicine </w:t>
      </w:r>
      <w:r w:rsidR="00727B80" w:rsidRPr="00727B80">
        <w:rPr>
          <w:rFonts w:asciiTheme="majorHAnsi" w:hAnsiTheme="majorHAnsi"/>
        </w:rPr>
        <w:t>becoming increasingly common</w:t>
      </w:r>
      <w:r w:rsidR="007C0218" w:rsidRPr="007C0218">
        <w:rPr>
          <w:rFonts w:asciiTheme="majorHAnsi" w:hAnsiTheme="majorHAnsi"/>
        </w:rPr>
        <w:t>.</w:t>
      </w:r>
      <w:r w:rsidR="00DB626A" w:rsidRPr="00DB626A">
        <w:rPr>
          <w:rFonts w:asciiTheme="majorHAnsi" w:hAnsiTheme="majorHAnsi"/>
          <w:vertAlign w:val="superscript"/>
        </w:rPr>
        <w:t>1</w:t>
      </w:r>
      <w:r w:rsidR="00725FE4">
        <w:rPr>
          <w:rFonts w:asciiTheme="majorHAnsi" w:hAnsiTheme="majorHAnsi"/>
          <w:vertAlign w:val="superscript"/>
        </w:rPr>
        <w:t>9</w:t>
      </w:r>
      <w:r w:rsidR="00DB626A" w:rsidRPr="00DB626A">
        <w:rPr>
          <w:rFonts w:asciiTheme="majorHAnsi" w:hAnsiTheme="majorHAnsi"/>
          <w:vertAlign w:val="superscript"/>
        </w:rPr>
        <w:t>,</w:t>
      </w:r>
      <w:r w:rsidR="00725FE4">
        <w:rPr>
          <w:rFonts w:asciiTheme="majorHAnsi" w:hAnsiTheme="majorHAnsi"/>
          <w:vertAlign w:val="superscript"/>
        </w:rPr>
        <w:t>20</w:t>
      </w:r>
    </w:p>
    <w:p w:rsidR="00E11452" w:rsidRDefault="00E11452" w:rsidP="007C0218">
      <w:pPr>
        <w:spacing w:after="0" w:line="280" w:lineRule="atLeast"/>
        <w:rPr>
          <w:rFonts w:asciiTheme="majorHAnsi" w:hAnsiTheme="majorHAnsi"/>
        </w:rPr>
      </w:pPr>
    </w:p>
    <w:p w:rsidR="00EB3175" w:rsidRDefault="00EB3175" w:rsidP="00C44A94">
      <w:pPr>
        <w:spacing w:after="0" w:line="280" w:lineRule="atLeast"/>
        <w:jc w:val="both"/>
        <w:rPr>
          <w:rFonts w:asciiTheme="majorHAnsi" w:hAnsiTheme="majorHAnsi"/>
        </w:rPr>
      </w:pPr>
      <w:r w:rsidRPr="00EB3175">
        <w:rPr>
          <w:rFonts w:asciiTheme="majorHAnsi" w:hAnsiTheme="majorHAnsi"/>
        </w:rPr>
        <w:t>The analyses showed that the peak time for commencement of any atypical antipsychotic was for patients aged between 35–45 years. The peak age of onset for schizophrenia and BPD is in mid-late adolescence and the twenties; onset in the 30s and 40s does occur, but is less likely. In Australia, the median age of onset for depression occurs in the mid-30s, and some anxiety disorders such as panic disorder and GAD also first present around this age.</w:t>
      </w:r>
      <w:r w:rsidR="009026DE" w:rsidRPr="00725FE4">
        <w:rPr>
          <w:rFonts w:asciiTheme="majorHAnsi" w:hAnsiTheme="majorHAnsi"/>
          <w:vertAlign w:val="superscript"/>
        </w:rPr>
        <w:t>2</w:t>
      </w:r>
      <w:r w:rsidR="00725FE4" w:rsidRPr="00725FE4">
        <w:rPr>
          <w:rFonts w:asciiTheme="majorHAnsi" w:hAnsiTheme="majorHAnsi"/>
          <w:vertAlign w:val="superscript"/>
        </w:rPr>
        <w:t>1</w:t>
      </w:r>
      <w:r w:rsidR="009026DE" w:rsidRPr="00725FE4">
        <w:rPr>
          <w:rFonts w:asciiTheme="majorHAnsi" w:hAnsiTheme="majorHAnsi"/>
          <w:vertAlign w:val="superscript"/>
        </w:rPr>
        <w:t>,2</w:t>
      </w:r>
      <w:r w:rsidR="00725FE4" w:rsidRPr="00725FE4">
        <w:rPr>
          <w:rFonts w:asciiTheme="majorHAnsi" w:hAnsiTheme="majorHAnsi"/>
          <w:vertAlign w:val="superscript"/>
        </w:rPr>
        <w:t>2</w:t>
      </w:r>
      <w:r w:rsidR="00725FE4">
        <w:rPr>
          <w:rFonts w:asciiTheme="majorHAnsi" w:hAnsiTheme="majorHAnsi"/>
        </w:rPr>
        <w:t xml:space="preserve"> </w:t>
      </w:r>
      <w:r w:rsidRPr="00EB3175">
        <w:rPr>
          <w:rFonts w:asciiTheme="majorHAnsi" w:hAnsiTheme="majorHAnsi"/>
        </w:rPr>
        <w:t>A peak at 35–45 years, suggests the possibility that at least some of this use may be for depression or for an anxiety disorder.</w:t>
      </w:r>
      <w:r w:rsidR="009026DE" w:rsidRPr="009026DE">
        <w:rPr>
          <w:rFonts w:asciiTheme="majorHAnsi" w:hAnsiTheme="majorHAnsi"/>
          <w:vertAlign w:val="superscript"/>
        </w:rPr>
        <w:t>2</w:t>
      </w:r>
      <w:r w:rsidR="00725FE4">
        <w:rPr>
          <w:rFonts w:asciiTheme="majorHAnsi" w:hAnsiTheme="majorHAnsi"/>
          <w:vertAlign w:val="superscript"/>
        </w:rPr>
        <w:t>1</w:t>
      </w:r>
      <w:r w:rsidR="009026DE">
        <w:rPr>
          <w:rFonts w:asciiTheme="majorHAnsi" w:hAnsiTheme="majorHAnsi"/>
        </w:rPr>
        <w:t xml:space="preserve"> </w:t>
      </w:r>
    </w:p>
    <w:p w:rsidR="00EB3175" w:rsidRDefault="00EB3175" w:rsidP="00C44A94">
      <w:pPr>
        <w:spacing w:after="0" w:line="280" w:lineRule="atLeast"/>
        <w:jc w:val="both"/>
        <w:rPr>
          <w:rFonts w:asciiTheme="majorHAnsi" w:hAnsiTheme="majorHAnsi"/>
        </w:rPr>
      </w:pPr>
    </w:p>
    <w:p w:rsidR="00030B97" w:rsidRDefault="00E74BF3" w:rsidP="00030B97">
      <w:pPr>
        <w:spacing w:after="0" w:line="280" w:lineRule="atLeast"/>
        <w:jc w:val="both"/>
        <w:rPr>
          <w:rFonts w:asciiTheme="majorHAnsi" w:hAnsiTheme="majorHAnsi"/>
        </w:rPr>
      </w:pPr>
      <w:r>
        <w:rPr>
          <w:rFonts w:asciiTheme="majorHAnsi" w:hAnsiTheme="majorHAnsi"/>
        </w:rPr>
        <w:t>The co</w:t>
      </w:r>
      <w:r w:rsidR="00C44A94">
        <w:rPr>
          <w:rFonts w:asciiTheme="majorHAnsi" w:hAnsiTheme="majorHAnsi"/>
        </w:rPr>
        <w:t>-</w:t>
      </w:r>
      <w:r>
        <w:rPr>
          <w:rFonts w:asciiTheme="majorHAnsi" w:hAnsiTheme="majorHAnsi"/>
        </w:rPr>
        <w:t>administration and sequential treatment regimen analyses show a number of different patterns of treatment. Co</w:t>
      </w:r>
      <w:r w:rsidR="00C44A94">
        <w:rPr>
          <w:rFonts w:asciiTheme="majorHAnsi" w:hAnsiTheme="majorHAnsi"/>
        </w:rPr>
        <w:t>-</w:t>
      </w:r>
      <w:r>
        <w:rPr>
          <w:rFonts w:asciiTheme="majorHAnsi" w:hAnsiTheme="majorHAnsi"/>
        </w:rPr>
        <w:t xml:space="preserve">administration of an antipsychotic and an antidepressant is relatively common and increases with age. While quetiapine and </w:t>
      </w:r>
      <w:r w:rsidR="007C1AD6">
        <w:rPr>
          <w:rFonts w:asciiTheme="majorHAnsi" w:hAnsiTheme="majorHAnsi"/>
        </w:rPr>
        <w:t xml:space="preserve">an </w:t>
      </w:r>
      <w:r>
        <w:rPr>
          <w:rFonts w:asciiTheme="majorHAnsi" w:hAnsiTheme="majorHAnsi"/>
        </w:rPr>
        <w:t>antidepressant is the most common combination</w:t>
      </w:r>
      <w:r w:rsidR="00E0759F">
        <w:rPr>
          <w:rFonts w:asciiTheme="majorHAnsi" w:hAnsiTheme="majorHAnsi"/>
        </w:rPr>
        <w:t>,</w:t>
      </w:r>
      <w:r>
        <w:rPr>
          <w:rFonts w:asciiTheme="majorHAnsi" w:hAnsiTheme="majorHAnsi"/>
        </w:rPr>
        <w:t xml:space="preserve"> other </w:t>
      </w:r>
      <w:r w:rsidR="00C44A94">
        <w:rPr>
          <w:rFonts w:asciiTheme="majorHAnsi" w:hAnsiTheme="majorHAnsi"/>
        </w:rPr>
        <w:t>antipsychotics</w:t>
      </w:r>
      <w:r>
        <w:rPr>
          <w:rFonts w:asciiTheme="majorHAnsi" w:hAnsiTheme="majorHAnsi"/>
        </w:rPr>
        <w:t xml:space="preserve"> are also prescribed in combination with antidepressants and the extent </w:t>
      </w:r>
      <w:r w:rsidR="00C44A94">
        <w:rPr>
          <w:rFonts w:asciiTheme="majorHAnsi" w:hAnsiTheme="majorHAnsi"/>
        </w:rPr>
        <w:t xml:space="preserve">of </w:t>
      </w:r>
      <w:r w:rsidR="00BF16FB">
        <w:rPr>
          <w:rFonts w:asciiTheme="majorHAnsi" w:hAnsiTheme="majorHAnsi"/>
        </w:rPr>
        <w:t xml:space="preserve">use of </w:t>
      </w:r>
      <w:r w:rsidR="00C44A94">
        <w:rPr>
          <w:rFonts w:asciiTheme="majorHAnsi" w:hAnsiTheme="majorHAnsi"/>
        </w:rPr>
        <w:t>antidepressant</w:t>
      </w:r>
      <w:r w:rsidR="00BF16FB">
        <w:rPr>
          <w:rFonts w:asciiTheme="majorHAnsi" w:hAnsiTheme="majorHAnsi"/>
        </w:rPr>
        <w:t>s</w:t>
      </w:r>
      <w:r w:rsidR="00C44A94">
        <w:rPr>
          <w:rFonts w:asciiTheme="majorHAnsi" w:hAnsiTheme="majorHAnsi"/>
        </w:rPr>
        <w:t xml:space="preserve"> </w:t>
      </w:r>
      <w:r>
        <w:rPr>
          <w:rFonts w:asciiTheme="majorHAnsi" w:hAnsiTheme="majorHAnsi"/>
        </w:rPr>
        <w:t xml:space="preserve">with </w:t>
      </w:r>
      <w:r w:rsidR="00C44A94">
        <w:rPr>
          <w:rFonts w:asciiTheme="majorHAnsi" w:hAnsiTheme="majorHAnsi"/>
        </w:rPr>
        <w:t xml:space="preserve">antipsychotic medicines </w:t>
      </w:r>
      <w:r>
        <w:rPr>
          <w:rFonts w:asciiTheme="majorHAnsi" w:hAnsiTheme="majorHAnsi"/>
        </w:rPr>
        <w:t>might demonstrate a common therapy</w:t>
      </w:r>
      <w:r w:rsidR="00C44A94">
        <w:rPr>
          <w:rFonts w:asciiTheme="majorHAnsi" w:hAnsiTheme="majorHAnsi"/>
        </w:rPr>
        <w:t>, albeit one that has not been considered by PBAC for treatment of either schizophrenia or BPD.</w:t>
      </w:r>
      <w:r>
        <w:rPr>
          <w:rFonts w:asciiTheme="majorHAnsi" w:hAnsiTheme="majorHAnsi"/>
        </w:rPr>
        <w:t xml:space="preserve"> </w:t>
      </w:r>
      <w:r w:rsidR="00030B97">
        <w:rPr>
          <w:rFonts w:asciiTheme="majorHAnsi" w:hAnsiTheme="majorHAnsi"/>
        </w:rPr>
        <w:t>T</w:t>
      </w:r>
      <w:r w:rsidR="00030B97" w:rsidRPr="00EB3175">
        <w:rPr>
          <w:rFonts w:asciiTheme="majorHAnsi" w:hAnsiTheme="majorHAnsi"/>
        </w:rPr>
        <w:t>here is growing evidence to support the off-label use of antipsychotics to augment antidepressant therapy in patients with antidepressant refractory depression.</w:t>
      </w:r>
      <w:r w:rsidR="009026DE" w:rsidRPr="009026DE">
        <w:rPr>
          <w:rFonts w:asciiTheme="majorHAnsi" w:hAnsiTheme="majorHAnsi"/>
          <w:vertAlign w:val="superscript"/>
        </w:rPr>
        <w:t>2</w:t>
      </w:r>
      <w:r w:rsidR="00725FE4">
        <w:rPr>
          <w:rFonts w:asciiTheme="majorHAnsi" w:hAnsiTheme="majorHAnsi"/>
          <w:vertAlign w:val="superscript"/>
        </w:rPr>
        <w:t>1</w:t>
      </w:r>
      <w:r w:rsidR="009026DE" w:rsidRPr="009026DE">
        <w:rPr>
          <w:rFonts w:asciiTheme="majorHAnsi" w:hAnsiTheme="majorHAnsi"/>
          <w:vertAlign w:val="superscript"/>
        </w:rPr>
        <w:t>,2</w:t>
      </w:r>
      <w:r w:rsidR="00725FE4">
        <w:rPr>
          <w:rFonts w:asciiTheme="majorHAnsi" w:hAnsiTheme="majorHAnsi"/>
          <w:vertAlign w:val="superscript"/>
        </w:rPr>
        <w:t>3</w:t>
      </w:r>
      <w:r w:rsidR="00030B97">
        <w:rPr>
          <w:rFonts w:asciiTheme="majorHAnsi" w:hAnsiTheme="majorHAnsi"/>
        </w:rPr>
        <w:t xml:space="preserve"> The study shows </w:t>
      </w:r>
      <w:r w:rsidR="00030B97" w:rsidRPr="00EB3175">
        <w:rPr>
          <w:rFonts w:asciiTheme="majorHAnsi" w:hAnsiTheme="majorHAnsi"/>
        </w:rPr>
        <w:t xml:space="preserve">co-administration of an antipsychotic with an antidepressant </w:t>
      </w:r>
      <w:r w:rsidR="00030B97">
        <w:rPr>
          <w:rFonts w:asciiTheme="majorHAnsi" w:hAnsiTheme="majorHAnsi"/>
        </w:rPr>
        <w:t xml:space="preserve">becomes </w:t>
      </w:r>
      <w:r w:rsidR="00030B97" w:rsidRPr="00EB3175">
        <w:rPr>
          <w:rFonts w:asciiTheme="majorHAnsi" w:hAnsiTheme="majorHAnsi"/>
        </w:rPr>
        <w:t xml:space="preserve">more common </w:t>
      </w:r>
      <w:r w:rsidR="00030B97">
        <w:rPr>
          <w:rFonts w:asciiTheme="majorHAnsi" w:hAnsiTheme="majorHAnsi"/>
        </w:rPr>
        <w:t>with older age and this may indicate</w:t>
      </w:r>
      <w:r w:rsidR="00030B97" w:rsidRPr="00EB3175">
        <w:rPr>
          <w:rFonts w:asciiTheme="majorHAnsi" w:hAnsiTheme="majorHAnsi"/>
        </w:rPr>
        <w:t xml:space="preserve"> some use in depression (perhaps comorbid with anxiety and /or insomnia).</w:t>
      </w:r>
      <w:r w:rsidR="009026DE" w:rsidRPr="009026DE">
        <w:rPr>
          <w:rFonts w:asciiTheme="majorHAnsi" w:hAnsiTheme="majorHAnsi"/>
          <w:vertAlign w:val="superscript"/>
        </w:rPr>
        <w:t>2</w:t>
      </w:r>
      <w:r w:rsidR="00725FE4">
        <w:rPr>
          <w:rFonts w:asciiTheme="majorHAnsi" w:hAnsiTheme="majorHAnsi"/>
          <w:vertAlign w:val="superscript"/>
        </w:rPr>
        <w:t>1</w:t>
      </w:r>
      <w:r w:rsidR="00030B97" w:rsidRPr="00EB3175">
        <w:rPr>
          <w:rFonts w:asciiTheme="majorHAnsi" w:hAnsiTheme="majorHAnsi"/>
        </w:rPr>
        <w:t xml:space="preserve"> </w:t>
      </w:r>
    </w:p>
    <w:p w:rsidR="00F152BD" w:rsidRDefault="00F152BD" w:rsidP="00C44A94">
      <w:pPr>
        <w:spacing w:after="0" w:line="280" w:lineRule="atLeast"/>
        <w:jc w:val="both"/>
        <w:rPr>
          <w:rFonts w:asciiTheme="majorHAnsi" w:hAnsiTheme="majorHAnsi"/>
        </w:rPr>
      </w:pPr>
    </w:p>
    <w:p w:rsidR="00F152BD" w:rsidRDefault="00F26C61" w:rsidP="00C44A94">
      <w:pPr>
        <w:spacing w:after="0" w:line="280" w:lineRule="atLeast"/>
        <w:jc w:val="both"/>
        <w:rPr>
          <w:rFonts w:asciiTheme="majorHAnsi" w:hAnsiTheme="majorHAnsi"/>
        </w:rPr>
      </w:pPr>
      <w:r>
        <w:rPr>
          <w:rFonts w:asciiTheme="majorHAnsi" w:hAnsiTheme="majorHAnsi"/>
        </w:rPr>
        <w:lastRenderedPageBreak/>
        <w:t>Prescribers in General Practice may receive tacit encouragement to prescribe antipsychotics in a number of non-subsidised indications. Both reported studies</w:t>
      </w:r>
      <w:r w:rsidR="009026DE">
        <w:rPr>
          <w:rFonts w:asciiTheme="majorHAnsi" w:hAnsiTheme="majorHAnsi"/>
        </w:rPr>
        <w:t>,</w:t>
      </w:r>
      <w:r>
        <w:rPr>
          <w:rFonts w:asciiTheme="majorHAnsi" w:hAnsiTheme="majorHAnsi"/>
        </w:rPr>
        <w:t xml:space="preserve"> consultation with psychiatrists, current practices by mental health crisis teams and concerns about harms associated with long term use of benzodiazepines contribute to increasing acceptance of low dose antipsychotics such as quetiapine, in particular, as a drug of choice in spite of a lack of good quality evid</w:t>
      </w:r>
      <w:r w:rsidR="00943966">
        <w:rPr>
          <w:rFonts w:asciiTheme="majorHAnsi" w:hAnsiTheme="majorHAnsi"/>
        </w:rPr>
        <w:t>ence in many of the conditions</w:t>
      </w:r>
      <w:r>
        <w:rPr>
          <w:rFonts w:asciiTheme="majorHAnsi" w:hAnsiTheme="majorHAnsi"/>
        </w:rPr>
        <w:t>.</w:t>
      </w:r>
      <w:r w:rsidR="009026DE" w:rsidRPr="009026DE">
        <w:rPr>
          <w:rFonts w:asciiTheme="majorHAnsi" w:hAnsiTheme="majorHAnsi"/>
          <w:vertAlign w:val="superscript"/>
        </w:rPr>
        <w:t>2</w:t>
      </w:r>
      <w:r w:rsidR="00725FE4">
        <w:rPr>
          <w:rFonts w:asciiTheme="majorHAnsi" w:hAnsiTheme="majorHAnsi"/>
          <w:vertAlign w:val="superscript"/>
        </w:rPr>
        <w:t>4</w:t>
      </w:r>
      <w:r w:rsidR="009026DE" w:rsidRPr="009026DE">
        <w:rPr>
          <w:rFonts w:asciiTheme="majorHAnsi" w:hAnsiTheme="majorHAnsi"/>
          <w:vertAlign w:val="superscript"/>
        </w:rPr>
        <w:t>,2</w:t>
      </w:r>
      <w:r w:rsidR="00725FE4">
        <w:rPr>
          <w:rFonts w:asciiTheme="majorHAnsi" w:hAnsiTheme="majorHAnsi"/>
          <w:vertAlign w:val="superscript"/>
        </w:rPr>
        <w:t>5</w:t>
      </w:r>
    </w:p>
    <w:p w:rsidR="00EB3175" w:rsidRDefault="00EB3175" w:rsidP="00C44A94">
      <w:pPr>
        <w:spacing w:after="0" w:line="280" w:lineRule="atLeast"/>
        <w:jc w:val="both"/>
        <w:rPr>
          <w:rFonts w:asciiTheme="majorHAnsi" w:hAnsiTheme="majorHAnsi"/>
        </w:rPr>
      </w:pPr>
    </w:p>
    <w:p w:rsidR="00E74BF3" w:rsidRPr="00A51D3C" w:rsidRDefault="00F152BD" w:rsidP="00C44A94">
      <w:pPr>
        <w:spacing w:after="0" w:line="280" w:lineRule="atLeast"/>
        <w:jc w:val="both"/>
        <w:rPr>
          <w:rFonts w:asciiTheme="majorHAnsi" w:hAnsiTheme="majorHAnsi"/>
        </w:rPr>
      </w:pPr>
      <w:r>
        <w:rPr>
          <w:rFonts w:asciiTheme="majorHAnsi" w:hAnsiTheme="majorHAnsi"/>
        </w:rPr>
        <w:t>T</w:t>
      </w:r>
      <w:r w:rsidR="00E74BF3">
        <w:rPr>
          <w:rFonts w:asciiTheme="majorHAnsi" w:hAnsiTheme="majorHAnsi"/>
        </w:rPr>
        <w:t xml:space="preserve">he use of quetiapine </w:t>
      </w:r>
      <w:r w:rsidR="001568DF">
        <w:rPr>
          <w:rFonts w:asciiTheme="majorHAnsi" w:hAnsiTheme="majorHAnsi"/>
        </w:rPr>
        <w:t>25 mg</w:t>
      </w:r>
      <w:r w:rsidR="00E74BF3">
        <w:rPr>
          <w:rFonts w:asciiTheme="majorHAnsi" w:hAnsiTheme="majorHAnsi"/>
        </w:rPr>
        <w:t xml:space="preserve"> as the only strength of any antipsychotic with an antidepressant</w:t>
      </w:r>
      <w:r w:rsidR="00C44A94">
        <w:rPr>
          <w:rFonts w:asciiTheme="majorHAnsi" w:hAnsiTheme="majorHAnsi"/>
        </w:rPr>
        <w:t xml:space="preserve"> is more difficult to explain. The proportion of people receiving quetiapine as a single antipsychotic peaks at 35 years of age then appears to decrease while olanzapine as the sole antipsychotic increases in patients after 35 years. This implies differences in prescribing choices and patient selection between olanzapine and quetiapine to some extent. Alexander </w:t>
      </w:r>
      <w:r w:rsidR="00DB626A">
        <w:rPr>
          <w:rFonts w:asciiTheme="majorHAnsi" w:hAnsiTheme="majorHAnsi"/>
        </w:rPr>
        <w:t>and colleagues</w:t>
      </w:r>
      <w:r w:rsidR="00C44A94">
        <w:rPr>
          <w:rFonts w:asciiTheme="majorHAnsi" w:hAnsiTheme="majorHAnsi"/>
        </w:rPr>
        <w:t xml:space="preserve"> (2011) report </w:t>
      </w:r>
      <w:r w:rsidR="00BC505B">
        <w:rPr>
          <w:rFonts w:asciiTheme="majorHAnsi" w:hAnsiTheme="majorHAnsi"/>
        </w:rPr>
        <w:t xml:space="preserve">that </w:t>
      </w:r>
      <w:r w:rsidR="00BC505B" w:rsidRPr="00A51D3C">
        <w:rPr>
          <w:rFonts w:asciiTheme="majorHAnsi" w:hAnsiTheme="majorHAnsi"/>
        </w:rPr>
        <w:t xml:space="preserve">in </w:t>
      </w:r>
      <w:r w:rsidR="00217C5F" w:rsidRPr="00A51D3C">
        <w:rPr>
          <w:rFonts w:asciiTheme="majorHAnsi" w:hAnsiTheme="majorHAnsi"/>
        </w:rPr>
        <w:t>54</w:t>
      </w:r>
      <w:r w:rsidR="00BC505B" w:rsidRPr="00A51D3C">
        <w:rPr>
          <w:rFonts w:asciiTheme="majorHAnsi" w:hAnsiTheme="majorHAnsi"/>
        </w:rPr>
        <w:t>%</w:t>
      </w:r>
      <w:r w:rsidR="00BC505B">
        <w:rPr>
          <w:rFonts w:asciiTheme="majorHAnsi" w:hAnsiTheme="majorHAnsi"/>
        </w:rPr>
        <w:t xml:space="preserve"> of encounters</w:t>
      </w:r>
      <w:r w:rsidR="00F11204">
        <w:rPr>
          <w:rFonts w:asciiTheme="majorHAnsi" w:hAnsiTheme="majorHAnsi"/>
        </w:rPr>
        <w:t xml:space="preserve"> (all ages) involving an antipsychotic</w:t>
      </w:r>
      <w:r w:rsidR="00BC505B">
        <w:rPr>
          <w:rFonts w:asciiTheme="majorHAnsi" w:hAnsiTheme="majorHAnsi"/>
        </w:rPr>
        <w:t xml:space="preserve"> in </w:t>
      </w:r>
      <w:r w:rsidR="007C1AD6">
        <w:rPr>
          <w:rFonts w:asciiTheme="majorHAnsi" w:hAnsiTheme="majorHAnsi"/>
        </w:rPr>
        <w:t>a</w:t>
      </w:r>
      <w:r w:rsidR="00BC505B">
        <w:rPr>
          <w:rFonts w:asciiTheme="majorHAnsi" w:hAnsiTheme="majorHAnsi"/>
        </w:rPr>
        <w:t xml:space="preserve"> USA sample</w:t>
      </w:r>
      <w:r w:rsidR="007C1AD6">
        <w:rPr>
          <w:rFonts w:asciiTheme="majorHAnsi" w:hAnsiTheme="majorHAnsi"/>
        </w:rPr>
        <w:t xml:space="preserve"> in 2008</w:t>
      </w:r>
      <w:r w:rsidR="00BC505B">
        <w:rPr>
          <w:rFonts w:asciiTheme="majorHAnsi" w:hAnsiTheme="majorHAnsi"/>
        </w:rPr>
        <w:t xml:space="preserve">, an antipsychotic was prescribed where the reason for prescribing relied on uncertain evidence </w:t>
      </w:r>
      <w:r w:rsidR="00F11204">
        <w:rPr>
          <w:rFonts w:asciiTheme="majorHAnsi" w:hAnsiTheme="majorHAnsi"/>
        </w:rPr>
        <w:t xml:space="preserve">and/or had no </w:t>
      </w:r>
      <w:r w:rsidR="00BF16FB">
        <w:rPr>
          <w:rFonts w:asciiTheme="majorHAnsi" w:hAnsiTheme="majorHAnsi"/>
        </w:rPr>
        <w:t>US Food and Drug Administration (</w:t>
      </w:r>
      <w:r w:rsidR="00F11204">
        <w:rPr>
          <w:rFonts w:asciiTheme="majorHAnsi" w:hAnsiTheme="majorHAnsi"/>
        </w:rPr>
        <w:t>FDA</w:t>
      </w:r>
      <w:r w:rsidR="00BF16FB">
        <w:rPr>
          <w:rFonts w:asciiTheme="majorHAnsi" w:hAnsiTheme="majorHAnsi"/>
        </w:rPr>
        <w:t>)</w:t>
      </w:r>
      <w:r w:rsidR="00F11204">
        <w:rPr>
          <w:rFonts w:asciiTheme="majorHAnsi" w:hAnsiTheme="majorHAnsi"/>
        </w:rPr>
        <w:t xml:space="preserve"> approved indication</w:t>
      </w:r>
      <w:r w:rsidR="00BC505B">
        <w:rPr>
          <w:rFonts w:asciiTheme="majorHAnsi" w:hAnsiTheme="majorHAnsi"/>
        </w:rPr>
        <w:t>.</w:t>
      </w:r>
      <w:r w:rsidR="009026DE">
        <w:rPr>
          <w:rFonts w:asciiTheme="majorHAnsi" w:hAnsiTheme="majorHAnsi"/>
          <w:vertAlign w:val="superscript"/>
        </w:rPr>
        <w:t>1</w:t>
      </w:r>
      <w:r w:rsidR="00725FE4">
        <w:rPr>
          <w:rFonts w:asciiTheme="majorHAnsi" w:hAnsiTheme="majorHAnsi"/>
          <w:vertAlign w:val="superscript"/>
        </w:rPr>
        <w:t>1</w:t>
      </w:r>
      <w:r w:rsidR="00F11204">
        <w:rPr>
          <w:rFonts w:asciiTheme="majorHAnsi" w:hAnsiTheme="majorHAnsi"/>
          <w:vertAlign w:val="superscript"/>
        </w:rPr>
        <w:t xml:space="preserve"> </w:t>
      </w:r>
      <w:r w:rsidR="00F11204" w:rsidRPr="00F11204">
        <w:rPr>
          <w:rFonts w:asciiTheme="majorHAnsi" w:hAnsiTheme="majorHAnsi"/>
        </w:rPr>
        <w:t>When</w:t>
      </w:r>
      <w:r w:rsidR="00BC505B">
        <w:rPr>
          <w:rFonts w:asciiTheme="majorHAnsi" w:hAnsiTheme="majorHAnsi"/>
        </w:rPr>
        <w:t xml:space="preserve"> </w:t>
      </w:r>
      <w:r w:rsidR="00F11204">
        <w:rPr>
          <w:rFonts w:asciiTheme="majorHAnsi" w:hAnsiTheme="majorHAnsi"/>
        </w:rPr>
        <w:t>stratified by age (18</w:t>
      </w:r>
      <w:r w:rsidR="004B1D70">
        <w:rPr>
          <w:rFonts w:asciiTheme="majorHAnsi" w:hAnsiTheme="majorHAnsi"/>
        </w:rPr>
        <w:t>–</w:t>
      </w:r>
      <w:r w:rsidR="00F11204">
        <w:rPr>
          <w:rFonts w:asciiTheme="majorHAnsi" w:hAnsiTheme="majorHAnsi"/>
        </w:rPr>
        <w:t>64</w:t>
      </w:r>
      <w:r w:rsidR="00A51D3C">
        <w:rPr>
          <w:rFonts w:asciiTheme="majorHAnsi" w:hAnsiTheme="majorHAnsi"/>
        </w:rPr>
        <w:t xml:space="preserve"> years</w:t>
      </w:r>
      <w:r w:rsidR="00F11204">
        <w:rPr>
          <w:rFonts w:asciiTheme="majorHAnsi" w:hAnsiTheme="majorHAnsi"/>
        </w:rPr>
        <w:t xml:space="preserve">) this </w:t>
      </w:r>
      <w:r w:rsidR="00A51D3C">
        <w:rPr>
          <w:rFonts w:asciiTheme="majorHAnsi" w:hAnsiTheme="majorHAnsi"/>
        </w:rPr>
        <w:t xml:space="preserve">report found that 50% of reasons for use of atypical antipsychotics was not approved by the FDA and had uncertain evidence to support the claimed benefit. </w:t>
      </w:r>
      <w:r w:rsidR="00AF4E93">
        <w:rPr>
          <w:rFonts w:asciiTheme="majorHAnsi" w:hAnsiTheme="majorHAnsi"/>
        </w:rPr>
        <w:t>A GP practice report provided by Astra Zeneca</w:t>
      </w:r>
      <w:r w:rsidR="00A51D3C">
        <w:rPr>
          <w:rFonts w:asciiTheme="majorHAnsi" w:hAnsiTheme="majorHAnsi"/>
        </w:rPr>
        <w:t>,</w:t>
      </w:r>
      <w:r w:rsidR="00AF4E93">
        <w:rPr>
          <w:rFonts w:asciiTheme="majorHAnsi" w:hAnsiTheme="majorHAnsi"/>
        </w:rPr>
        <w:t xml:space="preserve"> in</w:t>
      </w:r>
      <w:r w:rsidR="00A51D3C">
        <w:rPr>
          <w:rFonts w:asciiTheme="majorHAnsi" w:hAnsiTheme="majorHAnsi"/>
        </w:rPr>
        <w:t xml:space="preserve"> their</w:t>
      </w:r>
      <w:r w:rsidR="00AF4E93">
        <w:rPr>
          <w:rFonts w:asciiTheme="majorHAnsi" w:hAnsiTheme="majorHAnsi"/>
        </w:rPr>
        <w:t xml:space="preserve"> response to the DUSC report</w:t>
      </w:r>
      <w:r w:rsidR="00A51D3C">
        <w:rPr>
          <w:rFonts w:asciiTheme="majorHAnsi" w:hAnsiTheme="majorHAnsi"/>
        </w:rPr>
        <w:t>,</w:t>
      </w:r>
      <w:r w:rsidR="00AF4E93">
        <w:rPr>
          <w:rFonts w:asciiTheme="majorHAnsi" w:hAnsiTheme="majorHAnsi"/>
        </w:rPr>
        <w:t xml:space="preserve"> show</w:t>
      </w:r>
      <w:r w:rsidR="00961B6D">
        <w:rPr>
          <w:rFonts w:asciiTheme="majorHAnsi" w:hAnsiTheme="majorHAnsi"/>
        </w:rPr>
        <w:t>ed similar results</w:t>
      </w:r>
      <w:r w:rsidR="00DB626A">
        <w:rPr>
          <w:rFonts w:asciiTheme="majorHAnsi" w:hAnsiTheme="majorHAnsi"/>
        </w:rPr>
        <w:t>.</w:t>
      </w:r>
      <w:r w:rsidR="00A62FA2" w:rsidRPr="00A62FA2">
        <w:rPr>
          <w:rFonts w:asciiTheme="majorHAnsi" w:hAnsiTheme="majorHAnsi"/>
          <w:vertAlign w:val="superscript"/>
        </w:rPr>
        <w:t>1</w:t>
      </w:r>
      <w:r w:rsidR="00725FE4">
        <w:rPr>
          <w:rFonts w:asciiTheme="majorHAnsi" w:hAnsiTheme="majorHAnsi"/>
          <w:vertAlign w:val="superscript"/>
        </w:rPr>
        <w:t>3</w:t>
      </w:r>
      <w:r w:rsidR="00A51D3C">
        <w:rPr>
          <w:rFonts w:asciiTheme="majorHAnsi" w:hAnsiTheme="majorHAnsi"/>
        </w:rPr>
        <w:t xml:space="preserve"> It is difficult to compare the tw</w:t>
      </w:r>
      <w:r w:rsidR="00F244BC">
        <w:rPr>
          <w:rFonts w:asciiTheme="majorHAnsi" w:hAnsiTheme="majorHAnsi"/>
        </w:rPr>
        <w:t>o studies owing to limitations in collection of reason for prescribing in both studies and sample methods. However</w:t>
      </w:r>
      <w:r>
        <w:rPr>
          <w:rFonts w:asciiTheme="majorHAnsi" w:hAnsiTheme="majorHAnsi"/>
        </w:rPr>
        <w:t>,</w:t>
      </w:r>
      <w:r w:rsidR="00F244BC">
        <w:rPr>
          <w:rFonts w:asciiTheme="majorHAnsi" w:hAnsiTheme="majorHAnsi"/>
        </w:rPr>
        <w:t xml:space="preserve"> the fact of considerable prescribing for reasons other than those subsidised by the Government on the PBS is evident, if difficult to quantify with a high level of confidence without more detailed studies.</w:t>
      </w:r>
    </w:p>
    <w:p w:rsidR="00C44A94" w:rsidRDefault="00C44A94" w:rsidP="007C0218">
      <w:pPr>
        <w:spacing w:after="0" w:line="280" w:lineRule="atLeast"/>
        <w:rPr>
          <w:rFonts w:asciiTheme="majorHAnsi" w:hAnsiTheme="majorHAnsi"/>
        </w:rPr>
      </w:pPr>
    </w:p>
    <w:p w:rsidR="00C44A94" w:rsidRPr="00606F3C" w:rsidRDefault="00E7043C" w:rsidP="00606F3C">
      <w:pPr>
        <w:spacing w:after="0" w:line="280" w:lineRule="atLeast"/>
        <w:jc w:val="both"/>
        <w:rPr>
          <w:rFonts w:asciiTheme="majorHAnsi" w:hAnsiTheme="majorHAnsi"/>
        </w:rPr>
      </w:pPr>
      <w:r w:rsidRPr="00606F3C">
        <w:rPr>
          <w:rFonts w:asciiTheme="majorHAnsi" w:hAnsiTheme="majorHAnsi"/>
        </w:rPr>
        <w:t>The prescriber type analysis (Figure</w:t>
      </w:r>
      <w:r w:rsidR="000D3875" w:rsidRPr="00606F3C">
        <w:rPr>
          <w:rFonts w:asciiTheme="majorHAnsi" w:hAnsiTheme="majorHAnsi"/>
        </w:rPr>
        <w:t>s</w:t>
      </w:r>
      <w:r w:rsidRPr="00606F3C">
        <w:rPr>
          <w:rFonts w:asciiTheme="majorHAnsi" w:hAnsiTheme="majorHAnsi"/>
        </w:rPr>
        <w:t xml:space="preserve"> </w:t>
      </w:r>
      <w:r w:rsidR="00B40E20" w:rsidRPr="00606F3C">
        <w:rPr>
          <w:rFonts w:asciiTheme="majorHAnsi" w:hAnsiTheme="majorHAnsi"/>
        </w:rPr>
        <w:t>1</w:t>
      </w:r>
      <w:r w:rsidR="00E74BF3" w:rsidRPr="00606F3C">
        <w:rPr>
          <w:rFonts w:asciiTheme="majorHAnsi" w:hAnsiTheme="majorHAnsi"/>
        </w:rPr>
        <w:t>3</w:t>
      </w:r>
      <w:r w:rsidR="000D3875" w:rsidRPr="00606F3C">
        <w:rPr>
          <w:rFonts w:asciiTheme="majorHAnsi" w:hAnsiTheme="majorHAnsi"/>
        </w:rPr>
        <w:t xml:space="preserve"> and 1</w:t>
      </w:r>
      <w:r w:rsidR="00E74BF3" w:rsidRPr="00606F3C">
        <w:rPr>
          <w:rFonts w:asciiTheme="majorHAnsi" w:hAnsiTheme="majorHAnsi"/>
        </w:rPr>
        <w:t>4</w:t>
      </w:r>
      <w:r w:rsidRPr="00606F3C">
        <w:rPr>
          <w:rFonts w:asciiTheme="majorHAnsi" w:hAnsiTheme="majorHAnsi"/>
        </w:rPr>
        <w:t xml:space="preserve">) </w:t>
      </w:r>
      <w:r w:rsidR="00BC64E8" w:rsidRPr="00606F3C">
        <w:rPr>
          <w:rFonts w:asciiTheme="majorHAnsi" w:hAnsiTheme="majorHAnsi"/>
        </w:rPr>
        <w:t>show</w:t>
      </w:r>
      <w:r w:rsidRPr="00606F3C">
        <w:rPr>
          <w:rFonts w:asciiTheme="majorHAnsi" w:hAnsiTheme="majorHAnsi"/>
        </w:rPr>
        <w:t xml:space="preserve">s </w:t>
      </w:r>
      <w:r w:rsidR="00F2241B" w:rsidRPr="00606F3C">
        <w:rPr>
          <w:rFonts w:asciiTheme="majorHAnsi" w:hAnsiTheme="majorHAnsi"/>
        </w:rPr>
        <w:t xml:space="preserve">that </w:t>
      </w:r>
      <w:r w:rsidRPr="00606F3C">
        <w:rPr>
          <w:rFonts w:asciiTheme="majorHAnsi" w:hAnsiTheme="majorHAnsi"/>
        </w:rPr>
        <w:t xml:space="preserve">more </w:t>
      </w:r>
      <w:r w:rsidR="003B2A09">
        <w:rPr>
          <w:rFonts w:asciiTheme="majorHAnsi" w:hAnsiTheme="majorHAnsi"/>
        </w:rPr>
        <w:t xml:space="preserve">first time </w:t>
      </w:r>
      <w:r w:rsidRPr="00606F3C">
        <w:rPr>
          <w:rFonts w:asciiTheme="majorHAnsi" w:hAnsiTheme="majorHAnsi"/>
        </w:rPr>
        <w:t xml:space="preserve">scripts are written </w:t>
      </w:r>
      <w:r w:rsidR="00BC64E8" w:rsidRPr="00606F3C">
        <w:rPr>
          <w:rFonts w:asciiTheme="majorHAnsi" w:hAnsiTheme="majorHAnsi"/>
        </w:rPr>
        <w:t xml:space="preserve">for antipsychotics </w:t>
      </w:r>
      <w:r w:rsidRPr="00606F3C">
        <w:rPr>
          <w:rFonts w:asciiTheme="majorHAnsi" w:hAnsiTheme="majorHAnsi"/>
        </w:rPr>
        <w:t xml:space="preserve">by </w:t>
      </w:r>
      <w:r w:rsidR="00F2241B" w:rsidRPr="00606F3C">
        <w:rPr>
          <w:rFonts w:asciiTheme="majorHAnsi" w:hAnsiTheme="majorHAnsi"/>
        </w:rPr>
        <w:t xml:space="preserve">GPs </w:t>
      </w:r>
      <w:r w:rsidRPr="00606F3C">
        <w:rPr>
          <w:rFonts w:asciiTheme="majorHAnsi" w:hAnsiTheme="majorHAnsi"/>
        </w:rPr>
        <w:t>com</w:t>
      </w:r>
      <w:r w:rsidR="002524D3" w:rsidRPr="00606F3C">
        <w:rPr>
          <w:rFonts w:asciiTheme="majorHAnsi" w:hAnsiTheme="majorHAnsi"/>
        </w:rPr>
        <w:t>pared to other health providers</w:t>
      </w:r>
      <w:r w:rsidR="0005663D" w:rsidRPr="00606F3C">
        <w:rPr>
          <w:rFonts w:asciiTheme="majorHAnsi" w:hAnsiTheme="majorHAnsi"/>
        </w:rPr>
        <w:t>.</w:t>
      </w:r>
      <w:r w:rsidR="005F6BDC" w:rsidRPr="00606F3C">
        <w:rPr>
          <w:rFonts w:asciiTheme="majorHAnsi" w:hAnsiTheme="majorHAnsi"/>
        </w:rPr>
        <w:t xml:space="preserve"> </w:t>
      </w:r>
      <w:r w:rsidR="003B2A09">
        <w:rPr>
          <w:rFonts w:asciiTheme="majorHAnsi" w:hAnsiTheme="majorHAnsi"/>
        </w:rPr>
        <w:t xml:space="preserve">This is not surprising given the higher number of GPs compared to other health providers in Australia, and the corresponding easier access. </w:t>
      </w:r>
      <w:r w:rsidR="0005663D" w:rsidRPr="00606F3C">
        <w:rPr>
          <w:rFonts w:asciiTheme="majorHAnsi" w:hAnsiTheme="majorHAnsi"/>
        </w:rPr>
        <w:t xml:space="preserve">Risperidone, olanzapine and quetiapine are the antipsychotics most likely to be written and continued by GPs, although </w:t>
      </w:r>
      <w:r w:rsidR="00C36F3F" w:rsidRPr="00606F3C">
        <w:rPr>
          <w:rFonts w:asciiTheme="majorHAnsi" w:hAnsiTheme="majorHAnsi"/>
        </w:rPr>
        <w:t xml:space="preserve">many </w:t>
      </w:r>
      <w:r w:rsidR="0005663D" w:rsidRPr="00606F3C">
        <w:rPr>
          <w:rFonts w:asciiTheme="majorHAnsi" w:hAnsiTheme="majorHAnsi"/>
        </w:rPr>
        <w:t xml:space="preserve">may be </w:t>
      </w:r>
      <w:r w:rsidR="00C36F3F" w:rsidRPr="00606F3C">
        <w:rPr>
          <w:rFonts w:asciiTheme="majorHAnsi" w:hAnsiTheme="majorHAnsi"/>
        </w:rPr>
        <w:t xml:space="preserve">written within a </w:t>
      </w:r>
      <w:r w:rsidR="0005663D" w:rsidRPr="00606F3C">
        <w:rPr>
          <w:rFonts w:asciiTheme="majorHAnsi" w:hAnsiTheme="majorHAnsi"/>
        </w:rPr>
        <w:t xml:space="preserve">shared care </w:t>
      </w:r>
      <w:r w:rsidR="00C36F3F" w:rsidRPr="00606F3C">
        <w:rPr>
          <w:rFonts w:asciiTheme="majorHAnsi" w:hAnsiTheme="majorHAnsi"/>
        </w:rPr>
        <w:t xml:space="preserve">arrangement </w:t>
      </w:r>
      <w:r w:rsidR="0005663D" w:rsidRPr="00606F3C">
        <w:rPr>
          <w:rFonts w:asciiTheme="majorHAnsi" w:hAnsiTheme="majorHAnsi"/>
        </w:rPr>
        <w:t xml:space="preserve">with </w:t>
      </w:r>
      <w:r w:rsidR="00C36F3F" w:rsidRPr="00606F3C">
        <w:rPr>
          <w:rFonts w:asciiTheme="majorHAnsi" w:hAnsiTheme="majorHAnsi"/>
        </w:rPr>
        <w:t xml:space="preserve">a </w:t>
      </w:r>
      <w:r w:rsidR="0005663D" w:rsidRPr="00606F3C">
        <w:rPr>
          <w:rFonts w:asciiTheme="majorHAnsi" w:hAnsiTheme="majorHAnsi"/>
        </w:rPr>
        <w:t xml:space="preserve">psychiatrist or in consultation with </w:t>
      </w:r>
      <w:r w:rsidR="00C36F3F" w:rsidRPr="00606F3C">
        <w:rPr>
          <w:rFonts w:asciiTheme="majorHAnsi" w:hAnsiTheme="majorHAnsi"/>
        </w:rPr>
        <w:t xml:space="preserve">a psychiatrist or </w:t>
      </w:r>
      <w:r w:rsidR="0005663D" w:rsidRPr="00606F3C">
        <w:rPr>
          <w:rFonts w:asciiTheme="majorHAnsi" w:hAnsiTheme="majorHAnsi"/>
        </w:rPr>
        <w:t>clinical psychologist</w:t>
      </w:r>
      <w:r w:rsidR="00DB626A" w:rsidRPr="00606F3C">
        <w:rPr>
          <w:rFonts w:asciiTheme="majorHAnsi" w:hAnsiTheme="majorHAnsi"/>
        </w:rPr>
        <w:t>.</w:t>
      </w:r>
      <w:r w:rsidR="006765E6" w:rsidRPr="00606F3C">
        <w:rPr>
          <w:rFonts w:asciiTheme="majorHAnsi" w:hAnsiTheme="majorHAnsi"/>
          <w:vertAlign w:val="superscript"/>
        </w:rPr>
        <w:t>1</w:t>
      </w:r>
      <w:r w:rsidR="00DF422C">
        <w:rPr>
          <w:rFonts w:asciiTheme="majorHAnsi" w:hAnsiTheme="majorHAnsi"/>
          <w:vertAlign w:val="superscript"/>
        </w:rPr>
        <w:t>7</w:t>
      </w:r>
      <w:r w:rsidR="005F6BDC" w:rsidRPr="00606F3C">
        <w:rPr>
          <w:rFonts w:asciiTheme="majorHAnsi" w:hAnsiTheme="majorHAnsi"/>
        </w:rPr>
        <w:t xml:space="preserve"> </w:t>
      </w:r>
      <w:r w:rsidR="0005663D" w:rsidRPr="00606F3C">
        <w:rPr>
          <w:rFonts w:asciiTheme="majorHAnsi" w:hAnsiTheme="majorHAnsi"/>
        </w:rPr>
        <w:t>The choice of a</w:t>
      </w:r>
      <w:r w:rsidR="005F6BDC" w:rsidRPr="00606F3C">
        <w:rPr>
          <w:rFonts w:asciiTheme="majorHAnsi" w:hAnsiTheme="majorHAnsi"/>
        </w:rPr>
        <w:t>ntipsychotic</w:t>
      </w:r>
      <w:r w:rsidR="0005663D" w:rsidRPr="00606F3C">
        <w:rPr>
          <w:rFonts w:asciiTheme="majorHAnsi" w:hAnsiTheme="majorHAnsi"/>
        </w:rPr>
        <w:t xml:space="preserve">s prescribed by GPs </w:t>
      </w:r>
      <w:r w:rsidR="005F6BDC" w:rsidRPr="00606F3C">
        <w:rPr>
          <w:rFonts w:asciiTheme="majorHAnsi" w:hAnsiTheme="majorHAnsi"/>
        </w:rPr>
        <w:t>may reflect the type of patient</w:t>
      </w:r>
      <w:r w:rsidR="0005663D" w:rsidRPr="00606F3C">
        <w:rPr>
          <w:rFonts w:asciiTheme="majorHAnsi" w:hAnsiTheme="majorHAnsi"/>
        </w:rPr>
        <w:t>s seen in community practice.</w:t>
      </w:r>
      <w:r w:rsidR="00C36F3F" w:rsidRPr="00606F3C">
        <w:rPr>
          <w:rFonts w:asciiTheme="majorHAnsi" w:hAnsiTheme="majorHAnsi"/>
        </w:rPr>
        <w:t xml:space="preserve"> Only asenapine appears to be predominantly prescribed by psychiatrists.</w:t>
      </w:r>
    </w:p>
    <w:p w:rsidR="00C36F3F" w:rsidRPr="00606F3C" w:rsidRDefault="00C36F3F" w:rsidP="00606F3C">
      <w:pPr>
        <w:spacing w:after="0" w:line="280" w:lineRule="atLeast"/>
        <w:jc w:val="both"/>
        <w:rPr>
          <w:rFonts w:asciiTheme="majorHAnsi" w:hAnsiTheme="majorHAnsi"/>
        </w:rPr>
      </w:pPr>
    </w:p>
    <w:p w:rsidR="00893665" w:rsidRDefault="00C44A94" w:rsidP="00606F3C">
      <w:pPr>
        <w:spacing w:after="0" w:line="280" w:lineRule="atLeast"/>
        <w:jc w:val="both"/>
        <w:rPr>
          <w:rFonts w:asciiTheme="majorHAnsi" w:hAnsiTheme="majorHAnsi"/>
        </w:rPr>
      </w:pPr>
      <w:r w:rsidRPr="00606F3C">
        <w:rPr>
          <w:rFonts w:asciiTheme="majorHAnsi" w:hAnsiTheme="majorHAnsi"/>
        </w:rPr>
        <w:t>In addition to the likely</w:t>
      </w:r>
      <w:r w:rsidR="005E36DE" w:rsidRPr="00606F3C">
        <w:rPr>
          <w:rFonts w:asciiTheme="majorHAnsi" w:hAnsiTheme="majorHAnsi"/>
        </w:rPr>
        <w:t xml:space="preserve"> numbers of patients using anti</w:t>
      </w:r>
      <w:r w:rsidRPr="00606F3C">
        <w:rPr>
          <w:rFonts w:asciiTheme="majorHAnsi" w:hAnsiTheme="majorHAnsi"/>
        </w:rPr>
        <w:t>p</w:t>
      </w:r>
      <w:r w:rsidR="005E36DE" w:rsidRPr="00606F3C">
        <w:rPr>
          <w:rFonts w:asciiTheme="majorHAnsi" w:hAnsiTheme="majorHAnsi"/>
        </w:rPr>
        <w:t>s</w:t>
      </w:r>
      <w:r w:rsidRPr="00606F3C">
        <w:rPr>
          <w:rFonts w:asciiTheme="majorHAnsi" w:hAnsiTheme="majorHAnsi"/>
        </w:rPr>
        <w:t xml:space="preserve">ychotics for conditions with limited evidence of benefit there is also </w:t>
      </w:r>
      <w:r w:rsidR="005F4EDD" w:rsidRPr="00606F3C">
        <w:rPr>
          <w:rFonts w:asciiTheme="majorHAnsi" w:hAnsiTheme="majorHAnsi"/>
        </w:rPr>
        <w:t xml:space="preserve">an </w:t>
      </w:r>
      <w:r w:rsidRPr="00606F3C">
        <w:rPr>
          <w:rFonts w:asciiTheme="majorHAnsi" w:hAnsiTheme="majorHAnsi"/>
        </w:rPr>
        <w:t xml:space="preserve">additional risk of harm for these patients. </w:t>
      </w:r>
      <w:r w:rsidR="00D5333D" w:rsidRPr="00606F3C">
        <w:rPr>
          <w:rFonts w:asciiTheme="majorHAnsi" w:hAnsiTheme="majorHAnsi"/>
        </w:rPr>
        <w:t>U</w:t>
      </w:r>
      <w:r w:rsidR="00CC2B99" w:rsidRPr="00606F3C">
        <w:rPr>
          <w:rFonts w:asciiTheme="majorHAnsi" w:hAnsiTheme="majorHAnsi"/>
        </w:rPr>
        <w:t>se of atypical antipsychotics</w:t>
      </w:r>
      <w:r w:rsidR="00D5333D" w:rsidRPr="00606F3C">
        <w:rPr>
          <w:rFonts w:asciiTheme="majorHAnsi" w:hAnsiTheme="majorHAnsi"/>
        </w:rPr>
        <w:t xml:space="preserve"> in non-elderly ad</w:t>
      </w:r>
      <w:r w:rsidR="00C81C33" w:rsidRPr="00606F3C">
        <w:rPr>
          <w:rFonts w:asciiTheme="majorHAnsi" w:hAnsiTheme="majorHAnsi"/>
        </w:rPr>
        <w:t>ult</w:t>
      </w:r>
      <w:r w:rsidR="00D5333D" w:rsidRPr="00606F3C">
        <w:rPr>
          <w:rFonts w:asciiTheme="majorHAnsi" w:hAnsiTheme="majorHAnsi"/>
        </w:rPr>
        <w:t>s</w:t>
      </w:r>
      <w:r w:rsidR="00CC2B99" w:rsidRPr="00606F3C">
        <w:rPr>
          <w:rFonts w:asciiTheme="majorHAnsi" w:hAnsiTheme="majorHAnsi"/>
        </w:rPr>
        <w:t xml:space="preserve"> can lead to</w:t>
      </w:r>
      <w:r w:rsidR="00EC6222" w:rsidRPr="00606F3C">
        <w:rPr>
          <w:rFonts w:asciiTheme="majorHAnsi" w:hAnsiTheme="majorHAnsi"/>
        </w:rPr>
        <w:t xml:space="preserve"> weight gain,</w:t>
      </w:r>
      <w:r w:rsidR="00CC2B99" w:rsidRPr="00606F3C">
        <w:rPr>
          <w:rFonts w:asciiTheme="majorHAnsi" w:hAnsiTheme="majorHAnsi"/>
        </w:rPr>
        <w:t xml:space="preserve"> sedation, fatigue, and extrapyramidal symptoms.</w:t>
      </w:r>
      <w:r w:rsidR="009026DE" w:rsidRPr="009026DE">
        <w:rPr>
          <w:rFonts w:asciiTheme="majorHAnsi" w:hAnsiTheme="majorHAnsi"/>
          <w:vertAlign w:val="superscript"/>
        </w:rPr>
        <w:t>1</w:t>
      </w:r>
      <w:r w:rsidR="00725FE4">
        <w:rPr>
          <w:rFonts w:asciiTheme="majorHAnsi" w:hAnsiTheme="majorHAnsi"/>
          <w:vertAlign w:val="superscript"/>
        </w:rPr>
        <w:t>1</w:t>
      </w:r>
      <w:r w:rsidR="00CC2B99" w:rsidRPr="00606F3C">
        <w:rPr>
          <w:rFonts w:asciiTheme="majorHAnsi" w:hAnsiTheme="majorHAnsi"/>
          <w:vertAlign w:val="superscript"/>
        </w:rPr>
        <w:t xml:space="preserve"> </w:t>
      </w:r>
      <w:r w:rsidR="005F4EDD" w:rsidRPr="00606F3C">
        <w:rPr>
          <w:rFonts w:asciiTheme="majorHAnsi" w:hAnsiTheme="majorHAnsi"/>
        </w:rPr>
        <w:t>When used on a l</w:t>
      </w:r>
      <w:r w:rsidRPr="00606F3C">
        <w:rPr>
          <w:rFonts w:asciiTheme="majorHAnsi" w:hAnsiTheme="majorHAnsi"/>
        </w:rPr>
        <w:t xml:space="preserve">ong term </w:t>
      </w:r>
      <w:r w:rsidR="005F4EDD" w:rsidRPr="00606F3C">
        <w:rPr>
          <w:rFonts w:asciiTheme="majorHAnsi" w:hAnsiTheme="majorHAnsi"/>
        </w:rPr>
        <w:t>basis, antipsychotics can also co</w:t>
      </w:r>
      <w:r w:rsidR="00606F3C">
        <w:rPr>
          <w:rFonts w:asciiTheme="majorHAnsi" w:hAnsiTheme="majorHAnsi"/>
        </w:rPr>
        <w:t xml:space="preserve">ntribute to the development of </w:t>
      </w:r>
      <w:r w:rsidR="005E36DE" w:rsidRPr="00606F3C">
        <w:rPr>
          <w:rFonts w:asciiTheme="majorHAnsi" w:hAnsiTheme="majorHAnsi"/>
        </w:rPr>
        <w:t xml:space="preserve">diabetes, metabolic syndrome, increased total cholesterol, incident hypertension and </w:t>
      </w:r>
      <w:r w:rsidR="005F4EDD" w:rsidRPr="00606F3C">
        <w:rPr>
          <w:rFonts w:asciiTheme="majorHAnsi" w:hAnsiTheme="majorHAnsi"/>
        </w:rPr>
        <w:t xml:space="preserve">they can </w:t>
      </w:r>
      <w:r w:rsidR="00C81C33" w:rsidRPr="00606F3C">
        <w:rPr>
          <w:rFonts w:asciiTheme="majorHAnsi" w:hAnsiTheme="majorHAnsi"/>
        </w:rPr>
        <w:t>lead to</w:t>
      </w:r>
      <w:r w:rsidR="005F4EDD" w:rsidRPr="00606F3C">
        <w:rPr>
          <w:rFonts w:asciiTheme="majorHAnsi" w:hAnsiTheme="majorHAnsi"/>
        </w:rPr>
        <w:t xml:space="preserve"> </w:t>
      </w:r>
      <w:r w:rsidR="005E36DE" w:rsidRPr="00606F3C">
        <w:rPr>
          <w:rFonts w:asciiTheme="majorHAnsi" w:hAnsiTheme="majorHAnsi"/>
        </w:rPr>
        <w:t>changes in hepa</w:t>
      </w:r>
      <w:r w:rsidR="00606F3C">
        <w:rPr>
          <w:rFonts w:asciiTheme="majorHAnsi" w:hAnsiTheme="majorHAnsi"/>
        </w:rPr>
        <w:t>tic transaminases and prolactin</w:t>
      </w:r>
      <w:r w:rsidR="00DB626A">
        <w:rPr>
          <w:rFonts w:asciiTheme="majorHAnsi" w:hAnsiTheme="majorHAnsi"/>
        </w:rPr>
        <w:t>.</w:t>
      </w:r>
      <w:r w:rsidR="00A62FA2" w:rsidRPr="00A62FA2">
        <w:rPr>
          <w:rFonts w:asciiTheme="majorHAnsi" w:hAnsiTheme="majorHAnsi"/>
          <w:vertAlign w:val="superscript"/>
        </w:rPr>
        <w:t>2</w:t>
      </w:r>
      <w:r w:rsidR="00A76CEF">
        <w:rPr>
          <w:rFonts w:asciiTheme="majorHAnsi" w:hAnsiTheme="majorHAnsi"/>
          <w:vertAlign w:val="superscript"/>
        </w:rPr>
        <w:t>6</w:t>
      </w:r>
      <w:r w:rsidR="001153D2">
        <w:rPr>
          <w:rFonts w:asciiTheme="majorHAnsi" w:hAnsiTheme="majorHAnsi"/>
        </w:rPr>
        <w:t xml:space="preserve"> As harms associated with antipsychotics can be dose dependant, there may be a perception in the medical community that this is safe prescribing compared to other alternatives</w:t>
      </w:r>
      <w:r w:rsidR="001A7F9D">
        <w:rPr>
          <w:rFonts w:asciiTheme="majorHAnsi" w:hAnsiTheme="majorHAnsi"/>
        </w:rPr>
        <w:t>. Such perceptions may not be founded on good evidence.</w:t>
      </w:r>
      <w:r w:rsidR="001153D2">
        <w:rPr>
          <w:rFonts w:asciiTheme="majorHAnsi" w:hAnsiTheme="majorHAnsi"/>
        </w:rPr>
        <w:t xml:space="preserve"> </w:t>
      </w:r>
    </w:p>
    <w:p w:rsidR="00BB6496" w:rsidRDefault="00BB6496" w:rsidP="00A57BF3">
      <w:pPr>
        <w:spacing w:after="0" w:line="280" w:lineRule="atLeast"/>
        <w:rPr>
          <w:rFonts w:asciiTheme="majorHAnsi" w:hAnsiTheme="majorHAnsi"/>
        </w:rPr>
      </w:pPr>
    </w:p>
    <w:p w:rsidR="002D6350" w:rsidRDefault="002D6350" w:rsidP="00A54E6C">
      <w:pPr>
        <w:pStyle w:val="Heading2"/>
      </w:pPr>
      <w:r w:rsidRPr="00CE6E93">
        <w:t>Conclusion</w:t>
      </w:r>
    </w:p>
    <w:p w:rsidR="00AF095B" w:rsidRPr="00CE6E93" w:rsidRDefault="00AF095B" w:rsidP="00A57BF3">
      <w:pPr>
        <w:spacing w:after="0" w:line="280" w:lineRule="atLeast"/>
        <w:rPr>
          <w:rFonts w:asciiTheme="majorHAnsi" w:hAnsiTheme="majorHAnsi"/>
          <w:b/>
        </w:rPr>
      </w:pPr>
    </w:p>
    <w:p w:rsidR="005E36DE" w:rsidRDefault="00E3208D" w:rsidP="00631074">
      <w:pPr>
        <w:spacing w:after="0" w:line="280" w:lineRule="atLeast"/>
        <w:jc w:val="both"/>
        <w:rPr>
          <w:rFonts w:asciiTheme="majorHAnsi" w:hAnsiTheme="majorHAnsi"/>
        </w:rPr>
      </w:pPr>
      <w:r w:rsidRPr="00E3208D">
        <w:rPr>
          <w:rFonts w:asciiTheme="majorHAnsi" w:hAnsiTheme="majorHAnsi"/>
        </w:rPr>
        <w:t xml:space="preserve">Use of atypical antipsychotics in middle aged adults in Australia is increasing. Although use of conventional antipsychotics is declining, only a proportion of this use can be attributed to substitution. Other factors contributing to this increased use may include new TGA approved indications, and </w:t>
      </w:r>
      <w:r w:rsidR="005E36DE">
        <w:rPr>
          <w:rFonts w:asciiTheme="majorHAnsi" w:hAnsiTheme="majorHAnsi"/>
        </w:rPr>
        <w:t>off-label use and diversion.</w:t>
      </w:r>
      <w:r w:rsidR="00A51D3C">
        <w:rPr>
          <w:rFonts w:asciiTheme="majorHAnsi" w:hAnsiTheme="majorHAnsi"/>
        </w:rPr>
        <w:t xml:space="preserve"> Innovation in clinical practice and clinical need for effective treatments may contribute to the greater use of antipsychotics for unsubsidised indications that are often not approved by regulatory authorities.</w:t>
      </w:r>
    </w:p>
    <w:p w:rsidR="00666637" w:rsidRDefault="00666637" w:rsidP="00631074">
      <w:pPr>
        <w:spacing w:after="0" w:line="280" w:lineRule="atLeast"/>
        <w:jc w:val="both"/>
        <w:rPr>
          <w:rFonts w:asciiTheme="majorHAnsi" w:hAnsiTheme="majorHAnsi"/>
        </w:rPr>
      </w:pPr>
    </w:p>
    <w:p w:rsidR="00A51D3C" w:rsidRDefault="00A51D3C" w:rsidP="00631074">
      <w:pPr>
        <w:spacing w:after="0" w:line="280" w:lineRule="atLeast"/>
        <w:jc w:val="both"/>
        <w:rPr>
          <w:rFonts w:asciiTheme="majorHAnsi" w:hAnsiTheme="majorHAnsi"/>
        </w:rPr>
      </w:pPr>
      <w:r>
        <w:rPr>
          <w:rFonts w:asciiTheme="majorHAnsi" w:hAnsiTheme="majorHAnsi"/>
        </w:rPr>
        <w:t>It is a concern that as use in new indications rises there is often no corresponding incentive or obligation for sponsors or other parties to present the efficacy data to the regulators and the comparative effectiveness data to the ‘payers’.</w:t>
      </w:r>
    </w:p>
    <w:p w:rsidR="00A51D3C" w:rsidRDefault="00A51D3C" w:rsidP="00631074">
      <w:pPr>
        <w:spacing w:after="0" w:line="280" w:lineRule="atLeast"/>
        <w:jc w:val="both"/>
        <w:rPr>
          <w:rFonts w:asciiTheme="majorHAnsi" w:hAnsiTheme="majorHAnsi"/>
        </w:rPr>
      </w:pPr>
    </w:p>
    <w:p w:rsidR="00E3208D" w:rsidRDefault="005E36DE" w:rsidP="00631074">
      <w:pPr>
        <w:spacing w:after="0" w:line="280" w:lineRule="atLeast"/>
        <w:jc w:val="both"/>
        <w:rPr>
          <w:rFonts w:asciiTheme="majorHAnsi" w:hAnsiTheme="majorHAnsi"/>
        </w:rPr>
      </w:pPr>
      <w:r>
        <w:rPr>
          <w:rFonts w:asciiTheme="majorHAnsi" w:hAnsiTheme="majorHAnsi"/>
        </w:rPr>
        <w:t xml:space="preserve">In response to concerns raised in this report and with the co-operation of the pharmaceutical industry quetiapine </w:t>
      </w:r>
      <w:r w:rsidR="001568DF">
        <w:rPr>
          <w:rFonts w:asciiTheme="majorHAnsi" w:hAnsiTheme="majorHAnsi"/>
        </w:rPr>
        <w:t>25 mg</w:t>
      </w:r>
      <w:r>
        <w:rPr>
          <w:rFonts w:asciiTheme="majorHAnsi" w:hAnsiTheme="majorHAnsi"/>
        </w:rPr>
        <w:t xml:space="preserve"> </w:t>
      </w:r>
      <w:r w:rsidR="00631074">
        <w:rPr>
          <w:rFonts w:asciiTheme="majorHAnsi" w:hAnsiTheme="majorHAnsi"/>
        </w:rPr>
        <w:t xml:space="preserve">no longer allows repeat prescriptions. The </w:t>
      </w:r>
      <w:r w:rsidR="00631074" w:rsidRPr="00631074">
        <w:rPr>
          <w:rFonts w:asciiTheme="majorHAnsi" w:hAnsiTheme="majorHAnsi"/>
        </w:rPr>
        <w:t>PBAC considered that t</w:t>
      </w:r>
      <w:r w:rsidR="00631074" w:rsidRPr="00631074">
        <w:rPr>
          <w:rFonts w:asciiTheme="majorHAnsi" w:eastAsia="Times New Roman" w:hAnsiTheme="majorHAnsi" w:cs="Arial"/>
          <w:color w:val="000000"/>
          <w:kern w:val="24"/>
          <w:szCs w:val="20"/>
          <w:lang w:eastAsia="en-AU"/>
        </w:rPr>
        <w:t>his listing would be sufficient for dose titration in bipolar disease and schizophrenia, and would encourage regular prescriber review for patients treated for non-subsidised indications</w:t>
      </w:r>
      <w:r w:rsidR="00631074">
        <w:rPr>
          <w:rFonts w:asciiTheme="majorHAnsi" w:eastAsia="Times New Roman" w:hAnsiTheme="majorHAnsi" w:cs="Arial"/>
          <w:color w:val="000000"/>
          <w:kern w:val="24"/>
          <w:szCs w:val="20"/>
          <w:lang w:eastAsia="en-AU"/>
        </w:rPr>
        <w:t>.</w:t>
      </w:r>
    </w:p>
    <w:p w:rsidR="00E3208D" w:rsidRDefault="00E3208D" w:rsidP="00A57BF3">
      <w:pPr>
        <w:spacing w:after="0" w:line="280" w:lineRule="atLeast"/>
        <w:rPr>
          <w:rFonts w:asciiTheme="majorHAnsi" w:hAnsiTheme="majorHAnsi"/>
        </w:rPr>
      </w:pPr>
    </w:p>
    <w:p w:rsidR="006D2B44" w:rsidRDefault="006D2B44" w:rsidP="00411113">
      <w:pPr>
        <w:pStyle w:val="Heading2"/>
      </w:pPr>
      <w:r w:rsidRPr="00A54E6C">
        <w:t>Acknowledgements</w:t>
      </w:r>
    </w:p>
    <w:p w:rsidR="00A54E6C" w:rsidRPr="00A54E6C" w:rsidRDefault="00A54E6C" w:rsidP="00A57BF3">
      <w:pPr>
        <w:spacing w:after="0" w:line="280" w:lineRule="atLeast"/>
        <w:rPr>
          <w:rFonts w:asciiTheme="majorHAnsi" w:hAnsiTheme="majorHAnsi"/>
          <w:b/>
        </w:rPr>
      </w:pPr>
    </w:p>
    <w:p w:rsidR="001A7F9D" w:rsidRDefault="001A7F9D" w:rsidP="00A57BF3">
      <w:pPr>
        <w:spacing w:after="0" w:line="280" w:lineRule="atLeast"/>
        <w:rPr>
          <w:rFonts w:asciiTheme="majorHAnsi" w:hAnsiTheme="majorHAnsi"/>
        </w:rPr>
      </w:pPr>
      <w:r>
        <w:rPr>
          <w:rFonts w:asciiTheme="majorHAnsi" w:hAnsiTheme="majorHAnsi"/>
        </w:rPr>
        <w:t>DUSC acknowledges the assistance of Dr Graham Emble</w:t>
      </w:r>
      <w:r w:rsidR="00C30DED">
        <w:rPr>
          <w:rFonts w:asciiTheme="majorHAnsi" w:hAnsiTheme="majorHAnsi"/>
        </w:rPr>
        <w:t>n</w:t>
      </w:r>
      <w:r>
        <w:rPr>
          <w:rFonts w:asciiTheme="majorHAnsi" w:hAnsiTheme="majorHAnsi"/>
        </w:rPr>
        <w:t>, Deputy Director of Medical Education, General Practice Training Queensland and Professor Philip Mitche</w:t>
      </w:r>
      <w:r w:rsidR="004B1D70">
        <w:rPr>
          <w:rFonts w:asciiTheme="majorHAnsi" w:hAnsiTheme="majorHAnsi"/>
        </w:rPr>
        <w:t>l</w:t>
      </w:r>
      <w:r>
        <w:rPr>
          <w:rFonts w:asciiTheme="majorHAnsi" w:hAnsiTheme="majorHAnsi"/>
        </w:rPr>
        <w:t xml:space="preserve">l, Scienta Professor and </w:t>
      </w:r>
      <w:r w:rsidR="004B1D70">
        <w:rPr>
          <w:rFonts w:asciiTheme="majorHAnsi" w:hAnsiTheme="majorHAnsi"/>
        </w:rPr>
        <w:t>H</w:t>
      </w:r>
      <w:r>
        <w:rPr>
          <w:rFonts w:asciiTheme="majorHAnsi" w:hAnsiTheme="majorHAnsi"/>
        </w:rPr>
        <w:t>ead of School of Psychiatry, University of New South Wales.</w:t>
      </w:r>
    </w:p>
    <w:p w:rsidR="00943966" w:rsidRDefault="00943966" w:rsidP="00A57BF3">
      <w:pPr>
        <w:spacing w:after="0" w:line="280" w:lineRule="atLeast"/>
        <w:rPr>
          <w:rFonts w:asciiTheme="majorHAnsi" w:hAnsiTheme="majorHAnsi"/>
        </w:rPr>
      </w:pPr>
    </w:p>
    <w:p w:rsidR="00731D8E" w:rsidRPr="00731D8E" w:rsidRDefault="00731D8E" w:rsidP="00A54E6C">
      <w:pPr>
        <w:pStyle w:val="Heading2"/>
      </w:pPr>
      <w:r w:rsidRPr="00731D8E">
        <w:t>References</w:t>
      </w:r>
    </w:p>
    <w:p w:rsidR="00EB0523" w:rsidRDefault="00EB0523" w:rsidP="00EB0523">
      <w:pPr>
        <w:pStyle w:val="ListParagraph"/>
        <w:numPr>
          <w:ilvl w:val="0"/>
          <w:numId w:val="24"/>
        </w:numPr>
        <w:rPr>
          <w:rFonts w:asciiTheme="majorHAnsi" w:hAnsiTheme="majorHAnsi"/>
        </w:rPr>
      </w:pPr>
      <w:r w:rsidRPr="00EB0523">
        <w:rPr>
          <w:rFonts w:asciiTheme="majorHAnsi" w:hAnsiTheme="majorHAnsi"/>
        </w:rPr>
        <w:t xml:space="preserve">Costs, An analysis of the burden of schizophrenia and related suicide in Australia, An Access Economics Report for SANE Australia 2002. [Online]. Accessed 11 December 2013. Available at: </w:t>
      </w:r>
      <w:hyperlink r:id="rId30" w:history="1">
        <w:r w:rsidRPr="008C13B2">
          <w:rPr>
            <w:rStyle w:val="Hyperlink"/>
            <w:rFonts w:asciiTheme="majorHAnsi" w:hAnsiTheme="majorHAnsi"/>
          </w:rPr>
          <w:t>www.sane.org/images/stories/information/research/0104_info_schizcosts.pdf</w:t>
        </w:r>
      </w:hyperlink>
      <w:r w:rsidR="006765E6">
        <w:rPr>
          <w:rFonts w:asciiTheme="majorHAnsi" w:hAnsiTheme="majorHAnsi"/>
        </w:rPr>
        <w:t xml:space="preserve">. </w:t>
      </w:r>
    </w:p>
    <w:p w:rsidR="00EB0523" w:rsidRDefault="00EB0523" w:rsidP="00EB0523">
      <w:pPr>
        <w:pStyle w:val="ListParagraph"/>
        <w:numPr>
          <w:ilvl w:val="0"/>
          <w:numId w:val="24"/>
        </w:numPr>
        <w:rPr>
          <w:rFonts w:asciiTheme="majorHAnsi" w:hAnsiTheme="majorHAnsi"/>
        </w:rPr>
      </w:pPr>
      <w:r w:rsidRPr="00EB0523">
        <w:rPr>
          <w:rFonts w:asciiTheme="majorHAnsi" w:hAnsiTheme="majorHAnsi"/>
        </w:rPr>
        <w:t xml:space="preserve">Seroquel (quetiapine immediate release) product information. [Online]. Accessed 19 November 2013. Available at: </w:t>
      </w:r>
      <w:hyperlink r:id="rId31" w:history="1">
        <w:r w:rsidRPr="008C13B2">
          <w:rPr>
            <w:rStyle w:val="Hyperlink"/>
            <w:rFonts w:asciiTheme="majorHAnsi" w:hAnsiTheme="majorHAnsi"/>
          </w:rPr>
          <w:t>www.ebs.tga.gov.au/ebs/picmi/picmirepository.nsf/pdf?OpenAgent&amp;id=CP-2010-PI-07764-3</w:t>
        </w:r>
      </w:hyperlink>
      <w:r w:rsidR="006765E6">
        <w:rPr>
          <w:rFonts w:asciiTheme="majorHAnsi" w:hAnsiTheme="majorHAnsi"/>
        </w:rPr>
        <w:t xml:space="preserve">. </w:t>
      </w:r>
    </w:p>
    <w:p w:rsidR="00EB0523" w:rsidRDefault="00EB0523" w:rsidP="00B62416">
      <w:pPr>
        <w:pStyle w:val="ListParagraph"/>
        <w:numPr>
          <w:ilvl w:val="0"/>
          <w:numId w:val="24"/>
        </w:numPr>
        <w:rPr>
          <w:rFonts w:asciiTheme="majorHAnsi" w:hAnsiTheme="majorHAnsi"/>
        </w:rPr>
      </w:pPr>
      <w:r w:rsidRPr="00EB0523">
        <w:rPr>
          <w:rFonts w:asciiTheme="majorHAnsi" w:hAnsiTheme="majorHAnsi"/>
        </w:rPr>
        <w:t xml:space="preserve">Seroquel XR (quetiapine modified release) product information. [Online]. Accessed 19 November 2013. Available at: </w:t>
      </w:r>
      <w:hyperlink r:id="rId32" w:history="1">
        <w:r w:rsidRPr="008C13B2">
          <w:rPr>
            <w:rStyle w:val="Hyperlink"/>
            <w:rFonts w:asciiTheme="majorHAnsi" w:hAnsiTheme="majorHAnsi"/>
          </w:rPr>
          <w:t>www.ebs.tga.gov.au/ebs/picmi/picmirepository.nsf/pdf?OpenAgent&amp;id=CP-2010-PI-07765-3</w:t>
        </w:r>
      </w:hyperlink>
      <w:r w:rsidR="006765E6">
        <w:rPr>
          <w:rFonts w:asciiTheme="majorHAnsi" w:hAnsiTheme="majorHAnsi"/>
        </w:rPr>
        <w:t xml:space="preserve">. </w:t>
      </w:r>
    </w:p>
    <w:p w:rsidR="00EB0523" w:rsidRPr="00EB0523" w:rsidRDefault="00EB0523" w:rsidP="00EB0523">
      <w:pPr>
        <w:pStyle w:val="ListParagraph"/>
        <w:numPr>
          <w:ilvl w:val="0"/>
          <w:numId w:val="24"/>
        </w:numPr>
        <w:rPr>
          <w:rFonts w:asciiTheme="majorHAnsi" w:hAnsiTheme="majorHAnsi"/>
        </w:rPr>
      </w:pPr>
      <w:r w:rsidRPr="00EB0523">
        <w:rPr>
          <w:rFonts w:asciiTheme="majorHAnsi" w:hAnsiTheme="majorHAnsi"/>
        </w:rPr>
        <w:t xml:space="preserve">Zyprexa (olanzapine) product information. [Online]. Accessed 19 November 2013. Available at: </w:t>
      </w:r>
      <w:hyperlink r:id="rId33" w:history="1">
        <w:r w:rsidR="006765E6" w:rsidRPr="008C13B2">
          <w:rPr>
            <w:rStyle w:val="Hyperlink"/>
            <w:rFonts w:asciiTheme="majorHAnsi" w:hAnsiTheme="majorHAnsi"/>
          </w:rPr>
          <w:t>www.ebs.tga.gov.au/ebs/picmi/picmirepository.nsf/pdf?OpenAgent&amp;id=CP-2011-PI-02804-3</w:t>
        </w:r>
      </w:hyperlink>
      <w:r w:rsidR="006765E6">
        <w:rPr>
          <w:rFonts w:asciiTheme="majorHAnsi" w:hAnsiTheme="majorHAnsi"/>
        </w:rPr>
        <w:t xml:space="preserve">. </w:t>
      </w:r>
    </w:p>
    <w:p w:rsidR="00EB0523" w:rsidRPr="00EB0523" w:rsidRDefault="00EB0523" w:rsidP="00EB0523">
      <w:pPr>
        <w:pStyle w:val="ListParagraph"/>
        <w:numPr>
          <w:ilvl w:val="0"/>
          <w:numId w:val="24"/>
        </w:numPr>
        <w:rPr>
          <w:rFonts w:asciiTheme="majorHAnsi" w:hAnsiTheme="majorHAnsi"/>
        </w:rPr>
      </w:pPr>
      <w:r w:rsidRPr="00EB0523">
        <w:rPr>
          <w:rFonts w:asciiTheme="majorHAnsi" w:hAnsiTheme="majorHAnsi"/>
        </w:rPr>
        <w:t xml:space="preserve">Risperdal (risperidone) product information. [Online]. Accessed 19 November 2013. Available at: </w:t>
      </w:r>
      <w:hyperlink r:id="rId34" w:history="1">
        <w:r w:rsidR="006765E6" w:rsidRPr="008C13B2">
          <w:rPr>
            <w:rStyle w:val="Hyperlink"/>
            <w:rFonts w:asciiTheme="majorHAnsi" w:hAnsiTheme="majorHAnsi"/>
          </w:rPr>
          <w:t>www.ebs.tga.gov.au/ebs/picmi/picmirepository.nsf/pdf?OpenAgent&amp;id=CP-2010-PI-01616-3</w:t>
        </w:r>
      </w:hyperlink>
      <w:r w:rsidR="006765E6">
        <w:rPr>
          <w:rFonts w:asciiTheme="majorHAnsi" w:hAnsiTheme="majorHAnsi"/>
        </w:rPr>
        <w:t xml:space="preserve">. </w:t>
      </w:r>
    </w:p>
    <w:p w:rsidR="00EB0523" w:rsidRDefault="00CF1F9A" w:rsidP="00CF1F9A">
      <w:pPr>
        <w:pStyle w:val="ListParagraph"/>
        <w:numPr>
          <w:ilvl w:val="0"/>
          <w:numId w:val="24"/>
        </w:numPr>
        <w:rPr>
          <w:rFonts w:asciiTheme="majorHAnsi" w:hAnsiTheme="majorHAnsi"/>
        </w:rPr>
      </w:pPr>
      <w:r w:rsidRPr="00CF1F9A">
        <w:rPr>
          <w:rFonts w:asciiTheme="majorHAnsi" w:hAnsiTheme="majorHAnsi"/>
        </w:rPr>
        <w:t>Department of Health. Public Summary Document. Quetiapine, tablets (modified release) 50</w:t>
      </w:r>
      <w:r w:rsidR="00B471F5">
        <w:rPr>
          <w:rFonts w:asciiTheme="majorHAnsi" w:hAnsiTheme="majorHAnsi"/>
        </w:rPr>
        <w:t xml:space="preserve"> </w:t>
      </w:r>
      <w:r w:rsidRPr="00CF1F9A">
        <w:rPr>
          <w:rFonts w:asciiTheme="majorHAnsi" w:hAnsiTheme="majorHAnsi"/>
        </w:rPr>
        <w:t>mg, 150</w:t>
      </w:r>
      <w:r w:rsidR="00B471F5">
        <w:rPr>
          <w:rFonts w:asciiTheme="majorHAnsi" w:hAnsiTheme="majorHAnsi"/>
        </w:rPr>
        <w:t xml:space="preserve"> </w:t>
      </w:r>
      <w:r w:rsidRPr="00CF1F9A">
        <w:rPr>
          <w:rFonts w:asciiTheme="majorHAnsi" w:hAnsiTheme="majorHAnsi"/>
        </w:rPr>
        <w:t>mg, 200</w:t>
      </w:r>
      <w:r w:rsidR="00B471F5">
        <w:rPr>
          <w:rFonts w:asciiTheme="majorHAnsi" w:hAnsiTheme="majorHAnsi"/>
        </w:rPr>
        <w:t xml:space="preserve"> </w:t>
      </w:r>
      <w:r w:rsidRPr="00CF1F9A">
        <w:rPr>
          <w:rFonts w:asciiTheme="majorHAnsi" w:hAnsiTheme="majorHAnsi"/>
        </w:rPr>
        <w:t>mg, and 300</w:t>
      </w:r>
      <w:r w:rsidR="00B471F5">
        <w:rPr>
          <w:rFonts w:asciiTheme="majorHAnsi" w:hAnsiTheme="majorHAnsi"/>
        </w:rPr>
        <w:t xml:space="preserve"> </w:t>
      </w:r>
      <w:r w:rsidRPr="00CF1F9A">
        <w:rPr>
          <w:rFonts w:asciiTheme="majorHAnsi" w:hAnsiTheme="majorHAnsi"/>
        </w:rPr>
        <w:t>mg Seroquel XR –</w:t>
      </w:r>
      <w:r>
        <w:rPr>
          <w:rFonts w:asciiTheme="majorHAnsi" w:hAnsiTheme="majorHAnsi"/>
        </w:rPr>
        <w:t xml:space="preserve"> July 2013. [Online]. Accessed 4 December 2013. Available at:</w:t>
      </w:r>
      <w:r w:rsidR="00AD643C">
        <w:rPr>
          <w:rFonts w:asciiTheme="majorHAnsi" w:hAnsiTheme="majorHAnsi"/>
        </w:rPr>
        <w:t xml:space="preserve"> </w:t>
      </w:r>
      <w:hyperlink r:id="rId35" w:history="1">
        <w:r w:rsidR="006765E6" w:rsidRPr="008C13B2">
          <w:rPr>
            <w:rStyle w:val="Hyperlink"/>
            <w:rFonts w:asciiTheme="majorHAnsi" w:hAnsiTheme="majorHAnsi"/>
          </w:rPr>
          <w:t>www.pbs.gov.au/info/industry/listing/elements/pbac-meetings/psd/2013-07/quetiapine</w:t>
        </w:r>
      </w:hyperlink>
      <w:r w:rsidR="006765E6">
        <w:rPr>
          <w:rFonts w:asciiTheme="majorHAnsi" w:hAnsiTheme="majorHAnsi"/>
        </w:rPr>
        <w:t xml:space="preserve">. </w:t>
      </w:r>
    </w:p>
    <w:p w:rsidR="006765E6" w:rsidRDefault="006765E6" w:rsidP="006765E6">
      <w:pPr>
        <w:pStyle w:val="ListParagraph"/>
        <w:numPr>
          <w:ilvl w:val="0"/>
          <w:numId w:val="24"/>
        </w:numPr>
        <w:rPr>
          <w:rFonts w:asciiTheme="majorHAnsi" w:hAnsiTheme="majorHAnsi"/>
        </w:rPr>
      </w:pPr>
      <w:r w:rsidRPr="006765E6">
        <w:rPr>
          <w:rFonts w:asciiTheme="majorHAnsi" w:hAnsiTheme="majorHAnsi"/>
        </w:rPr>
        <w:t>Raymond C. Estimating Drug Regimens from Prescription Supply Data. Poster. 8th Asian Conference ISPE. 25–27 October 2013.</w:t>
      </w:r>
    </w:p>
    <w:p w:rsidR="00A62FA2" w:rsidRDefault="00A62FA2" w:rsidP="00A62FA2">
      <w:pPr>
        <w:pStyle w:val="ListParagraph"/>
        <w:numPr>
          <w:ilvl w:val="0"/>
          <w:numId w:val="24"/>
        </w:numPr>
        <w:rPr>
          <w:rFonts w:asciiTheme="majorHAnsi" w:hAnsiTheme="majorHAnsi"/>
        </w:rPr>
      </w:pPr>
      <w:r w:rsidRPr="00A62FA2">
        <w:rPr>
          <w:rFonts w:asciiTheme="majorHAnsi" w:hAnsiTheme="majorHAnsi"/>
        </w:rPr>
        <w:t>WHO Collaborating Centre for Drug Statistics Methodology. Guidelines for ATC classification and DDD assignment 2013. Oslo:2012</w:t>
      </w:r>
    </w:p>
    <w:p w:rsidR="009026DE" w:rsidRDefault="009026DE" w:rsidP="009026DE">
      <w:pPr>
        <w:pStyle w:val="ListParagraph"/>
        <w:numPr>
          <w:ilvl w:val="0"/>
          <w:numId w:val="24"/>
        </w:numPr>
        <w:rPr>
          <w:rFonts w:asciiTheme="majorHAnsi" w:hAnsiTheme="majorHAnsi"/>
        </w:rPr>
      </w:pPr>
      <w:r w:rsidRPr="009026DE">
        <w:rPr>
          <w:rFonts w:asciiTheme="majorHAnsi" w:hAnsiTheme="majorHAnsi"/>
        </w:rPr>
        <w:t>Department of Health. General practice statistics. [Online]. Accessed 16 January 2014. Available at: http://www.health.gov.au/internet/main/publishing.nsf/Content/General+Practice+Statistics-1</w:t>
      </w:r>
    </w:p>
    <w:p w:rsidR="00725FE4" w:rsidRDefault="00725FE4" w:rsidP="00725FE4">
      <w:pPr>
        <w:pStyle w:val="ListParagraph"/>
        <w:numPr>
          <w:ilvl w:val="0"/>
          <w:numId w:val="24"/>
        </w:numPr>
        <w:rPr>
          <w:rFonts w:asciiTheme="majorHAnsi" w:hAnsiTheme="majorHAnsi"/>
        </w:rPr>
      </w:pPr>
      <w:r w:rsidRPr="00725FE4">
        <w:rPr>
          <w:rFonts w:asciiTheme="majorHAnsi" w:hAnsiTheme="majorHAnsi"/>
        </w:rPr>
        <w:t>Australian Institute of Health and Welfare. Mental health workforce.[Online]. Accessed 16 January 2014. Available at: http://mhsa.aihw.gov.au/resources/workforce/</w:t>
      </w:r>
    </w:p>
    <w:p w:rsidR="009026DE" w:rsidRPr="009026DE" w:rsidRDefault="009026DE" w:rsidP="009026DE">
      <w:pPr>
        <w:pStyle w:val="ListParagraph"/>
        <w:numPr>
          <w:ilvl w:val="0"/>
          <w:numId w:val="24"/>
        </w:numPr>
        <w:rPr>
          <w:rFonts w:asciiTheme="majorHAnsi" w:hAnsiTheme="majorHAnsi"/>
        </w:rPr>
      </w:pPr>
      <w:r w:rsidRPr="009026DE">
        <w:rPr>
          <w:rFonts w:asciiTheme="majorHAnsi" w:hAnsiTheme="majorHAnsi"/>
        </w:rPr>
        <w:t>Alexander G, Gallagher S, Mascola A et al. Increasing off-label use of antipsychotic medications in the United States, 1995–2008. Pharamcoepi and Drug Safety 2011: doi:10.1002/pds.</w:t>
      </w:r>
    </w:p>
    <w:p w:rsidR="00CF1F9A" w:rsidRDefault="00DB5AD0" w:rsidP="00DB5AD0">
      <w:pPr>
        <w:pStyle w:val="ListParagraph"/>
        <w:numPr>
          <w:ilvl w:val="0"/>
          <w:numId w:val="24"/>
        </w:numPr>
        <w:rPr>
          <w:rFonts w:asciiTheme="majorHAnsi" w:hAnsiTheme="majorHAnsi"/>
        </w:rPr>
      </w:pPr>
      <w:r w:rsidRPr="00DB5AD0">
        <w:rPr>
          <w:rFonts w:asciiTheme="majorHAnsi" w:hAnsiTheme="majorHAnsi"/>
        </w:rPr>
        <w:t>Vitiello B, Correll C, van Zwieten-Boot B et al. Antipsychotics in children and adolescents: Increasing use, evidence for efficacy and safety concerns. Eur Neuropsychopharmacol 2009: doi:10.1016/j.euroneuro.2009.04.008.</w:t>
      </w:r>
    </w:p>
    <w:p w:rsidR="00603F1D" w:rsidRDefault="00603F1D" w:rsidP="00603F1D">
      <w:pPr>
        <w:pStyle w:val="ListParagraph"/>
        <w:numPr>
          <w:ilvl w:val="0"/>
          <w:numId w:val="24"/>
        </w:numPr>
        <w:rPr>
          <w:rFonts w:asciiTheme="majorHAnsi" w:hAnsiTheme="majorHAnsi"/>
        </w:rPr>
      </w:pPr>
      <w:r w:rsidRPr="00603F1D">
        <w:rPr>
          <w:rFonts w:asciiTheme="majorHAnsi" w:hAnsiTheme="majorHAnsi"/>
        </w:rPr>
        <w:t>Astra Zeneca Pty Ltd (pers</w:t>
      </w:r>
      <w:r>
        <w:rPr>
          <w:rFonts w:asciiTheme="majorHAnsi" w:hAnsiTheme="majorHAnsi"/>
        </w:rPr>
        <w:t>onal</w:t>
      </w:r>
      <w:r w:rsidRPr="00603F1D">
        <w:rPr>
          <w:rFonts w:asciiTheme="majorHAnsi" w:hAnsiTheme="majorHAnsi"/>
        </w:rPr>
        <w:t xml:space="preserve"> com</w:t>
      </w:r>
      <w:r>
        <w:rPr>
          <w:rFonts w:asciiTheme="majorHAnsi" w:hAnsiTheme="majorHAnsi"/>
        </w:rPr>
        <w:t>munication</w:t>
      </w:r>
      <w:r w:rsidRPr="00603F1D">
        <w:rPr>
          <w:rFonts w:asciiTheme="majorHAnsi" w:hAnsiTheme="majorHAnsi"/>
        </w:rPr>
        <w:t>)</w:t>
      </w:r>
      <w:r>
        <w:rPr>
          <w:rFonts w:asciiTheme="majorHAnsi" w:hAnsiTheme="majorHAnsi"/>
        </w:rPr>
        <w:t>.</w:t>
      </w:r>
      <w:r w:rsidRPr="00603F1D">
        <w:rPr>
          <w:rFonts w:asciiTheme="majorHAnsi" w:hAnsiTheme="majorHAnsi"/>
        </w:rPr>
        <w:t xml:space="preserve"> Response to DUSC review of atypical antipsychotics. June 2013.</w:t>
      </w:r>
    </w:p>
    <w:p w:rsidR="00603F1D" w:rsidRDefault="00603F1D" w:rsidP="00603F1D">
      <w:pPr>
        <w:pStyle w:val="ListParagraph"/>
        <w:numPr>
          <w:ilvl w:val="0"/>
          <w:numId w:val="24"/>
        </w:numPr>
        <w:rPr>
          <w:rFonts w:asciiTheme="majorHAnsi" w:hAnsiTheme="majorHAnsi"/>
        </w:rPr>
      </w:pPr>
      <w:r w:rsidRPr="00603F1D">
        <w:rPr>
          <w:rFonts w:asciiTheme="majorHAnsi" w:hAnsiTheme="majorHAnsi"/>
        </w:rPr>
        <w:t>Janssen-Cilag Australia (</w:t>
      </w:r>
      <w:r>
        <w:rPr>
          <w:rFonts w:asciiTheme="majorHAnsi" w:hAnsiTheme="majorHAnsi"/>
        </w:rPr>
        <w:t xml:space="preserve">personal </w:t>
      </w:r>
      <w:r w:rsidRPr="00603F1D">
        <w:rPr>
          <w:rFonts w:asciiTheme="majorHAnsi" w:hAnsiTheme="majorHAnsi"/>
        </w:rPr>
        <w:t>com</w:t>
      </w:r>
      <w:r>
        <w:rPr>
          <w:rFonts w:asciiTheme="majorHAnsi" w:hAnsiTheme="majorHAnsi"/>
        </w:rPr>
        <w:t>munication</w:t>
      </w:r>
      <w:r w:rsidRPr="00603F1D">
        <w:rPr>
          <w:rFonts w:asciiTheme="majorHAnsi" w:hAnsiTheme="majorHAnsi"/>
        </w:rPr>
        <w:t>)</w:t>
      </w:r>
      <w:r>
        <w:rPr>
          <w:rFonts w:asciiTheme="majorHAnsi" w:hAnsiTheme="majorHAnsi"/>
        </w:rPr>
        <w:t>.</w:t>
      </w:r>
      <w:r w:rsidRPr="00603F1D">
        <w:rPr>
          <w:rFonts w:asciiTheme="majorHAnsi" w:hAnsiTheme="majorHAnsi"/>
        </w:rPr>
        <w:t xml:space="preserve"> Response to Item 7.4 DUSC Report on Antipsychotics. June 2013.</w:t>
      </w:r>
    </w:p>
    <w:p w:rsidR="005A54D5" w:rsidRDefault="005A54D5" w:rsidP="005A54D5">
      <w:pPr>
        <w:pStyle w:val="ListParagraph"/>
        <w:numPr>
          <w:ilvl w:val="0"/>
          <w:numId w:val="24"/>
        </w:numPr>
        <w:rPr>
          <w:rFonts w:asciiTheme="majorHAnsi" w:hAnsiTheme="majorHAnsi"/>
        </w:rPr>
      </w:pPr>
      <w:r w:rsidRPr="005A54D5">
        <w:rPr>
          <w:rFonts w:asciiTheme="majorHAnsi" w:hAnsiTheme="majorHAnsi"/>
        </w:rPr>
        <w:t>Soreff S. Bipolar affective disorder. Medscape. [Online]. Accessed 12 November 2013. Available at: http://emedicine.medscape.com/article/286342-overview#a0156.</w:t>
      </w:r>
    </w:p>
    <w:p w:rsidR="005A54D5" w:rsidRDefault="005A54D5" w:rsidP="005A54D5">
      <w:pPr>
        <w:pStyle w:val="ListParagraph"/>
        <w:numPr>
          <w:ilvl w:val="0"/>
          <w:numId w:val="24"/>
        </w:numPr>
        <w:rPr>
          <w:rFonts w:asciiTheme="majorHAnsi" w:hAnsiTheme="majorHAnsi"/>
        </w:rPr>
      </w:pPr>
      <w:r w:rsidRPr="005A54D5">
        <w:rPr>
          <w:rFonts w:asciiTheme="majorHAnsi" w:hAnsiTheme="majorHAnsi"/>
        </w:rPr>
        <w:t>Ochoa S, Usall J, Cobo J, Labad X &amp; Kulkarni J. Gender differences in schizophrenia and first-episode psychosis: a comprehensive literature review. Schizophrenia Research and Treatment 2012, ID916198; doi 10.1155/2012/916198.</w:t>
      </w:r>
    </w:p>
    <w:p w:rsidR="00DB626A" w:rsidRPr="00DB626A" w:rsidRDefault="00DB626A" w:rsidP="00DB626A">
      <w:pPr>
        <w:pStyle w:val="ListParagraph"/>
        <w:numPr>
          <w:ilvl w:val="0"/>
          <w:numId w:val="24"/>
        </w:numPr>
        <w:rPr>
          <w:rFonts w:asciiTheme="majorHAnsi" w:hAnsiTheme="majorHAnsi"/>
        </w:rPr>
      </w:pPr>
      <w:r w:rsidRPr="00DB626A">
        <w:rPr>
          <w:rFonts w:asciiTheme="majorHAnsi" w:hAnsiTheme="majorHAnsi"/>
        </w:rPr>
        <w:t>Ravindran AV, Al-Subaie A and Abraham G. Quetiapine: novel uses in the treatment of depressive and anxiety disorders. Expert Opin Investig Drugs 2010; 19(10):1187–204.</w:t>
      </w:r>
    </w:p>
    <w:p w:rsidR="00DB626A" w:rsidRPr="00DB626A" w:rsidRDefault="00DB626A" w:rsidP="00B62416">
      <w:pPr>
        <w:pStyle w:val="ListParagraph"/>
        <w:numPr>
          <w:ilvl w:val="0"/>
          <w:numId w:val="24"/>
        </w:numPr>
        <w:rPr>
          <w:rFonts w:asciiTheme="majorHAnsi" w:hAnsiTheme="majorHAnsi"/>
          <w:color w:val="333333"/>
          <w:u w:val="single"/>
        </w:rPr>
      </w:pPr>
      <w:r w:rsidRPr="00DB626A">
        <w:rPr>
          <w:rFonts w:asciiTheme="majorHAnsi" w:hAnsiTheme="majorHAnsi"/>
        </w:rPr>
        <w:t>Rossi S, Ed. Australian Medicines Handbook 2013. Australian Medicines Handbook Pty Ltd. Adelaide: South Australia.</w:t>
      </w:r>
    </w:p>
    <w:p w:rsidR="00DB626A" w:rsidRPr="00DB626A" w:rsidRDefault="008E4043" w:rsidP="00B62416">
      <w:pPr>
        <w:pStyle w:val="ListParagraph"/>
        <w:numPr>
          <w:ilvl w:val="0"/>
          <w:numId w:val="24"/>
        </w:numPr>
        <w:rPr>
          <w:rStyle w:val="Hyperlink"/>
          <w:rFonts w:asciiTheme="majorHAnsi" w:hAnsiTheme="majorHAnsi"/>
          <w:color w:val="auto"/>
          <w:u w:val="none"/>
        </w:rPr>
      </w:pPr>
      <w:r w:rsidRPr="00DB626A">
        <w:rPr>
          <w:rFonts w:asciiTheme="majorHAnsi" w:hAnsiTheme="majorHAnsi"/>
        </w:rPr>
        <w:t>Antipsychotics hit the street. Australian Doctor June 2011. [Online]. Accessed 7</w:t>
      </w:r>
      <w:r w:rsidR="009E2EB0" w:rsidRPr="00DB626A">
        <w:rPr>
          <w:rFonts w:asciiTheme="majorHAnsi" w:hAnsiTheme="majorHAnsi"/>
        </w:rPr>
        <w:t xml:space="preserve"> </w:t>
      </w:r>
      <w:r w:rsidRPr="00DB626A">
        <w:rPr>
          <w:rFonts w:asciiTheme="majorHAnsi" w:hAnsiTheme="majorHAnsi"/>
        </w:rPr>
        <w:t xml:space="preserve">November 2013. Available at: </w:t>
      </w:r>
      <w:hyperlink r:id="rId36" w:history="1">
        <w:r w:rsidR="00E65B3B" w:rsidRPr="00DB626A">
          <w:rPr>
            <w:rStyle w:val="Hyperlink"/>
            <w:rFonts w:asciiTheme="majorHAnsi" w:hAnsiTheme="majorHAnsi"/>
          </w:rPr>
          <w:t>www.australiandoctor.com.au/news/latest-news/antipsychotics-hit-the-street</w:t>
        </w:r>
      </w:hyperlink>
      <w:r w:rsidR="00054EAC" w:rsidRPr="00DB626A">
        <w:rPr>
          <w:rStyle w:val="Hyperlink"/>
          <w:rFonts w:asciiTheme="majorHAnsi" w:hAnsiTheme="majorHAnsi"/>
        </w:rPr>
        <w:t>.</w:t>
      </w:r>
    </w:p>
    <w:p w:rsidR="009026DE" w:rsidRPr="009026DE" w:rsidRDefault="009026DE" w:rsidP="009026DE">
      <w:pPr>
        <w:pStyle w:val="ListParagraph"/>
        <w:numPr>
          <w:ilvl w:val="0"/>
          <w:numId w:val="24"/>
        </w:numPr>
        <w:rPr>
          <w:rFonts w:asciiTheme="majorHAnsi" w:hAnsiTheme="majorHAnsi"/>
        </w:rPr>
      </w:pPr>
      <w:r w:rsidRPr="009026DE">
        <w:rPr>
          <w:rFonts w:asciiTheme="majorHAnsi" w:hAnsiTheme="majorHAnsi"/>
        </w:rPr>
        <w:lastRenderedPageBreak/>
        <w:t>Death sparks doctor shopping fears. Medical Observer June 2010. [Online]. Accessed 7 November 2013. Available at: www.medicalobserver.com.au/news/death-sparks-doctor-shopping-fears.</w:t>
      </w:r>
    </w:p>
    <w:p w:rsidR="009026DE" w:rsidRDefault="009026DE" w:rsidP="009026DE">
      <w:pPr>
        <w:pStyle w:val="ListParagraph"/>
        <w:numPr>
          <w:ilvl w:val="0"/>
          <w:numId w:val="24"/>
        </w:numPr>
        <w:rPr>
          <w:rFonts w:asciiTheme="majorHAnsi" w:hAnsiTheme="majorHAnsi"/>
        </w:rPr>
      </w:pPr>
      <w:r w:rsidRPr="009026DE">
        <w:rPr>
          <w:rFonts w:asciiTheme="majorHAnsi" w:hAnsiTheme="majorHAnsi"/>
        </w:rPr>
        <w:t>Mitchell P (personal communication). Scienta Professor and Head of School of Psychiatry, University of New South Wales. email 13 January 2014.</w:t>
      </w:r>
    </w:p>
    <w:p w:rsidR="009026DE" w:rsidRDefault="009026DE" w:rsidP="009026DE">
      <w:pPr>
        <w:pStyle w:val="ListParagraph"/>
        <w:numPr>
          <w:ilvl w:val="0"/>
          <w:numId w:val="24"/>
        </w:numPr>
        <w:rPr>
          <w:rFonts w:asciiTheme="majorHAnsi" w:hAnsiTheme="majorHAnsi"/>
        </w:rPr>
      </w:pPr>
      <w:r w:rsidRPr="009026DE">
        <w:rPr>
          <w:rFonts w:asciiTheme="majorHAnsi" w:hAnsiTheme="majorHAnsi"/>
        </w:rPr>
        <w:t>McEvoy P, Grove R and Slade T. Epidemiology of Anxiety Disorders in the Australian General Population: Findings of the 2007 Australian National Survey of Mental Health and Wellbeing. Australian and New Zealand Journal of Psychiatry 2011;45: 957–67.</w:t>
      </w:r>
    </w:p>
    <w:p w:rsidR="009026DE" w:rsidRDefault="009026DE" w:rsidP="009026DE">
      <w:pPr>
        <w:pStyle w:val="ListParagraph"/>
        <w:numPr>
          <w:ilvl w:val="0"/>
          <w:numId w:val="24"/>
        </w:numPr>
        <w:rPr>
          <w:rFonts w:asciiTheme="majorHAnsi" w:hAnsiTheme="majorHAnsi"/>
        </w:rPr>
      </w:pPr>
      <w:r w:rsidRPr="009026DE">
        <w:rPr>
          <w:rFonts w:asciiTheme="majorHAnsi" w:hAnsiTheme="majorHAnsi"/>
        </w:rPr>
        <w:t>Turner P, Kantaria R and Young A. A systematic review and meta-analysis of the evidence base for add-on treatment for patients with major depressive disorder who have not responded to antidepressant treatment: A European perspective. J Psychopharmacol. 2014;28:85–98, first published on October 9, 2013. doi:10.1177/0269881113507640</w:t>
      </w:r>
    </w:p>
    <w:p w:rsidR="009026DE" w:rsidRDefault="009026DE" w:rsidP="009026DE">
      <w:pPr>
        <w:pStyle w:val="ListParagraph"/>
        <w:numPr>
          <w:ilvl w:val="0"/>
          <w:numId w:val="24"/>
        </w:numPr>
        <w:rPr>
          <w:rFonts w:asciiTheme="majorHAnsi" w:hAnsiTheme="majorHAnsi"/>
        </w:rPr>
      </w:pPr>
      <w:r w:rsidRPr="009026DE">
        <w:rPr>
          <w:rFonts w:asciiTheme="majorHAnsi" w:hAnsiTheme="majorHAnsi"/>
        </w:rPr>
        <w:t>Islam MM,Cconigrave KM, Day CA et al. Twenty-year trends in benzodiazepine dispensing in Australian population. Internal Medicines Journal 2013; doi:10.1111/imj.12315</w:t>
      </w:r>
    </w:p>
    <w:p w:rsidR="009026DE" w:rsidRDefault="009026DE" w:rsidP="009026DE">
      <w:pPr>
        <w:pStyle w:val="ListParagraph"/>
        <w:numPr>
          <w:ilvl w:val="0"/>
          <w:numId w:val="24"/>
        </w:numPr>
        <w:rPr>
          <w:rFonts w:asciiTheme="majorHAnsi" w:hAnsiTheme="majorHAnsi"/>
        </w:rPr>
      </w:pPr>
      <w:r w:rsidRPr="009026DE">
        <w:rPr>
          <w:rFonts w:asciiTheme="majorHAnsi" w:hAnsiTheme="majorHAnsi"/>
        </w:rPr>
        <w:t>Emble</w:t>
      </w:r>
      <w:r w:rsidR="00C30DED">
        <w:rPr>
          <w:rFonts w:asciiTheme="majorHAnsi" w:hAnsiTheme="majorHAnsi"/>
        </w:rPr>
        <w:t>n</w:t>
      </w:r>
      <w:r w:rsidRPr="009026DE">
        <w:rPr>
          <w:rFonts w:asciiTheme="majorHAnsi" w:hAnsiTheme="majorHAnsi"/>
        </w:rPr>
        <w:t xml:space="preserve"> G (personal communication). Deputy Director of Medical Education, General Practice Training Queensland. email 6 January 2014.</w:t>
      </w:r>
    </w:p>
    <w:p w:rsidR="00DF422C" w:rsidRPr="00DF422C" w:rsidRDefault="00DF422C" w:rsidP="00DF422C">
      <w:pPr>
        <w:pStyle w:val="ListParagraph"/>
        <w:numPr>
          <w:ilvl w:val="0"/>
          <w:numId w:val="24"/>
        </w:numPr>
        <w:rPr>
          <w:rFonts w:asciiTheme="majorHAnsi" w:hAnsiTheme="majorHAnsi"/>
        </w:rPr>
      </w:pPr>
      <w:r w:rsidRPr="00DF422C">
        <w:rPr>
          <w:rFonts w:asciiTheme="majorHAnsi" w:hAnsiTheme="majorHAnsi"/>
        </w:rPr>
        <w:t>National Prescribing Service. Balancing benefits and harms of antipsychotic therapy. 2011. [Online]. Accessed 11 December 2013. Available at: www.nps.org.au/publications/health-professional/nps-news/2011/balancing-benefits-harms-of-antipsychotic-therapy.</w:t>
      </w:r>
    </w:p>
    <w:p w:rsidR="002A7AB0" w:rsidRDefault="002A7AB0">
      <w:pPr>
        <w:rPr>
          <w:rFonts w:asciiTheme="majorHAnsi" w:eastAsia="Times New Roman" w:hAnsiTheme="majorHAnsi" w:cs="Times New Roman"/>
          <w:szCs w:val="20"/>
          <w:lang w:eastAsia="en-AU"/>
        </w:rPr>
      </w:pPr>
      <w:r>
        <w:rPr>
          <w:rFonts w:asciiTheme="majorHAnsi" w:eastAsia="Times New Roman" w:hAnsiTheme="majorHAnsi" w:cs="Times New Roman"/>
          <w:szCs w:val="20"/>
          <w:lang w:eastAsia="en-AU"/>
        </w:rPr>
        <w:br w:type="page"/>
      </w:r>
    </w:p>
    <w:p w:rsidR="002A7AB0" w:rsidRDefault="002A7AB0" w:rsidP="00411113">
      <w:pPr>
        <w:pStyle w:val="Heading2"/>
      </w:pPr>
      <w:r w:rsidRPr="00411113">
        <w:lastRenderedPageBreak/>
        <w:t>Sponsor comments:</w:t>
      </w:r>
    </w:p>
    <w:p w:rsidR="00411113" w:rsidRPr="00411113" w:rsidRDefault="00411113" w:rsidP="002A7AB0">
      <w:pPr>
        <w:spacing w:after="0"/>
        <w:rPr>
          <w:rFonts w:asciiTheme="majorHAnsi" w:hAnsiTheme="majorHAnsi"/>
          <w:b/>
        </w:rPr>
      </w:pPr>
    </w:p>
    <w:p w:rsidR="002A7AB0" w:rsidRPr="002A7AB0" w:rsidRDefault="002A7AB0" w:rsidP="002A7AB0">
      <w:pPr>
        <w:spacing w:after="0"/>
        <w:rPr>
          <w:rFonts w:asciiTheme="majorHAnsi" w:hAnsiTheme="majorHAnsi"/>
        </w:rPr>
      </w:pPr>
      <w:r w:rsidRPr="002A7AB0">
        <w:rPr>
          <w:rFonts w:asciiTheme="majorHAnsi" w:hAnsiTheme="majorHAnsi"/>
        </w:rPr>
        <w:t>AstraZeneca Pty Ltd:</w:t>
      </w:r>
    </w:p>
    <w:p w:rsidR="002A7AB0" w:rsidRPr="002A7AB0" w:rsidRDefault="002A7AB0" w:rsidP="002A7AB0">
      <w:pPr>
        <w:spacing w:after="0"/>
        <w:rPr>
          <w:rFonts w:asciiTheme="majorHAnsi" w:hAnsiTheme="majorHAnsi"/>
        </w:rPr>
      </w:pPr>
      <w:r w:rsidRPr="002A7AB0">
        <w:rPr>
          <w:rFonts w:asciiTheme="majorHAnsi" w:hAnsiTheme="majorHAnsi"/>
        </w:rPr>
        <w:t>As manufacturers of quetiapine, AstraZeneca welcomes the DUSC reviews of utilisation of antipsychotics, and supports the conclusions of the analysis. Clinicians clearly face a range of challenging issues when considering the prescription of antipsychotic medicines to people who often have complex mental health issues.  We hope that our support for limiting repeat prescriptions of 25mg quetiapine is an effective contribution towards combating any misuse of this medicine.</w:t>
      </w:r>
    </w:p>
    <w:p w:rsidR="002A7AB0" w:rsidRPr="002A7AB0" w:rsidRDefault="002A7AB0" w:rsidP="002A7AB0">
      <w:pPr>
        <w:spacing w:after="0"/>
        <w:rPr>
          <w:rFonts w:asciiTheme="majorHAnsi" w:hAnsiTheme="majorHAnsi"/>
        </w:rPr>
      </w:pPr>
    </w:p>
    <w:p w:rsidR="002A7AB0" w:rsidRPr="002A7AB0" w:rsidRDefault="002A7AB0" w:rsidP="002A7AB0">
      <w:pPr>
        <w:spacing w:after="0"/>
        <w:rPr>
          <w:rFonts w:asciiTheme="majorHAnsi" w:hAnsiTheme="majorHAnsi"/>
        </w:rPr>
      </w:pPr>
      <w:r w:rsidRPr="002A7AB0">
        <w:rPr>
          <w:rFonts w:asciiTheme="majorHAnsi" w:hAnsiTheme="majorHAnsi"/>
        </w:rPr>
        <w:t>BNM Group, Bristol-Myers Squibb Australia Pty Ltd, Eli Lilly Australia Pty Ltd, Janssen-Cilag Pty Ltd, Lundbeck Australia Pty Ltd, and Pfizer Australia Pty Ltd:</w:t>
      </w:r>
    </w:p>
    <w:p w:rsidR="002A7AB0" w:rsidRPr="002A7AB0" w:rsidRDefault="002A7AB0" w:rsidP="002A7AB0">
      <w:pPr>
        <w:spacing w:after="0"/>
        <w:rPr>
          <w:rFonts w:asciiTheme="majorHAnsi" w:hAnsiTheme="majorHAnsi"/>
        </w:rPr>
      </w:pPr>
      <w:r w:rsidRPr="002A7AB0">
        <w:rPr>
          <w:rFonts w:asciiTheme="majorHAnsi" w:hAnsiTheme="majorHAnsi"/>
        </w:rPr>
        <w:t>No comment.</w:t>
      </w:r>
    </w:p>
    <w:p w:rsidR="002A7AB0" w:rsidRPr="002A7AB0" w:rsidRDefault="002A7AB0" w:rsidP="002A7AB0">
      <w:pPr>
        <w:spacing w:after="0"/>
        <w:rPr>
          <w:rFonts w:asciiTheme="majorHAnsi" w:hAnsiTheme="majorHAnsi"/>
        </w:rPr>
      </w:pPr>
    </w:p>
    <w:p w:rsidR="002A7AB0" w:rsidRPr="002A7AB0" w:rsidRDefault="002A7AB0" w:rsidP="002A7AB0">
      <w:pPr>
        <w:spacing w:after="0"/>
        <w:rPr>
          <w:rFonts w:asciiTheme="majorHAnsi" w:hAnsiTheme="majorHAnsi"/>
        </w:rPr>
      </w:pPr>
      <w:r w:rsidRPr="002A7AB0">
        <w:rPr>
          <w:rFonts w:asciiTheme="majorHAnsi" w:hAnsiTheme="majorHAnsi"/>
        </w:rPr>
        <w:t>Actavis Australia Pty Ltd, Alphapharm Pty Ltd, Apotex Pty Ltd, Aspen Pharmacare Australia Pty Limited, Aurobindo Pharma (Australia) Pty Limited, Dr Reddy's Laboratories (Australia) Pty Ltd, Generic Health Pty Ltd, Ranbaxy Australia Pty Limited, Sandoz Pty Ltd:</w:t>
      </w:r>
    </w:p>
    <w:p w:rsidR="0028769D" w:rsidRDefault="002A7AB0" w:rsidP="002A7AB0">
      <w:pPr>
        <w:spacing w:after="0"/>
        <w:rPr>
          <w:rFonts w:asciiTheme="majorHAnsi" w:hAnsiTheme="majorHAnsi"/>
        </w:rPr>
      </w:pPr>
      <w:r w:rsidRPr="002A7AB0">
        <w:rPr>
          <w:rFonts w:asciiTheme="majorHAnsi" w:hAnsiTheme="majorHAnsi"/>
        </w:rPr>
        <w:t>No comment received.</w:t>
      </w:r>
    </w:p>
    <w:p w:rsidR="0028769D" w:rsidRDefault="0028769D">
      <w:pPr>
        <w:rPr>
          <w:rFonts w:asciiTheme="majorHAnsi" w:hAnsiTheme="majorHAnsi"/>
        </w:rPr>
      </w:pPr>
      <w:r>
        <w:rPr>
          <w:rFonts w:asciiTheme="majorHAnsi" w:hAnsiTheme="majorHAnsi"/>
        </w:rPr>
        <w:br w:type="page"/>
      </w:r>
    </w:p>
    <w:p w:rsidR="0028769D" w:rsidRPr="0028769D" w:rsidRDefault="0028769D" w:rsidP="00411113">
      <w:pPr>
        <w:pStyle w:val="Heading2"/>
      </w:pPr>
      <w:r w:rsidRPr="0028769D">
        <w:lastRenderedPageBreak/>
        <w:t>Disclaimer</w:t>
      </w:r>
    </w:p>
    <w:p w:rsidR="0028769D" w:rsidRPr="0028769D" w:rsidRDefault="0028769D" w:rsidP="0028769D">
      <w:pPr>
        <w:spacing w:after="0"/>
        <w:rPr>
          <w:rFonts w:asciiTheme="majorHAnsi" w:hAnsiTheme="majorHAnsi"/>
        </w:rPr>
      </w:pPr>
    </w:p>
    <w:p w:rsidR="0028769D" w:rsidRPr="0028769D" w:rsidRDefault="0028769D" w:rsidP="0028769D">
      <w:pPr>
        <w:spacing w:after="0"/>
        <w:rPr>
          <w:rFonts w:asciiTheme="majorHAnsi" w:hAnsiTheme="majorHAnsi"/>
        </w:rPr>
      </w:pPr>
      <w:r w:rsidRPr="0028769D">
        <w:rPr>
          <w:rFonts w:asciiTheme="majorHAnsi" w:hAnsiTheme="majorHAnsi"/>
        </w:rP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28769D" w:rsidRDefault="0028769D" w:rsidP="0028769D">
      <w:pPr>
        <w:spacing w:after="0"/>
        <w:rPr>
          <w:rFonts w:asciiTheme="majorHAnsi" w:hAnsiTheme="majorHAnsi"/>
        </w:rPr>
      </w:pPr>
    </w:p>
    <w:p w:rsidR="0028769D" w:rsidRPr="0028769D" w:rsidRDefault="0028769D" w:rsidP="0028769D">
      <w:pPr>
        <w:spacing w:after="0"/>
        <w:rPr>
          <w:rFonts w:asciiTheme="majorHAnsi" w:hAnsiTheme="majorHAnsi"/>
        </w:rPr>
      </w:pPr>
      <w:r w:rsidRPr="0028769D">
        <w:rPr>
          <w:rFonts w:asciiTheme="majorHAnsi" w:hAnsiTheme="majorHAnsi"/>
        </w:rP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28769D" w:rsidRDefault="0028769D" w:rsidP="0028769D">
      <w:pPr>
        <w:spacing w:after="0"/>
        <w:rPr>
          <w:rFonts w:asciiTheme="majorHAnsi" w:hAnsiTheme="majorHAnsi"/>
        </w:rPr>
      </w:pPr>
    </w:p>
    <w:p w:rsidR="0028769D" w:rsidRPr="0028769D" w:rsidRDefault="0028769D" w:rsidP="0028769D">
      <w:pPr>
        <w:spacing w:after="0"/>
        <w:rPr>
          <w:rFonts w:asciiTheme="majorHAnsi" w:hAnsiTheme="majorHAnsi"/>
        </w:rPr>
      </w:pPr>
      <w:r w:rsidRPr="0028769D">
        <w:rPr>
          <w:rFonts w:asciiTheme="majorHAnsi" w:hAnsiTheme="majorHAnsi"/>
        </w:rPr>
        <w:t xml:space="preserve">To the extent provided by law, DoH makes no warranties or representations as to accuracy or completeness of information contained in this report. </w:t>
      </w:r>
    </w:p>
    <w:p w:rsidR="0028769D" w:rsidRDefault="0028769D" w:rsidP="0028769D">
      <w:pPr>
        <w:spacing w:after="0"/>
        <w:rPr>
          <w:rFonts w:asciiTheme="majorHAnsi" w:hAnsiTheme="majorHAnsi"/>
        </w:rPr>
      </w:pPr>
    </w:p>
    <w:p w:rsidR="0028769D" w:rsidRPr="0028769D" w:rsidRDefault="0028769D" w:rsidP="0028769D">
      <w:pPr>
        <w:spacing w:after="0"/>
        <w:rPr>
          <w:rFonts w:asciiTheme="majorHAnsi" w:hAnsiTheme="majorHAnsi"/>
        </w:rPr>
      </w:pPr>
      <w:r w:rsidRPr="0028769D">
        <w:rPr>
          <w:rFonts w:asciiTheme="majorHAnsi" w:hAnsiTheme="majorHAnsi"/>
        </w:rP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531ABC" w:rsidRDefault="00531ABC" w:rsidP="002A7AB0">
      <w:pPr>
        <w:spacing w:after="0"/>
        <w:rPr>
          <w:rFonts w:asciiTheme="majorHAnsi" w:hAnsiTheme="majorHAnsi"/>
        </w:rPr>
      </w:pPr>
    </w:p>
    <w:sectPr w:rsidR="00531ABC" w:rsidSect="001973FC">
      <w:pgSz w:w="11900" w:h="16840"/>
      <w:pgMar w:top="1440" w:right="1800" w:bottom="1440" w:left="1800" w:header="708" w:footer="70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E81" w:rsidRDefault="00442E81">
      <w:pPr>
        <w:spacing w:after="0"/>
      </w:pPr>
      <w:r>
        <w:separator/>
      </w:r>
    </w:p>
  </w:endnote>
  <w:endnote w:type="continuationSeparator" w:id="0">
    <w:p w:rsidR="00442E81" w:rsidRDefault="00442E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8C6" w:rsidRDefault="006308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1234419"/>
      <w:docPartObj>
        <w:docPartGallery w:val="Page Numbers (Bottom of Page)"/>
        <w:docPartUnique/>
      </w:docPartObj>
    </w:sdtPr>
    <w:sdtEndPr>
      <w:rPr>
        <w:noProof/>
      </w:rPr>
    </w:sdtEndPr>
    <w:sdtContent>
      <w:p w:rsidR="005F0394" w:rsidRDefault="005F0394">
        <w:pPr>
          <w:pStyle w:val="Footer"/>
          <w:jc w:val="right"/>
        </w:pPr>
        <w:r>
          <w:fldChar w:fldCharType="begin"/>
        </w:r>
        <w:r>
          <w:instrText xml:space="preserve"> PAGE   \* MERGEFORMAT </w:instrText>
        </w:r>
        <w:r>
          <w:fldChar w:fldCharType="separate"/>
        </w:r>
        <w:r w:rsidR="006308C6">
          <w:rPr>
            <w:noProof/>
          </w:rPr>
          <w:t>27</w:t>
        </w:r>
        <w:r>
          <w:rPr>
            <w:noProof/>
          </w:rPr>
          <w:fldChar w:fldCharType="end"/>
        </w:r>
      </w:p>
    </w:sdtContent>
  </w:sdt>
  <w:p w:rsidR="007A0A6E" w:rsidRDefault="007A0A6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856" w:rsidRDefault="00101856">
    <w:pPr>
      <w:pStyle w:val="Footer"/>
      <w:jc w:val="right"/>
    </w:pPr>
  </w:p>
  <w:p w:rsidR="007A0A6E" w:rsidRDefault="007A0A6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7594615"/>
      <w:docPartObj>
        <w:docPartGallery w:val="Page Numbers (Bottom of Page)"/>
        <w:docPartUnique/>
      </w:docPartObj>
    </w:sdtPr>
    <w:sdtEndPr>
      <w:rPr>
        <w:noProof/>
      </w:rPr>
    </w:sdtEndPr>
    <w:sdtContent>
      <w:p w:rsidR="00666152" w:rsidRDefault="00666152">
        <w:pPr>
          <w:pStyle w:val="Footer"/>
          <w:jc w:val="right"/>
        </w:pPr>
        <w:r>
          <w:fldChar w:fldCharType="begin"/>
        </w:r>
        <w:r>
          <w:instrText xml:space="preserve"> PAGE   \* MERGEFORMAT </w:instrText>
        </w:r>
        <w:r>
          <w:fldChar w:fldCharType="separate"/>
        </w:r>
        <w:r w:rsidR="006308C6">
          <w:rPr>
            <w:noProof/>
          </w:rPr>
          <w:t>1</w:t>
        </w:r>
        <w:r>
          <w:rPr>
            <w:noProof/>
          </w:rPr>
          <w:fldChar w:fldCharType="end"/>
        </w:r>
      </w:p>
    </w:sdtContent>
  </w:sdt>
  <w:p w:rsidR="00666152" w:rsidRDefault="006661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E81" w:rsidRDefault="00442E81">
      <w:pPr>
        <w:spacing w:after="0"/>
      </w:pPr>
      <w:r>
        <w:separator/>
      </w:r>
    </w:p>
  </w:footnote>
  <w:footnote w:type="continuationSeparator" w:id="0">
    <w:p w:rsidR="00442E81" w:rsidRDefault="00442E81">
      <w:pPr>
        <w:spacing w:after="0"/>
      </w:pPr>
      <w:r>
        <w:continuationSeparator/>
      </w:r>
    </w:p>
  </w:footnote>
  <w:footnote w:id="1">
    <w:p w:rsidR="001A7F9D" w:rsidRDefault="001A7F9D">
      <w:pPr>
        <w:pStyle w:val="FootnoteText"/>
      </w:pPr>
      <w:r>
        <w:rPr>
          <w:rStyle w:val="FootnoteReference"/>
        </w:rPr>
        <w:footnoteRef/>
      </w:r>
      <w:r>
        <w:t xml:space="preserve"> </w:t>
      </w:r>
      <w:r w:rsidRPr="00474E87">
        <w:t>A behavioural disturbance associated with autism is defined as severe aggression that may result in injuries to self or others, where non-pharmacological methods alone have been unsuccessful. The diagnosis of autism must be made based on the Diagnostic and Statistical Manual of Mental Disorders, Fourth Edition (DSM-IV) or ICD-10 international classification of mental and behavioural disorders.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8C6" w:rsidRDefault="006308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8C6" w:rsidRDefault="006308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8C6" w:rsidRDefault="006308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9606D1A"/>
    <w:lvl w:ilvl="0">
      <w:numFmt w:val="bullet"/>
      <w:lvlText w:val="*"/>
      <w:lvlJc w:val="left"/>
    </w:lvl>
  </w:abstractNum>
  <w:abstractNum w:abstractNumId="1">
    <w:nsid w:val="02A80C09"/>
    <w:multiLevelType w:val="hybridMultilevel"/>
    <w:tmpl w:val="83EC986C"/>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42C499F"/>
    <w:multiLevelType w:val="hybridMultilevel"/>
    <w:tmpl w:val="484266A2"/>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74D5645"/>
    <w:multiLevelType w:val="hybridMultilevel"/>
    <w:tmpl w:val="37AAE2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AB27613"/>
    <w:multiLevelType w:val="hybridMultilevel"/>
    <w:tmpl w:val="6A9EB656"/>
    <w:lvl w:ilvl="0" w:tplc="56822D7C">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BC773B0"/>
    <w:multiLevelType w:val="hybridMultilevel"/>
    <w:tmpl w:val="DD989AC0"/>
    <w:lvl w:ilvl="0" w:tplc="785C05E4">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CAE1209"/>
    <w:multiLevelType w:val="hybridMultilevel"/>
    <w:tmpl w:val="536E16CE"/>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13CC2A83"/>
    <w:multiLevelType w:val="hybridMultilevel"/>
    <w:tmpl w:val="4B205AEC"/>
    <w:lvl w:ilvl="0" w:tplc="0C09000F">
      <w:start w:val="1"/>
      <w:numFmt w:val="decimal"/>
      <w:lvlText w:val="%1."/>
      <w:lvlJc w:val="left"/>
      <w:pPr>
        <w:ind w:left="788" w:hanging="360"/>
      </w:pPr>
    </w:lvl>
    <w:lvl w:ilvl="1" w:tplc="0C090019" w:tentative="1">
      <w:start w:val="1"/>
      <w:numFmt w:val="lowerLetter"/>
      <w:lvlText w:val="%2."/>
      <w:lvlJc w:val="left"/>
      <w:pPr>
        <w:ind w:left="1508" w:hanging="360"/>
      </w:pPr>
    </w:lvl>
    <w:lvl w:ilvl="2" w:tplc="0C09001B" w:tentative="1">
      <w:start w:val="1"/>
      <w:numFmt w:val="lowerRoman"/>
      <w:lvlText w:val="%3."/>
      <w:lvlJc w:val="right"/>
      <w:pPr>
        <w:ind w:left="2228" w:hanging="180"/>
      </w:pPr>
    </w:lvl>
    <w:lvl w:ilvl="3" w:tplc="0C09000F" w:tentative="1">
      <w:start w:val="1"/>
      <w:numFmt w:val="decimal"/>
      <w:lvlText w:val="%4."/>
      <w:lvlJc w:val="left"/>
      <w:pPr>
        <w:ind w:left="2948" w:hanging="360"/>
      </w:pPr>
    </w:lvl>
    <w:lvl w:ilvl="4" w:tplc="0C090019" w:tentative="1">
      <w:start w:val="1"/>
      <w:numFmt w:val="lowerLetter"/>
      <w:lvlText w:val="%5."/>
      <w:lvlJc w:val="left"/>
      <w:pPr>
        <w:ind w:left="3668" w:hanging="360"/>
      </w:pPr>
    </w:lvl>
    <w:lvl w:ilvl="5" w:tplc="0C09001B" w:tentative="1">
      <w:start w:val="1"/>
      <w:numFmt w:val="lowerRoman"/>
      <w:lvlText w:val="%6."/>
      <w:lvlJc w:val="right"/>
      <w:pPr>
        <w:ind w:left="4388" w:hanging="180"/>
      </w:pPr>
    </w:lvl>
    <w:lvl w:ilvl="6" w:tplc="0C09000F" w:tentative="1">
      <w:start w:val="1"/>
      <w:numFmt w:val="decimal"/>
      <w:lvlText w:val="%7."/>
      <w:lvlJc w:val="left"/>
      <w:pPr>
        <w:ind w:left="5108" w:hanging="360"/>
      </w:pPr>
    </w:lvl>
    <w:lvl w:ilvl="7" w:tplc="0C090019" w:tentative="1">
      <w:start w:val="1"/>
      <w:numFmt w:val="lowerLetter"/>
      <w:lvlText w:val="%8."/>
      <w:lvlJc w:val="left"/>
      <w:pPr>
        <w:ind w:left="5828" w:hanging="360"/>
      </w:pPr>
    </w:lvl>
    <w:lvl w:ilvl="8" w:tplc="0C09001B" w:tentative="1">
      <w:start w:val="1"/>
      <w:numFmt w:val="lowerRoman"/>
      <w:lvlText w:val="%9."/>
      <w:lvlJc w:val="right"/>
      <w:pPr>
        <w:ind w:left="6548" w:hanging="180"/>
      </w:pPr>
    </w:lvl>
  </w:abstractNum>
  <w:abstractNum w:abstractNumId="8">
    <w:nsid w:val="1BB46F0D"/>
    <w:multiLevelType w:val="hybridMultilevel"/>
    <w:tmpl w:val="4A40F7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3400E35"/>
    <w:multiLevelType w:val="hybridMultilevel"/>
    <w:tmpl w:val="55C6F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50D2D7A"/>
    <w:multiLevelType w:val="hybridMultilevel"/>
    <w:tmpl w:val="56C2BBD2"/>
    <w:lvl w:ilvl="0" w:tplc="785C05E4">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57657B9"/>
    <w:multiLevelType w:val="hybridMultilevel"/>
    <w:tmpl w:val="C972A046"/>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2D0D0918"/>
    <w:multiLevelType w:val="hybridMultilevel"/>
    <w:tmpl w:val="C054D2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30057C16"/>
    <w:multiLevelType w:val="hybridMultilevel"/>
    <w:tmpl w:val="7A7C423E"/>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7212AD9"/>
    <w:multiLevelType w:val="hybridMultilevel"/>
    <w:tmpl w:val="0D5014D4"/>
    <w:lvl w:ilvl="0" w:tplc="56822D7C">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2A62ECE"/>
    <w:multiLevelType w:val="hybridMultilevel"/>
    <w:tmpl w:val="B3CE8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7FE3161"/>
    <w:multiLevelType w:val="hybridMultilevel"/>
    <w:tmpl w:val="B2362DEE"/>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nsid w:val="50AD4836"/>
    <w:multiLevelType w:val="hybridMultilevel"/>
    <w:tmpl w:val="C1881DE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nsid w:val="5E202DB0"/>
    <w:multiLevelType w:val="hybridMultilevel"/>
    <w:tmpl w:val="C75EDB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4880401"/>
    <w:multiLevelType w:val="hybridMultilevel"/>
    <w:tmpl w:val="705AAD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6C084118"/>
    <w:multiLevelType w:val="hybridMultilevel"/>
    <w:tmpl w:val="0ABE69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6D9C5A44"/>
    <w:multiLevelType w:val="hybridMultilevel"/>
    <w:tmpl w:val="32987DEC"/>
    <w:lvl w:ilvl="0" w:tplc="6F9C316A">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EC411F8"/>
    <w:multiLevelType w:val="hybridMultilevel"/>
    <w:tmpl w:val="F9781C8A"/>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6F0F548C"/>
    <w:multiLevelType w:val="hybridMultilevel"/>
    <w:tmpl w:val="720246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3"/>
  </w:num>
  <w:num w:numId="2">
    <w:abstractNumId w:val="21"/>
  </w:num>
  <w:num w:numId="3">
    <w:abstractNumId w:val="18"/>
  </w:num>
  <w:num w:numId="4">
    <w:abstractNumId w:val="0"/>
    <w:lvlOverride w:ilvl="0">
      <w:lvl w:ilvl="0">
        <w:numFmt w:val="bullet"/>
        <w:lvlText w:val=""/>
        <w:legacy w:legacy="1" w:legacySpace="0" w:legacyIndent="0"/>
        <w:lvlJc w:val="left"/>
        <w:rPr>
          <w:rFonts w:ascii="Symbol" w:hAnsi="Symbol" w:hint="default"/>
          <w:sz w:val="22"/>
        </w:rPr>
      </w:lvl>
    </w:lvlOverride>
  </w:num>
  <w:num w:numId="5">
    <w:abstractNumId w:val="10"/>
  </w:num>
  <w:num w:numId="6">
    <w:abstractNumId w:val="5"/>
  </w:num>
  <w:num w:numId="7">
    <w:abstractNumId w:val="7"/>
  </w:num>
  <w:num w:numId="8">
    <w:abstractNumId w:val="4"/>
  </w:num>
  <w:num w:numId="9">
    <w:abstractNumId w:val="15"/>
  </w:num>
  <w:num w:numId="10">
    <w:abstractNumId w:val="11"/>
  </w:num>
  <w:num w:numId="11">
    <w:abstractNumId w:val="8"/>
  </w:num>
  <w:num w:numId="12">
    <w:abstractNumId w:val="17"/>
  </w:num>
  <w:num w:numId="13">
    <w:abstractNumId w:val="23"/>
  </w:num>
  <w:num w:numId="14">
    <w:abstractNumId w:val="2"/>
  </w:num>
  <w:num w:numId="15">
    <w:abstractNumId w:val="22"/>
  </w:num>
  <w:num w:numId="16">
    <w:abstractNumId w:val="20"/>
  </w:num>
  <w:num w:numId="17">
    <w:abstractNumId w:val="12"/>
  </w:num>
  <w:num w:numId="18">
    <w:abstractNumId w:val="16"/>
  </w:num>
  <w:num w:numId="19">
    <w:abstractNumId w:val="6"/>
  </w:num>
  <w:num w:numId="20">
    <w:abstractNumId w:val="1"/>
  </w:num>
  <w:num w:numId="21">
    <w:abstractNumId w:val="9"/>
  </w:num>
  <w:num w:numId="22">
    <w:abstractNumId w:val="14"/>
  </w:num>
  <w:num w:numId="23">
    <w:abstractNumId w:val="3"/>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EC7"/>
    <w:rsid w:val="000008F6"/>
    <w:rsid w:val="00003E53"/>
    <w:rsid w:val="0001534E"/>
    <w:rsid w:val="00015D32"/>
    <w:rsid w:val="00022970"/>
    <w:rsid w:val="0002576A"/>
    <w:rsid w:val="00030B97"/>
    <w:rsid w:val="00044771"/>
    <w:rsid w:val="00050B37"/>
    <w:rsid w:val="00053C43"/>
    <w:rsid w:val="00053D29"/>
    <w:rsid w:val="0005419A"/>
    <w:rsid w:val="00054EAC"/>
    <w:rsid w:val="0005663D"/>
    <w:rsid w:val="00063A52"/>
    <w:rsid w:val="000736C2"/>
    <w:rsid w:val="00073781"/>
    <w:rsid w:val="0008031A"/>
    <w:rsid w:val="000874F6"/>
    <w:rsid w:val="000875D8"/>
    <w:rsid w:val="0009436D"/>
    <w:rsid w:val="00094494"/>
    <w:rsid w:val="00094C1E"/>
    <w:rsid w:val="00094C5C"/>
    <w:rsid w:val="00096250"/>
    <w:rsid w:val="000A086F"/>
    <w:rsid w:val="000A1FAB"/>
    <w:rsid w:val="000A5517"/>
    <w:rsid w:val="000A7DB1"/>
    <w:rsid w:val="000B747A"/>
    <w:rsid w:val="000B7E0D"/>
    <w:rsid w:val="000D3875"/>
    <w:rsid w:val="000E3B9D"/>
    <w:rsid w:val="000F49C3"/>
    <w:rsid w:val="000F5BAA"/>
    <w:rsid w:val="000F7AF5"/>
    <w:rsid w:val="00101856"/>
    <w:rsid w:val="00111CAC"/>
    <w:rsid w:val="00111F99"/>
    <w:rsid w:val="0011501B"/>
    <w:rsid w:val="001153D2"/>
    <w:rsid w:val="00120F31"/>
    <w:rsid w:val="00125D10"/>
    <w:rsid w:val="00127819"/>
    <w:rsid w:val="001400B2"/>
    <w:rsid w:val="00141869"/>
    <w:rsid w:val="00143E3D"/>
    <w:rsid w:val="001450C5"/>
    <w:rsid w:val="00150D25"/>
    <w:rsid w:val="00153370"/>
    <w:rsid w:val="001568DF"/>
    <w:rsid w:val="001639F1"/>
    <w:rsid w:val="001675E6"/>
    <w:rsid w:val="001748F6"/>
    <w:rsid w:val="00186919"/>
    <w:rsid w:val="001973FC"/>
    <w:rsid w:val="001A03D9"/>
    <w:rsid w:val="001A097F"/>
    <w:rsid w:val="001A186D"/>
    <w:rsid w:val="001A7F9D"/>
    <w:rsid w:val="001B563F"/>
    <w:rsid w:val="001C1BF9"/>
    <w:rsid w:val="001C44ED"/>
    <w:rsid w:val="001D1B95"/>
    <w:rsid w:val="001D3B88"/>
    <w:rsid w:val="001D7CE3"/>
    <w:rsid w:val="001E1C97"/>
    <w:rsid w:val="001E41CF"/>
    <w:rsid w:val="001E66CC"/>
    <w:rsid w:val="001E69DC"/>
    <w:rsid w:val="0020262E"/>
    <w:rsid w:val="00217C5F"/>
    <w:rsid w:val="00233972"/>
    <w:rsid w:val="002478A4"/>
    <w:rsid w:val="0025205B"/>
    <w:rsid w:val="0025238D"/>
    <w:rsid w:val="002524D3"/>
    <w:rsid w:val="00261BA6"/>
    <w:rsid w:val="00285D67"/>
    <w:rsid w:val="0028769D"/>
    <w:rsid w:val="002A7AB0"/>
    <w:rsid w:val="002B2765"/>
    <w:rsid w:val="002B4F4A"/>
    <w:rsid w:val="002C4660"/>
    <w:rsid w:val="002C53E4"/>
    <w:rsid w:val="002D6350"/>
    <w:rsid w:val="002E2859"/>
    <w:rsid w:val="002E53E9"/>
    <w:rsid w:val="002E779B"/>
    <w:rsid w:val="002F1150"/>
    <w:rsid w:val="002F4E2E"/>
    <w:rsid w:val="002F74A7"/>
    <w:rsid w:val="00301B82"/>
    <w:rsid w:val="0030612B"/>
    <w:rsid w:val="00307CF9"/>
    <w:rsid w:val="00310F34"/>
    <w:rsid w:val="00313A97"/>
    <w:rsid w:val="003154E2"/>
    <w:rsid w:val="00323649"/>
    <w:rsid w:val="003251D4"/>
    <w:rsid w:val="003326AF"/>
    <w:rsid w:val="003328CA"/>
    <w:rsid w:val="00335572"/>
    <w:rsid w:val="0033616E"/>
    <w:rsid w:val="0036143F"/>
    <w:rsid w:val="00361D23"/>
    <w:rsid w:val="0036315A"/>
    <w:rsid w:val="0036725F"/>
    <w:rsid w:val="00370E24"/>
    <w:rsid w:val="00374BF9"/>
    <w:rsid w:val="00375BE0"/>
    <w:rsid w:val="003761F0"/>
    <w:rsid w:val="0037714F"/>
    <w:rsid w:val="00381CB7"/>
    <w:rsid w:val="00381E5E"/>
    <w:rsid w:val="003866B3"/>
    <w:rsid w:val="00392505"/>
    <w:rsid w:val="003A4CA7"/>
    <w:rsid w:val="003A6CF7"/>
    <w:rsid w:val="003B2A09"/>
    <w:rsid w:val="003B303D"/>
    <w:rsid w:val="003B7C41"/>
    <w:rsid w:val="003C401F"/>
    <w:rsid w:val="003C5027"/>
    <w:rsid w:val="003C5439"/>
    <w:rsid w:val="003C6E79"/>
    <w:rsid w:val="003D4555"/>
    <w:rsid w:val="003E2B0E"/>
    <w:rsid w:val="003E5E16"/>
    <w:rsid w:val="003F1DEC"/>
    <w:rsid w:val="003F2D17"/>
    <w:rsid w:val="003F3CD6"/>
    <w:rsid w:val="003F498B"/>
    <w:rsid w:val="00411113"/>
    <w:rsid w:val="00413E53"/>
    <w:rsid w:val="00424D43"/>
    <w:rsid w:val="00424F64"/>
    <w:rsid w:val="00430CB4"/>
    <w:rsid w:val="00435861"/>
    <w:rsid w:val="00442E81"/>
    <w:rsid w:val="00443074"/>
    <w:rsid w:val="00446E4D"/>
    <w:rsid w:val="0045158A"/>
    <w:rsid w:val="004521B5"/>
    <w:rsid w:val="00457C05"/>
    <w:rsid w:val="00467892"/>
    <w:rsid w:val="00467FB0"/>
    <w:rsid w:val="00472865"/>
    <w:rsid w:val="00474E87"/>
    <w:rsid w:val="00475925"/>
    <w:rsid w:val="00481626"/>
    <w:rsid w:val="00481A2D"/>
    <w:rsid w:val="00481BA1"/>
    <w:rsid w:val="004847C4"/>
    <w:rsid w:val="00485D2B"/>
    <w:rsid w:val="004860F4"/>
    <w:rsid w:val="004B1D70"/>
    <w:rsid w:val="004C07CB"/>
    <w:rsid w:val="004C0B98"/>
    <w:rsid w:val="004C0DD4"/>
    <w:rsid w:val="004C10A7"/>
    <w:rsid w:val="004C259D"/>
    <w:rsid w:val="004C5E06"/>
    <w:rsid w:val="004D3CA3"/>
    <w:rsid w:val="004E12BA"/>
    <w:rsid w:val="004E4C95"/>
    <w:rsid w:val="004E7315"/>
    <w:rsid w:val="004F5899"/>
    <w:rsid w:val="005026F1"/>
    <w:rsid w:val="00502EEC"/>
    <w:rsid w:val="00507C7A"/>
    <w:rsid w:val="0051374C"/>
    <w:rsid w:val="00516B62"/>
    <w:rsid w:val="005224D4"/>
    <w:rsid w:val="005233E7"/>
    <w:rsid w:val="00525B0B"/>
    <w:rsid w:val="005262A1"/>
    <w:rsid w:val="00526D50"/>
    <w:rsid w:val="005272CE"/>
    <w:rsid w:val="005279EF"/>
    <w:rsid w:val="00531ABC"/>
    <w:rsid w:val="00532906"/>
    <w:rsid w:val="0054029C"/>
    <w:rsid w:val="005414DC"/>
    <w:rsid w:val="00541AB4"/>
    <w:rsid w:val="00541CC0"/>
    <w:rsid w:val="00544B57"/>
    <w:rsid w:val="00547375"/>
    <w:rsid w:val="00565320"/>
    <w:rsid w:val="00565B28"/>
    <w:rsid w:val="005757EE"/>
    <w:rsid w:val="00576EBC"/>
    <w:rsid w:val="00583520"/>
    <w:rsid w:val="005857F7"/>
    <w:rsid w:val="00587B89"/>
    <w:rsid w:val="00591CD2"/>
    <w:rsid w:val="00591EDD"/>
    <w:rsid w:val="00592826"/>
    <w:rsid w:val="00595157"/>
    <w:rsid w:val="005A3236"/>
    <w:rsid w:val="005A3A90"/>
    <w:rsid w:val="005A54D5"/>
    <w:rsid w:val="005B4258"/>
    <w:rsid w:val="005C1991"/>
    <w:rsid w:val="005C2E43"/>
    <w:rsid w:val="005C348C"/>
    <w:rsid w:val="005C53BF"/>
    <w:rsid w:val="005C5D6A"/>
    <w:rsid w:val="005D2DBD"/>
    <w:rsid w:val="005D784B"/>
    <w:rsid w:val="005E2C79"/>
    <w:rsid w:val="005E36DE"/>
    <w:rsid w:val="005F0394"/>
    <w:rsid w:val="005F39A4"/>
    <w:rsid w:val="005F4EDD"/>
    <w:rsid w:val="005F5184"/>
    <w:rsid w:val="005F6BDC"/>
    <w:rsid w:val="00603D57"/>
    <w:rsid w:val="00603F1D"/>
    <w:rsid w:val="006045E7"/>
    <w:rsid w:val="006064B5"/>
    <w:rsid w:val="00606F3C"/>
    <w:rsid w:val="0061726D"/>
    <w:rsid w:val="00623A6E"/>
    <w:rsid w:val="0062614A"/>
    <w:rsid w:val="00627A83"/>
    <w:rsid w:val="006305DE"/>
    <w:rsid w:val="006308C6"/>
    <w:rsid w:val="00631074"/>
    <w:rsid w:val="00640C37"/>
    <w:rsid w:val="00641D3D"/>
    <w:rsid w:val="00663912"/>
    <w:rsid w:val="006640C4"/>
    <w:rsid w:val="00666152"/>
    <w:rsid w:val="00666637"/>
    <w:rsid w:val="006765E6"/>
    <w:rsid w:val="00676C23"/>
    <w:rsid w:val="0068229A"/>
    <w:rsid w:val="00692C62"/>
    <w:rsid w:val="00692D1D"/>
    <w:rsid w:val="00695EA1"/>
    <w:rsid w:val="006A19A0"/>
    <w:rsid w:val="006A234A"/>
    <w:rsid w:val="006A5E5C"/>
    <w:rsid w:val="006A6DEB"/>
    <w:rsid w:val="006B0E09"/>
    <w:rsid w:val="006C14EF"/>
    <w:rsid w:val="006C4CFF"/>
    <w:rsid w:val="006D0349"/>
    <w:rsid w:val="006D2B44"/>
    <w:rsid w:val="006D6B23"/>
    <w:rsid w:val="006E1098"/>
    <w:rsid w:val="006E202B"/>
    <w:rsid w:val="006E2A18"/>
    <w:rsid w:val="006F4739"/>
    <w:rsid w:val="00700B0C"/>
    <w:rsid w:val="00701366"/>
    <w:rsid w:val="00704D45"/>
    <w:rsid w:val="007050D8"/>
    <w:rsid w:val="00711A9C"/>
    <w:rsid w:val="00716096"/>
    <w:rsid w:val="00725FE4"/>
    <w:rsid w:val="0072648E"/>
    <w:rsid w:val="00727B80"/>
    <w:rsid w:val="00731D8E"/>
    <w:rsid w:val="0073229E"/>
    <w:rsid w:val="00735835"/>
    <w:rsid w:val="00740EBB"/>
    <w:rsid w:val="007432B9"/>
    <w:rsid w:val="00744C15"/>
    <w:rsid w:val="00751DD4"/>
    <w:rsid w:val="007572F0"/>
    <w:rsid w:val="00763781"/>
    <w:rsid w:val="0076474B"/>
    <w:rsid w:val="007720F7"/>
    <w:rsid w:val="007749B1"/>
    <w:rsid w:val="00775A29"/>
    <w:rsid w:val="00775D00"/>
    <w:rsid w:val="007806EC"/>
    <w:rsid w:val="00786974"/>
    <w:rsid w:val="007915CA"/>
    <w:rsid w:val="00795147"/>
    <w:rsid w:val="007A0A6E"/>
    <w:rsid w:val="007A7B5E"/>
    <w:rsid w:val="007B6F94"/>
    <w:rsid w:val="007C0218"/>
    <w:rsid w:val="007C0EB4"/>
    <w:rsid w:val="007C1AD6"/>
    <w:rsid w:val="007C6D08"/>
    <w:rsid w:val="007D4917"/>
    <w:rsid w:val="007D61AF"/>
    <w:rsid w:val="007E09D4"/>
    <w:rsid w:val="007E1BE2"/>
    <w:rsid w:val="007E38FF"/>
    <w:rsid w:val="007E3AE7"/>
    <w:rsid w:val="007E41FF"/>
    <w:rsid w:val="007E6B87"/>
    <w:rsid w:val="007F19EF"/>
    <w:rsid w:val="007F26D8"/>
    <w:rsid w:val="007F28BB"/>
    <w:rsid w:val="007F61C8"/>
    <w:rsid w:val="00801495"/>
    <w:rsid w:val="00802435"/>
    <w:rsid w:val="00817F22"/>
    <w:rsid w:val="008256B9"/>
    <w:rsid w:val="00827B6F"/>
    <w:rsid w:val="00827E13"/>
    <w:rsid w:val="0083228E"/>
    <w:rsid w:val="00837027"/>
    <w:rsid w:val="0083788E"/>
    <w:rsid w:val="00843093"/>
    <w:rsid w:val="008437BE"/>
    <w:rsid w:val="0084606C"/>
    <w:rsid w:val="008516ED"/>
    <w:rsid w:val="008547F5"/>
    <w:rsid w:val="00865C22"/>
    <w:rsid w:val="00872014"/>
    <w:rsid w:val="00881938"/>
    <w:rsid w:val="008864FC"/>
    <w:rsid w:val="00893665"/>
    <w:rsid w:val="00894247"/>
    <w:rsid w:val="008C0719"/>
    <w:rsid w:val="008C18B5"/>
    <w:rsid w:val="008D62F2"/>
    <w:rsid w:val="008E0E8E"/>
    <w:rsid w:val="008E28DC"/>
    <w:rsid w:val="008E4043"/>
    <w:rsid w:val="008E4BFE"/>
    <w:rsid w:val="008E66A1"/>
    <w:rsid w:val="008F73C6"/>
    <w:rsid w:val="00901F5F"/>
    <w:rsid w:val="009026DE"/>
    <w:rsid w:val="00903671"/>
    <w:rsid w:val="00910607"/>
    <w:rsid w:val="0091400E"/>
    <w:rsid w:val="00915161"/>
    <w:rsid w:val="009271B9"/>
    <w:rsid w:val="009311FF"/>
    <w:rsid w:val="00935B72"/>
    <w:rsid w:val="009364B3"/>
    <w:rsid w:val="00942E7E"/>
    <w:rsid w:val="00943966"/>
    <w:rsid w:val="00943ABA"/>
    <w:rsid w:val="0094658B"/>
    <w:rsid w:val="009475D8"/>
    <w:rsid w:val="00950F76"/>
    <w:rsid w:val="00951882"/>
    <w:rsid w:val="009519EC"/>
    <w:rsid w:val="00955A91"/>
    <w:rsid w:val="009569BD"/>
    <w:rsid w:val="00961B6D"/>
    <w:rsid w:val="0096329B"/>
    <w:rsid w:val="00970B69"/>
    <w:rsid w:val="00970EC5"/>
    <w:rsid w:val="00991057"/>
    <w:rsid w:val="009969BA"/>
    <w:rsid w:val="009A12C5"/>
    <w:rsid w:val="009A395B"/>
    <w:rsid w:val="009A594A"/>
    <w:rsid w:val="009C06D8"/>
    <w:rsid w:val="009D007D"/>
    <w:rsid w:val="009D0665"/>
    <w:rsid w:val="009D08E7"/>
    <w:rsid w:val="009D1AF8"/>
    <w:rsid w:val="009D7505"/>
    <w:rsid w:val="009E2C34"/>
    <w:rsid w:val="009E2EB0"/>
    <w:rsid w:val="009E4D46"/>
    <w:rsid w:val="009E7F3F"/>
    <w:rsid w:val="009F09D5"/>
    <w:rsid w:val="009F3CFC"/>
    <w:rsid w:val="00A042D7"/>
    <w:rsid w:val="00A1340D"/>
    <w:rsid w:val="00A15DE2"/>
    <w:rsid w:val="00A26481"/>
    <w:rsid w:val="00A264F0"/>
    <w:rsid w:val="00A31D51"/>
    <w:rsid w:val="00A43C25"/>
    <w:rsid w:val="00A45557"/>
    <w:rsid w:val="00A460A2"/>
    <w:rsid w:val="00A473FE"/>
    <w:rsid w:val="00A51D3C"/>
    <w:rsid w:val="00A54E6C"/>
    <w:rsid w:val="00A57BF3"/>
    <w:rsid w:val="00A62FA2"/>
    <w:rsid w:val="00A665B6"/>
    <w:rsid w:val="00A738DE"/>
    <w:rsid w:val="00A76CEF"/>
    <w:rsid w:val="00A778BF"/>
    <w:rsid w:val="00A83472"/>
    <w:rsid w:val="00A95751"/>
    <w:rsid w:val="00A97183"/>
    <w:rsid w:val="00AA1450"/>
    <w:rsid w:val="00AA1F8A"/>
    <w:rsid w:val="00AA335E"/>
    <w:rsid w:val="00AA4E00"/>
    <w:rsid w:val="00AB5819"/>
    <w:rsid w:val="00AB6AD9"/>
    <w:rsid w:val="00AC2CA5"/>
    <w:rsid w:val="00AC5472"/>
    <w:rsid w:val="00AD46BE"/>
    <w:rsid w:val="00AD643C"/>
    <w:rsid w:val="00AF095B"/>
    <w:rsid w:val="00AF0EB9"/>
    <w:rsid w:val="00AF4E93"/>
    <w:rsid w:val="00B05125"/>
    <w:rsid w:val="00B074D6"/>
    <w:rsid w:val="00B21F2E"/>
    <w:rsid w:val="00B275E9"/>
    <w:rsid w:val="00B27E73"/>
    <w:rsid w:val="00B31DB9"/>
    <w:rsid w:val="00B324E9"/>
    <w:rsid w:val="00B40E20"/>
    <w:rsid w:val="00B471F5"/>
    <w:rsid w:val="00B50E55"/>
    <w:rsid w:val="00B53BBA"/>
    <w:rsid w:val="00B57528"/>
    <w:rsid w:val="00B61411"/>
    <w:rsid w:val="00B62416"/>
    <w:rsid w:val="00B764BE"/>
    <w:rsid w:val="00B77B40"/>
    <w:rsid w:val="00B821FD"/>
    <w:rsid w:val="00B836AD"/>
    <w:rsid w:val="00B8477F"/>
    <w:rsid w:val="00B84FBB"/>
    <w:rsid w:val="00B93461"/>
    <w:rsid w:val="00B96A9A"/>
    <w:rsid w:val="00B970A6"/>
    <w:rsid w:val="00BA3AE2"/>
    <w:rsid w:val="00BB6496"/>
    <w:rsid w:val="00BC4EEB"/>
    <w:rsid w:val="00BC505B"/>
    <w:rsid w:val="00BC64E8"/>
    <w:rsid w:val="00BC7CC5"/>
    <w:rsid w:val="00BD0E65"/>
    <w:rsid w:val="00BD0ED2"/>
    <w:rsid w:val="00BD2863"/>
    <w:rsid w:val="00BD46A0"/>
    <w:rsid w:val="00BE0EC7"/>
    <w:rsid w:val="00BE1B4A"/>
    <w:rsid w:val="00BE3462"/>
    <w:rsid w:val="00BE3CD2"/>
    <w:rsid w:val="00BE5E5A"/>
    <w:rsid w:val="00BF16FB"/>
    <w:rsid w:val="00BF3182"/>
    <w:rsid w:val="00BF44EF"/>
    <w:rsid w:val="00BF5613"/>
    <w:rsid w:val="00BF5E54"/>
    <w:rsid w:val="00BF75B0"/>
    <w:rsid w:val="00C0421A"/>
    <w:rsid w:val="00C10639"/>
    <w:rsid w:val="00C128DF"/>
    <w:rsid w:val="00C13E4F"/>
    <w:rsid w:val="00C20347"/>
    <w:rsid w:val="00C21B6F"/>
    <w:rsid w:val="00C268D0"/>
    <w:rsid w:val="00C27DF9"/>
    <w:rsid w:val="00C30DED"/>
    <w:rsid w:val="00C31019"/>
    <w:rsid w:val="00C34603"/>
    <w:rsid w:val="00C36F3F"/>
    <w:rsid w:val="00C36FB2"/>
    <w:rsid w:val="00C41418"/>
    <w:rsid w:val="00C42BD4"/>
    <w:rsid w:val="00C44A94"/>
    <w:rsid w:val="00C467A8"/>
    <w:rsid w:val="00C524E1"/>
    <w:rsid w:val="00C55798"/>
    <w:rsid w:val="00C56FA3"/>
    <w:rsid w:val="00C77401"/>
    <w:rsid w:val="00C77770"/>
    <w:rsid w:val="00C77A1C"/>
    <w:rsid w:val="00C80AC1"/>
    <w:rsid w:val="00C80B1C"/>
    <w:rsid w:val="00C81C33"/>
    <w:rsid w:val="00C82E8D"/>
    <w:rsid w:val="00C833B9"/>
    <w:rsid w:val="00CA64AD"/>
    <w:rsid w:val="00CA67C4"/>
    <w:rsid w:val="00CA7CBA"/>
    <w:rsid w:val="00CB3286"/>
    <w:rsid w:val="00CC0275"/>
    <w:rsid w:val="00CC2243"/>
    <w:rsid w:val="00CC2B99"/>
    <w:rsid w:val="00CC468A"/>
    <w:rsid w:val="00CC6D85"/>
    <w:rsid w:val="00CD10DB"/>
    <w:rsid w:val="00CD3F0B"/>
    <w:rsid w:val="00CD46EE"/>
    <w:rsid w:val="00CE08F0"/>
    <w:rsid w:val="00CE161B"/>
    <w:rsid w:val="00CE539B"/>
    <w:rsid w:val="00CE59F1"/>
    <w:rsid w:val="00CE6E93"/>
    <w:rsid w:val="00CF0697"/>
    <w:rsid w:val="00CF1F9A"/>
    <w:rsid w:val="00CF6602"/>
    <w:rsid w:val="00D027E8"/>
    <w:rsid w:val="00D04435"/>
    <w:rsid w:val="00D17526"/>
    <w:rsid w:val="00D32021"/>
    <w:rsid w:val="00D47096"/>
    <w:rsid w:val="00D4721F"/>
    <w:rsid w:val="00D5333D"/>
    <w:rsid w:val="00D55773"/>
    <w:rsid w:val="00D57F64"/>
    <w:rsid w:val="00D61691"/>
    <w:rsid w:val="00D70042"/>
    <w:rsid w:val="00D70816"/>
    <w:rsid w:val="00D72418"/>
    <w:rsid w:val="00D774F1"/>
    <w:rsid w:val="00D85421"/>
    <w:rsid w:val="00D85573"/>
    <w:rsid w:val="00D87AAF"/>
    <w:rsid w:val="00DA72A9"/>
    <w:rsid w:val="00DB0191"/>
    <w:rsid w:val="00DB5AD0"/>
    <w:rsid w:val="00DB626A"/>
    <w:rsid w:val="00DC5DA8"/>
    <w:rsid w:val="00DC6C0F"/>
    <w:rsid w:val="00DC72AE"/>
    <w:rsid w:val="00DD509D"/>
    <w:rsid w:val="00DE5E2E"/>
    <w:rsid w:val="00DF06A5"/>
    <w:rsid w:val="00DF090D"/>
    <w:rsid w:val="00DF422C"/>
    <w:rsid w:val="00E0759F"/>
    <w:rsid w:val="00E11452"/>
    <w:rsid w:val="00E163BA"/>
    <w:rsid w:val="00E21718"/>
    <w:rsid w:val="00E263F7"/>
    <w:rsid w:val="00E3208D"/>
    <w:rsid w:val="00E35267"/>
    <w:rsid w:val="00E468A0"/>
    <w:rsid w:val="00E51426"/>
    <w:rsid w:val="00E60081"/>
    <w:rsid w:val="00E62866"/>
    <w:rsid w:val="00E6388B"/>
    <w:rsid w:val="00E64061"/>
    <w:rsid w:val="00E65B3B"/>
    <w:rsid w:val="00E7043C"/>
    <w:rsid w:val="00E74BF3"/>
    <w:rsid w:val="00E76D5A"/>
    <w:rsid w:val="00E77CF0"/>
    <w:rsid w:val="00E91D4D"/>
    <w:rsid w:val="00EA62A3"/>
    <w:rsid w:val="00EA6759"/>
    <w:rsid w:val="00EA7245"/>
    <w:rsid w:val="00EB0523"/>
    <w:rsid w:val="00EB3175"/>
    <w:rsid w:val="00EC5963"/>
    <w:rsid w:val="00EC6222"/>
    <w:rsid w:val="00EC6E1C"/>
    <w:rsid w:val="00EC7C43"/>
    <w:rsid w:val="00ED1758"/>
    <w:rsid w:val="00ED4A48"/>
    <w:rsid w:val="00ED6054"/>
    <w:rsid w:val="00ED73F2"/>
    <w:rsid w:val="00EE0378"/>
    <w:rsid w:val="00EE1562"/>
    <w:rsid w:val="00EE21C8"/>
    <w:rsid w:val="00EE7AD2"/>
    <w:rsid w:val="00EF1F93"/>
    <w:rsid w:val="00EF5074"/>
    <w:rsid w:val="00EF616B"/>
    <w:rsid w:val="00F051BE"/>
    <w:rsid w:val="00F11204"/>
    <w:rsid w:val="00F152BD"/>
    <w:rsid w:val="00F17078"/>
    <w:rsid w:val="00F17F20"/>
    <w:rsid w:val="00F2241B"/>
    <w:rsid w:val="00F23B88"/>
    <w:rsid w:val="00F244BC"/>
    <w:rsid w:val="00F2553F"/>
    <w:rsid w:val="00F2645B"/>
    <w:rsid w:val="00F26C61"/>
    <w:rsid w:val="00F27C6B"/>
    <w:rsid w:val="00F30EF8"/>
    <w:rsid w:val="00F35FCC"/>
    <w:rsid w:val="00F376E2"/>
    <w:rsid w:val="00F46499"/>
    <w:rsid w:val="00F5296A"/>
    <w:rsid w:val="00F5334A"/>
    <w:rsid w:val="00F54DF0"/>
    <w:rsid w:val="00F70065"/>
    <w:rsid w:val="00F72C2B"/>
    <w:rsid w:val="00F73370"/>
    <w:rsid w:val="00F81324"/>
    <w:rsid w:val="00F82963"/>
    <w:rsid w:val="00F83002"/>
    <w:rsid w:val="00F846DC"/>
    <w:rsid w:val="00F917BD"/>
    <w:rsid w:val="00F92A0C"/>
    <w:rsid w:val="00F95397"/>
    <w:rsid w:val="00FA2A3C"/>
    <w:rsid w:val="00FA43B8"/>
    <w:rsid w:val="00FA5ADE"/>
    <w:rsid w:val="00FB06E9"/>
    <w:rsid w:val="00FB48CB"/>
    <w:rsid w:val="00FC29E3"/>
    <w:rsid w:val="00FC645F"/>
    <w:rsid w:val="00FD61DE"/>
    <w:rsid w:val="00FE06AF"/>
    <w:rsid w:val="00FE66B5"/>
    <w:rsid w:val="00FF0C5D"/>
    <w:rsid w:val="00FF319A"/>
    <w:rsid w:val="00FF5ED7"/>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A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935"/>
  </w:style>
  <w:style w:type="paragraph" w:styleId="Heading1">
    <w:name w:val="heading 1"/>
    <w:basedOn w:val="Normal"/>
    <w:next w:val="Normal"/>
    <w:link w:val="Heading1Char"/>
    <w:uiPriority w:val="9"/>
    <w:qFormat/>
    <w:rsid w:val="00B84FBB"/>
    <w:pPr>
      <w:jc w:val="center"/>
      <w:outlineLvl w:val="0"/>
    </w:pPr>
    <w:rPr>
      <w:rFonts w:asciiTheme="majorHAnsi" w:hAnsiTheme="majorHAnsi"/>
      <w:b/>
      <w:sz w:val="28"/>
      <w:szCs w:val="28"/>
    </w:rPr>
  </w:style>
  <w:style w:type="paragraph" w:styleId="Heading2">
    <w:name w:val="heading 2"/>
    <w:basedOn w:val="Normal"/>
    <w:next w:val="Normal"/>
    <w:link w:val="Heading2Char"/>
    <w:uiPriority w:val="9"/>
    <w:unhideWhenUsed/>
    <w:qFormat/>
    <w:rsid w:val="00B84FBB"/>
    <w:pPr>
      <w:outlineLvl w:val="1"/>
    </w:pPr>
    <w:rPr>
      <w:rFonts w:asciiTheme="majorHAnsi" w:hAnsiTheme="majorHAnsi"/>
      <w:b/>
    </w:rPr>
  </w:style>
  <w:style w:type="paragraph" w:styleId="Heading3">
    <w:name w:val="heading 3"/>
    <w:basedOn w:val="Normal"/>
    <w:next w:val="Normal"/>
    <w:link w:val="Heading3Char"/>
    <w:uiPriority w:val="9"/>
    <w:unhideWhenUsed/>
    <w:qFormat/>
    <w:rsid w:val="003B7C41"/>
    <w:pPr>
      <w:outlineLvl w:val="2"/>
    </w:pPr>
    <w:rPr>
      <w:rFonts w:asciiTheme="majorHAnsi" w:hAnsiTheme="majorHAns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275E9"/>
    <w:rPr>
      <w:color w:val="333333"/>
      <w:u w:val="single"/>
    </w:rPr>
  </w:style>
  <w:style w:type="paragraph" w:styleId="FootnoteText">
    <w:name w:val="footnote text"/>
    <w:basedOn w:val="Normal"/>
    <w:link w:val="FootnoteTextChar"/>
    <w:uiPriority w:val="99"/>
    <w:semiHidden/>
    <w:unhideWhenUsed/>
    <w:rsid w:val="00B275E9"/>
    <w:pPr>
      <w:spacing w:after="0"/>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B275E9"/>
    <w:rPr>
      <w:rFonts w:ascii="Times New Roman" w:hAnsi="Times New Roman"/>
      <w:sz w:val="20"/>
      <w:szCs w:val="20"/>
    </w:rPr>
  </w:style>
  <w:style w:type="character" w:styleId="FootnoteReference">
    <w:name w:val="footnote reference"/>
    <w:basedOn w:val="DefaultParagraphFont"/>
    <w:uiPriority w:val="99"/>
    <w:semiHidden/>
    <w:unhideWhenUsed/>
    <w:rsid w:val="00B275E9"/>
    <w:rPr>
      <w:vertAlign w:val="superscript"/>
    </w:rPr>
  </w:style>
  <w:style w:type="character" w:styleId="CommentReference">
    <w:name w:val="annotation reference"/>
    <w:basedOn w:val="DefaultParagraphFont"/>
    <w:uiPriority w:val="99"/>
    <w:semiHidden/>
    <w:unhideWhenUsed/>
    <w:rsid w:val="000F7AF5"/>
    <w:rPr>
      <w:sz w:val="18"/>
      <w:szCs w:val="18"/>
    </w:rPr>
  </w:style>
  <w:style w:type="paragraph" w:styleId="CommentText">
    <w:name w:val="annotation text"/>
    <w:basedOn w:val="Normal"/>
    <w:link w:val="CommentTextChar"/>
    <w:uiPriority w:val="99"/>
    <w:semiHidden/>
    <w:unhideWhenUsed/>
    <w:rsid w:val="000F7AF5"/>
  </w:style>
  <w:style w:type="character" w:customStyle="1" w:styleId="CommentTextChar">
    <w:name w:val="Comment Text Char"/>
    <w:basedOn w:val="DefaultParagraphFont"/>
    <w:link w:val="CommentText"/>
    <w:uiPriority w:val="99"/>
    <w:semiHidden/>
    <w:rsid w:val="000F7AF5"/>
  </w:style>
  <w:style w:type="paragraph" w:styleId="CommentSubject">
    <w:name w:val="annotation subject"/>
    <w:basedOn w:val="CommentText"/>
    <w:next w:val="CommentText"/>
    <w:link w:val="CommentSubjectChar"/>
    <w:uiPriority w:val="99"/>
    <w:semiHidden/>
    <w:unhideWhenUsed/>
    <w:rsid w:val="000F7AF5"/>
    <w:rPr>
      <w:b/>
      <w:bCs/>
      <w:sz w:val="20"/>
      <w:szCs w:val="20"/>
    </w:rPr>
  </w:style>
  <w:style w:type="character" w:customStyle="1" w:styleId="CommentSubjectChar">
    <w:name w:val="Comment Subject Char"/>
    <w:basedOn w:val="CommentTextChar"/>
    <w:link w:val="CommentSubject"/>
    <w:uiPriority w:val="99"/>
    <w:semiHidden/>
    <w:rsid w:val="000F7AF5"/>
    <w:rPr>
      <w:b/>
      <w:bCs/>
      <w:sz w:val="20"/>
      <w:szCs w:val="20"/>
    </w:rPr>
  </w:style>
  <w:style w:type="paragraph" w:styleId="BalloonText">
    <w:name w:val="Balloon Text"/>
    <w:basedOn w:val="Normal"/>
    <w:link w:val="BalloonTextChar"/>
    <w:uiPriority w:val="99"/>
    <w:semiHidden/>
    <w:unhideWhenUsed/>
    <w:rsid w:val="000F7AF5"/>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0F7AF5"/>
    <w:rPr>
      <w:rFonts w:ascii="Lucida Grande" w:hAnsi="Lucida Grande"/>
      <w:sz w:val="18"/>
      <w:szCs w:val="18"/>
    </w:rPr>
  </w:style>
  <w:style w:type="paragraph" w:styleId="ListParagraph">
    <w:name w:val="List Paragraph"/>
    <w:basedOn w:val="Normal"/>
    <w:uiPriority w:val="34"/>
    <w:qFormat/>
    <w:rsid w:val="00EF616B"/>
    <w:pPr>
      <w:spacing w:after="0"/>
      <w:ind w:left="720"/>
    </w:pPr>
    <w:rPr>
      <w:rFonts w:ascii="Times New Roman" w:eastAsia="Times New Roman" w:hAnsi="Times New Roman" w:cs="Times New Roman"/>
      <w:szCs w:val="20"/>
      <w:lang w:eastAsia="en-AU"/>
    </w:rPr>
  </w:style>
  <w:style w:type="character" w:styleId="Strong">
    <w:name w:val="Strong"/>
    <w:basedOn w:val="DefaultParagraphFont"/>
    <w:uiPriority w:val="22"/>
    <w:qFormat/>
    <w:rsid w:val="00EF616B"/>
    <w:rPr>
      <w:b/>
      <w:bCs/>
    </w:rPr>
  </w:style>
  <w:style w:type="paragraph" w:styleId="Header">
    <w:name w:val="header"/>
    <w:aliases w:val="Page Header"/>
    <w:basedOn w:val="Normal"/>
    <w:link w:val="HeaderChar"/>
    <w:uiPriority w:val="99"/>
    <w:unhideWhenUsed/>
    <w:rsid w:val="00EF616B"/>
    <w:pPr>
      <w:tabs>
        <w:tab w:val="center" w:pos="4513"/>
        <w:tab w:val="right" w:pos="9026"/>
      </w:tabs>
      <w:spacing w:after="0"/>
    </w:pPr>
    <w:rPr>
      <w:rFonts w:ascii="Times New Roman" w:hAnsi="Times New Roman"/>
      <w:szCs w:val="22"/>
    </w:rPr>
  </w:style>
  <w:style w:type="character" w:customStyle="1" w:styleId="HeaderChar">
    <w:name w:val="Header Char"/>
    <w:aliases w:val="Page Header Char"/>
    <w:basedOn w:val="DefaultParagraphFont"/>
    <w:link w:val="Header"/>
    <w:uiPriority w:val="99"/>
    <w:rsid w:val="00EF616B"/>
    <w:rPr>
      <w:rFonts w:ascii="Times New Roman" w:hAnsi="Times New Roman"/>
      <w:szCs w:val="22"/>
    </w:rPr>
  </w:style>
  <w:style w:type="paragraph" w:styleId="Footer">
    <w:name w:val="footer"/>
    <w:basedOn w:val="Normal"/>
    <w:link w:val="FooterChar"/>
    <w:uiPriority w:val="99"/>
    <w:unhideWhenUsed/>
    <w:rsid w:val="00EF616B"/>
    <w:pPr>
      <w:tabs>
        <w:tab w:val="center" w:pos="4513"/>
        <w:tab w:val="right" w:pos="9026"/>
      </w:tabs>
      <w:spacing w:after="0"/>
    </w:pPr>
    <w:rPr>
      <w:rFonts w:ascii="Times New Roman" w:hAnsi="Times New Roman"/>
      <w:szCs w:val="22"/>
    </w:rPr>
  </w:style>
  <w:style w:type="character" w:customStyle="1" w:styleId="FooterChar">
    <w:name w:val="Footer Char"/>
    <w:basedOn w:val="DefaultParagraphFont"/>
    <w:link w:val="Footer"/>
    <w:uiPriority w:val="99"/>
    <w:rsid w:val="00EF616B"/>
    <w:rPr>
      <w:rFonts w:ascii="Times New Roman" w:hAnsi="Times New Roman"/>
      <w:szCs w:val="22"/>
    </w:rPr>
  </w:style>
  <w:style w:type="table" w:styleId="TableGrid">
    <w:name w:val="Table Grid"/>
    <w:basedOn w:val="TableNormal"/>
    <w:uiPriority w:val="59"/>
    <w:rsid w:val="00EF616B"/>
    <w:pPr>
      <w:spacing w:after="0"/>
    </w:pPr>
    <w:rPr>
      <w:rFonts w:ascii="Times New Roman" w:hAnsi="Times New Roman"/>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F616B"/>
    <w:rPr>
      <w:color w:val="808080"/>
    </w:rPr>
  </w:style>
  <w:style w:type="character" w:styleId="FollowedHyperlink">
    <w:name w:val="FollowedHyperlink"/>
    <w:basedOn w:val="DefaultParagraphFont"/>
    <w:uiPriority w:val="99"/>
    <w:semiHidden/>
    <w:unhideWhenUsed/>
    <w:rsid w:val="00DB626A"/>
    <w:rPr>
      <w:color w:val="800080" w:themeColor="followedHyperlink"/>
      <w:u w:val="single"/>
    </w:rPr>
  </w:style>
  <w:style w:type="character" w:customStyle="1" w:styleId="Heading1Char">
    <w:name w:val="Heading 1 Char"/>
    <w:basedOn w:val="DefaultParagraphFont"/>
    <w:link w:val="Heading1"/>
    <w:uiPriority w:val="9"/>
    <w:rsid w:val="00B84FBB"/>
    <w:rPr>
      <w:rFonts w:asciiTheme="majorHAnsi" w:hAnsiTheme="majorHAnsi"/>
      <w:b/>
      <w:sz w:val="28"/>
      <w:szCs w:val="28"/>
    </w:rPr>
  </w:style>
  <w:style w:type="character" w:customStyle="1" w:styleId="Heading2Char">
    <w:name w:val="Heading 2 Char"/>
    <w:basedOn w:val="DefaultParagraphFont"/>
    <w:link w:val="Heading2"/>
    <w:uiPriority w:val="9"/>
    <w:rsid w:val="00B84FBB"/>
    <w:rPr>
      <w:rFonts w:asciiTheme="majorHAnsi" w:hAnsiTheme="majorHAnsi"/>
      <w:b/>
    </w:rPr>
  </w:style>
  <w:style w:type="character" w:customStyle="1" w:styleId="Heading3Char">
    <w:name w:val="Heading 3 Char"/>
    <w:basedOn w:val="DefaultParagraphFont"/>
    <w:link w:val="Heading3"/>
    <w:uiPriority w:val="9"/>
    <w:rsid w:val="003B7C41"/>
    <w:rPr>
      <w:rFonts w:asciiTheme="majorHAnsi" w:hAnsiTheme="majorHAnsi"/>
      <w:b/>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A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935"/>
  </w:style>
  <w:style w:type="paragraph" w:styleId="Heading1">
    <w:name w:val="heading 1"/>
    <w:basedOn w:val="Normal"/>
    <w:next w:val="Normal"/>
    <w:link w:val="Heading1Char"/>
    <w:uiPriority w:val="9"/>
    <w:qFormat/>
    <w:rsid w:val="00B84FBB"/>
    <w:pPr>
      <w:jc w:val="center"/>
      <w:outlineLvl w:val="0"/>
    </w:pPr>
    <w:rPr>
      <w:rFonts w:asciiTheme="majorHAnsi" w:hAnsiTheme="majorHAnsi"/>
      <w:b/>
      <w:sz w:val="28"/>
      <w:szCs w:val="28"/>
    </w:rPr>
  </w:style>
  <w:style w:type="paragraph" w:styleId="Heading2">
    <w:name w:val="heading 2"/>
    <w:basedOn w:val="Normal"/>
    <w:next w:val="Normal"/>
    <w:link w:val="Heading2Char"/>
    <w:uiPriority w:val="9"/>
    <w:unhideWhenUsed/>
    <w:qFormat/>
    <w:rsid w:val="00B84FBB"/>
    <w:pPr>
      <w:outlineLvl w:val="1"/>
    </w:pPr>
    <w:rPr>
      <w:rFonts w:asciiTheme="majorHAnsi" w:hAnsiTheme="majorHAnsi"/>
      <w:b/>
    </w:rPr>
  </w:style>
  <w:style w:type="paragraph" w:styleId="Heading3">
    <w:name w:val="heading 3"/>
    <w:basedOn w:val="Normal"/>
    <w:next w:val="Normal"/>
    <w:link w:val="Heading3Char"/>
    <w:uiPriority w:val="9"/>
    <w:unhideWhenUsed/>
    <w:qFormat/>
    <w:rsid w:val="003B7C41"/>
    <w:pPr>
      <w:outlineLvl w:val="2"/>
    </w:pPr>
    <w:rPr>
      <w:rFonts w:asciiTheme="majorHAnsi" w:hAnsiTheme="majorHAns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275E9"/>
    <w:rPr>
      <w:color w:val="333333"/>
      <w:u w:val="single"/>
    </w:rPr>
  </w:style>
  <w:style w:type="paragraph" w:styleId="FootnoteText">
    <w:name w:val="footnote text"/>
    <w:basedOn w:val="Normal"/>
    <w:link w:val="FootnoteTextChar"/>
    <w:uiPriority w:val="99"/>
    <w:semiHidden/>
    <w:unhideWhenUsed/>
    <w:rsid w:val="00B275E9"/>
    <w:pPr>
      <w:spacing w:after="0"/>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B275E9"/>
    <w:rPr>
      <w:rFonts w:ascii="Times New Roman" w:hAnsi="Times New Roman"/>
      <w:sz w:val="20"/>
      <w:szCs w:val="20"/>
    </w:rPr>
  </w:style>
  <w:style w:type="character" w:styleId="FootnoteReference">
    <w:name w:val="footnote reference"/>
    <w:basedOn w:val="DefaultParagraphFont"/>
    <w:uiPriority w:val="99"/>
    <w:semiHidden/>
    <w:unhideWhenUsed/>
    <w:rsid w:val="00B275E9"/>
    <w:rPr>
      <w:vertAlign w:val="superscript"/>
    </w:rPr>
  </w:style>
  <w:style w:type="character" w:styleId="CommentReference">
    <w:name w:val="annotation reference"/>
    <w:basedOn w:val="DefaultParagraphFont"/>
    <w:uiPriority w:val="99"/>
    <w:semiHidden/>
    <w:unhideWhenUsed/>
    <w:rsid w:val="000F7AF5"/>
    <w:rPr>
      <w:sz w:val="18"/>
      <w:szCs w:val="18"/>
    </w:rPr>
  </w:style>
  <w:style w:type="paragraph" w:styleId="CommentText">
    <w:name w:val="annotation text"/>
    <w:basedOn w:val="Normal"/>
    <w:link w:val="CommentTextChar"/>
    <w:uiPriority w:val="99"/>
    <w:semiHidden/>
    <w:unhideWhenUsed/>
    <w:rsid w:val="000F7AF5"/>
  </w:style>
  <w:style w:type="character" w:customStyle="1" w:styleId="CommentTextChar">
    <w:name w:val="Comment Text Char"/>
    <w:basedOn w:val="DefaultParagraphFont"/>
    <w:link w:val="CommentText"/>
    <w:uiPriority w:val="99"/>
    <w:semiHidden/>
    <w:rsid w:val="000F7AF5"/>
  </w:style>
  <w:style w:type="paragraph" w:styleId="CommentSubject">
    <w:name w:val="annotation subject"/>
    <w:basedOn w:val="CommentText"/>
    <w:next w:val="CommentText"/>
    <w:link w:val="CommentSubjectChar"/>
    <w:uiPriority w:val="99"/>
    <w:semiHidden/>
    <w:unhideWhenUsed/>
    <w:rsid w:val="000F7AF5"/>
    <w:rPr>
      <w:b/>
      <w:bCs/>
      <w:sz w:val="20"/>
      <w:szCs w:val="20"/>
    </w:rPr>
  </w:style>
  <w:style w:type="character" w:customStyle="1" w:styleId="CommentSubjectChar">
    <w:name w:val="Comment Subject Char"/>
    <w:basedOn w:val="CommentTextChar"/>
    <w:link w:val="CommentSubject"/>
    <w:uiPriority w:val="99"/>
    <w:semiHidden/>
    <w:rsid w:val="000F7AF5"/>
    <w:rPr>
      <w:b/>
      <w:bCs/>
      <w:sz w:val="20"/>
      <w:szCs w:val="20"/>
    </w:rPr>
  </w:style>
  <w:style w:type="paragraph" w:styleId="BalloonText">
    <w:name w:val="Balloon Text"/>
    <w:basedOn w:val="Normal"/>
    <w:link w:val="BalloonTextChar"/>
    <w:uiPriority w:val="99"/>
    <w:semiHidden/>
    <w:unhideWhenUsed/>
    <w:rsid w:val="000F7AF5"/>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0F7AF5"/>
    <w:rPr>
      <w:rFonts w:ascii="Lucida Grande" w:hAnsi="Lucida Grande"/>
      <w:sz w:val="18"/>
      <w:szCs w:val="18"/>
    </w:rPr>
  </w:style>
  <w:style w:type="paragraph" w:styleId="ListParagraph">
    <w:name w:val="List Paragraph"/>
    <w:basedOn w:val="Normal"/>
    <w:uiPriority w:val="34"/>
    <w:qFormat/>
    <w:rsid w:val="00EF616B"/>
    <w:pPr>
      <w:spacing w:after="0"/>
      <w:ind w:left="720"/>
    </w:pPr>
    <w:rPr>
      <w:rFonts w:ascii="Times New Roman" w:eastAsia="Times New Roman" w:hAnsi="Times New Roman" w:cs="Times New Roman"/>
      <w:szCs w:val="20"/>
      <w:lang w:eastAsia="en-AU"/>
    </w:rPr>
  </w:style>
  <w:style w:type="character" w:styleId="Strong">
    <w:name w:val="Strong"/>
    <w:basedOn w:val="DefaultParagraphFont"/>
    <w:uiPriority w:val="22"/>
    <w:qFormat/>
    <w:rsid w:val="00EF616B"/>
    <w:rPr>
      <w:b/>
      <w:bCs/>
    </w:rPr>
  </w:style>
  <w:style w:type="paragraph" w:styleId="Header">
    <w:name w:val="header"/>
    <w:aliases w:val="Page Header"/>
    <w:basedOn w:val="Normal"/>
    <w:link w:val="HeaderChar"/>
    <w:uiPriority w:val="99"/>
    <w:unhideWhenUsed/>
    <w:rsid w:val="00EF616B"/>
    <w:pPr>
      <w:tabs>
        <w:tab w:val="center" w:pos="4513"/>
        <w:tab w:val="right" w:pos="9026"/>
      </w:tabs>
      <w:spacing w:after="0"/>
    </w:pPr>
    <w:rPr>
      <w:rFonts w:ascii="Times New Roman" w:hAnsi="Times New Roman"/>
      <w:szCs w:val="22"/>
    </w:rPr>
  </w:style>
  <w:style w:type="character" w:customStyle="1" w:styleId="HeaderChar">
    <w:name w:val="Header Char"/>
    <w:aliases w:val="Page Header Char"/>
    <w:basedOn w:val="DefaultParagraphFont"/>
    <w:link w:val="Header"/>
    <w:uiPriority w:val="99"/>
    <w:rsid w:val="00EF616B"/>
    <w:rPr>
      <w:rFonts w:ascii="Times New Roman" w:hAnsi="Times New Roman"/>
      <w:szCs w:val="22"/>
    </w:rPr>
  </w:style>
  <w:style w:type="paragraph" w:styleId="Footer">
    <w:name w:val="footer"/>
    <w:basedOn w:val="Normal"/>
    <w:link w:val="FooterChar"/>
    <w:uiPriority w:val="99"/>
    <w:unhideWhenUsed/>
    <w:rsid w:val="00EF616B"/>
    <w:pPr>
      <w:tabs>
        <w:tab w:val="center" w:pos="4513"/>
        <w:tab w:val="right" w:pos="9026"/>
      </w:tabs>
      <w:spacing w:after="0"/>
    </w:pPr>
    <w:rPr>
      <w:rFonts w:ascii="Times New Roman" w:hAnsi="Times New Roman"/>
      <w:szCs w:val="22"/>
    </w:rPr>
  </w:style>
  <w:style w:type="character" w:customStyle="1" w:styleId="FooterChar">
    <w:name w:val="Footer Char"/>
    <w:basedOn w:val="DefaultParagraphFont"/>
    <w:link w:val="Footer"/>
    <w:uiPriority w:val="99"/>
    <w:rsid w:val="00EF616B"/>
    <w:rPr>
      <w:rFonts w:ascii="Times New Roman" w:hAnsi="Times New Roman"/>
      <w:szCs w:val="22"/>
    </w:rPr>
  </w:style>
  <w:style w:type="table" w:styleId="TableGrid">
    <w:name w:val="Table Grid"/>
    <w:basedOn w:val="TableNormal"/>
    <w:uiPriority w:val="59"/>
    <w:rsid w:val="00EF616B"/>
    <w:pPr>
      <w:spacing w:after="0"/>
    </w:pPr>
    <w:rPr>
      <w:rFonts w:ascii="Times New Roman" w:hAnsi="Times New Roman"/>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F616B"/>
    <w:rPr>
      <w:color w:val="808080"/>
    </w:rPr>
  </w:style>
  <w:style w:type="character" w:styleId="FollowedHyperlink">
    <w:name w:val="FollowedHyperlink"/>
    <w:basedOn w:val="DefaultParagraphFont"/>
    <w:uiPriority w:val="99"/>
    <w:semiHidden/>
    <w:unhideWhenUsed/>
    <w:rsid w:val="00DB626A"/>
    <w:rPr>
      <w:color w:val="800080" w:themeColor="followedHyperlink"/>
      <w:u w:val="single"/>
    </w:rPr>
  </w:style>
  <w:style w:type="character" w:customStyle="1" w:styleId="Heading1Char">
    <w:name w:val="Heading 1 Char"/>
    <w:basedOn w:val="DefaultParagraphFont"/>
    <w:link w:val="Heading1"/>
    <w:uiPriority w:val="9"/>
    <w:rsid w:val="00B84FBB"/>
    <w:rPr>
      <w:rFonts w:asciiTheme="majorHAnsi" w:hAnsiTheme="majorHAnsi"/>
      <w:b/>
      <w:sz w:val="28"/>
      <w:szCs w:val="28"/>
    </w:rPr>
  </w:style>
  <w:style w:type="character" w:customStyle="1" w:styleId="Heading2Char">
    <w:name w:val="Heading 2 Char"/>
    <w:basedOn w:val="DefaultParagraphFont"/>
    <w:link w:val="Heading2"/>
    <w:uiPriority w:val="9"/>
    <w:rsid w:val="00B84FBB"/>
    <w:rPr>
      <w:rFonts w:asciiTheme="majorHAnsi" w:hAnsiTheme="majorHAnsi"/>
      <w:b/>
    </w:rPr>
  </w:style>
  <w:style w:type="character" w:customStyle="1" w:styleId="Heading3Char">
    <w:name w:val="Heading 3 Char"/>
    <w:basedOn w:val="DefaultParagraphFont"/>
    <w:link w:val="Heading3"/>
    <w:uiPriority w:val="9"/>
    <w:rsid w:val="003B7C41"/>
    <w:rPr>
      <w:rFonts w:asciiTheme="majorHAnsi" w:hAnsiTheme="majorHAnsi"/>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2037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hart" Target="charts/chart3.xm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hyperlink" Target="http://www.ebs.tga.gov.au/ebs/picmi/picmirepository.nsf/pdf?OpenAgent&amp;id=CP-2010-PI-01616-3"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2.xml"/><Relationship Id="rId25" Type="http://schemas.openxmlformats.org/officeDocument/2006/relationships/image" Target="media/image2.png"/><Relationship Id="rId33" Type="http://schemas.openxmlformats.org/officeDocument/2006/relationships/hyperlink" Target="http://www.ebs.tga.gov.au/ebs/picmi/picmirepository.nsf/pdf?OpenAgent&amp;id=CP-2011-PI-02804-3"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8.xml"/><Relationship Id="rId32" Type="http://schemas.openxmlformats.org/officeDocument/2006/relationships/hyperlink" Target="http://www.ebs.tga.gov.au/ebs/picmi/picmirepository.nsf/pdf?OpenAgent&amp;id=CP-2010-PI-07765-3"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chart" Target="charts/chart7.xml"/><Relationship Id="rId28" Type="http://schemas.openxmlformats.org/officeDocument/2006/relationships/image" Target="media/image5.png"/><Relationship Id="rId36" Type="http://schemas.openxmlformats.org/officeDocument/2006/relationships/hyperlink" Target="http://www.australiandoctor.com.au/news/latest-news/antipsychotics-hit-the-street" TargetMode="External"/><Relationship Id="rId10" Type="http://schemas.openxmlformats.org/officeDocument/2006/relationships/header" Target="header2.xml"/><Relationship Id="rId19" Type="http://schemas.openxmlformats.org/officeDocument/2006/relationships/chart" Target="charts/chart4.xml"/><Relationship Id="rId31" Type="http://schemas.openxmlformats.org/officeDocument/2006/relationships/hyperlink" Target="http://www.ebs.tga.gov.au/ebs/picmi/picmirepository.nsf/pdf?OpenAgent&amp;id=CP-2010-PI-07764-3"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hart" Target="charts/chart6.xml"/><Relationship Id="rId27" Type="http://schemas.openxmlformats.org/officeDocument/2006/relationships/image" Target="media/image4.png"/><Relationship Id="rId30" Type="http://schemas.openxmlformats.org/officeDocument/2006/relationships/hyperlink" Target="http://www.sane.org/images/stories/information/research/0104_info_schizcosts.pdf" TargetMode="External"/><Relationship Id="rId35" Type="http://schemas.openxmlformats.org/officeDocument/2006/relationships/hyperlink" Target="http://www.pbs.gov.au/info/industry/listing/elements/pbac-meetings/psd/2013-07/quetiapine"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entral.health\DFSGroupData\Sites\CO1\CO\PBD\PEB\EVAL\DUSC\DUSC%20Documents\Predicted%20vs%20actual%20usage\PvA%20-%202013%20Feb\Anti-psychotics\Working%20Data\D735_DTYPDE_ST_SX_AGE_AT_1ST_SUPP%20working.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3%20Jun\Antipsychotics\Data\D735_ITEM_ST_SX_AGE_AT_1ST_DRUG%20age%20strengt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ivotFmts>
      <c:pivotFmt>
        <c:idx val="0"/>
        <c:marker>
          <c:symbol val="none"/>
        </c:marker>
      </c:pivotFmt>
      <c:pivotFmt>
        <c:idx val="1"/>
        <c:spPr>
          <a:ln w="25400">
            <a:noFill/>
          </a:ln>
        </c:spPr>
        <c:marker>
          <c:symbol val="none"/>
        </c:marker>
      </c:pivotFmt>
      <c:pivotFmt>
        <c:idx val="2"/>
        <c:marker>
          <c:symbol val="none"/>
        </c:marker>
      </c:pivotFmt>
      <c:pivotFmt>
        <c:idx val="3"/>
        <c:marker>
          <c:symbol val="none"/>
        </c:marker>
      </c:pivotFmt>
      <c:pivotFmt>
        <c:idx val="4"/>
        <c:spPr>
          <a:ln w="25400">
            <a:noFill/>
          </a:ln>
        </c:spPr>
        <c:marker>
          <c:symbol val="none"/>
        </c:marker>
      </c:pivotFmt>
      <c:pivotFmt>
        <c:idx val="5"/>
        <c:marker>
          <c:symbol val="none"/>
        </c:marker>
      </c:pivotFmt>
      <c:pivotFmt>
        <c:idx val="6"/>
        <c:spPr>
          <a:ln w="25400">
            <a:noFill/>
          </a:ln>
        </c:spPr>
        <c:marker>
          <c:symbol val="none"/>
        </c:marker>
      </c:pivotFmt>
    </c:pivotFmts>
    <c:plotArea>
      <c:layout/>
      <c:areaChart>
        <c:grouping val="stacked"/>
        <c:varyColors val="0"/>
        <c:ser>
          <c:idx val="0"/>
          <c:order val="0"/>
          <c:tx>
            <c:v>conventional</c:v>
          </c:tx>
          <c:cat>
            <c:strLit>
              <c:ptCount val="103"/>
              <c:pt idx="0">
                <c:v>Jan-04</c:v>
              </c:pt>
              <c:pt idx="1">
                <c:v>Feb-04</c:v>
              </c:pt>
              <c:pt idx="2">
                <c:v>Mar-04</c:v>
              </c:pt>
              <c:pt idx="3">
                <c:v>Apr-04</c:v>
              </c:pt>
              <c:pt idx="4">
                <c:v>May-04</c:v>
              </c:pt>
              <c:pt idx="5">
                <c:v>Jun-04</c:v>
              </c:pt>
              <c:pt idx="6">
                <c:v>Jul-04</c:v>
              </c:pt>
              <c:pt idx="7">
                <c:v>Aug-04</c:v>
              </c:pt>
              <c:pt idx="8">
                <c:v>Sep-04</c:v>
              </c:pt>
              <c:pt idx="9">
                <c:v>Oct-04</c:v>
              </c:pt>
              <c:pt idx="10">
                <c:v>Nov-04</c:v>
              </c:pt>
              <c:pt idx="11">
                <c:v>Dec-04</c:v>
              </c:pt>
              <c:pt idx="12">
                <c:v>Jan-05</c:v>
              </c:pt>
              <c:pt idx="13">
                <c:v>Feb-05</c:v>
              </c:pt>
              <c:pt idx="14">
                <c:v>Mar-05</c:v>
              </c:pt>
              <c:pt idx="15">
                <c:v>Apr-05</c:v>
              </c:pt>
              <c:pt idx="16">
                <c:v>May-05</c:v>
              </c:pt>
              <c:pt idx="17">
                <c:v>Jun-05</c:v>
              </c:pt>
              <c:pt idx="18">
                <c:v>Jul-05</c:v>
              </c:pt>
              <c:pt idx="19">
                <c:v>Aug-05</c:v>
              </c:pt>
              <c:pt idx="20">
                <c:v>Sep-05</c:v>
              </c:pt>
              <c:pt idx="21">
                <c:v>Oct-05</c:v>
              </c:pt>
              <c:pt idx="22">
                <c:v>Nov-05</c:v>
              </c:pt>
              <c:pt idx="23">
                <c:v>Dec-05</c:v>
              </c:pt>
              <c:pt idx="24">
                <c:v>Jan-06</c:v>
              </c:pt>
              <c:pt idx="25">
                <c:v>Feb-06</c:v>
              </c:pt>
              <c:pt idx="26">
                <c:v>Mar-06</c:v>
              </c:pt>
              <c:pt idx="27">
                <c:v>Apr-06</c:v>
              </c:pt>
              <c:pt idx="28">
                <c:v>May-06</c:v>
              </c:pt>
              <c:pt idx="29">
                <c:v>Jun-06</c:v>
              </c:pt>
              <c:pt idx="30">
                <c:v>Jul-06</c:v>
              </c:pt>
              <c:pt idx="31">
                <c:v>Aug-06</c:v>
              </c:pt>
              <c:pt idx="32">
                <c:v>Sep-06</c:v>
              </c:pt>
              <c:pt idx="33">
                <c:v>Oct-06</c:v>
              </c:pt>
              <c:pt idx="34">
                <c:v>Nov-06</c:v>
              </c:pt>
              <c:pt idx="35">
                <c:v>Dec-06</c:v>
              </c:pt>
              <c:pt idx="36">
                <c:v>Jan-07</c:v>
              </c:pt>
              <c:pt idx="37">
                <c:v>Feb-07</c:v>
              </c:pt>
              <c:pt idx="38">
                <c:v>Mar-07</c:v>
              </c:pt>
              <c:pt idx="39">
                <c:v>Apr-07</c:v>
              </c:pt>
              <c:pt idx="40">
                <c:v>May-07</c:v>
              </c:pt>
              <c:pt idx="41">
                <c:v>Jun-07</c:v>
              </c:pt>
              <c:pt idx="42">
                <c:v>Jul-07</c:v>
              </c:pt>
              <c:pt idx="43">
                <c:v>Aug-07</c:v>
              </c:pt>
              <c:pt idx="44">
                <c:v>Sep-07</c:v>
              </c:pt>
              <c:pt idx="45">
                <c:v>Oct-07</c:v>
              </c:pt>
              <c:pt idx="46">
                <c:v>Nov-07</c:v>
              </c:pt>
              <c:pt idx="47">
                <c:v>Dec-07</c:v>
              </c:pt>
              <c:pt idx="48">
                <c:v>Jan-08</c:v>
              </c:pt>
              <c:pt idx="49">
                <c:v>Feb-08</c:v>
              </c:pt>
              <c:pt idx="50">
                <c:v>Mar-08</c:v>
              </c:pt>
              <c:pt idx="51">
                <c:v>Apr-08</c:v>
              </c:pt>
              <c:pt idx="52">
                <c:v>May-08</c:v>
              </c:pt>
              <c:pt idx="53">
                <c:v>Jun-08</c:v>
              </c:pt>
              <c:pt idx="54">
                <c:v>Jul-08</c:v>
              </c:pt>
              <c:pt idx="55">
                <c:v>Aug-08</c:v>
              </c:pt>
              <c:pt idx="56">
                <c:v>Sep-08</c:v>
              </c:pt>
              <c:pt idx="57">
                <c:v>Oct-08</c:v>
              </c:pt>
              <c:pt idx="58">
                <c:v>Nov-08</c:v>
              </c:pt>
              <c:pt idx="59">
                <c:v>Dec-08</c:v>
              </c:pt>
              <c:pt idx="60">
                <c:v>Jan-09</c:v>
              </c:pt>
              <c:pt idx="61">
                <c:v>Feb-09</c:v>
              </c:pt>
              <c:pt idx="62">
                <c:v>Mar-09</c:v>
              </c:pt>
              <c:pt idx="63">
                <c:v>Apr-09</c:v>
              </c:pt>
              <c:pt idx="64">
                <c:v>May-09</c:v>
              </c:pt>
              <c:pt idx="65">
                <c:v>Jun-09</c:v>
              </c:pt>
              <c:pt idx="66">
                <c:v>Jul-09</c:v>
              </c:pt>
              <c:pt idx="67">
                <c:v>Aug-09</c:v>
              </c:pt>
              <c:pt idx="68">
                <c:v>Sep-09</c:v>
              </c:pt>
              <c:pt idx="69">
                <c:v>Oct-09</c:v>
              </c:pt>
              <c:pt idx="70">
                <c:v>Nov-09</c:v>
              </c:pt>
              <c:pt idx="71">
                <c:v>Dec-09</c:v>
              </c:pt>
              <c:pt idx="72">
                <c:v>Jan-10</c:v>
              </c:pt>
              <c:pt idx="73">
                <c:v>Feb-10</c:v>
              </c:pt>
              <c:pt idx="74">
                <c:v>Mar-10</c:v>
              </c:pt>
              <c:pt idx="75">
                <c:v>Apr-10</c:v>
              </c:pt>
              <c:pt idx="76">
                <c:v>May-10</c:v>
              </c:pt>
              <c:pt idx="77">
                <c:v>Jun-10</c:v>
              </c:pt>
              <c:pt idx="78">
                <c:v>Jul-10</c:v>
              </c:pt>
              <c:pt idx="79">
                <c:v>Aug-10</c:v>
              </c:pt>
              <c:pt idx="80">
                <c:v>Sep-10</c:v>
              </c:pt>
              <c:pt idx="81">
                <c:v>Oct-10</c:v>
              </c:pt>
              <c:pt idx="82">
                <c:v>Nov-10</c:v>
              </c:pt>
              <c:pt idx="83">
                <c:v>Dec-10</c:v>
              </c:pt>
              <c:pt idx="84">
                <c:v>Jan-11</c:v>
              </c:pt>
              <c:pt idx="85">
                <c:v>Feb-11</c:v>
              </c:pt>
              <c:pt idx="86">
                <c:v>Mar-11</c:v>
              </c:pt>
              <c:pt idx="87">
                <c:v>Apr-11</c:v>
              </c:pt>
              <c:pt idx="88">
                <c:v>May-11</c:v>
              </c:pt>
              <c:pt idx="89">
                <c:v>Jun-11</c:v>
              </c:pt>
              <c:pt idx="90">
                <c:v>Jul-11</c:v>
              </c:pt>
              <c:pt idx="91">
                <c:v>Aug-11</c:v>
              </c:pt>
              <c:pt idx="92">
                <c:v>Sep-11</c:v>
              </c:pt>
              <c:pt idx="93">
                <c:v>Oct-11</c:v>
              </c:pt>
              <c:pt idx="94">
                <c:v>Nov-11</c:v>
              </c:pt>
              <c:pt idx="95">
                <c:v>Dec-11</c:v>
              </c:pt>
              <c:pt idx="96">
                <c:v>Jan-12</c:v>
              </c:pt>
              <c:pt idx="97">
                <c:v>Feb-12</c:v>
              </c:pt>
              <c:pt idx="98">
                <c:v>Mar-12</c:v>
              </c:pt>
              <c:pt idx="99">
                <c:v>Apr-12</c:v>
              </c:pt>
              <c:pt idx="100">
                <c:v>May-12</c:v>
              </c:pt>
              <c:pt idx="101">
                <c:v>Jun-12</c:v>
              </c:pt>
              <c:pt idx="102">
                <c:v>Jul-12</c:v>
              </c:pt>
            </c:strLit>
          </c:cat>
          <c:val>
            <c:numLit>
              <c:formatCode>General</c:formatCode>
              <c:ptCount val="103"/>
              <c:pt idx="0">
                <c:v>41537</c:v>
              </c:pt>
              <c:pt idx="1">
                <c:v>41688</c:v>
              </c:pt>
              <c:pt idx="2">
                <c:v>47873</c:v>
              </c:pt>
              <c:pt idx="3">
                <c:v>44209</c:v>
              </c:pt>
              <c:pt idx="4">
                <c:v>45979</c:v>
              </c:pt>
              <c:pt idx="5">
                <c:v>45598</c:v>
              </c:pt>
              <c:pt idx="6">
                <c:v>46550</c:v>
              </c:pt>
              <c:pt idx="7">
                <c:v>47451</c:v>
              </c:pt>
              <c:pt idx="8">
                <c:v>47083</c:v>
              </c:pt>
              <c:pt idx="9">
                <c:v>46013</c:v>
              </c:pt>
              <c:pt idx="10">
                <c:v>47813</c:v>
              </c:pt>
              <c:pt idx="11">
                <c:v>54316</c:v>
              </c:pt>
              <c:pt idx="12">
                <c:v>38906</c:v>
              </c:pt>
              <c:pt idx="13">
                <c:v>39799</c:v>
              </c:pt>
              <c:pt idx="14">
                <c:v>45292</c:v>
              </c:pt>
              <c:pt idx="15">
                <c:v>42957</c:v>
              </c:pt>
              <c:pt idx="16">
                <c:v>44611</c:v>
              </c:pt>
              <c:pt idx="17">
                <c:v>44613</c:v>
              </c:pt>
              <c:pt idx="18">
                <c:v>43621</c:v>
              </c:pt>
              <c:pt idx="19">
                <c:v>45506</c:v>
              </c:pt>
              <c:pt idx="20">
                <c:v>43913</c:v>
              </c:pt>
              <c:pt idx="21">
                <c:v>43443</c:v>
              </c:pt>
              <c:pt idx="22">
                <c:v>44937</c:v>
              </c:pt>
              <c:pt idx="23">
                <c:v>51574</c:v>
              </c:pt>
              <c:pt idx="24">
                <c:v>37151</c:v>
              </c:pt>
              <c:pt idx="25">
                <c:v>38754</c:v>
              </c:pt>
              <c:pt idx="26">
                <c:v>41547</c:v>
              </c:pt>
              <c:pt idx="27">
                <c:v>38143</c:v>
              </c:pt>
              <c:pt idx="28">
                <c:v>43008</c:v>
              </c:pt>
              <c:pt idx="29">
                <c:v>41811</c:v>
              </c:pt>
              <c:pt idx="30">
                <c:v>41103</c:v>
              </c:pt>
              <c:pt idx="31">
                <c:v>42544</c:v>
              </c:pt>
              <c:pt idx="32">
                <c:v>41088</c:v>
              </c:pt>
              <c:pt idx="33">
                <c:v>42749</c:v>
              </c:pt>
              <c:pt idx="34">
                <c:v>41401</c:v>
              </c:pt>
              <c:pt idx="35">
                <c:v>44308</c:v>
              </c:pt>
              <c:pt idx="36">
                <c:v>36520</c:v>
              </c:pt>
              <c:pt idx="37">
                <c:v>36505</c:v>
              </c:pt>
              <c:pt idx="38">
                <c:v>38544</c:v>
              </c:pt>
              <c:pt idx="39">
                <c:v>36025</c:v>
              </c:pt>
              <c:pt idx="40">
                <c:v>41339</c:v>
              </c:pt>
              <c:pt idx="41">
                <c:v>37929</c:v>
              </c:pt>
              <c:pt idx="42">
                <c:v>39603</c:v>
              </c:pt>
              <c:pt idx="43">
                <c:v>42005</c:v>
              </c:pt>
              <c:pt idx="44">
                <c:v>37920</c:v>
              </c:pt>
              <c:pt idx="45">
                <c:v>42129</c:v>
              </c:pt>
              <c:pt idx="46">
                <c:v>41481</c:v>
              </c:pt>
              <c:pt idx="47">
                <c:v>44286</c:v>
              </c:pt>
              <c:pt idx="48">
                <c:v>36451</c:v>
              </c:pt>
              <c:pt idx="49">
                <c:v>36222</c:v>
              </c:pt>
              <c:pt idx="50">
                <c:v>36178</c:v>
              </c:pt>
              <c:pt idx="51">
                <c:v>37661</c:v>
              </c:pt>
              <c:pt idx="52">
                <c:v>40122</c:v>
              </c:pt>
              <c:pt idx="53">
                <c:v>37605</c:v>
              </c:pt>
              <c:pt idx="54">
                <c:v>40137</c:v>
              </c:pt>
              <c:pt idx="55">
                <c:v>38169</c:v>
              </c:pt>
              <c:pt idx="56">
                <c:v>38925</c:v>
              </c:pt>
              <c:pt idx="57">
                <c:v>41229</c:v>
              </c:pt>
              <c:pt idx="58">
                <c:v>38367</c:v>
              </c:pt>
              <c:pt idx="59">
                <c:v>46272</c:v>
              </c:pt>
              <c:pt idx="60">
                <c:v>33719</c:v>
              </c:pt>
              <c:pt idx="61">
                <c:v>33609</c:v>
              </c:pt>
              <c:pt idx="62">
                <c:v>37220</c:v>
              </c:pt>
              <c:pt idx="63">
                <c:v>37105</c:v>
              </c:pt>
              <c:pt idx="64">
                <c:v>36992</c:v>
              </c:pt>
              <c:pt idx="65">
                <c:v>36984</c:v>
              </c:pt>
              <c:pt idx="66">
                <c:v>38834</c:v>
              </c:pt>
              <c:pt idx="67">
                <c:v>37631</c:v>
              </c:pt>
              <c:pt idx="68">
                <c:v>38355</c:v>
              </c:pt>
              <c:pt idx="69">
                <c:v>38748</c:v>
              </c:pt>
              <c:pt idx="70">
                <c:v>37972</c:v>
              </c:pt>
              <c:pt idx="71">
                <c:v>44761</c:v>
              </c:pt>
              <c:pt idx="72">
                <c:v>32470</c:v>
              </c:pt>
              <c:pt idx="73">
                <c:v>33209</c:v>
              </c:pt>
              <c:pt idx="74">
                <c:v>38028</c:v>
              </c:pt>
              <c:pt idx="75">
                <c:v>35646</c:v>
              </c:pt>
              <c:pt idx="76">
                <c:v>36235</c:v>
              </c:pt>
              <c:pt idx="77">
                <c:v>37864</c:v>
              </c:pt>
              <c:pt idx="78">
                <c:v>38349</c:v>
              </c:pt>
              <c:pt idx="79">
                <c:v>38124</c:v>
              </c:pt>
              <c:pt idx="80">
                <c:v>37935</c:v>
              </c:pt>
              <c:pt idx="81">
                <c:v>37201</c:v>
              </c:pt>
              <c:pt idx="82">
                <c:v>38706</c:v>
              </c:pt>
              <c:pt idx="83">
                <c:v>43618</c:v>
              </c:pt>
              <c:pt idx="84">
                <c:v>32339</c:v>
              </c:pt>
              <c:pt idx="85">
                <c:v>33520</c:v>
              </c:pt>
              <c:pt idx="86">
                <c:v>37855</c:v>
              </c:pt>
              <c:pt idx="87">
                <c:v>34124</c:v>
              </c:pt>
              <c:pt idx="88">
                <c:v>36958</c:v>
              </c:pt>
              <c:pt idx="89">
                <c:v>35630</c:v>
              </c:pt>
              <c:pt idx="90">
                <c:v>35123</c:v>
              </c:pt>
              <c:pt idx="91">
                <c:v>37140</c:v>
              </c:pt>
              <c:pt idx="92">
                <c:v>36846</c:v>
              </c:pt>
              <c:pt idx="93">
                <c:v>36372</c:v>
              </c:pt>
              <c:pt idx="94">
                <c:v>38003</c:v>
              </c:pt>
              <c:pt idx="95">
                <c:v>42822</c:v>
              </c:pt>
              <c:pt idx="96">
                <c:v>31771</c:v>
              </c:pt>
              <c:pt idx="97">
                <c:v>33129</c:v>
              </c:pt>
              <c:pt idx="98">
                <c:v>36469</c:v>
              </c:pt>
              <c:pt idx="99">
                <c:v>39345</c:v>
              </c:pt>
              <c:pt idx="100">
                <c:v>44570</c:v>
              </c:pt>
              <c:pt idx="101">
                <c:v>41697</c:v>
              </c:pt>
              <c:pt idx="102">
                <c:v>43470</c:v>
              </c:pt>
            </c:numLit>
          </c:val>
        </c:ser>
        <c:ser>
          <c:idx val="1"/>
          <c:order val="1"/>
          <c:tx>
            <c:v>atypical</c:v>
          </c:tx>
          <c:spPr>
            <a:ln w="25400">
              <a:noFill/>
            </a:ln>
          </c:spPr>
          <c:cat>
            <c:strLit>
              <c:ptCount val="103"/>
              <c:pt idx="0">
                <c:v>Jan-04</c:v>
              </c:pt>
              <c:pt idx="1">
                <c:v>Feb-04</c:v>
              </c:pt>
              <c:pt idx="2">
                <c:v>Mar-04</c:v>
              </c:pt>
              <c:pt idx="3">
                <c:v>Apr-04</c:v>
              </c:pt>
              <c:pt idx="4">
                <c:v>May-04</c:v>
              </c:pt>
              <c:pt idx="5">
                <c:v>Jun-04</c:v>
              </c:pt>
              <c:pt idx="6">
                <c:v>Jul-04</c:v>
              </c:pt>
              <c:pt idx="7">
                <c:v>Aug-04</c:v>
              </c:pt>
              <c:pt idx="8">
                <c:v>Sep-04</c:v>
              </c:pt>
              <c:pt idx="9">
                <c:v>Oct-04</c:v>
              </c:pt>
              <c:pt idx="10">
                <c:v>Nov-04</c:v>
              </c:pt>
              <c:pt idx="11">
                <c:v>Dec-04</c:v>
              </c:pt>
              <c:pt idx="12">
                <c:v>Jan-05</c:v>
              </c:pt>
              <c:pt idx="13">
                <c:v>Feb-05</c:v>
              </c:pt>
              <c:pt idx="14">
                <c:v>Mar-05</c:v>
              </c:pt>
              <c:pt idx="15">
                <c:v>Apr-05</c:v>
              </c:pt>
              <c:pt idx="16">
                <c:v>May-05</c:v>
              </c:pt>
              <c:pt idx="17">
                <c:v>Jun-05</c:v>
              </c:pt>
              <c:pt idx="18">
                <c:v>Jul-05</c:v>
              </c:pt>
              <c:pt idx="19">
                <c:v>Aug-05</c:v>
              </c:pt>
              <c:pt idx="20">
                <c:v>Sep-05</c:v>
              </c:pt>
              <c:pt idx="21">
                <c:v>Oct-05</c:v>
              </c:pt>
              <c:pt idx="22">
                <c:v>Nov-05</c:v>
              </c:pt>
              <c:pt idx="23">
                <c:v>Dec-05</c:v>
              </c:pt>
              <c:pt idx="24">
                <c:v>Jan-06</c:v>
              </c:pt>
              <c:pt idx="25">
                <c:v>Feb-06</c:v>
              </c:pt>
              <c:pt idx="26">
                <c:v>Mar-06</c:v>
              </c:pt>
              <c:pt idx="27">
                <c:v>Apr-06</c:v>
              </c:pt>
              <c:pt idx="28">
                <c:v>May-06</c:v>
              </c:pt>
              <c:pt idx="29">
                <c:v>Jun-06</c:v>
              </c:pt>
              <c:pt idx="30">
                <c:v>Jul-06</c:v>
              </c:pt>
              <c:pt idx="31">
                <c:v>Aug-06</c:v>
              </c:pt>
              <c:pt idx="32">
                <c:v>Sep-06</c:v>
              </c:pt>
              <c:pt idx="33">
                <c:v>Oct-06</c:v>
              </c:pt>
              <c:pt idx="34">
                <c:v>Nov-06</c:v>
              </c:pt>
              <c:pt idx="35">
                <c:v>Dec-06</c:v>
              </c:pt>
              <c:pt idx="36">
                <c:v>Jan-07</c:v>
              </c:pt>
              <c:pt idx="37">
                <c:v>Feb-07</c:v>
              </c:pt>
              <c:pt idx="38">
                <c:v>Mar-07</c:v>
              </c:pt>
              <c:pt idx="39">
                <c:v>Apr-07</c:v>
              </c:pt>
              <c:pt idx="40">
                <c:v>May-07</c:v>
              </c:pt>
              <c:pt idx="41">
                <c:v>Jun-07</c:v>
              </c:pt>
              <c:pt idx="42">
                <c:v>Jul-07</c:v>
              </c:pt>
              <c:pt idx="43">
                <c:v>Aug-07</c:v>
              </c:pt>
              <c:pt idx="44">
                <c:v>Sep-07</c:v>
              </c:pt>
              <c:pt idx="45">
                <c:v>Oct-07</c:v>
              </c:pt>
              <c:pt idx="46">
                <c:v>Nov-07</c:v>
              </c:pt>
              <c:pt idx="47">
                <c:v>Dec-07</c:v>
              </c:pt>
              <c:pt idx="48">
                <c:v>Jan-08</c:v>
              </c:pt>
              <c:pt idx="49">
                <c:v>Feb-08</c:v>
              </c:pt>
              <c:pt idx="50">
                <c:v>Mar-08</c:v>
              </c:pt>
              <c:pt idx="51">
                <c:v>Apr-08</c:v>
              </c:pt>
              <c:pt idx="52">
                <c:v>May-08</c:v>
              </c:pt>
              <c:pt idx="53">
                <c:v>Jun-08</c:v>
              </c:pt>
              <c:pt idx="54">
                <c:v>Jul-08</c:v>
              </c:pt>
              <c:pt idx="55">
                <c:v>Aug-08</c:v>
              </c:pt>
              <c:pt idx="56">
                <c:v>Sep-08</c:v>
              </c:pt>
              <c:pt idx="57">
                <c:v>Oct-08</c:v>
              </c:pt>
              <c:pt idx="58">
                <c:v>Nov-08</c:v>
              </c:pt>
              <c:pt idx="59">
                <c:v>Dec-08</c:v>
              </c:pt>
              <c:pt idx="60">
                <c:v>Jan-09</c:v>
              </c:pt>
              <c:pt idx="61">
                <c:v>Feb-09</c:v>
              </c:pt>
              <c:pt idx="62">
                <c:v>Mar-09</c:v>
              </c:pt>
              <c:pt idx="63">
                <c:v>Apr-09</c:v>
              </c:pt>
              <c:pt idx="64">
                <c:v>May-09</c:v>
              </c:pt>
              <c:pt idx="65">
                <c:v>Jun-09</c:v>
              </c:pt>
              <c:pt idx="66">
                <c:v>Jul-09</c:v>
              </c:pt>
              <c:pt idx="67">
                <c:v>Aug-09</c:v>
              </c:pt>
              <c:pt idx="68">
                <c:v>Sep-09</c:v>
              </c:pt>
              <c:pt idx="69">
                <c:v>Oct-09</c:v>
              </c:pt>
              <c:pt idx="70">
                <c:v>Nov-09</c:v>
              </c:pt>
              <c:pt idx="71">
                <c:v>Dec-09</c:v>
              </c:pt>
              <c:pt idx="72">
                <c:v>Jan-10</c:v>
              </c:pt>
              <c:pt idx="73">
                <c:v>Feb-10</c:v>
              </c:pt>
              <c:pt idx="74">
                <c:v>Mar-10</c:v>
              </c:pt>
              <c:pt idx="75">
                <c:v>Apr-10</c:v>
              </c:pt>
              <c:pt idx="76">
                <c:v>May-10</c:v>
              </c:pt>
              <c:pt idx="77">
                <c:v>Jun-10</c:v>
              </c:pt>
              <c:pt idx="78">
                <c:v>Jul-10</c:v>
              </c:pt>
              <c:pt idx="79">
                <c:v>Aug-10</c:v>
              </c:pt>
              <c:pt idx="80">
                <c:v>Sep-10</c:v>
              </c:pt>
              <c:pt idx="81">
                <c:v>Oct-10</c:v>
              </c:pt>
              <c:pt idx="82">
                <c:v>Nov-10</c:v>
              </c:pt>
              <c:pt idx="83">
                <c:v>Dec-10</c:v>
              </c:pt>
              <c:pt idx="84">
                <c:v>Jan-11</c:v>
              </c:pt>
              <c:pt idx="85">
                <c:v>Feb-11</c:v>
              </c:pt>
              <c:pt idx="86">
                <c:v>Mar-11</c:v>
              </c:pt>
              <c:pt idx="87">
                <c:v>Apr-11</c:v>
              </c:pt>
              <c:pt idx="88">
                <c:v>May-11</c:v>
              </c:pt>
              <c:pt idx="89">
                <c:v>Jun-11</c:v>
              </c:pt>
              <c:pt idx="90">
                <c:v>Jul-11</c:v>
              </c:pt>
              <c:pt idx="91">
                <c:v>Aug-11</c:v>
              </c:pt>
              <c:pt idx="92">
                <c:v>Sep-11</c:v>
              </c:pt>
              <c:pt idx="93">
                <c:v>Oct-11</c:v>
              </c:pt>
              <c:pt idx="94">
                <c:v>Nov-11</c:v>
              </c:pt>
              <c:pt idx="95">
                <c:v>Dec-11</c:v>
              </c:pt>
              <c:pt idx="96">
                <c:v>Jan-12</c:v>
              </c:pt>
              <c:pt idx="97">
                <c:v>Feb-12</c:v>
              </c:pt>
              <c:pt idx="98">
                <c:v>Mar-12</c:v>
              </c:pt>
              <c:pt idx="99">
                <c:v>Apr-12</c:v>
              </c:pt>
              <c:pt idx="100">
                <c:v>May-12</c:v>
              </c:pt>
              <c:pt idx="101">
                <c:v>Jun-12</c:v>
              </c:pt>
              <c:pt idx="102">
                <c:v>Jul-12</c:v>
              </c:pt>
            </c:strLit>
          </c:cat>
          <c:val>
            <c:numLit>
              <c:formatCode>General</c:formatCode>
              <c:ptCount val="103"/>
              <c:pt idx="0">
                <c:v>93089</c:v>
              </c:pt>
              <c:pt idx="1">
                <c:v>92555</c:v>
              </c:pt>
              <c:pt idx="2">
                <c:v>104855</c:v>
              </c:pt>
              <c:pt idx="3">
                <c:v>99411</c:v>
              </c:pt>
              <c:pt idx="4">
                <c:v>103302</c:v>
              </c:pt>
              <c:pt idx="5">
                <c:v>105914</c:v>
              </c:pt>
              <c:pt idx="6">
                <c:v>107846</c:v>
              </c:pt>
              <c:pt idx="7">
                <c:v>107232</c:v>
              </c:pt>
              <c:pt idx="8">
                <c:v>107908</c:v>
              </c:pt>
              <c:pt idx="9">
                <c:v>106353</c:v>
              </c:pt>
              <c:pt idx="10">
                <c:v>109947</c:v>
              </c:pt>
              <c:pt idx="11">
                <c:v>122454</c:v>
              </c:pt>
              <c:pt idx="12">
                <c:v>98088</c:v>
              </c:pt>
              <c:pt idx="13">
                <c:v>102396</c:v>
              </c:pt>
              <c:pt idx="14">
                <c:v>117666</c:v>
              </c:pt>
              <c:pt idx="15">
                <c:v>114317</c:v>
              </c:pt>
              <c:pt idx="16">
                <c:v>120689</c:v>
              </c:pt>
              <c:pt idx="17">
                <c:v>121252</c:v>
              </c:pt>
              <c:pt idx="18">
                <c:v>120768</c:v>
              </c:pt>
              <c:pt idx="19">
                <c:v>128855</c:v>
              </c:pt>
              <c:pt idx="20">
                <c:v>125829</c:v>
              </c:pt>
              <c:pt idx="21">
                <c:v>125490</c:v>
              </c:pt>
              <c:pt idx="22">
                <c:v>129427</c:v>
              </c:pt>
              <c:pt idx="23">
                <c:v>141431</c:v>
              </c:pt>
              <c:pt idx="24">
                <c:v>118655</c:v>
              </c:pt>
              <c:pt idx="25">
                <c:v>117985</c:v>
              </c:pt>
              <c:pt idx="26">
                <c:v>136810</c:v>
              </c:pt>
              <c:pt idx="27">
                <c:v>122980</c:v>
              </c:pt>
              <c:pt idx="28">
                <c:v>142694</c:v>
              </c:pt>
              <c:pt idx="29">
                <c:v>139590</c:v>
              </c:pt>
              <c:pt idx="30">
                <c:v>137678</c:v>
              </c:pt>
              <c:pt idx="31">
                <c:v>147282</c:v>
              </c:pt>
              <c:pt idx="32">
                <c:v>140166</c:v>
              </c:pt>
              <c:pt idx="33">
                <c:v>144426</c:v>
              </c:pt>
              <c:pt idx="34">
                <c:v>147195</c:v>
              </c:pt>
              <c:pt idx="35">
                <c:v>152929</c:v>
              </c:pt>
              <c:pt idx="36">
                <c:v>140506</c:v>
              </c:pt>
              <c:pt idx="37">
                <c:v>135012</c:v>
              </c:pt>
              <c:pt idx="38">
                <c:v>151467</c:v>
              </c:pt>
              <c:pt idx="39">
                <c:v>143298</c:v>
              </c:pt>
              <c:pt idx="40">
                <c:v>158637</c:v>
              </c:pt>
              <c:pt idx="41">
                <c:v>151766</c:v>
              </c:pt>
              <c:pt idx="42">
                <c:v>164913</c:v>
              </c:pt>
              <c:pt idx="43">
                <c:v>172488</c:v>
              </c:pt>
              <c:pt idx="44">
                <c:v>161845</c:v>
              </c:pt>
              <c:pt idx="45">
                <c:v>178279</c:v>
              </c:pt>
              <c:pt idx="46">
                <c:v>179135</c:v>
              </c:pt>
              <c:pt idx="47">
                <c:v>186411</c:v>
              </c:pt>
              <c:pt idx="48">
                <c:v>171038</c:v>
              </c:pt>
              <c:pt idx="49">
                <c:v>172732</c:v>
              </c:pt>
              <c:pt idx="50">
                <c:v>176445</c:v>
              </c:pt>
              <c:pt idx="51">
                <c:v>181722</c:v>
              </c:pt>
              <c:pt idx="52">
                <c:v>191713</c:v>
              </c:pt>
              <c:pt idx="53">
                <c:v>183989</c:v>
              </c:pt>
              <c:pt idx="54">
                <c:v>200330</c:v>
              </c:pt>
              <c:pt idx="55">
                <c:v>190313</c:v>
              </c:pt>
              <c:pt idx="56">
                <c:v>197608</c:v>
              </c:pt>
              <c:pt idx="57">
                <c:v>208245</c:v>
              </c:pt>
              <c:pt idx="58">
                <c:v>194302</c:v>
              </c:pt>
              <c:pt idx="59">
                <c:v>225395</c:v>
              </c:pt>
              <c:pt idx="60">
                <c:v>182966</c:v>
              </c:pt>
              <c:pt idx="61">
                <c:v>183419</c:v>
              </c:pt>
              <c:pt idx="62">
                <c:v>204397</c:v>
              </c:pt>
              <c:pt idx="63">
                <c:v>201199</c:v>
              </c:pt>
              <c:pt idx="64">
                <c:v>204113</c:v>
              </c:pt>
              <c:pt idx="65">
                <c:v>209275</c:v>
              </c:pt>
              <c:pt idx="66">
                <c:v>217679</c:v>
              </c:pt>
              <c:pt idx="67">
                <c:v>210623</c:v>
              </c:pt>
              <c:pt idx="68">
                <c:v>215118</c:v>
              </c:pt>
              <c:pt idx="69">
                <c:v>221159</c:v>
              </c:pt>
              <c:pt idx="70">
                <c:v>213636</c:v>
              </c:pt>
              <c:pt idx="71">
                <c:v>242050</c:v>
              </c:pt>
              <c:pt idx="72">
                <c:v>195014</c:v>
              </c:pt>
              <c:pt idx="73">
                <c:v>198322</c:v>
              </c:pt>
              <c:pt idx="74">
                <c:v>232779</c:v>
              </c:pt>
              <c:pt idx="75">
                <c:v>213553</c:v>
              </c:pt>
              <c:pt idx="76">
                <c:v>221731</c:v>
              </c:pt>
              <c:pt idx="77">
                <c:v>226310</c:v>
              </c:pt>
              <c:pt idx="78">
                <c:v>231460</c:v>
              </c:pt>
              <c:pt idx="79">
                <c:v>230670</c:v>
              </c:pt>
              <c:pt idx="80">
                <c:v>232993</c:v>
              </c:pt>
              <c:pt idx="81">
                <c:v>229125</c:v>
              </c:pt>
              <c:pt idx="82">
                <c:v>237443</c:v>
              </c:pt>
              <c:pt idx="83">
                <c:v>261464</c:v>
              </c:pt>
              <c:pt idx="84">
                <c:v>210800</c:v>
              </c:pt>
              <c:pt idx="85">
                <c:v>213055</c:v>
              </c:pt>
              <c:pt idx="86">
                <c:v>246967</c:v>
              </c:pt>
              <c:pt idx="87">
                <c:v>226109</c:v>
              </c:pt>
              <c:pt idx="88">
                <c:v>247033</c:v>
              </c:pt>
              <c:pt idx="89">
                <c:v>245654</c:v>
              </c:pt>
              <c:pt idx="90">
                <c:v>242217</c:v>
              </c:pt>
              <c:pt idx="91">
                <c:v>257137</c:v>
              </c:pt>
              <c:pt idx="92">
                <c:v>249461</c:v>
              </c:pt>
              <c:pt idx="93">
                <c:v>244857</c:v>
              </c:pt>
              <c:pt idx="94">
                <c:v>253848</c:v>
              </c:pt>
              <c:pt idx="95">
                <c:v>281075</c:v>
              </c:pt>
              <c:pt idx="96">
                <c:v>228619</c:v>
              </c:pt>
              <c:pt idx="97">
                <c:v>241915</c:v>
              </c:pt>
              <c:pt idx="98">
                <c:v>268209</c:v>
              </c:pt>
              <c:pt idx="99">
                <c:v>239834</c:v>
              </c:pt>
              <c:pt idx="100">
                <c:v>274211</c:v>
              </c:pt>
              <c:pt idx="101">
                <c:v>255916</c:v>
              </c:pt>
              <c:pt idx="102">
                <c:v>262864</c:v>
              </c:pt>
            </c:numLit>
          </c:val>
        </c:ser>
        <c:dLbls>
          <c:showLegendKey val="0"/>
          <c:showVal val="0"/>
          <c:showCatName val="0"/>
          <c:showSerName val="0"/>
          <c:showPercent val="0"/>
          <c:showBubbleSize val="0"/>
        </c:dLbls>
        <c:axId val="69047040"/>
        <c:axId val="74498816"/>
      </c:areaChart>
      <c:catAx>
        <c:axId val="69047040"/>
        <c:scaling>
          <c:orientation val="minMax"/>
        </c:scaling>
        <c:delete val="0"/>
        <c:axPos val="b"/>
        <c:majorTickMark val="none"/>
        <c:minorTickMark val="none"/>
        <c:tickLblPos val="nextTo"/>
        <c:txPr>
          <a:bodyPr/>
          <a:lstStyle/>
          <a:p>
            <a:pPr>
              <a:defRPr lang="en-AU"/>
            </a:pPr>
            <a:endParaRPr lang="en-US"/>
          </a:p>
        </c:txPr>
        <c:crossAx val="74498816"/>
        <c:crosses val="autoZero"/>
        <c:auto val="1"/>
        <c:lblAlgn val="ctr"/>
        <c:lblOffset val="100"/>
        <c:noMultiLvlLbl val="0"/>
      </c:catAx>
      <c:valAx>
        <c:axId val="74498816"/>
        <c:scaling>
          <c:orientation val="minMax"/>
        </c:scaling>
        <c:delete val="0"/>
        <c:axPos val="l"/>
        <c:majorGridlines/>
        <c:title>
          <c:tx>
            <c:rich>
              <a:bodyPr/>
              <a:lstStyle/>
              <a:p>
                <a:pPr>
                  <a:defRPr lang="en-AU"/>
                </a:pPr>
                <a:r>
                  <a:rPr lang="en-AU"/>
                  <a:t>Prescriptions</a:t>
                </a:r>
              </a:p>
            </c:rich>
          </c:tx>
          <c:layout>
            <c:manualLayout>
              <c:xMode val="edge"/>
              <c:yMode val="edge"/>
              <c:x val="1.4521452145214501E-2"/>
              <c:y val="0.45894073767094901"/>
            </c:manualLayout>
          </c:layout>
          <c:overlay val="0"/>
        </c:title>
        <c:numFmt formatCode="General" sourceLinked="1"/>
        <c:majorTickMark val="none"/>
        <c:minorTickMark val="none"/>
        <c:tickLblPos val="nextTo"/>
        <c:txPr>
          <a:bodyPr/>
          <a:lstStyle/>
          <a:p>
            <a:pPr>
              <a:defRPr lang="en-AU"/>
            </a:pPr>
            <a:endParaRPr lang="en-US"/>
          </a:p>
        </c:txPr>
        <c:crossAx val="69047040"/>
        <c:crosses val="autoZero"/>
        <c:crossBetween val="midCat"/>
      </c:valAx>
    </c:plotArea>
    <c:legend>
      <c:legendPos val="b"/>
      <c:overlay val="0"/>
      <c:txPr>
        <a:bodyPr/>
        <a:lstStyle/>
        <a:p>
          <a:pPr>
            <a:defRPr lang="en-AU"/>
          </a:pPr>
          <a:endParaRPr lang="en-US"/>
        </a:p>
      </c:txPr>
    </c:legend>
    <c:plotVisOnly val="1"/>
    <c:dispBlanksAs val="zero"/>
    <c:showDLblsOverMax val="0"/>
  </c:chart>
  <c:externalData r:id="rId2">
    <c:autoUpdate val="0"/>
  </c:externalData>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s>
    <c:plotArea>
      <c:layout/>
      <c:lineChart>
        <c:grouping val="standard"/>
        <c:varyColors val="0"/>
        <c:ser>
          <c:idx val="0"/>
          <c:order val="0"/>
          <c:tx>
            <c:v>ZIPRASIDONE</c:v>
          </c:tx>
          <c:marker>
            <c:symbol val="none"/>
          </c:marker>
          <c:cat>
            <c:strLit>
              <c:ptCount val="103"/>
              <c:pt idx="0">
                <c:v>Jan-04</c:v>
              </c:pt>
              <c:pt idx="1">
                <c:v>Feb-04</c:v>
              </c:pt>
              <c:pt idx="2">
                <c:v>Mar-04</c:v>
              </c:pt>
              <c:pt idx="3">
                <c:v>Apr-04</c:v>
              </c:pt>
              <c:pt idx="4">
                <c:v>May-04</c:v>
              </c:pt>
              <c:pt idx="5">
                <c:v>Jun-04</c:v>
              </c:pt>
              <c:pt idx="6">
                <c:v>Jul-04</c:v>
              </c:pt>
              <c:pt idx="7">
                <c:v>Aug-04</c:v>
              </c:pt>
              <c:pt idx="8">
                <c:v>Sep-04</c:v>
              </c:pt>
              <c:pt idx="9">
                <c:v>Oct-04</c:v>
              </c:pt>
              <c:pt idx="10">
                <c:v>Nov-04</c:v>
              </c:pt>
              <c:pt idx="11">
                <c:v>Dec-04</c:v>
              </c:pt>
              <c:pt idx="12">
                <c:v>Jan-05</c:v>
              </c:pt>
              <c:pt idx="13">
                <c:v>Feb-05</c:v>
              </c:pt>
              <c:pt idx="14">
                <c:v>Mar-05</c:v>
              </c:pt>
              <c:pt idx="15">
                <c:v>Apr-05</c:v>
              </c:pt>
              <c:pt idx="16">
                <c:v>May-05</c:v>
              </c:pt>
              <c:pt idx="17">
                <c:v>Jun-05</c:v>
              </c:pt>
              <c:pt idx="18">
                <c:v>Jul-05</c:v>
              </c:pt>
              <c:pt idx="19">
                <c:v>Aug-05</c:v>
              </c:pt>
              <c:pt idx="20">
                <c:v>Sep-05</c:v>
              </c:pt>
              <c:pt idx="21">
                <c:v>Oct-05</c:v>
              </c:pt>
              <c:pt idx="22">
                <c:v>Nov-05</c:v>
              </c:pt>
              <c:pt idx="23">
                <c:v>Dec-05</c:v>
              </c:pt>
              <c:pt idx="24">
                <c:v>Jan-06</c:v>
              </c:pt>
              <c:pt idx="25">
                <c:v>Feb-06</c:v>
              </c:pt>
              <c:pt idx="26">
                <c:v>Mar-06</c:v>
              </c:pt>
              <c:pt idx="27">
                <c:v>Apr-06</c:v>
              </c:pt>
              <c:pt idx="28">
                <c:v>May-06</c:v>
              </c:pt>
              <c:pt idx="29">
                <c:v>Jun-06</c:v>
              </c:pt>
              <c:pt idx="30">
                <c:v>Jul-06</c:v>
              </c:pt>
              <c:pt idx="31">
                <c:v>Aug-06</c:v>
              </c:pt>
              <c:pt idx="32">
                <c:v>Sep-06</c:v>
              </c:pt>
              <c:pt idx="33">
                <c:v>Oct-06</c:v>
              </c:pt>
              <c:pt idx="34">
                <c:v>Nov-06</c:v>
              </c:pt>
              <c:pt idx="35">
                <c:v>Dec-06</c:v>
              </c:pt>
              <c:pt idx="36">
                <c:v>Jan-07</c:v>
              </c:pt>
              <c:pt idx="37">
                <c:v>Feb-07</c:v>
              </c:pt>
              <c:pt idx="38">
                <c:v>Mar-07</c:v>
              </c:pt>
              <c:pt idx="39">
                <c:v>Apr-07</c:v>
              </c:pt>
              <c:pt idx="40">
                <c:v>May-07</c:v>
              </c:pt>
              <c:pt idx="41">
                <c:v>Jun-07</c:v>
              </c:pt>
              <c:pt idx="42">
                <c:v>Jul-07</c:v>
              </c:pt>
              <c:pt idx="43">
                <c:v>Aug-07</c:v>
              </c:pt>
              <c:pt idx="44">
                <c:v>Sep-07</c:v>
              </c:pt>
              <c:pt idx="45">
                <c:v>Oct-07</c:v>
              </c:pt>
              <c:pt idx="46">
                <c:v>Nov-07</c:v>
              </c:pt>
              <c:pt idx="47">
                <c:v>Dec-07</c:v>
              </c:pt>
              <c:pt idx="48">
                <c:v>Jan-08</c:v>
              </c:pt>
              <c:pt idx="49">
                <c:v>Feb-08</c:v>
              </c:pt>
              <c:pt idx="50">
                <c:v>Mar-08</c:v>
              </c:pt>
              <c:pt idx="51">
                <c:v>Apr-08</c:v>
              </c:pt>
              <c:pt idx="52">
                <c:v>May-08</c:v>
              </c:pt>
              <c:pt idx="53">
                <c:v>Jun-08</c:v>
              </c:pt>
              <c:pt idx="54">
                <c:v>Jul-08</c:v>
              </c:pt>
              <c:pt idx="55">
                <c:v>Aug-08</c:v>
              </c:pt>
              <c:pt idx="56">
                <c:v>Sep-08</c:v>
              </c:pt>
              <c:pt idx="57">
                <c:v>Oct-08</c:v>
              </c:pt>
              <c:pt idx="58">
                <c:v>Nov-08</c:v>
              </c:pt>
              <c:pt idx="59">
                <c:v>Dec-08</c:v>
              </c:pt>
              <c:pt idx="60">
                <c:v>Jan-09</c:v>
              </c:pt>
              <c:pt idx="61">
                <c:v>Feb-09</c:v>
              </c:pt>
              <c:pt idx="62">
                <c:v>Mar-09</c:v>
              </c:pt>
              <c:pt idx="63">
                <c:v>Apr-09</c:v>
              </c:pt>
              <c:pt idx="64">
                <c:v>May-09</c:v>
              </c:pt>
              <c:pt idx="65">
                <c:v>Jun-09</c:v>
              </c:pt>
              <c:pt idx="66">
                <c:v>Jul-09</c:v>
              </c:pt>
              <c:pt idx="67">
                <c:v>Aug-09</c:v>
              </c:pt>
              <c:pt idx="68">
                <c:v>Sep-09</c:v>
              </c:pt>
              <c:pt idx="69">
                <c:v>Oct-09</c:v>
              </c:pt>
              <c:pt idx="70">
                <c:v>Nov-09</c:v>
              </c:pt>
              <c:pt idx="71">
                <c:v>Dec-09</c:v>
              </c:pt>
              <c:pt idx="72">
                <c:v>Jan-10</c:v>
              </c:pt>
              <c:pt idx="73">
                <c:v>Feb-10</c:v>
              </c:pt>
              <c:pt idx="74">
                <c:v>Mar-10</c:v>
              </c:pt>
              <c:pt idx="75">
                <c:v>Apr-10</c:v>
              </c:pt>
              <c:pt idx="76">
                <c:v>May-10</c:v>
              </c:pt>
              <c:pt idx="77">
                <c:v>Jun-10</c:v>
              </c:pt>
              <c:pt idx="78">
                <c:v>Jul-10</c:v>
              </c:pt>
              <c:pt idx="79">
                <c:v>Aug-10</c:v>
              </c:pt>
              <c:pt idx="80">
                <c:v>Sep-10</c:v>
              </c:pt>
              <c:pt idx="81">
                <c:v>Oct-10</c:v>
              </c:pt>
              <c:pt idx="82">
                <c:v>Nov-10</c:v>
              </c:pt>
              <c:pt idx="83">
                <c:v>Dec-10</c:v>
              </c:pt>
              <c:pt idx="84">
                <c:v>Jan-11</c:v>
              </c:pt>
              <c:pt idx="85">
                <c:v>Feb-11</c:v>
              </c:pt>
              <c:pt idx="86">
                <c:v>Mar-11</c:v>
              </c:pt>
              <c:pt idx="87">
                <c:v>Apr-11</c:v>
              </c:pt>
              <c:pt idx="88">
                <c:v>May-11</c:v>
              </c:pt>
              <c:pt idx="89">
                <c:v>Jun-11</c:v>
              </c:pt>
              <c:pt idx="90">
                <c:v>Jul-11</c:v>
              </c:pt>
              <c:pt idx="91">
                <c:v>Aug-11</c:v>
              </c:pt>
              <c:pt idx="92">
                <c:v>Sep-11</c:v>
              </c:pt>
              <c:pt idx="93">
                <c:v>Oct-11</c:v>
              </c:pt>
              <c:pt idx="94">
                <c:v>Nov-11</c:v>
              </c:pt>
              <c:pt idx="95">
                <c:v>Dec-11</c:v>
              </c:pt>
              <c:pt idx="96">
                <c:v>Jan-12</c:v>
              </c:pt>
              <c:pt idx="97">
                <c:v>Feb-12</c:v>
              </c:pt>
              <c:pt idx="98">
                <c:v>Mar-12</c:v>
              </c:pt>
              <c:pt idx="99">
                <c:v>Apr-12</c:v>
              </c:pt>
              <c:pt idx="100">
                <c:v>May-12</c:v>
              </c:pt>
              <c:pt idx="101">
                <c:v>Jun-12</c:v>
              </c:pt>
              <c:pt idx="102">
                <c:v>Jul-12</c:v>
              </c:pt>
            </c:strLit>
          </c:cat>
          <c:val>
            <c:numLit>
              <c:formatCode>General</c:formatCode>
              <c:ptCount val="10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383</c:v>
              </c:pt>
              <c:pt idx="40">
                <c:v>649</c:v>
              </c:pt>
              <c:pt idx="41">
                <c:v>791</c:v>
              </c:pt>
              <c:pt idx="42">
                <c:v>977</c:v>
              </c:pt>
              <c:pt idx="43">
                <c:v>1080</c:v>
              </c:pt>
              <c:pt idx="44">
                <c:v>1121</c:v>
              </c:pt>
              <c:pt idx="45">
                <c:v>1266</c:v>
              </c:pt>
              <c:pt idx="46">
                <c:v>1332</c:v>
              </c:pt>
              <c:pt idx="47">
                <c:v>1396</c:v>
              </c:pt>
              <c:pt idx="48">
                <c:v>1319</c:v>
              </c:pt>
              <c:pt idx="49">
                <c:v>1439</c:v>
              </c:pt>
              <c:pt idx="50">
                <c:v>1515</c:v>
              </c:pt>
              <c:pt idx="51">
                <c:v>1630</c:v>
              </c:pt>
              <c:pt idx="52">
                <c:v>1779</c:v>
              </c:pt>
              <c:pt idx="53">
                <c:v>1781</c:v>
              </c:pt>
              <c:pt idx="54">
                <c:v>1979</c:v>
              </c:pt>
              <c:pt idx="55">
                <c:v>1908</c:v>
              </c:pt>
              <c:pt idx="56">
                <c:v>1976</c:v>
              </c:pt>
              <c:pt idx="57">
                <c:v>2056</c:v>
              </c:pt>
              <c:pt idx="58">
                <c:v>1997</c:v>
              </c:pt>
              <c:pt idx="59">
                <c:v>2370</c:v>
              </c:pt>
              <c:pt idx="60">
                <c:v>1962</c:v>
              </c:pt>
              <c:pt idx="61">
                <c:v>1933</c:v>
              </c:pt>
              <c:pt idx="62">
                <c:v>2174</c:v>
              </c:pt>
              <c:pt idx="63">
                <c:v>2173</c:v>
              </c:pt>
              <c:pt idx="64">
                <c:v>2234</c:v>
              </c:pt>
              <c:pt idx="65">
                <c:v>2358</c:v>
              </c:pt>
              <c:pt idx="66">
                <c:v>2516</c:v>
              </c:pt>
              <c:pt idx="67">
                <c:v>2457</c:v>
              </c:pt>
              <c:pt idx="68">
                <c:v>2478</c:v>
              </c:pt>
              <c:pt idx="69">
                <c:v>2615</c:v>
              </c:pt>
              <c:pt idx="70">
                <c:v>2656</c:v>
              </c:pt>
              <c:pt idx="71">
                <c:v>3078</c:v>
              </c:pt>
              <c:pt idx="72">
                <c:v>2393</c:v>
              </c:pt>
              <c:pt idx="73">
                <c:v>2478</c:v>
              </c:pt>
              <c:pt idx="74">
                <c:v>2936</c:v>
              </c:pt>
              <c:pt idx="75">
                <c:v>2732</c:v>
              </c:pt>
              <c:pt idx="76">
                <c:v>2761</c:v>
              </c:pt>
              <c:pt idx="77">
                <c:v>2813</c:v>
              </c:pt>
              <c:pt idx="78">
                <c:v>2871</c:v>
              </c:pt>
              <c:pt idx="79">
                <c:v>2931</c:v>
              </c:pt>
              <c:pt idx="80">
                <c:v>2889</c:v>
              </c:pt>
              <c:pt idx="81">
                <c:v>2934</c:v>
              </c:pt>
              <c:pt idx="82">
                <c:v>3026</c:v>
              </c:pt>
              <c:pt idx="83">
                <c:v>3507</c:v>
              </c:pt>
              <c:pt idx="84">
                <c:v>2709</c:v>
              </c:pt>
              <c:pt idx="85">
                <c:v>2873</c:v>
              </c:pt>
              <c:pt idx="86">
                <c:v>3220</c:v>
              </c:pt>
              <c:pt idx="87">
                <c:v>3015</c:v>
              </c:pt>
              <c:pt idx="88">
                <c:v>3322</c:v>
              </c:pt>
              <c:pt idx="89">
                <c:v>3280</c:v>
              </c:pt>
              <c:pt idx="90">
                <c:v>3230</c:v>
              </c:pt>
              <c:pt idx="91">
                <c:v>3439</c:v>
              </c:pt>
              <c:pt idx="92">
                <c:v>3391</c:v>
              </c:pt>
              <c:pt idx="93">
                <c:v>3354</c:v>
              </c:pt>
              <c:pt idx="94">
                <c:v>3421</c:v>
              </c:pt>
              <c:pt idx="95">
                <c:v>3759</c:v>
              </c:pt>
              <c:pt idx="96">
                <c:v>2894</c:v>
              </c:pt>
              <c:pt idx="97">
                <c:v>3185</c:v>
              </c:pt>
              <c:pt idx="98">
                <c:v>3392</c:v>
              </c:pt>
              <c:pt idx="99">
                <c:v>2995</c:v>
              </c:pt>
              <c:pt idx="100">
                <c:v>3409</c:v>
              </c:pt>
              <c:pt idx="101">
                <c:v>3250</c:v>
              </c:pt>
              <c:pt idx="102">
                <c:v>3250</c:v>
              </c:pt>
            </c:numLit>
          </c:val>
          <c:smooth val="0"/>
        </c:ser>
        <c:ser>
          <c:idx val="1"/>
          <c:order val="1"/>
          <c:tx>
            <c:v>RISPERIDONE</c:v>
          </c:tx>
          <c:marker>
            <c:symbol val="none"/>
          </c:marker>
          <c:cat>
            <c:strLit>
              <c:ptCount val="103"/>
              <c:pt idx="0">
                <c:v>Jan-04</c:v>
              </c:pt>
              <c:pt idx="1">
                <c:v>Feb-04</c:v>
              </c:pt>
              <c:pt idx="2">
                <c:v>Mar-04</c:v>
              </c:pt>
              <c:pt idx="3">
                <c:v>Apr-04</c:v>
              </c:pt>
              <c:pt idx="4">
                <c:v>May-04</c:v>
              </c:pt>
              <c:pt idx="5">
                <c:v>Jun-04</c:v>
              </c:pt>
              <c:pt idx="6">
                <c:v>Jul-04</c:v>
              </c:pt>
              <c:pt idx="7">
                <c:v>Aug-04</c:v>
              </c:pt>
              <c:pt idx="8">
                <c:v>Sep-04</c:v>
              </c:pt>
              <c:pt idx="9">
                <c:v>Oct-04</c:v>
              </c:pt>
              <c:pt idx="10">
                <c:v>Nov-04</c:v>
              </c:pt>
              <c:pt idx="11">
                <c:v>Dec-04</c:v>
              </c:pt>
              <c:pt idx="12">
                <c:v>Jan-05</c:v>
              </c:pt>
              <c:pt idx="13">
                <c:v>Feb-05</c:v>
              </c:pt>
              <c:pt idx="14">
                <c:v>Mar-05</c:v>
              </c:pt>
              <c:pt idx="15">
                <c:v>Apr-05</c:v>
              </c:pt>
              <c:pt idx="16">
                <c:v>May-05</c:v>
              </c:pt>
              <c:pt idx="17">
                <c:v>Jun-05</c:v>
              </c:pt>
              <c:pt idx="18">
                <c:v>Jul-05</c:v>
              </c:pt>
              <c:pt idx="19">
                <c:v>Aug-05</c:v>
              </c:pt>
              <c:pt idx="20">
                <c:v>Sep-05</c:v>
              </c:pt>
              <c:pt idx="21">
                <c:v>Oct-05</c:v>
              </c:pt>
              <c:pt idx="22">
                <c:v>Nov-05</c:v>
              </c:pt>
              <c:pt idx="23">
                <c:v>Dec-05</c:v>
              </c:pt>
              <c:pt idx="24">
                <c:v>Jan-06</c:v>
              </c:pt>
              <c:pt idx="25">
                <c:v>Feb-06</c:v>
              </c:pt>
              <c:pt idx="26">
                <c:v>Mar-06</c:v>
              </c:pt>
              <c:pt idx="27">
                <c:v>Apr-06</c:v>
              </c:pt>
              <c:pt idx="28">
                <c:v>May-06</c:v>
              </c:pt>
              <c:pt idx="29">
                <c:v>Jun-06</c:v>
              </c:pt>
              <c:pt idx="30">
                <c:v>Jul-06</c:v>
              </c:pt>
              <c:pt idx="31">
                <c:v>Aug-06</c:v>
              </c:pt>
              <c:pt idx="32">
                <c:v>Sep-06</c:v>
              </c:pt>
              <c:pt idx="33">
                <c:v>Oct-06</c:v>
              </c:pt>
              <c:pt idx="34">
                <c:v>Nov-06</c:v>
              </c:pt>
              <c:pt idx="35">
                <c:v>Dec-06</c:v>
              </c:pt>
              <c:pt idx="36">
                <c:v>Jan-07</c:v>
              </c:pt>
              <c:pt idx="37">
                <c:v>Feb-07</c:v>
              </c:pt>
              <c:pt idx="38">
                <c:v>Mar-07</c:v>
              </c:pt>
              <c:pt idx="39">
                <c:v>Apr-07</c:v>
              </c:pt>
              <c:pt idx="40">
                <c:v>May-07</c:v>
              </c:pt>
              <c:pt idx="41">
                <c:v>Jun-07</c:v>
              </c:pt>
              <c:pt idx="42">
                <c:v>Jul-07</c:v>
              </c:pt>
              <c:pt idx="43">
                <c:v>Aug-07</c:v>
              </c:pt>
              <c:pt idx="44">
                <c:v>Sep-07</c:v>
              </c:pt>
              <c:pt idx="45">
                <c:v>Oct-07</c:v>
              </c:pt>
              <c:pt idx="46">
                <c:v>Nov-07</c:v>
              </c:pt>
              <c:pt idx="47">
                <c:v>Dec-07</c:v>
              </c:pt>
              <c:pt idx="48">
                <c:v>Jan-08</c:v>
              </c:pt>
              <c:pt idx="49">
                <c:v>Feb-08</c:v>
              </c:pt>
              <c:pt idx="50">
                <c:v>Mar-08</c:v>
              </c:pt>
              <c:pt idx="51">
                <c:v>Apr-08</c:v>
              </c:pt>
              <c:pt idx="52">
                <c:v>May-08</c:v>
              </c:pt>
              <c:pt idx="53">
                <c:v>Jun-08</c:v>
              </c:pt>
              <c:pt idx="54">
                <c:v>Jul-08</c:v>
              </c:pt>
              <c:pt idx="55">
                <c:v>Aug-08</c:v>
              </c:pt>
              <c:pt idx="56">
                <c:v>Sep-08</c:v>
              </c:pt>
              <c:pt idx="57">
                <c:v>Oct-08</c:v>
              </c:pt>
              <c:pt idx="58">
                <c:v>Nov-08</c:v>
              </c:pt>
              <c:pt idx="59">
                <c:v>Dec-08</c:v>
              </c:pt>
              <c:pt idx="60">
                <c:v>Jan-09</c:v>
              </c:pt>
              <c:pt idx="61">
                <c:v>Feb-09</c:v>
              </c:pt>
              <c:pt idx="62">
                <c:v>Mar-09</c:v>
              </c:pt>
              <c:pt idx="63">
                <c:v>Apr-09</c:v>
              </c:pt>
              <c:pt idx="64">
                <c:v>May-09</c:v>
              </c:pt>
              <c:pt idx="65">
                <c:v>Jun-09</c:v>
              </c:pt>
              <c:pt idx="66">
                <c:v>Jul-09</c:v>
              </c:pt>
              <c:pt idx="67">
                <c:v>Aug-09</c:v>
              </c:pt>
              <c:pt idx="68">
                <c:v>Sep-09</c:v>
              </c:pt>
              <c:pt idx="69">
                <c:v>Oct-09</c:v>
              </c:pt>
              <c:pt idx="70">
                <c:v>Nov-09</c:v>
              </c:pt>
              <c:pt idx="71">
                <c:v>Dec-09</c:v>
              </c:pt>
              <c:pt idx="72">
                <c:v>Jan-10</c:v>
              </c:pt>
              <c:pt idx="73">
                <c:v>Feb-10</c:v>
              </c:pt>
              <c:pt idx="74">
                <c:v>Mar-10</c:v>
              </c:pt>
              <c:pt idx="75">
                <c:v>Apr-10</c:v>
              </c:pt>
              <c:pt idx="76">
                <c:v>May-10</c:v>
              </c:pt>
              <c:pt idx="77">
                <c:v>Jun-10</c:v>
              </c:pt>
              <c:pt idx="78">
                <c:v>Jul-10</c:v>
              </c:pt>
              <c:pt idx="79">
                <c:v>Aug-10</c:v>
              </c:pt>
              <c:pt idx="80">
                <c:v>Sep-10</c:v>
              </c:pt>
              <c:pt idx="81">
                <c:v>Oct-10</c:v>
              </c:pt>
              <c:pt idx="82">
                <c:v>Nov-10</c:v>
              </c:pt>
              <c:pt idx="83">
                <c:v>Dec-10</c:v>
              </c:pt>
              <c:pt idx="84">
                <c:v>Jan-11</c:v>
              </c:pt>
              <c:pt idx="85">
                <c:v>Feb-11</c:v>
              </c:pt>
              <c:pt idx="86">
                <c:v>Mar-11</c:v>
              </c:pt>
              <c:pt idx="87">
                <c:v>Apr-11</c:v>
              </c:pt>
              <c:pt idx="88">
                <c:v>May-11</c:v>
              </c:pt>
              <c:pt idx="89">
                <c:v>Jun-11</c:v>
              </c:pt>
              <c:pt idx="90">
                <c:v>Jul-11</c:v>
              </c:pt>
              <c:pt idx="91">
                <c:v>Aug-11</c:v>
              </c:pt>
              <c:pt idx="92">
                <c:v>Sep-11</c:v>
              </c:pt>
              <c:pt idx="93">
                <c:v>Oct-11</c:v>
              </c:pt>
              <c:pt idx="94">
                <c:v>Nov-11</c:v>
              </c:pt>
              <c:pt idx="95">
                <c:v>Dec-11</c:v>
              </c:pt>
              <c:pt idx="96">
                <c:v>Jan-12</c:v>
              </c:pt>
              <c:pt idx="97">
                <c:v>Feb-12</c:v>
              </c:pt>
              <c:pt idx="98">
                <c:v>Mar-12</c:v>
              </c:pt>
              <c:pt idx="99">
                <c:v>Apr-12</c:v>
              </c:pt>
              <c:pt idx="100">
                <c:v>May-12</c:v>
              </c:pt>
              <c:pt idx="101">
                <c:v>Jun-12</c:v>
              </c:pt>
              <c:pt idx="102">
                <c:v>Jul-12</c:v>
              </c:pt>
            </c:strLit>
          </c:cat>
          <c:val>
            <c:numLit>
              <c:formatCode>General</c:formatCode>
              <c:ptCount val="103"/>
              <c:pt idx="0">
                <c:v>18249</c:v>
              </c:pt>
              <c:pt idx="1">
                <c:v>18124</c:v>
              </c:pt>
              <c:pt idx="2">
                <c:v>20782</c:v>
              </c:pt>
              <c:pt idx="3">
                <c:v>19481</c:v>
              </c:pt>
              <c:pt idx="4">
                <c:v>19890</c:v>
              </c:pt>
              <c:pt idx="5">
                <c:v>20393</c:v>
              </c:pt>
              <c:pt idx="6">
                <c:v>20534</c:v>
              </c:pt>
              <c:pt idx="7">
                <c:v>20354</c:v>
              </c:pt>
              <c:pt idx="8">
                <c:v>20239</c:v>
              </c:pt>
              <c:pt idx="9">
                <c:v>19845</c:v>
              </c:pt>
              <c:pt idx="10">
                <c:v>20620</c:v>
              </c:pt>
              <c:pt idx="11">
                <c:v>22921</c:v>
              </c:pt>
              <c:pt idx="12">
                <c:v>18103</c:v>
              </c:pt>
              <c:pt idx="13">
                <c:v>20078</c:v>
              </c:pt>
              <c:pt idx="14">
                <c:v>23450</c:v>
              </c:pt>
              <c:pt idx="15">
                <c:v>23597</c:v>
              </c:pt>
              <c:pt idx="16">
                <c:v>25947</c:v>
              </c:pt>
              <c:pt idx="17">
                <c:v>26865</c:v>
              </c:pt>
              <c:pt idx="18">
                <c:v>27298</c:v>
              </c:pt>
              <c:pt idx="19">
                <c:v>29475</c:v>
              </c:pt>
              <c:pt idx="20">
                <c:v>29179</c:v>
              </c:pt>
              <c:pt idx="21">
                <c:v>29696</c:v>
              </c:pt>
              <c:pt idx="22">
                <c:v>30911</c:v>
              </c:pt>
              <c:pt idx="23">
                <c:v>33787</c:v>
              </c:pt>
              <c:pt idx="24">
                <c:v>29147</c:v>
              </c:pt>
              <c:pt idx="25">
                <c:v>28975</c:v>
              </c:pt>
              <c:pt idx="26">
                <c:v>34114</c:v>
              </c:pt>
              <c:pt idx="27">
                <c:v>30278</c:v>
              </c:pt>
              <c:pt idx="28">
                <c:v>36148</c:v>
              </c:pt>
              <c:pt idx="29">
                <c:v>35220</c:v>
              </c:pt>
              <c:pt idx="30">
                <c:v>34893</c:v>
              </c:pt>
              <c:pt idx="31">
                <c:v>37876</c:v>
              </c:pt>
              <c:pt idx="32">
                <c:v>36397</c:v>
              </c:pt>
              <c:pt idx="33">
                <c:v>37649</c:v>
              </c:pt>
              <c:pt idx="34">
                <c:v>38552</c:v>
              </c:pt>
              <c:pt idx="35">
                <c:v>40234</c:v>
              </c:pt>
              <c:pt idx="36">
                <c:v>37638</c:v>
              </c:pt>
              <c:pt idx="37">
                <c:v>35758</c:v>
              </c:pt>
              <c:pt idx="38">
                <c:v>40163</c:v>
              </c:pt>
              <c:pt idx="39">
                <c:v>37601</c:v>
              </c:pt>
              <c:pt idx="40">
                <c:v>43026</c:v>
              </c:pt>
              <c:pt idx="41">
                <c:v>40429</c:v>
              </c:pt>
              <c:pt idx="42">
                <c:v>42478</c:v>
              </c:pt>
              <c:pt idx="43">
                <c:v>44826</c:v>
              </c:pt>
              <c:pt idx="44">
                <c:v>41557</c:v>
              </c:pt>
              <c:pt idx="45">
                <c:v>46813</c:v>
              </c:pt>
              <c:pt idx="46">
                <c:v>46586</c:v>
              </c:pt>
              <c:pt idx="47">
                <c:v>48379</c:v>
              </c:pt>
              <c:pt idx="48">
                <c:v>45101</c:v>
              </c:pt>
              <c:pt idx="49">
                <c:v>45483</c:v>
              </c:pt>
              <c:pt idx="50">
                <c:v>45499</c:v>
              </c:pt>
              <c:pt idx="51">
                <c:v>47668</c:v>
              </c:pt>
              <c:pt idx="52">
                <c:v>50082</c:v>
              </c:pt>
              <c:pt idx="53">
                <c:v>47790</c:v>
              </c:pt>
              <c:pt idx="54">
                <c:v>52416</c:v>
              </c:pt>
              <c:pt idx="55">
                <c:v>48622</c:v>
              </c:pt>
              <c:pt idx="56">
                <c:v>50540</c:v>
              </c:pt>
              <c:pt idx="57">
                <c:v>53529</c:v>
              </c:pt>
              <c:pt idx="58">
                <c:v>50153</c:v>
              </c:pt>
              <c:pt idx="59">
                <c:v>57861</c:v>
              </c:pt>
              <c:pt idx="60">
                <c:v>47231</c:v>
              </c:pt>
              <c:pt idx="61">
                <c:v>47675</c:v>
              </c:pt>
              <c:pt idx="62">
                <c:v>52367</c:v>
              </c:pt>
              <c:pt idx="63">
                <c:v>51332</c:v>
              </c:pt>
              <c:pt idx="64">
                <c:v>51467</c:v>
              </c:pt>
              <c:pt idx="65">
                <c:v>52571</c:v>
              </c:pt>
              <c:pt idx="66">
                <c:v>54490</c:v>
              </c:pt>
              <c:pt idx="67">
                <c:v>52236</c:v>
              </c:pt>
              <c:pt idx="68">
                <c:v>53580</c:v>
              </c:pt>
              <c:pt idx="69">
                <c:v>54608</c:v>
              </c:pt>
              <c:pt idx="70">
                <c:v>53547</c:v>
              </c:pt>
              <c:pt idx="71">
                <c:v>60043</c:v>
              </c:pt>
              <c:pt idx="72">
                <c:v>48636</c:v>
              </c:pt>
              <c:pt idx="73">
                <c:v>49752</c:v>
              </c:pt>
              <c:pt idx="74">
                <c:v>58159</c:v>
              </c:pt>
              <c:pt idx="75">
                <c:v>52440</c:v>
              </c:pt>
              <c:pt idx="76">
                <c:v>54308</c:v>
              </c:pt>
              <c:pt idx="77">
                <c:v>54870</c:v>
              </c:pt>
              <c:pt idx="78">
                <c:v>56202</c:v>
              </c:pt>
              <c:pt idx="79">
                <c:v>55815</c:v>
              </c:pt>
              <c:pt idx="80">
                <c:v>56043</c:v>
              </c:pt>
              <c:pt idx="81">
                <c:v>55119</c:v>
              </c:pt>
              <c:pt idx="82">
                <c:v>57003</c:v>
              </c:pt>
              <c:pt idx="83">
                <c:v>62208</c:v>
              </c:pt>
              <c:pt idx="84">
                <c:v>50624</c:v>
              </c:pt>
              <c:pt idx="85">
                <c:v>51375</c:v>
              </c:pt>
              <c:pt idx="86">
                <c:v>59025</c:v>
              </c:pt>
              <c:pt idx="87">
                <c:v>52214</c:v>
              </c:pt>
              <c:pt idx="88">
                <c:v>57563</c:v>
              </c:pt>
              <c:pt idx="89">
                <c:v>56740</c:v>
              </c:pt>
              <c:pt idx="90">
                <c:v>55598</c:v>
              </c:pt>
              <c:pt idx="91">
                <c:v>59867</c:v>
              </c:pt>
              <c:pt idx="92">
                <c:v>57248</c:v>
              </c:pt>
              <c:pt idx="93">
                <c:v>55991</c:v>
              </c:pt>
              <c:pt idx="94">
                <c:v>58911</c:v>
              </c:pt>
              <c:pt idx="95">
                <c:v>63270</c:v>
              </c:pt>
              <c:pt idx="96">
                <c:v>51545</c:v>
              </c:pt>
              <c:pt idx="97">
                <c:v>53977</c:v>
              </c:pt>
              <c:pt idx="98">
                <c:v>58709</c:v>
              </c:pt>
              <c:pt idx="99">
                <c:v>50902</c:v>
              </c:pt>
              <c:pt idx="100">
                <c:v>59449</c:v>
              </c:pt>
              <c:pt idx="101">
                <c:v>54273</c:v>
              </c:pt>
              <c:pt idx="102">
                <c:v>55465</c:v>
              </c:pt>
            </c:numLit>
          </c:val>
          <c:smooth val="0"/>
        </c:ser>
        <c:ser>
          <c:idx val="2"/>
          <c:order val="2"/>
          <c:tx>
            <c:v>QUETIAPINE</c:v>
          </c:tx>
          <c:marker>
            <c:symbol val="none"/>
          </c:marker>
          <c:cat>
            <c:strLit>
              <c:ptCount val="103"/>
              <c:pt idx="0">
                <c:v>Jan-04</c:v>
              </c:pt>
              <c:pt idx="1">
                <c:v>Feb-04</c:v>
              </c:pt>
              <c:pt idx="2">
                <c:v>Mar-04</c:v>
              </c:pt>
              <c:pt idx="3">
                <c:v>Apr-04</c:v>
              </c:pt>
              <c:pt idx="4">
                <c:v>May-04</c:v>
              </c:pt>
              <c:pt idx="5">
                <c:v>Jun-04</c:v>
              </c:pt>
              <c:pt idx="6">
                <c:v>Jul-04</c:v>
              </c:pt>
              <c:pt idx="7">
                <c:v>Aug-04</c:v>
              </c:pt>
              <c:pt idx="8">
                <c:v>Sep-04</c:v>
              </c:pt>
              <c:pt idx="9">
                <c:v>Oct-04</c:v>
              </c:pt>
              <c:pt idx="10">
                <c:v>Nov-04</c:v>
              </c:pt>
              <c:pt idx="11">
                <c:v>Dec-04</c:v>
              </c:pt>
              <c:pt idx="12">
                <c:v>Jan-05</c:v>
              </c:pt>
              <c:pt idx="13">
                <c:v>Feb-05</c:v>
              </c:pt>
              <c:pt idx="14">
                <c:v>Mar-05</c:v>
              </c:pt>
              <c:pt idx="15">
                <c:v>Apr-05</c:v>
              </c:pt>
              <c:pt idx="16">
                <c:v>May-05</c:v>
              </c:pt>
              <c:pt idx="17">
                <c:v>Jun-05</c:v>
              </c:pt>
              <c:pt idx="18">
                <c:v>Jul-05</c:v>
              </c:pt>
              <c:pt idx="19">
                <c:v>Aug-05</c:v>
              </c:pt>
              <c:pt idx="20">
                <c:v>Sep-05</c:v>
              </c:pt>
              <c:pt idx="21">
                <c:v>Oct-05</c:v>
              </c:pt>
              <c:pt idx="22">
                <c:v>Nov-05</c:v>
              </c:pt>
              <c:pt idx="23">
                <c:v>Dec-05</c:v>
              </c:pt>
              <c:pt idx="24">
                <c:v>Jan-06</c:v>
              </c:pt>
              <c:pt idx="25">
                <c:v>Feb-06</c:v>
              </c:pt>
              <c:pt idx="26">
                <c:v>Mar-06</c:v>
              </c:pt>
              <c:pt idx="27">
                <c:v>Apr-06</c:v>
              </c:pt>
              <c:pt idx="28">
                <c:v>May-06</c:v>
              </c:pt>
              <c:pt idx="29">
                <c:v>Jun-06</c:v>
              </c:pt>
              <c:pt idx="30">
                <c:v>Jul-06</c:v>
              </c:pt>
              <c:pt idx="31">
                <c:v>Aug-06</c:v>
              </c:pt>
              <c:pt idx="32">
                <c:v>Sep-06</c:v>
              </c:pt>
              <c:pt idx="33">
                <c:v>Oct-06</c:v>
              </c:pt>
              <c:pt idx="34">
                <c:v>Nov-06</c:v>
              </c:pt>
              <c:pt idx="35">
                <c:v>Dec-06</c:v>
              </c:pt>
              <c:pt idx="36">
                <c:v>Jan-07</c:v>
              </c:pt>
              <c:pt idx="37">
                <c:v>Feb-07</c:v>
              </c:pt>
              <c:pt idx="38">
                <c:v>Mar-07</c:v>
              </c:pt>
              <c:pt idx="39">
                <c:v>Apr-07</c:v>
              </c:pt>
              <c:pt idx="40">
                <c:v>May-07</c:v>
              </c:pt>
              <c:pt idx="41">
                <c:v>Jun-07</c:v>
              </c:pt>
              <c:pt idx="42">
                <c:v>Jul-07</c:v>
              </c:pt>
              <c:pt idx="43">
                <c:v>Aug-07</c:v>
              </c:pt>
              <c:pt idx="44">
                <c:v>Sep-07</c:v>
              </c:pt>
              <c:pt idx="45">
                <c:v>Oct-07</c:v>
              </c:pt>
              <c:pt idx="46">
                <c:v>Nov-07</c:v>
              </c:pt>
              <c:pt idx="47">
                <c:v>Dec-07</c:v>
              </c:pt>
              <c:pt idx="48">
                <c:v>Jan-08</c:v>
              </c:pt>
              <c:pt idx="49">
                <c:v>Feb-08</c:v>
              </c:pt>
              <c:pt idx="50">
                <c:v>Mar-08</c:v>
              </c:pt>
              <c:pt idx="51">
                <c:v>Apr-08</c:v>
              </c:pt>
              <c:pt idx="52">
                <c:v>May-08</c:v>
              </c:pt>
              <c:pt idx="53">
                <c:v>Jun-08</c:v>
              </c:pt>
              <c:pt idx="54">
                <c:v>Jul-08</c:v>
              </c:pt>
              <c:pt idx="55">
                <c:v>Aug-08</c:v>
              </c:pt>
              <c:pt idx="56">
                <c:v>Sep-08</c:v>
              </c:pt>
              <c:pt idx="57">
                <c:v>Oct-08</c:v>
              </c:pt>
              <c:pt idx="58">
                <c:v>Nov-08</c:v>
              </c:pt>
              <c:pt idx="59">
                <c:v>Dec-08</c:v>
              </c:pt>
              <c:pt idx="60">
                <c:v>Jan-09</c:v>
              </c:pt>
              <c:pt idx="61">
                <c:v>Feb-09</c:v>
              </c:pt>
              <c:pt idx="62">
                <c:v>Mar-09</c:v>
              </c:pt>
              <c:pt idx="63">
                <c:v>Apr-09</c:v>
              </c:pt>
              <c:pt idx="64">
                <c:v>May-09</c:v>
              </c:pt>
              <c:pt idx="65">
                <c:v>Jun-09</c:v>
              </c:pt>
              <c:pt idx="66">
                <c:v>Jul-09</c:v>
              </c:pt>
              <c:pt idx="67">
                <c:v>Aug-09</c:v>
              </c:pt>
              <c:pt idx="68">
                <c:v>Sep-09</c:v>
              </c:pt>
              <c:pt idx="69">
                <c:v>Oct-09</c:v>
              </c:pt>
              <c:pt idx="70">
                <c:v>Nov-09</c:v>
              </c:pt>
              <c:pt idx="71">
                <c:v>Dec-09</c:v>
              </c:pt>
              <c:pt idx="72">
                <c:v>Jan-10</c:v>
              </c:pt>
              <c:pt idx="73">
                <c:v>Feb-10</c:v>
              </c:pt>
              <c:pt idx="74">
                <c:v>Mar-10</c:v>
              </c:pt>
              <c:pt idx="75">
                <c:v>Apr-10</c:v>
              </c:pt>
              <c:pt idx="76">
                <c:v>May-10</c:v>
              </c:pt>
              <c:pt idx="77">
                <c:v>Jun-10</c:v>
              </c:pt>
              <c:pt idx="78">
                <c:v>Jul-10</c:v>
              </c:pt>
              <c:pt idx="79">
                <c:v>Aug-10</c:v>
              </c:pt>
              <c:pt idx="80">
                <c:v>Sep-10</c:v>
              </c:pt>
              <c:pt idx="81">
                <c:v>Oct-10</c:v>
              </c:pt>
              <c:pt idx="82">
                <c:v>Nov-10</c:v>
              </c:pt>
              <c:pt idx="83">
                <c:v>Dec-10</c:v>
              </c:pt>
              <c:pt idx="84">
                <c:v>Jan-11</c:v>
              </c:pt>
              <c:pt idx="85">
                <c:v>Feb-11</c:v>
              </c:pt>
              <c:pt idx="86">
                <c:v>Mar-11</c:v>
              </c:pt>
              <c:pt idx="87">
                <c:v>Apr-11</c:v>
              </c:pt>
              <c:pt idx="88">
                <c:v>May-11</c:v>
              </c:pt>
              <c:pt idx="89">
                <c:v>Jun-11</c:v>
              </c:pt>
              <c:pt idx="90">
                <c:v>Jul-11</c:v>
              </c:pt>
              <c:pt idx="91">
                <c:v>Aug-11</c:v>
              </c:pt>
              <c:pt idx="92">
                <c:v>Sep-11</c:v>
              </c:pt>
              <c:pt idx="93">
                <c:v>Oct-11</c:v>
              </c:pt>
              <c:pt idx="94">
                <c:v>Nov-11</c:v>
              </c:pt>
              <c:pt idx="95">
                <c:v>Dec-11</c:v>
              </c:pt>
              <c:pt idx="96">
                <c:v>Jan-12</c:v>
              </c:pt>
              <c:pt idx="97">
                <c:v>Feb-12</c:v>
              </c:pt>
              <c:pt idx="98">
                <c:v>Mar-12</c:v>
              </c:pt>
              <c:pt idx="99">
                <c:v>Apr-12</c:v>
              </c:pt>
              <c:pt idx="100">
                <c:v>May-12</c:v>
              </c:pt>
              <c:pt idx="101">
                <c:v>Jun-12</c:v>
              </c:pt>
              <c:pt idx="102">
                <c:v>Jul-12</c:v>
              </c:pt>
            </c:strLit>
          </c:cat>
          <c:val>
            <c:numLit>
              <c:formatCode>General</c:formatCode>
              <c:ptCount val="103"/>
              <c:pt idx="0">
                <c:v>10505</c:v>
              </c:pt>
              <c:pt idx="1">
                <c:v>10649</c:v>
              </c:pt>
              <c:pt idx="2">
                <c:v>12189</c:v>
              </c:pt>
              <c:pt idx="3">
                <c:v>11859</c:v>
              </c:pt>
              <c:pt idx="4">
                <c:v>12543</c:v>
              </c:pt>
              <c:pt idx="5">
                <c:v>12700</c:v>
              </c:pt>
              <c:pt idx="6">
                <c:v>13196</c:v>
              </c:pt>
              <c:pt idx="7">
                <c:v>13371</c:v>
              </c:pt>
              <c:pt idx="8">
                <c:v>13572</c:v>
              </c:pt>
              <c:pt idx="9">
                <c:v>13652</c:v>
              </c:pt>
              <c:pt idx="10">
                <c:v>14327</c:v>
              </c:pt>
              <c:pt idx="11">
                <c:v>16338</c:v>
              </c:pt>
              <c:pt idx="12">
                <c:v>12702</c:v>
              </c:pt>
              <c:pt idx="13">
                <c:v>12978</c:v>
              </c:pt>
              <c:pt idx="14">
                <c:v>15098</c:v>
              </c:pt>
              <c:pt idx="15">
                <c:v>14985</c:v>
              </c:pt>
              <c:pt idx="16">
                <c:v>15966</c:v>
              </c:pt>
              <c:pt idx="17">
                <c:v>16453</c:v>
              </c:pt>
              <c:pt idx="18">
                <c:v>16616</c:v>
              </c:pt>
              <c:pt idx="19">
                <c:v>17664</c:v>
              </c:pt>
              <c:pt idx="20">
                <c:v>17385</c:v>
              </c:pt>
              <c:pt idx="21">
                <c:v>17569</c:v>
              </c:pt>
              <c:pt idx="22">
                <c:v>18210</c:v>
              </c:pt>
              <c:pt idx="23">
                <c:v>20623</c:v>
              </c:pt>
              <c:pt idx="24">
                <c:v>16265</c:v>
              </c:pt>
              <c:pt idx="25">
                <c:v>16613</c:v>
              </c:pt>
              <c:pt idx="26">
                <c:v>19236</c:v>
              </c:pt>
              <c:pt idx="27">
                <c:v>17765</c:v>
              </c:pt>
              <c:pt idx="28">
                <c:v>20286</c:v>
              </c:pt>
              <c:pt idx="29">
                <c:v>19976</c:v>
              </c:pt>
              <c:pt idx="30">
                <c:v>19776</c:v>
              </c:pt>
              <c:pt idx="31">
                <c:v>21451</c:v>
              </c:pt>
              <c:pt idx="32">
                <c:v>20533</c:v>
              </c:pt>
              <c:pt idx="33">
                <c:v>21604</c:v>
              </c:pt>
              <c:pt idx="34">
                <c:v>22060</c:v>
              </c:pt>
              <c:pt idx="35">
                <c:v>23745</c:v>
              </c:pt>
              <c:pt idx="36">
                <c:v>20266</c:v>
              </c:pt>
              <c:pt idx="37">
                <c:v>19950</c:v>
              </c:pt>
              <c:pt idx="38">
                <c:v>22562</c:v>
              </c:pt>
              <c:pt idx="39">
                <c:v>21866</c:v>
              </c:pt>
              <c:pt idx="40">
                <c:v>24195</c:v>
              </c:pt>
              <c:pt idx="41">
                <c:v>23199</c:v>
              </c:pt>
              <c:pt idx="42">
                <c:v>24413</c:v>
              </c:pt>
              <c:pt idx="43">
                <c:v>25786</c:v>
              </c:pt>
              <c:pt idx="44">
                <c:v>24988</c:v>
              </c:pt>
              <c:pt idx="45">
                <c:v>27362</c:v>
              </c:pt>
              <c:pt idx="46">
                <c:v>28192</c:v>
              </c:pt>
              <c:pt idx="47">
                <c:v>30626</c:v>
              </c:pt>
              <c:pt idx="48">
                <c:v>27012</c:v>
              </c:pt>
              <c:pt idx="49">
                <c:v>27855</c:v>
              </c:pt>
              <c:pt idx="50">
                <c:v>28958</c:v>
              </c:pt>
              <c:pt idx="51">
                <c:v>30577</c:v>
              </c:pt>
              <c:pt idx="52">
                <c:v>32736</c:v>
              </c:pt>
              <c:pt idx="53">
                <c:v>32039</c:v>
              </c:pt>
              <c:pt idx="54">
                <c:v>35068</c:v>
              </c:pt>
              <c:pt idx="55">
                <c:v>33868</c:v>
              </c:pt>
              <c:pt idx="56">
                <c:v>35484</c:v>
              </c:pt>
              <c:pt idx="57">
                <c:v>37726</c:v>
              </c:pt>
              <c:pt idx="58">
                <c:v>35769</c:v>
              </c:pt>
              <c:pt idx="59">
                <c:v>43515</c:v>
              </c:pt>
              <c:pt idx="60">
                <c:v>33927</c:v>
              </c:pt>
              <c:pt idx="61">
                <c:v>34567</c:v>
              </c:pt>
              <c:pt idx="62">
                <c:v>39454</c:v>
              </c:pt>
              <c:pt idx="63">
                <c:v>39375</c:v>
              </c:pt>
              <c:pt idx="64">
                <c:v>40937</c:v>
              </c:pt>
              <c:pt idx="65">
                <c:v>42522</c:v>
              </c:pt>
              <c:pt idx="66">
                <c:v>44769</c:v>
              </c:pt>
              <c:pt idx="67">
                <c:v>44274</c:v>
              </c:pt>
              <c:pt idx="68">
                <c:v>45859</c:v>
              </c:pt>
              <c:pt idx="69">
                <c:v>47979</c:v>
              </c:pt>
              <c:pt idx="70">
                <c:v>46826</c:v>
              </c:pt>
              <c:pt idx="71">
                <c:v>54547</c:v>
              </c:pt>
              <c:pt idx="72">
                <c:v>42968</c:v>
              </c:pt>
              <c:pt idx="73">
                <c:v>44284</c:v>
              </c:pt>
              <c:pt idx="74">
                <c:v>52809</c:v>
              </c:pt>
              <c:pt idx="75">
                <c:v>49088</c:v>
              </c:pt>
              <c:pt idx="76">
                <c:v>51711</c:v>
              </c:pt>
              <c:pt idx="77">
                <c:v>53318</c:v>
              </c:pt>
              <c:pt idx="78">
                <c:v>55742</c:v>
              </c:pt>
              <c:pt idx="79">
                <c:v>56585</c:v>
              </c:pt>
              <c:pt idx="80">
                <c:v>57420</c:v>
              </c:pt>
              <c:pt idx="81">
                <c:v>57240</c:v>
              </c:pt>
              <c:pt idx="82">
                <c:v>60017</c:v>
              </c:pt>
              <c:pt idx="83">
                <c:v>68089</c:v>
              </c:pt>
              <c:pt idx="84">
                <c:v>52613</c:v>
              </c:pt>
              <c:pt idx="85">
                <c:v>53424</c:v>
              </c:pt>
              <c:pt idx="86">
                <c:v>62899</c:v>
              </c:pt>
              <c:pt idx="87">
                <c:v>59111</c:v>
              </c:pt>
              <c:pt idx="88">
                <c:v>65577</c:v>
              </c:pt>
              <c:pt idx="89">
                <c:v>64904</c:v>
              </c:pt>
              <c:pt idx="90">
                <c:v>65196</c:v>
              </c:pt>
              <c:pt idx="91">
                <c:v>69838</c:v>
              </c:pt>
              <c:pt idx="92">
                <c:v>67988</c:v>
              </c:pt>
              <c:pt idx="93">
                <c:v>68008</c:v>
              </c:pt>
              <c:pt idx="94">
                <c:v>70996</c:v>
              </c:pt>
              <c:pt idx="95">
                <c:v>79566</c:v>
              </c:pt>
              <c:pt idx="96">
                <c:v>61586</c:v>
              </c:pt>
              <c:pt idx="97">
                <c:v>65753</c:v>
              </c:pt>
              <c:pt idx="98">
                <c:v>74125</c:v>
              </c:pt>
              <c:pt idx="99">
                <c:v>66431</c:v>
              </c:pt>
              <c:pt idx="100">
                <c:v>75925</c:v>
              </c:pt>
              <c:pt idx="101">
                <c:v>72111</c:v>
              </c:pt>
              <c:pt idx="102">
                <c:v>74946</c:v>
              </c:pt>
            </c:numLit>
          </c:val>
          <c:smooth val="0"/>
        </c:ser>
        <c:ser>
          <c:idx val="3"/>
          <c:order val="3"/>
          <c:tx>
            <c:v>PALIPERIDONE</c:v>
          </c:tx>
          <c:marker>
            <c:symbol val="none"/>
          </c:marker>
          <c:cat>
            <c:strLit>
              <c:ptCount val="103"/>
              <c:pt idx="0">
                <c:v>Jan-04</c:v>
              </c:pt>
              <c:pt idx="1">
                <c:v>Feb-04</c:v>
              </c:pt>
              <c:pt idx="2">
                <c:v>Mar-04</c:v>
              </c:pt>
              <c:pt idx="3">
                <c:v>Apr-04</c:v>
              </c:pt>
              <c:pt idx="4">
                <c:v>May-04</c:v>
              </c:pt>
              <c:pt idx="5">
                <c:v>Jun-04</c:v>
              </c:pt>
              <c:pt idx="6">
                <c:v>Jul-04</c:v>
              </c:pt>
              <c:pt idx="7">
                <c:v>Aug-04</c:v>
              </c:pt>
              <c:pt idx="8">
                <c:v>Sep-04</c:v>
              </c:pt>
              <c:pt idx="9">
                <c:v>Oct-04</c:v>
              </c:pt>
              <c:pt idx="10">
                <c:v>Nov-04</c:v>
              </c:pt>
              <c:pt idx="11">
                <c:v>Dec-04</c:v>
              </c:pt>
              <c:pt idx="12">
                <c:v>Jan-05</c:v>
              </c:pt>
              <c:pt idx="13">
                <c:v>Feb-05</c:v>
              </c:pt>
              <c:pt idx="14">
                <c:v>Mar-05</c:v>
              </c:pt>
              <c:pt idx="15">
                <c:v>Apr-05</c:v>
              </c:pt>
              <c:pt idx="16">
                <c:v>May-05</c:v>
              </c:pt>
              <c:pt idx="17">
                <c:v>Jun-05</c:v>
              </c:pt>
              <c:pt idx="18">
                <c:v>Jul-05</c:v>
              </c:pt>
              <c:pt idx="19">
                <c:v>Aug-05</c:v>
              </c:pt>
              <c:pt idx="20">
                <c:v>Sep-05</c:v>
              </c:pt>
              <c:pt idx="21">
                <c:v>Oct-05</c:v>
              </c:pt>
              <c:pt idx="22">
                <c:v>Nov-05</c:v>
              </c:pt>
              <c:pt idx="23">
                <c:v>Dec-05</c:v>
              </c:pt>
              <c:pt idx="24">
                <c:v>Jan-06</c:v>
              </c:pt>
              <c:pt idx="25">
                <c:v>Feb-06</c:v>
              </c:pt>
              <c:pt idx="26">
                <c:v>Mar-06</c:v>
              </c:pt>
              <c:pt idx="27">
                <c:v>Apr-06</c:v>
              </c:pt>
              <c:pt idx="28">
                <c:v>May-06</c:v>
              </c:pt>
              <c:pt idx="29">
                <c:v>Jun-06</c:v>
              </c:pt>
              <c:pt idx="30">
                <c:v>Jul-06</c:v>
              </c:pt>
              <c:pt idx="31">
                <c:v>Aug-06</c:v>
              </c:pt>
              <c:pt idx="32">
                <c:v>Sep-06</c:v>
              </c:pt>
              <c:pt idx="33">
                <c:v>Oct-06</c:v>
              </c:pt>
              <c:pt idx="34">
                <c:v>Nov-06</c:v>
              </c:pt>
              <c:pt idx="35">
                <c:v>Dec-06</c:v>
              </c:pt>
              <c:pt idx="36">
                <c:v>Jan-07</c:v>
              </c:pt>
              <c:pt idx="37">
                <c:v>Feb-07</c:v>
              </c:pt>
              <c:pt idx="38">
                <c:v>Mar-07</c:v>
              </c:pt>
              <c:pt idx="39">
                <c:v>Apr-07</c:v>
              </c:pt>
              <c:pt idx="40">
                <c:v>May-07</c:v>
              </c:pt>
              <c:pt idx="41">
                <c:v>Jun-07</c:v>
              </c:pt>
              <c:pt idx="42">
                <c:v>Jul-07</c:v>
              </c:pt>
              <c:pt idx="43">
                <c:v>Aug-07</c:v>
              </c:pt>
              <c:pt idx="44">
                <c:v>Sep-07</c:v>
              </c:pt>
              <c:pt idx="45">
                <c:v>Oct-07</c:v>
              </c:pt>
              <c:pt idx="46">
                <c:v>Nov-07</c:v>
              </c:pt>
              <c:pt idx="47">
                <c:v>Dec-07</c:v>
              </c:pt>
              <c:pt idx="48">
                <c:v>Jan-08</c:v>
              </c:pt>
              <c:pt idx="49">
                <c:v>Feb-08</c:v>
              </c:pt>
              <c:pt idx="50">
                <c:v>Mar-08</c:v>
              </c:pt>
              <c:pt idx="51">
                <c:v>Apr-08</c:v>
              </c:pt>
              <c:pt idx="52">
                <c:v>May-08</c:v>
              </c:pt>
              <c:pt idx="53">
                <c:v>Jun-08</c:v>
              </c:pt>
              <c:pt idx="54">
                <c:v>Jul-08</c:v>
              </c:pt>
              <c:pt idx="55">
                <c:v>Aug-08</c:v>
              </c:pt>
              <c:pt idx="56">
                <c:v>Sep-08</c:v>
              </c:pt>
              <c:pt idx="57">
                <c:v>Oct-08</c:v>
              </c:pt>
              <c:pt idx="58">
                <c:v>Nov-08</c:v>
              </c:pt>
              <c:pt idx="59">
                <c:v>Dec-08</c:v>
              </c:pt>
              <c:pt idx="60">
                <c:v>Jan-09</c:v>
              </c:pt>
              <c:pt idx="61">
                <c:v>Feb-09</c:v>
              </c:pt>
              <c:pt idx="62">
                <c:v>Mar-09</c:v>
              </c:pt>
              <c:pt idx="63">
                <c:v>Apr-09</c:v>
              </c:pt>
              <c:pt idx="64">
                <c:v>May-09</c:v>
              </c:pt>
              <c:pt idx="65">
                <c:v>Jun-09</c:v>
              </c:pt>
              <c:pt idx="66">
                <c:v>Jul-09</c:v>
              </c:pt>
              <c:pt idx="67">
                <c:v>Aug-09</c:v>
              </c:pt>
              <c:pt idx="68">
                <c:v>Sep-09</c:v>
              </c:pt>
              <c:pt idx="69">
                <c:v>Oct-09</c:v>
              </c:pt>
              <c:pt idx="70">
                <c:v>Nov-09</c:v>
              </c:pt>
              <c:pt idx="71">
                <c:v>Dec-09</c:v>
              </c:pt>
              <c:pt idx="72">
                <c:v>Jan-10</c:v>
              </c:pt>
              <c:pt idx="73">
                <c:v>Feb-10</c:v>
              </c:pt>
              <c:pt idx="74">
                <c:v>Mar-10</c:v>
              </c:pt>
              <c:pt idx="75">
                <c:v>Apr-10</c:v>
              </c:pt>
              <c:pt idx="76">
                <c:v>May-10</c:v>
              </c:pt>
              <c:pt idx="77">
                <c:v>Jun-10</c:v>
              </c:pt>
              <c:pt idx="78">
                <c:v>Jul-10</c:v>
              </c:pt>
              <c:pt idx="79">
                <c:v>Aug-10</c:v>
              </c:pt>
              <c:pt idx="80">
                <c:v>Sep-10</c:v>
              </c:pt>
              <c:pt idx="81">
                <c:v>Oct-10</c:v>
              </c:pt>
              <c:pt idx="82">
                <c:v>Nov-10</c:v>
              </c:pt>
              <c:pt idx="83">
                <c:v>Dec-10</c:v>
              </c:pt>
              <c:pt idx="84">
                <c:v>Jan-11</c:v>
              </c:pt>
              <c:pt idx="85">
                <c:v>Feb-11</c:v>
              </c:pt>
              <c:pt idx="86">
                <c:v>Mar-11</c:v>
              </c:pt>
              <c:pt idx="87">
                <c:v>Apr-11</c:v>
              </c:pt>
              <c:pt idx="88">
                <c:v>May-11</c:v>
              </c:pt>
              <c:pt idx="89">
                <c:v>Jun-11</c:v>
              </c:pt>
              <c:pt idx="90">
                <c:v>Jul-11</c:v>
              </c:pt>
              <c:pt idx="91">
                <c:v>Aug-11</c:v>
              </c:pt>
              <c:pt idx="92">
                <c:v>Sep-11</c:v>
              </c:pt>
              <c:pt idx="93">
                <c:v>Oct-11</c:v>
              </c:pt>
              <c:pt idx="94">
                <c:v>Nov-11</c:v>
              </c:pt>
              <c:pt idx="95">
                <c:v>Dec-11</c:v>
              </c:pt>
              <c:pt idx="96">
                <c:v>Jan-12</c:v>
              </c:pt>
              <c:pt idx="97">
                <c:v>Feb-12</c:v>
              </c:pt>
              <c:pt idx="98">
                <c:v>Mar-12</c:v>
              </c:pt>
              <c:pt idx="99">
                <c:v>Apr-12</c:v>
              </c:pt>
              <c:pt idx="100">
                <c:v>May-12</c:v>
              </c:pt>
              <c:pt idx="101">
                <c:v>Jun-12</c:v>
              </c:pt>
              <c:pt idx="102">
                <c:v>Jul-12</c:v>
              </c:pt>
            </c:strLit>
          </c:cat>
          <c:val>
            <c:numLit>
              <c:formatCode>General</c:formatCode>
              <c:ptCount val="10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106</c:v>
              </c:pt>
              <c:pt idx="52">
                <c:v>339</c:v>
              </c:pt>
              <c:pt idx="53">
                <c:v>510</c:v>
              </c:pt>
              <c:pt idx="54">
                <c:v>778</c:v>
              </c:pt>
              <c:pt idx="55">
                <c:v>900</c:v>
              </c:pt>
              <c:pt idx="56">
                <c:v>1065</c:v>
              </c:pt>
              <c:pt idx="57">
                <c:v>1337</c:v>
              </c:pt>
              <c:pt idx="58">
                <c:v>1292</c:v>
              </c:pt>
              <c:pt idx="59">
                <c:v>1610</c:v>
              </c:pt>
              <c:pt idx="60">
                <c:v>1422</c:v>
              </c:pt>
              <c:pt idx="61">
                <c:v>1417</c:v>
              </c:pt>
              <c:pt idx="62">
                <c:v>1659</c:v>
              </c:pt>
              <c:pt idx="63">
                <c:v>1693</c:v>
              </c:pt>
              <c:pt idx="64">
                <c:v>1797</c:v>
              </c:pt>
              <c:pt idx="65">
                <c:v>1849</c:v>
              </c:pt>
              <c:pt idx="66">
                <c:v>2049</c:v>
              </c:pt>
              <c:pt idx="67">
                <c:v>1966</c:v>
              </c:pt>
              <c:pt idx="68">
                <c:v>2016</c:v>
              </c:pt>
              <c:pt idx="69">
                <c:v>2175</c:v>
              </c:pt>
              <c:pt idx="70">
                <c:v>2138</c:v>
              </c:pt>
              <c:pt idx="71">
                <c:v>2473</c:v>
              </c:pt>
              <c:pt idx="72">
                <c:v>2078</c:v>
              </c:pt>
              <c:pt idx="73">
                <c:v>2161</c:v>
              </c:pt>
              <c:pt idx="74">
                <c:v>2493</c:v>
              </c:pt>
              <c:pt idx="75">
                <c:v>2232</c:v>
              </c:pt>
              <c:pt idx="76">
                <c:v>2346</c:v>
              </c:pt>
              <c:pt idx="77">
                <c:v>2430</c:v>
              </c:pt>
              <c:pt idx="78">
                <c:v>2484</c:v>
              </c:pt>
              <c:pt idx="79">
                <c:v>2421</c:v>
              </c:pt>
              <c:pt idx="80">
                <c:v>2455</c:v>
              </c:pt>
              <c:pt idx="81">
                <c:v>2378</c:v>
              </c:pt>
              <c:pt idx="82">
                <c:v>2485</c:v>
              </c:pt>
              <c:pt idx="83">
                <c:v>2687</c:v>
              </c:pt>
              <c:pt idx="84">
                <c:v>2231</c:v>
              </c:pt>
              <c:pt idx="85">
                <c:v>2237</c:v>
              </c:pt>
              <c:pt idx="86">
                <c:v>2555</c:v>
              </c:pt>
              <c:pt idx="87">
                <c:v>2413</c:v>
              </c:pt>
              <c:pt idx="88">
                <c:v>2607</c:v>
              </c:pt>
              <c:pt idx="89">
                <c:v>2605</c:v>
              </c:pt>
              <c:pt idx="90">
                <c:v>2609</c:v>
              </c:pt>
              <c:pt idx="91">
                <c:v>2723</c:v>
              </c:pt>
              <c:pt idx="92">
                <c:v>2697</c:v>
              </c:pt>
              <c:pt idx="93">
                <c:v>2574</c:v>
              </c:pt>
              <c:pt idx="94">
                <c:v>2714</c:v>
              </c:pt>
              <c:pt idx="95">
                <c:v>4711</c:v>
              </c:pt>
              <c:pt idx="96">
                <c:v>4885</c:v>
              </c:pt>
              <c:pt idx="97">
                <c:v>5491</c:v>
              </c:pt>
              <c:pt idx="98">
                <c:v>6406</c:v>
              </c:pt>
              <c:pt idx="99">
                <c:v>6251</c:v>
              </c:pt>
              <c:pt idx="100">
                <c:v>7544</c:v>
              </c:pt>
              <c:pt idx="101">
                <c:v>7345</c:v>
              </c:pt>
              <c:pt idx="102">
                <c:v>7971</c:v>
              </c:pt>
            </c:numLit>
          </c:val>
          <c:smooth val="0"/>
        </c:ser>
        <c:ser>
          <c:idx val="4"/>
          <c:order val="4"/>
          <c:tx>
            <c:v>OLANZAPINE</c:v>
          </c:tx>
          <c:marker>
            <c:symbol val="none"/>
          </c:marker>
          <c:cat>
            <c:strLit>
              <c:ptCount val="103"/>
              <c:pt idx="0">
                <c:v>Jan-04</c:v>
              </c:pt>
              <c:pt idx="1">
                <c:v>Feb-04</c:v>
              </c:pt>
              <c:pt idx="2">
                <c:v>Mar-04</c:v>
              </c:pt>
              <c:pt idx="3">
                <c:v>Apr-04</c:v>
              </c:pt>
              <c:pt idx="4">
                <c:v>May-04</c:v>
              </c:pt>
              <c:pt idx="5">
                <c:v>Jun-04</c:v>
              </c:pt>
              <c:pt idx="6">
                <c:v>Jul-04</c:v>
              </c:pt>
              <c:pt idx="7">
                <c:v>Aug-04</c:v>
              </c:pt>
              <c:pt idx="8">
                <c:v>Sep-04</c:v>
              </c:pt>
              <c:pt idx="9">
                <c:v>Oct-04</c:v>
              </c:pt>
              <c:pt idx="10">
                <c:v>Nov-04</c:v>
              </c:pt>
              <c:pt idx="11">
                <c:v>Dec-04</c:v>
              </c:pt>
              <c:pt idx="12">
                <c:v>Jan-05</c:v>
              </c:pt>
              <c:pt idx="13">
                <c:v>Feb-05</c:v>
              </c:pt>
              <c:pt idx="14">
                <c:v>Mar-05</c:v>
              </c:pt>
              <c:pt idx="15">
                <c:v>Apr-05</c:v>
              </c:pt>
              <c:pt idx="16">
                <c:v>May-05</c:v>
              </c:pt>
              <c:pt idx="17">
                <c:v>Jun-05</c:v>
              </c:pt>
              <c:pt idx="18">
                <c:v>Jul-05</c:v>
              </c:pt>
              <c:pt idx="19">
                <c:v>Aug-05</c:v>
              </c:pt>
              <c:pt idx="20">
                <c:v>Sep-05</c:v>
              </c:pt>
              <c:pt idx="21">
                <c:v>Oct-05</c:v>
              </c:pt>
              <c:pt idx="22">
                <c:v>Nov-05</c:v>
              </c:pt>
              <c:pt idx="23">
                <c:v>Dec-05</c:v>
              </c:pt>
              <c:pt idx="24">
                <c:v>Jan-06</c:v>
              </c:pt>
              <c:pt idx="25">
                <c:v>Feb-06</c:v>
              </c:pt>
              <c:pt idx="26">
                <c:v>Mar-06</c:v>
              </c:pt>
              <c:pt idx="27">
                <c:v>Apr-06</c:v>
              </c:pt>
              <c:pt idx="28">
                <c:v>May-06</c:v>
              </c:pt>
              <c:pt idx="29">
                <c:v>Jun-06</c:v>
              </c:pt>
              <c:pt idx="30">
                <c:v>Jul-06</c:v>
              </c:pt>
              <c:pt idx="31">
                <c:v>Aug-06</c:v>
              </c:pt>
              <c:pt idx="32">
                <c:v>Sep-06</c:v>
              </c:pt>
              <c:pt idx="33">
                <c:v>Oct-06</c:v>
              </c:pt>
              <c:pt idx="34">
                <c:v>Nov-06</c:v>
              </c:pt>
              <c:pt idx="35">
                <c:v>Dec-06</c:v>
              </c:pt>
              <c:pt idx="36">
                <c:v>Jan-07</c:v>
              </c:pt>
              <c:pt idx="37">
                <c:v>Feb-07</c:v>
              </c:pt>
              <c:pt idx="38">
                <c:v>Mar-07</c:v>
              </c:pt>
              <c:pt idx="39">
                <c:v>Apr-07</c:v>
              </c:pt>
              <c:pt idx="40">
                <c:v>May-07</c:v>
              </c:pt>
              <c:pt idx="41">
                <c:v>Jun-07</c:v>
              </c:pt>
              <c:pt idx="42">
                <c:v>Jul-07</c:v>
              </c:pt>
              <c:pt idx="43">
                <c:v>Aug-07</c:v>
              </c:pt>
              <c:pt idx="44">
                <c:v>Sep-07</c:v>
              </c:pt>
              <c:pt idx="45">
                <c:v>Oct-07</c:v>
              </c:pt>
              <c:pt idx="46">
                <c:v>Nov-07</c:v>
              </c:pt>
              <c:pt idx="47">
                <c:v>Dec-07</c:v>
              </c:pt>
              <c:pt idx="48">
                <c:v>Jan-08</c:v>
              </c:pt>
              <c:pt idx="49">
                <c:v>Feb-08</c:v>
              </c:pt>
              <c:pt idx="50">
                <c:v>Mar-08</c:v>
              </c:pt>
              <c:pt idx="51">
                <c:v>Apr-08</c:v>
              </c:pt>
              <c:pt idx="52">
                <c:v>May-08</c:v>
              </c:pt>
              <c:pt idx="53">
                <c:v>Jun-08</c:v>
              </c:pt>
              <c:pt idx="54">
                <c:v>Jul-08</c:v>
              </c:pt>
              <c:pt idx="55">
                <c:v>Aug-08</c:v>
              </c:pt>
              <c:pt idx="56">
                <c:v>Sep-08</c:v>
              </c:pt>
              <c:pt idx="57">
                <c:v>Oct-08</c:v>
              </c:pt>
              <c:pt idx="58">
                <c:v>Nov-08</c:v>
              </c:pt>
              <c:pt idx="59">
                <c:v>Dec-08</c:v>
              </c:pt>
              <c:pt idx="60">
                <c:v>Jan-09</c:v>
              </c:pt>
              <c:pt idx="61">
                <c:v>Feb-09</c:v>
              </c:pt>
              <c:pt idx="62">
                <c:v>Mar-09</c:v>
              </c:pt>
              <c:pt idx="63">
                <c:v>Apr-09</c:v>
              </c:pt>
              <c:pt idx="64">
                <c:v>May-09</c:v>
              </c:pt>
              <c:pt idx="65">
                <c:v>Jun-09</c:v>
              </c:pt>
              <c:pt idx="66">
                <c:v>Jul-09</c:v>
              </c:pt>
              <c:pt idx="67">
                <c:v>Aug-09</c:v>
              </c:pt>
              <c:pt idx="68">
                <c:v>Sep-09</c:v>
              </c:pt>
              <c:pt idx="69">
                <c:v>Oct-09</c:v>
              </c:pt>
              <c:pt idx="70">
                <c:v>Nov-09</c:v>
              </c:pt>
              <c:pt idx="71">
                <c:v>Dec-09</c:v>
              </c:pt>
              <c:pt idx="72">
                <c:v>Jan-10</c:v>
              </c:pt>
              <c:pt idx="73">
                <c:v>Feb-10</c:v>
              </c:pt>
              <c:pt idx="74">
                <c:v>Mar-10</c:v>
              </c:pt>
              <c:pt idx="75">
                <c:v>Apr-10</c:v>
              </c:pt>
              <c:pt idx="76">
                <c:v>May-10</c:v>
              </c:pt>
              <c:pt idx="77">
                <c:v>Jun-10</c:v>
              </c:pt>
              <c:pt idx="78">
                <c:v>Jul-10</c:v>
              </c:pt>
              <c:pt idx="79">
                <c:v>Aug-10</c:v>
              </c:pt>
              <c:pt idx="80">
                <c:v>Sep-10</c:v>
              </c:pt>
              <c:pt idx="81">
                <c:v>Oct-10</c:v>
              </c:pt>
              <c:pt idx="82">
                <c:v>Nov-10</c:v>
              </c:pt>
              <c:pt idx="83">
                <c:v>Dec-10</c:v>
              </c:pt>
              <c:pt idx="84">
                <c:v>Jan-11</c:v>
              </c:pt>
              <c:pt idx="85">
                <c:v>Feb-11</c:v>
              </c:pt>
              <c:pt idx="86">
                <c:v>Mar-11</c:v>
              </c:pt>
              <c:pt idx="87">
                <c:v>Apr-11</c:v>
              </c:pt>
              <c:pt idx="88">
                <c:v>May-11</c:v>
              </c:pt>
              <c:pt idx="89">
                <c:v>Jun-11</c:v>
              </c:pt>
              <c:pt idx="90">
                <c:v>Jul-11</c:v>
              </c:pt>
              <c:pt idx="91">
                <c:v>Aug-11</c:v>
              </c:pt>
              <c:pt idx="92">
                <c:v>Sep-11</c:v>
              </c:pt>
              <c:pt idx="93">
                <c:v>Oct-11</c:v>
              </c:pt>
              <c:pt idx="94">
                <c:v>Nov-11</c:v>
              </c:pt>
              <c:pt idx="95">
                <c:v>Dec-11</c:v>
              </c:pt>
              <c:pt idx="96">
                <c:v>Jan-12</c:v>
              </c:pt>
              <c:pt idx="97">
                <c:v>Feb-12</c:v>
              </c:pt>
              <c:pt idx="98">
                <c:v>Mar-12</c:v>
              </c:pt>
              <c:pt idx="99">
                <c:v>Apr-12</c:v>
              </c:pt>
              <c:pt idx="100">
                <c:v>May-12</c:v>
              </c:pt>
              <c:pt idx="101">
                <c:v>Jun-12</c:v>
              </c:pt>
              <c:pt idx="102">
                <c:v>Jul-12</c:v>
              </c:pt>
            </c:strLit>
          </c:cat>
          <c:val>
            <c:numLit>
              <c:formatCode>General</c:formatCode>
              <c:ptCount val="103"/>
              <c:pt idx="0">
                <c:v>55722</c:v>
              </c:pt>
              <c:pt idx="1">
                <c:v>55343</c:v>
              </c:pt>
              <c:pt idx="2">
                <c:v>62091</c:v>
              </c:pt>
              <c:pt idx="3">
                <c:v>58381</c:v>
              </c:pt>
              <c:pt idx="4">
                <c:v>59060</c:v>
              </c:pt>
              <c:pt idx="5">
                <c:v>59458</c:v>
              </c:pt>
              <c:pt idx="6">
                <c:v>60267</c:v>
              </c:pt>
              <c:pt idx="7">
                <c:v>59275</c:v>
              </c:pt>
              <c:pt idx="8">
                <c:v>59000</c:v>
              </c:pt>
              <c:pt idx="9">
                <c:v>57801</c:v>
              </c:pt>
              <c:pt idx="10">
                <c:v>59293</c:v>
              </c:pt>
              <c:pt idx="11">
                <c:v>65420</c:v>
              </c:pt>
              <c:pt idx="12">
                <c:v>52551</c:v>
              </c:pt>
              <c:pt idx="13">
                <c:v>54406</c:v>
              </c:pt>
              <c:pt idx="14">
                <c:v>61034</c:v>
              </c:pt>
              <c:pt idx="15">
                <c:v>59023</c:v>
              </c:pt>
              <c:pt idx="16">
                <c:v>61443</c:v>
              </c:pt>
              <c:pt idx="17">
                <c:v>61675</c:v>
              </c:pt>
              <c:pt idx="18">
                <c:v>60978</c:v>
              </c:pt>
              <c:pt idx="19">
                <c:v>63940</c:v>
              </c:pt>
              <c:pt idx="20">
                <c:v>61954</c:v>
              </c:pt>
              <c:pt idx="21">
                <c:v>61239</c:v>
              </c:pt>
              <c:pt idx="22">
                <c:v>62615</c:v>
              </c:pt>
              <c:pt idx="23">
                <c:v>67831</c:v>
              </c:pt>
              <c:pt idx="24">
                <c:v>57169</c:v>
              </c:pt>
              <c:pt idx="25">
                <c:v>56569</c:v>
              </c:pt>
              <c:pt idx="26">
                <c:v>64926</c:v>
              </c:pt>
              <c:pt idx="27">
                <c:v>58177</c:v>
              </c:pt>
              <c:pt idx="28">
                <c:v>66366</c:v>
              </c:pt>
              <c:pt idx="29">
                <c:v>64339</c:v>
              </c:pt>
              <c:pt idx="30">
                <c:v>63085</c:v>
              </c:pt>
              <c:pt idx="31">
                <c:v>66830</c:v>
              </c:pt>
              <c:pt idx="32">
                <c:v>62953</c:v>
              </c:pt>
              <c:pt idx="33">
                <c:v>65107</c:v>
              </c:pt>
              <c:pt idx="34">
                <c:v>66366</c:v>
              </c:pt>
              <c:pt idx="35">
                <c:v>68605</c:v>
              </c:pt>
              <c:pt idx="36">
                <c:v>61999</c:v>
              </c:pt>
              <c:pt idx="37">
                <c:v>59641</c:v>
              </c:pt>
              <c:pt idx="38">
                <c:v>65938</c:v>
              </c:pt>
              <c:pt idx="39">
                <c:v>62040</c:v>
              </c:pt>
              <c:pt idx="40">
                <c:v>69197</c:v>
              </c:pt>
              <c:pt idx="41">
                <c:v>65865</c:v>
              </c:pt>
              <c:pt idx="42">
                <c:v>68412</c:v>
              </c:pt>
              <c:pt idx="43">
                <c:v>71988</c:v>
              </c:pt>
              <c:pt idx="44">
                <c:v>67345</c:v>
              </c:pt>
              <c:pt idx="45">
                <c:v>73555</c:v>
              </c:pt>
              <c:pt idx="46">
                <c:v>73865</c:v>
              </c:pt>
              <c:pt idx="47">
                <c:v>76295</c:v>
              </c:pt>
              <c:pt idx="48">
                <c:v>69707</c:v>
              </c:pt>
              <c:pt idx="49">
                <c:v>70490</c:v>
              </c:pt>
              <c:pt idx="50">
                <c:v>71343</c:v>
              </c:pt>
              <c:pt idx="51">
                <c:v>73159</c:v>
              </c:pt>
              <c:pt idx="52">
                <c:v>76878</c:v>
              </c:pt>
              <c:pt idx="53">
                <c:v>73183</c:v>
              </c:pt>
              <c:pt idx="54">
                <c:v>78460</c:v>
              </c:pt>
              <c:pt idx="55">
                <c:v>74537</c:v>
              </c:pt>
              <c:pt idx="56">
                <c:v>76456</c:v>
              </c:pt>
              <c:pt idx="57">
                <c:v>80001</c:v>
              </c:pt>
              <c:pt idx="58">
                <c:v>74065</c:v>
              </c:pt>
              <c:pt idx="59">
                <c:v>86077</c:v>
              </c:pt>
              <c:pt idx="60">
                <c:v>70744</c:v>
              </c:pt>
              <c:pt idx="61">
                <c:v>70196</c:v>
              </c:pt>
              <c:pt idx="62">
                <c:v>78008</c:v>
              </c:pt>
              <c:pt idx="63">
                <c:v>76435</c:v>
              </c:pt>
              <c:pt idx="64">
                <c:v>76897</c:v>
              </c:pt>
              <c:pt idx="65">
                <c:v>77587</c:v>
              </c:pt>
              <c:pt idx="66">
                <c:v>80906</c:v>
              </c:pt>
              <c:pt idx="67">
                <c:v>77498</c:v>
              </c:pt>
              <c:pt idx="68">
                <c:v>79040</c:v>
              </c:pt>
              <c:pt idx="69">
                <c:v>80491</c:v>
              </c:pt>
              <c:pt idx="70">
                <c:v>76806</c:v>
              </c:pt>
              <c:pt idx="71">
                <c:v>87267</c:v>
              </c:pt>
              <c:pt idx="72">
                <c:v>70833</c:v>
              </c:pt>
              <c:pt idx="73">
                <c:v>71740</c:v>
              </c:pt>
              <c:pt idx="74">
                <c:v>83027</c:v>
              </c:pt>
              <c:pt idx="75">
                <c:v>76011</c:v>
              </c:pt>
              <c:pt idx="76">
                <c:v>78473</c:v>
              </c:pt>
              <c:pt idx="77">
                <c:v>78766</c:v>
              </c:pt>
              <c:pt idx="78">
                <c:v>80745</c:v>
              </c:pt>
              <c:pt idx="79">
                <c:v>80449</c:v>
              </c:pt>
              <c:pt idx="80">
                <c:v>80385</c:v>
              </c:pt>
              <c:pt idx="81">
                <c:v>79169</c:v>
              </c:pt>
              <c:pt idx="82">
                <c:v>81222</c:v>
              </c:pt>
              <c:pt idx="83">
                <c:v>88929</c:v>
              </c:pt>
              <c:pt idx="84">
                <c:v>71789</c:v>
              </c:pt>
              <c:pt idx="85">
                <c:v>72406</c:v>
              </c:pt>
              <c:pt idx="86">
                <c:v>82868</c:v>
              </c:pt>
              <c:pt idx="87">
                <c:v>76433</c:v>
              </c:pt>
              <c:pt idx="88">
                <c:v>82292</c:v>
              </c:pt>
              <c:pt idx="89">
                <c:v>81055</c:v>
              </c:pt>
              <c:pt idx="90">
                <c:v>80189</c:v>
              </c:pt>
              <c:pt idx="91">
                <c:v>84811</c:v>
              </c:pt>
              <c:pt idx="92">
                <c:v>81704</c:v>
              </c:pt>
              <c:pt idx="93">
                <c:v>80679</c:v>
              </c:pt>
              <c:pt idx="94">
                <c:v>82859</c:v>
              </c:pt>
              <c:pt idx="95">
                <c:v>90057</c:v>
              </c:pt>
              <c:pt idx="96">
                <c:v>74170</c:v>
              </c:pt>
              <c:pt idx="97">
                <c:v>77403</c:v>
              </c:pt>
              <c:pt idx="98">
                <c:v>85798</c:v>
              </c:pt>
              <c:pt idx="99">
                <c:v>74664</c:v>
              </c:pt>
              <c:pt idx="100">
                <c:v>85127</c:v>
              </c:pt>
              <c:pt idx="101">
                <c:v>80053</c:v>
              </c:pt>
              <c:pt idx="102">
                <c:v>81922</c:v>
              </c:pt>
            </c:numLit>
          </c:val>
          <c:smooth val="0"/>
        </c:ser>
        <c:ser>
          <c:idx val="5"/>
          <c:order val="5"/>
          <c:tx>
            <c:v>CLOZAPINE</c:v>
          </c:tx>
          <c:marker>
            <c:symbol val="none"/>
          </c:marker>
          <c:cat>
            <c:strLit>
              <c:ptCount val="103"/>
              <c:pt idx="0">
                <c:v>Jan-04</c:v>
              </c:pt>
              <c:pt idx="1">
                <c:v>Feb-04</c:v>
              </c:pt>
              <c:pt idx="2">
                <c:v>Mar-04</c:v>
              </c:pt>
              <c:pt idx="3">
                <c:v>Apr-04</c:v>
              </c:pt>
              <c:pt idx="4">
                <c:v>May-04</c:v>
              </c:pt>
              <c:pt idx="5">
                <c:v>Jun-04</c:v>
              </c:pt>
              <c:pt idx="6">
                <c:v>Jul-04</c:v>
              </c:pt>
              <c:pt idx="7">
                <c:v>Aug-04</c:v>
              </c:pt>
              <c:pt idx="8">
                <c:v>Sep-04</c:v>
              </c:pt>
              <c:pt idx="9">
                <c:v>Oct-04</c:v>
              </c:pt>
              <c:pt idx="10">
                <c:v>Nov-04</c:v>
              </c:pt>
              <c:pt idx="11">
                <c:v>Dec-04</c:v>
              </c:pt>
              <c:pt idx="12">
                <c:v>Jan-05</c:v>
              </c:pt>
              <c:pt idx="13">
                <c:v>Feb-05</c:v>
              </c:pt>
              <c:pt idx="14">
                <c:v>Mar-05</c:v>
              </c:pt>
              <c:pt idx="15">
                <c:v>Apr-05</c:v>
              </c:pt>
              <c:pt idx="16">
                <c:v>May-05</c:v>
              </c:pt>
              <c:pt idx="17">
                <c:v>Jun-05</c:v>
              </c:pt>
              <c:pt idx="18">
                <c:v>Jul-05</c:v>
              </c:pt>
              <c:pt idx="19">
                <c:v>Aug-05</c:v>
              </c:pt>
              <c:pt idx="20">
                <c:v>Sep-05</c:v>
              </c:pt>
              <c:pt idx="21">
                <c:v>Oct-05</c:v>
              </c:pt>
              <c:pt idx="22">
                <c:v>Nov-05</c:v>
              </c:pt>
              <c:pt idx="23">
                <c:v>Dec-05</c:v>
              </c:pt>
              <c:pt idx="24">
                <c:v>Jan-06</c:v>
              </c:pt>
              <c:pt idx="25">
                <c:v>Feb-06</c:v>
              </c:pt>
              <c:pt idx="26">
                <c:v>Mar-06</c:v>
              </c:pt>
              <c:pt idx="27">
                <c:v>Apr-06</c:v>
              </c:pt>
              <c:pt idx="28">
                <c:v>May-06</c:v>
              </c:pt>
              <c:pt idx="29">
                <c:v>Jun-06</c:v>
              </c:pt>
              <c:pt idx="30">
                <c:v>Jul-06</c:v>
              </c:pt>
              <c:pt idx="31">
                <c:v>Aug-06</c:v>
              </c:pt>
              <c:pt idx="32">
                <c:v>Sep-06</c:v>
              </c:pt>
              <c:pt idx="33">
                <c:v>Oct-06</c:v>
              </c:pt>
              <c:pt idx="34">
                <c:v>Nov-06</c:v>
              </c:pt>
              <c:pt idx="35">
                <c:v>Dec-06</c:v>
              </c:pt>
              <c:pt idx="36">
                <c:v>Jan-07</c:v>
              </c:pt>
              <c:pt idx="37">
                <c:v>Feb-07</c:v>
              </c:pt>
              <c:pt idx="38">
                <c:v>Mar-07</c:v>
              </c:pt>
              <c:pt idx="39">
                <c:v>Apr-07</c:v>
              </c:pt>
              <c:pt idx="40">
                <c:v>May-07</c:v>
              </c:pt>
              <c:pt idx="41">
                <c:v>Jun-07</c:v>
              </c:pt>
              <c:pt idx="42">
                <c:v>Jul-07</c:v>
              </c:pt>
              <c:pt idx="43">
                <c:v>Aug-07</c:v>
              </c:pt>
              <c:pt idx="44">
                <c:v>Sep-07</c:v>
              </c:pt>
              <c:pt idx="45">
                <c:v>Oct-07</c:v>
              </c:pt>
              <c:pt idx="46">
                <c:v>Nov-07</c:v>
              </c:pt>
              <c:pt idx="47">
                <c:v>Dec-07</c:v>
              </c:pt>
              <c:pt idx="48">
                <c:v>Jan-08</c:v>
              </c:pt>
              <c:pt idx="49">
                <c:v>Feb-08</c:v>
              </c:pt>
              <c:pt idx="50">
                <c:v>Mar-08</c:v>
              </c:pt>
              <c:pt idx="51">
                <c:v>Apr-08</c:v>
              </c:pt>
              <c:pt idx="52">
                <c:v>May-08</c:v>
              </c:pt>
              <c:pt idx="53">
                <c:v>Jun-08</c:v>
              </c:pt>
              <c:pt idx="54">
                <c:v>Jul-08</c:v>
              </c:pt>
              <c:pt idx="55">
                <c:v>Aug-08</c:v>
              </c:pt>
              <c:pt idx="56">
                <c:v>Sep-08</c:v>
              </c:pt>
              <c:pt idx="57">
                <c:v>Oct-08</c:v>
              </c:pt>
              <c:pt idx="58">
                <c:v>Nov-08</c:v>
              </c:pt>
              <c:pt idx="59">
                <c:v>Dec-08</c:v>
              </c:pt>
              <c:pt idx="60">
                <c:v>Jan-09</c:v>
              </c:pt>
              <c:pt idx="61">
                <c:v>Feb-09</c:v>
              </c:pt>
              <c:pt idx="62">
                <c:v>Mar-09</c:v>
              </c:pt>
              <c:pt idx="63">
                <c:v>Apr-09</c:v>
              </c:pt>
              <c:pt idx="64">
                <c:v>May-09</c:v>
              </c:pt>
              <c:pt idx="65">
                <c:v>Jun-09</c:v>
              </c:pt>
              <c:pt idx="66">
                <c:v>Jul-09</c:v>
              </c:pt>
              <c:pt idx="67">
                <c:v>Aug-09</c:v>
              </c:pt>
              <c:pt idx="68">
                <c:v>Sep-09</c:v>
              </c:pt>
              <c:pt idx="69">
                <c:v>Oct-09</c:v>
              </c:pt>
              <c:pt idx="70">
                <c:v>Nov-09</c:v>
              </c:pt>
              <c:pt idx="71">
                <c:v>Dec-09</c:v>
              </c:pt>
              <c:pt idx="72">
                <c:v>Jan-10</c:v>
              </c:pt>
              <c:pt idx="73">
                <c:v>Feb-10</c:v>
              </c:pt>
              <c:pt idx="74">
                <c:v>Mar-10</c:v>
              </c:pt>
              <c:pt idx="75">
                <c:v>Apr-10</c:v>
              </c:pt>
              <c:pt idx="76">
                <c:v>May-10</c:v>
              </c:pt>
              <c:pt idx="77">
                <c:v>Jun-10</c:v>
              </c:pt>
              <c:pt idx="78">
                <c:v>Jul-10</c:v>
              </c:pt>
              <c:pt idx="79">
                <c:v>Aug-10</c:v>
              </c:pt>
              <c:pt idx="80">
                <c:v>Sep-10</c:v>
              </c:pt>
              <c:pt idx="81">
                <c:v>Oct-10</c:v>
              </c:pt>
              <c:pt idx="82">
                <c:v>Nov-10</c:v>
              </c:pt>
              <c:pt idx="83">
                <c:v>Dec-10</c:v>
              </c:pt>
              <c:pt idx="84">
                <c:v>Jan-11</c:v>
              </c:pt>
              <c:pt idx="85">
                <c:v>Feb-11</c:v>
              </c:pt>
              <c:pt idx="86">
                <c:v>Mar-11</c:v>
              </c:pt>
              <c:pt idx="87">
                <c:v>Apr-11</c:v>
              </c:pt>
              <c:pt idx="88">
                <c:v>May-11</c:v>
              </c:pt>
              <c:pt idx="89">
                <c:v>Jun-11</c:v>
              </c:pt>
              <c:pt idx="90">
                <c:v>Jul-11</c:v>
              </c:pt>
              <c:pt idx="91">
                <c:v>Aug-11</c:v>
              </c:pt>
              <c:pt idx="92">
                <c:v>Sep-11</c:v>
              </c:pt>
              <c:pt idx="93">
                <c:v>Oct-11</c:v>
              </c:pt>
              <c:pt idx="94">
                <c:v>Nov-11</c:v>
              </c:pt>
              <c:pt idx="95">
                <c:v>Dec-11</c:v>
              </c:pt>
              <c:pt idx="96">
                <c:v>Jan-12</c:v>
              </c:pt>
              <c:pt idx="97">
                <c:v>Feb-12</c:v>
              </c:pt>
              <c:pt idx="98">
                <c:v>Mar-12</c:v>
              </c:pt>
              <c:pt idx="99">
                <c:v>Apr-12</c:v>
              </c:pt>
              <c:pt idx="100">
                <c:v>May-12</c:v>
              </c:pt>
              <c:pt idx="101">
                <c:v>Jun-12</c:v>
              </c:pt>
              <c:pt idx="102">
                <c:v>Jul-12</c:v>
              </c:pt>
            </c:strLit>
          </c:cat>
          <c:val>
            <c:numLit>
              <c:formatCode>General</c:formatCode>
              <c:ptCount val="103"/>
              <c:pt idx="0">
                <c:v>657</c:v>
              </c:pt>
              <c:pt idx="1">
                <c:v>709</c:v>
              </c:pt>
              <c:pt idx="2">
                <c:v>763</c:v>
              </c:pt>
              <c:pt idx="3">
                <c:v>767</c:v>
              </c:pt>
              <c:pt idx="4">
                <c:v>646</c:v>
              </c:pt>
              <c:pt idx="5">
                <c:v>741</c:v>
              </c:pt>
              <c:pt idx="6">
                <c:v>673</c:v>
              </c:pt>
              <c:pt idx="7">
                <c:v>637</c:v>
              </c:pt>
              <c:pt idx="8">
                <c:v>709</c:v>
              </c:pt>
              <c:pt idx="9">
                <c:v>670</c:v>
              </c:pt>
              <c:pt idx="10">
                <c:v>693</c:v>
              </c:pt>
              <c:pt idx="11">
                <c:v>765</c:v>
              </c:pt>
              <c:pt idx="12">
                <c:v>624</c:v>
              </c:pt>
              <c:pt idx="13">
                <c:v>645</c:v>
              </c:pt>
              <c:pt idx="14">
                <c:v>768</c:v>
              </c:pt>
              <c:pt idx="15">
                <c:v>694</c:v>
              </c:pt>
              <c:pt idx="16">
                <c:v>762</c:v>
              </c:pt>
              <c:pt idx="17">
                <c:v>763</c:v>
              </c:pt>
              <c:pt idx="18">
                <c:v>722</c:v>
              </c:pt>
              <c:pt idx="19">
                <c:v>797</c:v>
              </c:pt>
              <c:pt idx="20">
                <c:v>762</c:v>
              </c:pt>
              <c:pt idx="21">
                <c:v>741</c:v>
              </c:pt>
              <c:pt idx="22">
                <c:v>810</c:v>
              </c:pt>
              <c:pt idx="23">
                <c:v>810</c:v>
              </c:pt>
              <c:pt idx="24">
                <c:v>728</c:v>
              </c:pt>
              <c:pt idx="25">
                <c:v>720</c:v>
              </c:pt>
              <c:pt idx="26">
                <c:v>868</c:v>
              </c:pt>
              <c:pt idx="27">
                <c:v>735</c:v>
              </c:pt>
              <c:pt idx="28">
                <c:v>876</c:v>
              </c:pt>
              <c:pt idx="29">
                <c:v>869</c:v>
              </c:pt>
              <c:pt idx="30">
                <c:v>796</c:v>
              </c:pt>
              <c:pt idx="31">
                <c:v>947</c:v>
              </c:pt>
              <c:pt idx="32">
                <c:v>828</c:v>
              </c:pt>
              <c:pt idx="33">
                <c:v>883</c:v>
              </c:pt>
              <c:pt idx="34">
                <c:v>925</c:v>
              </c:pt>
              <c:pt idx="35">
                <c:v>854</c:v>
              </c:pt>
              <c:pt idx="36">
                <c:v>826</c:v>
              </c:pt>
              <c:pt idx="37">
                <c:v>777</c:v>
              </c:pt>
              <c:pt idx="38">
                <c:v>882</c:v>
              </c:pt>
              <c:pt idx="39">
                <c:v>860</c:v>
              </c:pt>
              <c:pt idx="40">
                <c:v>992</c:v>
              </c:pt>
              <c:pt idx="41">
                <c:v>856</c:v>
              </c:pt>
              <c:pt idx="42">
                <c:v>853</c:v>
              </c:pt>
              <c:pt idx="43">
                <c:v>969</c:v>
              </c:pt>
              <c:pt idx="44">
                <c:v>822</c:v>
              </c:pt>
              <c:pt idx="45">
                <c:v>942</c:v>
              </c:pt>
              <c:pt idx="46">
                <c:v>961</c:v>
              </c:pt>
              <c:pt idx="47">
                <c:v>878</c:v>
              </c:pt>
              <c:pt idx="48">
                <c:v>1022</c:v>
              </c:pt>
              <c:pt idx="49">
                <c:v>887</c:v>
              </c:pt>
              <c:pt idx="50">
                <c:v>895</c:v>
              </c:pt>
              <c:pt idx="51">
                <c:v>1010</c:v>
              </c:pt>
              <c:pt idx="52">
                <c:v>987</c:v>
              </c:pt>
              <c:pt idx="53">
                <c:v>859</c:v>
              </c:pt>
              <c:pt idx="54">
                <c:v>1017</c:v>
              </c:pt>
              <c:pt idx="55">
                <c:v>940</c:v>
              </c:pt>
              <c:pt idx="56">
                <c:v>962</c:v>
              </c:pt>
              <c:pt idx="57">
                <c:v>1030</c:v>
              </c:pt>
              <c:pt idx="58">
                <c:v>922</c:v>
              </c:pt>
              <c:pt idx="59">
                <c:v>1056</c:v>
              </c:pt>
              <c:pt idx="60">
                <c:v>918</c:v>
              </c:pt>
              <c:pt idx="61">
                <c:v>935</c:v>
              </c:pt>
              <c:pt idx="62">
                <c:v>1058</c:v>
              </c:pt>
              <c:pt idx="63">
                <c:v>1101</c:v>
              </c:pt>
              <c:pt idx="64">
                <c:v>1063</c:v>
              </c:pt>
              <c:pt idx="65">
                <c:v>1057</c:v>
              </c:pt>
              <c:pt idx="66">
                <c:v>970</c:v>
              </c:pt>
              <c:pt idx="67">
                <c:v>995</c:v>
              </c:pt>
              <c:pt idx="68">
                <c:v>1043</c:v>
              </c:pt>
              <c:pt idx="69">
                <c:v>1117</c:v>
              </c:pt>
              <c:pt idx="70">
                <c:v>988</c:v>
              </c:pt>
              <c:pt idx="71">
                <c:v>1136</c:v>
              </c:pt>
              <c:pt idx="72">
                <c:v>982</c:v>
              </c:pt>
              <c:pt idx="73">
                <c:v>1020</c:v>
              </c:pt>
              <c:pt idx="74">
                <c:v>1195</c:v>
              </c:pt>
              <c:pt idx="75">
                <c:v>1054</c:v>
              </c:pt>
              <c:pt idx="76">
                <c:v>1036</c:v>
              </c:pt>
              <c:pt idx="77">
                <c:v>1152</c:v>
              </c:pt>
              <c:pt idx="78">
                <c:v>1135</c:v>
              </c:pt>
              <c:pt idx="79">
                <c:v>1134</c:v>
              </c:pt>
              <c:pt idx="80">
                <c:v>1155</c:v>
              </c:pt>
              <c:pt idx="81">
                <c:v>1061</c:v>
              </c:pt>
              <c:pt idx="82">
                <c:v>1135</c:v>
              </c:pt>
              <c:pt idx="83">
                <c:v>1168</c:v>
              </c:pt>
              <c:pt idx="84">
                <c:v>1048</c:v>
              </c:pt>
              <c:pt idx="85">
                <c:v>1029</c:v>
              </c:pt>
              <c:pt idx="86">
                <c:v>1249</c:v>
              </c:pt>
              <c:pt idx="87">
                <c:v>1128</c:v>
              </c:pt>
              <c:pt idx="88">
                <c:v>1294</c:v>
              </c:pt>
              <c:pt idx="89">
                <c:v>1285</c:v>
              </c:pt>
              <c:pt idx="90">
                <c:v>1274</c:v>
              </c:pt>
              <c:pt idx="91">
                <c:v>1369</c:v>
              </c:pt>
              <c:pt idx="92">
                <c:v>1227</c:v>
              </c:pt>
              <c:pt idx="93">
                <c:v>1173</c:v>
              </c:pt>
              <c:pt idx="94">
                <c:v>1241</c:v>
              </c:pt>
              <c:pt idx="95">
                <c:v>1250</c:v>
              </c:pt>
              <c:pt idx="96">
                <c:v>1255</c:v>
              </c:pt>
              <c:pt idx="97">
                <c:v>1257</c:v>
              </c:pt>
              <c:pt idx="98">
                <c:v>1381</c:v>
              </c:pt>
              <c:pt idx="99">
                <c:v>1137</c:v>
              </c:pt>
              <c:pt idx="100">
                <c:v>1491</c:v>
              </c:pt>
              <c:pt idx="101">
                <c:v>1207</c:v>
              </c:pt>
              <c:pt idx="102">
                <c:v>1367</c:v>
              </c:pt>
            </c:numLit>
          </c:val>
          <c:smooth val="0"/>
        </c:ser>
        <c:ser>
          <c:idx val="6"/>
          <c:order val="6"/>
          <c:tx>
            <c:v>ASENAPINE</c:v>
          </c:tx>
          <c:marker>
            <c:symbol val="none"/>
          </c:marker>
          <c:cat>
            <c:strLit>
              <c:ptCount val="103"/>
              <c:pt idx="0">
                <c:v>Jan-04</c:v>
              </c:pt>
              <c:pt idx="1">
                <c:v>Feb-04</c:v>
              </c:pt>
              <c:pt idx="2">
                <c:v>Mar-04</c:v>
              </c:pt>
              <c:pt idx="3">
                <c:v>Apr-04</c:v>
              </c:pt>
              <c:pt idx="4">
                <c:v>May-04</c:v>
              </c:pt>
              <c:pt idx="5">
                <c:v>Jun-04</c:v>
              </c:pt>
              <c:pt idx="6">
                <c:v>Jul-04</c:v>
              </c:pt>
              <c:pt idx="7">
                <c:v>Aug-04</c:v>
              </c:pt>
              <c:pt idx="8">
                <c:v>Sep-04</c:v>
              </c:pt>
              <c:pt idx="9">
                <c:v>Oct-04</c:v>
              </c:pt>
              <c:pt idx="10">
                <c:v>Nov-04</c:v>
              </c:pt>
              <c:pt idx="11">
                <c:v>Dec-04</c:v>
              </c:pt>
              <c:pt idx="12">
                <c:v>Jan-05</c:v>
              </c:pt>
              <c:pt idx="13">
                <c:v>Feb-05</c:v>
              </c:pt>
              <c:pt idx="14">
                <c:v>Mar-05</c:v>
              </c:pt>
              <c:pt idx="15">
                <c:v>Apr-05</c:v>
              </c:pt>
              <c:pt idx="16">
                <c:v>May-05</c:v>
              </c:pt>
              <c:pt idx="17">
                <c:v>Jun-05</c:v>
              </c:pt>
              <c:pt idx="18">
                <c:v>Jul-05</c:v>
              </c:pt>
              <c:pt idx="19">
                <c:v>Aug-05</c:v>
              </c:pt>
              <c:pt idx="20">
                <c:v>Sep-05</c:v>
              </c:pt>
              <c:pt idx="21">
                <c:v>Oct-05</c:v>
              </c:pt>
              <c:pt idx="22">
                <c:v>Nov-05</c:v>
              </c:pt>
              <c:pt idx="23">
                <c:v>Dec-05</c:v>
              </c:pt>
              <c:pt idx="24">
                <c:v>Jan-06</c:v>
              </c:pt>
              <c:pt idx="25">
                <c:v>Feb-06</c:v>
              </c:pt>
              <c:pt idx="26">
                <c:v>Mar-06</c:v>
              </c:pt>
              <c:pt idx="27">
                <c:v>Apr-06</c:v>
              </c:pt>
              <c:pt idx="28">
                <c:v>May-06</c:v>
              </c:pt>
              <c:pt idx="29">
                <c:v>Jun-06</c:v>
              </c:pt>
              <c:pt idx="30">
                <c:v>Jul-06</c:v>
              </c:pt>
              <c:pt idx="31">
                <c:v>Aug-06</c:v>
              </c:pt>
              <c:pt idx="32">
                <c:v>Sep-06</c:v>
              </c:pt>
              <c:pt idx="33">
                <c:v>Oct-06</c:v>
              </c:pt>
              <c:pt idx="34">
                <c:v>Nov-06</c:v>
              </c:pt>
              <c:pt idx="35">
                <c:v>Dec-06</c:v>
              </c:pt>
              <c:pt idx="36">
                <c:v>Jan-07</c:v>
              </c:pt>
              <c:pt idx="37">
                <c:v>Feb-07</c:v>
              </c:pt>
              <c:pt idx="38">
                <c:v>Mar-07</c:v>
              </c:pt>
              <c:pt idx="39">
                <c:v>Apr-07</c:v>
              </c:pt>
              <c:pt idx="40">
                <c:v>May-07</c:v>
              </c:pt>
              <c:pt idx="41">
                <c:v>Jun-07</c:v>
              </c:pt>
              <c:pt idx="42">
                <c:v>Jul-07</c:v>
              </c:pt>
              <c:pt idx="43">
                <c:v>Aug-07</c:v>
              </c:pt>
              <c:pt idx="44">
                <c:v>Sep-07</c:v>
              </c:pt>
              <c:pt idx="45">
                <c:v>Oct-07</c:v>
              </c:pt>
              <c:pt idx="46">
                <c:v>Nov-07</c:v>
              </c:pt>
              <c:pt idx="47">
                <c:v>Dec-07</c:v>
              </c:pt>
              <c:pt idx="48">
                <c:v>Jan-08</c:v>
              </c:pt>
              <c:pt idx="49">
                <c:v>Feb-08</c:v>
              </c:pt>
              <c:pt idx="50">
                <c:v>Mar-08</c:v>
              </c:pt>
              <c:pt idx="51">
                <c:v>Apr-08</c:v>
              </c:pt>
              <c:pt idx="52">
                <c:v>May-08</c:v>
              </c:pt>
              <c:pt idx="53">
                <c:v>Jun-08</c:v>
              </c:pt>
              <c:pt idx="54">
                <c:v>Jul-08</c:v>
              </c:pt>
              <c:pt idx="55">
                <c:v>Aug-08</c:v>
              </c:pt>
              <c:pt idx="56">
                <c:v>Sep-08</c:v>
              </c:pt>
              <c:pt idx="57">
                <c:v>Oct-08</c:v>
              </c:pt>
              <c:pt idx="58">
                <c:v>Nov-08</c:v>
              </c:pt>
              <c:pt idx="59">
                <c:v>Dec-08</c:v>
              </c:pt>
              <c:pt idx="60">
                <c:v>Jan-09</c:v>
              </c:pt>
              <c:pt idx="61">
                <c:v>Feb-09</c:v>
              </c:pt>
              <c:pt idx="62">
                <c:v>Mar-09</c:v>
              </c:pt>
              <c:pt idx="63">
                <c:v>Apr-09</c:v>
              </c:pt>
              <c:pt idx="64">
                <c:v>May-09</c:v>
              </c:pt>
              <c:pt idx="65">
                <c:v>Jun-09</c:v>
              </c:pt>
              <c:pt idx="66">
                <c:v>Jul-09</c:v>
              </c:pt>
              <c:pt idx="67">
                <c:v>Aug-09</c:v>
              </c:pt>
              <c:pt idx="68">
                <c:v>Sep-09</c:v>
              </c:pt>
              <c:pt idx="69">
                <c:v>Oct-09</c:v>
              </c:pt>
              <c:pt idx="70">
                <c:v>Nov-09</c:v>
              </c:pt>
              <c:pt idx="71">
                <c:v>Dec-09</c:v>
              </c:pt>
              <c:pt idx="72">
                <c:v>Jan-10</c:v>
              </c:pt>
              <c:pt idx="73">
                <c:v>Feb-10</c:v>
              </c:pt>
              <c:pt idx="74">
                <c:v>Mar-10</c:v>
              </c:pt>
              <c:pt idx="75">
                <c:v>Apr-10</c:v>
              </c:pt>
              <c:pt idx="76">
                <c:v>May-10</c:v>
              </c:pt>
              <c:pt idx="77">
                <c:v>Jun-10</c:v>
              </c:pt>
              <c:pt idx="78">
                <c:v>Jul-10</c:v>
              </c:pt>
              <c:pt idx="79">
                <c:v>Aug-10</c:v>
              </c:pt>
              <c:pt idx="80">
                <c:v>Sep-10</c:v>
              </c:pt>
              <c:pt idx="81">
                <c:v>Oct-10</c:v>
              </c:pt>
              <c:pt idx="82">
                <c:v>Nov-10</c:v>
              </c:pt>
              <c:pt idx="83">
                <c:v>Dec-10</c:v>
              </c:pt>
              <c:pt idx="84">
                <c:v>Jan-11</c:v>
              </c:pt>
              <c:pt idx="85">
                <c:v>Feb-11</c:v>
              </c:pt>
              <c:pt idx="86">
                <c:v>Mar-11</c:v>
              </c:pt>
              <c:pt idx="87">
                <c:v>Apr-11</c:v>
              </c:pt>
              <c:pt idx="88">
                <c:v>May-11</c:v>
              </c:pt>
              <c:pt idx="89">
                <c:v>Jun-11</c:v>
              </c:pt>
              <c:pt idx="90">
                <c:v>Jul-11</c:v>
              </c:pt>
              <c:pt idx="91">
                <c:v>Aug-11</c:v>
              </c:pt>
              <c:pt idx="92">
                <c:v>Sep-11</c:v>
              </c:pt>
              <c:pt idx="93">
                <c:v>Oct-11</c:v>
              </c:pt>
              <c:pt idx="94">
                <c:v>Nov-11</c:v>
              </c:pt>
              <c:pt idx="95">
                <c:v>Dec-11</c:v>
              </c:pt>
              <c:pt idx="96">
                <c:v>Jan-12</c:v>
              </c:pt>
              <c:pt idx="97">
                <c:v>Feb-12</c:v>
              </c:pt>
              <c:pt idx="98">
                <c:v>Mar-12</c:v>
              </c:pt>
              <c:pt idx="99">
                <c:v>Apr-12</c:v>
              </c:pt>
              <c:pt idx="100">
                <c:v>May-12</c:v>
              </c:pt>
              <c:pt idx="101">
                <c:v>Jun-12</c:v>
              </c:pt>
              <c:pt idx="102">
                <c:v>Jul-12</c:v>
              </c:pt>
            </c:strLit>
          </c:cat>
          <c:val>
            <c:numLit>
              <c:formatCode>General</c:formatCode>
              <c:ptCount val="10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586</c:v>
              </c:pt>
              <c:pt idx="96">
                <c:v>640</c:v>
              </c:pt>
              <c:pt idx="97">
                <c:v>873</c:v>
              </c:pt>
              <c:pt idx="98">
                <c:v>1087</c:v>
              </c:pt>
              <c:pt idx="99">
                <c:v>1083</c:v>
              </c:pt>
              <c:pt idx="100">
                <c:v>1292</c:v>
              </c:pt>
              <c:pt idx="101">
                <c:v>1367</c:v>
              </c:pt>
              <c:pt idx="102">
                <c:v>1452</c:v>
              </c:pt>
            </c:numLit>
          </c:val>
          <c:smooth val="0"/>
        </c:ser>
        <c:ser>
          <c:idx val="7"/>
          <c:order val="7"/>
          <c:tx>
            <c:v>ARIPIPRAZOLE</c:v>
          </c:tx>
          <c:marker>
            <c:symbol val="none"/>
          </c:marker>
          <c:cat>
            <c:strLit>
              <c:ptCount val="103"/>
              <c:pt idx="0">
                <c:v>Jan-04</c:v>
              </c:pt>
              <c:pt idx="1">
                <c:v>Feb-04</c:v>
              </c:pt>
              <c:pt idx="2">
                <c:v>Mar-04</c:v>
              </c:pt>
              <c:pt idx="3">
                <c:v>Apr-04</c:v>
              </c:pt>
              <c:pt idx="4">
                <c:v>May-04</c:v>
              </c:pt>
              <c:pt idx="5">
                <c:v>Jun-04</c:v>
              </c:pt>
              <c:pt idx="6">
                <c:v>Jul-04</c:v>
              </c:pt>
              <c:pt idx="7">
                <c:v>Aug-04</c:v>
              </c:pt>
              <c:pt idx="8">
                <c:v>Sep-04</c:v>
              </c:pt>
              <c:pt idx="9">
                <c:v>Oct-04</c:v>
              </c:pt>
              <c:pt idx="10">
                <c:v>Nov-04</c:v>
              </c:pt>
              <c:pt idx="11">
                <c:v>Dec-04</c:v>
              </c:pt>
              <c:pt idx="12">
                <c:v>Jan-05</c:v>
              </c:pt>
              <c:pt idx="13">
                <c:v>Feb-05</c:v>
              </c:pt>
              <c:pt idx="14">
                <c:v>Mar-05</c:v>
              </c:pt>
              <c:pt idx="15">
                <c:v>Apr-05</c:v>
              </c:pt>
              <c:pt idx="16">
                <c:v>May-05</c:v>
              </c:pt>
              <c:pt idx="17">
                <c:v>Jun-05</c:v>
              </c:pt>
              <c:pt idx="18">
                <c:v>Jul-05</c:v>
              </c:pt>
              <c:pt idx="19">
                <c:v>Aug-05</c:v>
              </c:pt>
              <c:pt idx="20">
                <c:v>Sep-05</c:v>
              </c:pt>
              <c:pt idx="21">
                <c:v>Oct-05</c:v>
              </c:pt>
              <c:pt idx="22">
                <c:v>Nov-05</c:v>
              </c:pt>
              <c:pt idx="23">
                <c:v>Dec-05</c:v>
              </c:pt>
              <c:pt idx="24">
                <c:v>Jan-06</c:v>
              </c:pt>
              <c:pt idx="25">
                <c:v>Feb-06</c:v>
              </c:pt>
              <c:pt idx="26">
                <c:v>Mar-06</c:v>
              </c:pt>
              <c:pt idx="27">
                <c:v>Apr-06</c:v>
              </c:pt>
              <c:pt idx="28">
                <c:v>May-06</c:v>
              </c:pt>
              <c:pt idx="29">
                <c:v>Jun-06</c:v>
              </c:pt>
              <c:pt idx="30">
                <c:v>Jul-06</c:v>
              </c:pt>
              <c:pt idx="31">
                <c:v>Aug-06</c:v>
              </c:pt>
              <c:pt idx="32">
                <c:v>Sep-06</c:v>
              </c:pt>
              <c:pt idx="33">
                <c:v>Oct-06</c:v>
              </c:pt>
              <c:pt idx="34">
                <c:v>Nov-06</c:v>
              </c:pt>
              <c:pt idx="35">
                <c:v>Dec-06</c:v>
              </c:pt>
              <c:pt idx="36">
                <c:v>Jan-07</c:v>
              </c:pt>
              <c:pt idx="37">
                <c:v>Feb-07</c:v>
              </c:pt>
              <c:pt idx="38">
                <c:v>Mar-07</c:v>
              </c:pt>
              <c:pt idx="39">
                <c:v>Apr-07</c:v>
              </c:pt>
              <c:pt idx="40">
                <c:v>May-07</c:v>
              </c:pt>
              <c:pt idx="41">
                <c:v>Jun-07</c:v>
              </c:pt>
              <c:pt idx="42">
                <c:v>Jul-07</c:v>
              </c:pt>
              <c:pt idx="43">
                <c:v>Aug-07</c:v>
              </c:pt>
              <c:pt idx="44">
                <c:v>Sep-07</c:v>
              </c:pt>
              <c:pt idx="45">
                <c:v>Oct-07</c:v>
              </c:pt>
              <c:pt idx="46">
                <c:v>Nov-07</c:v>
              </c:pt>
              <c:pt idx="47">
                <c:v>Dec-07</c:v>
              </c:pt>
              <c:pt idx="48">
                <c:v>Jan-08</c:v>
              </c:pt>
              <c:pt idx="49">
                <c:v>Feb-08</c:v>
              </c:pt>
              <c:pt idx="50">
                <c:v>Mar-08</c:v>
              </c:pt>
              <c:pt idx="51">
                <c:v>Apr-08</c:v>
              </c:pt>
              <c:pt idx="52">
                <c:v>May-08</c:v>
              </c:pt>
              <c:pt idx="53">
                <c:v>Jun-08</c:v>
              </c:pt>
              <c:pt idx="54">
                <c:v>Jul-08</c:v>
              </c:pt>
              <c:pt idx="55">
                <c:v>Aug-08</c:v>
              </c:pt>
              <c:pt idx="56">
                <c:v>Sep-08</c:v>
              </c:pt>
              <c:pt idx="57">
                <c:v>Oct-08</c:v>
              </c:pt>
              <c:pt idx="58">
                <c:v>Nov-08</c:v>
              </c:pt>
              <c:pt idx="59">
                <c:v>Dec-08</c:v>
              </c:pt>
              <c:pt idx="60">
                <c:v>Jan-09</c:v>
              </c:pt>
              <c:pt idx="61">
                <c:v>Feb-09</c:v>
              </c:pt>
              <c:pt idx="62">
                <c:v>Mar-09</c:v>
              </c:pt>
              <c:pt idx="63">
                <c:v>Apr-09</c:v>
              </c:pt>
              <c:pt idx="64">
                <c:v>May-09</c:v>
              </c:pt>
              <c:pt idx="65">
                <c:v>Jun-09</c:v>
              </c:pt>
              <c:pt idx="66">
                <c:v>Jul-09</c:v>
              </c:pt>
              <c:pt idx="67">
                <c:v>Aug-09</c:v>
              </c:pt>
              <c:pt idx="68">
                <c:v>Sep-09</c:v>
              </c:pt>
              <c:pt idx="69">
                <c:v>Oct-09</c:v>
              </c:pt>
              <c:pt idx="70">
                <c:v>Nov-09</c:v>
              </c:pt>
              <c:pt idx="71">
                <c:v>Dec-09</c:v>
              </c:pt>
              <c:pt idx="72">
                <c:v>Jan-10</c:v>
              </c:pt>
              <c:pt idx="73">
                <c:v>Feb-10</c:v>
              </c:pt>
              <c:pt idx="74">
                <c:v>Mar-10</c:v>
              </c:pt>
              <c:pt idx="75">
                <c:v>Apr-10</c:v>
              </c:pt>
              <c:pt idx="76">
                <c:v>May-10</c:v>
              </c:pt>
              <c:pt idx="77">
                <c:v>Jun-10</c:v>
              </c:pt>
              <c:pt idx="78">
                <c:v>Jul-10</c:v>
              </c:pt>
              <c:pt idx="79">
                <c:v>Aug-10</c:v>
              </c:pt>
              <c:pt idx="80">
                <c:v>Sep-10</c:v>
              </c:pt>
              <c:pt idx="81">
                <c:v>Oct-10</c:v>
              </c:pt>
              <c:pt idx="82">
                <c:v>Nov-10</c:v>
              </c:pt>
              <c:pt idx="83">
                <c:v>Dec-10</c:v>
              </c:pt>
              <c:pt idx="84">
                <c:v>Jan-11</c:v>
              </c:pt>
              <c:pt idx="85">
                <c:v>Feb-11</c:v>
              </c:pt>
              <c:pt idx="86">
                <c:v>Mar-11</c:v>
              </c:pt>
              <c:pt idx="87">
                <c:v>Apr-11</c:v>
              </c:pt>
              <c:pt idx="88">
                <c:v>May-11</c:v>
              </c:pt>
              <c:pt idx="89">
                <c:v>Jun-11</c:v>
              </c:pt>
              <c:pt idx="90">
                <c:v>Jul-11</c:v>
              </c:pt>
              <c:pt idx="91">
                <c:v>Aug-11</c:v>
              </c:pt>
              <c:pt idx="92">
                <c:v>Sep-11</c:v>
              </c:pt>
              <c:pt idx="93">
                <c:v>Oct-11</c:v>
              </c:pt>
              <c:pt idx="94">
                <c:v>Nov-11</c:v>
              </c:pt>
              <c:pt idx="95">
                <c:v>Dec-11</c:v>
              </c:pt>
              <c:pt idx="96">
                <c:v>Jan-12</c:v>
              </c:pt>
              <c:pt idx="97">
                <c:v>Feb-12</c:v>
              </c:pt>
              <c:pt idx="98">
                <c:v>Mar-12</c:v>
              </c:pt>
              <c:pt idx="99">
                <c:v>Apr-12</c:v>
              </c:pt>
              <c:pt idx="100">
                <c:v>May-12</c:v>
              </c:pt>
              <c:pt idx="101">
                <c:v>Jun-12</c:v>
              </c:pt>
              <c:pt idx="102">
                <c:v>Jul-12</c:v>
              </c:pt>
            </c:strLit>
          </c:cat>
          <c:val>
            <c:numLit>
              <c:formatCode>General</c:formatCode>
              <c:ptCount val="103"/>
              <c:pt idx="0">
                <c:v>0</c:v>
              </c:pt>
              <c:pt idx="1">
                <c:v>0</c:v>
              </c:pt>
              <c:pt idx="2">
                <c:v>0</c:v>
              </c:pt>
              <c:pt idx="3">
                <c:v>0</c:v>
              </c:pt>
              <c:pt idx="4">
                <c:v>2091</c:v>
              </c:pt>
              <c:pt idx="5">
                <c:v>3128</c:v>
              </c:pt>
              <c:pt idx="6">
                <c:v>3657</c:v>
              </c:pt>
              <c:pt idx="7">
                <c:v>4029</c:v>
              </c:pt>
              <c:pt idx="8">
                <c:v>4303</c:v>
              </c:pt>
              <c:pt idx="9">
                <c:v>4460</c:v>
              </c:pt>
              <c:pt idx="10">
                <c:v>4658</c:v>
              </c:pt>
              <c:pt idx="11">
                <c:v>5288</c:v>
              </c:pt>
              <c:pt idx="12">
                <c:v>4412</c:v>
              </c:pt>
              <c:pt idx="13">
                <c:v>4568</c:v>
              </c:pt>
              <c:pt idx="14">
                <c:v>5193</c:v>
              </c:pt>
              <c:pt idx="15">
                <c:v>4923</c:v>
              </c:pt>
              <c:pt idx="16">
                <c:v>5342</c:v>
              </c:pt>
              <c:pt idx="17">
                <c:v>5457</c:v>
              </c:pt>
              <c:pt idx="18">
                <c:v>5513</c:v>
              </c:pt>
              <c:pt idx="19">
                <c:v>5858</c:v>
              </c:pt>
              <c:pt idx="20">
                <c:v>5738</c:v>
              </c:pt>
              <c:pt idx="21">
                <c:v>5789</c:v>
              </c:pt>
              <c:pt idx="22">
                <c:v>6023</c:v>
              </c:pt>
              <c:pt idx="23">
                <c:v>6611</c:v>
              </c:pt>
              <c:pt idx="24">
                <c:v>5710</c:v>
              </c:pt>
              <c:pt idx="25">
                <c:v>5555</c:v>
              </c:pt>
              <c:pt idx="26">
                <c:v>6508</c:v>
              </c:pt>
              <c:pt idx="27">
                <c:v>5937</c:v>
              </c:pt>
              <c:pt idx="28">
                <c:v>6824</c:v>
              </c:pt>
              <c:pt idx="29">
                <c:v>6739</c:v>
              </c:pt>
              <c:pt idx="30">
                <c:v>6749</c:v>
              </c:pt>
              <c:pt idx="31">
                <c:v>7192</c:v>
              </c:pt>
              <c:pt idx="32">
                <c:v>6855</c:v>
              </c:pt>
              <c:pt idx="33">
                <c:v>7144</c:v>
              </c:pt>
              <c:pt idx="34">
                <c:v>7357</c:v>
              </c:pt>
              <c:pt idx="35">
                <c:v>7571</c:v>
              </c:pt>
              <c:pt idx="36">
                <c:v>6890</c:v>
              </c:pt>
              <c:pt idx="37">
                <c:v>6711</c:v>
              </c:pt>
              <c:pt idx="38">
                <c:v>7495</c:v>
              </c:pt>
              <c:pt idx="39">
                <c:v>7057</c:v>
              </c:pt>
              <c:pt idx="40">
                <c:v>7861</c:v>
              </c:pt>
              <c:pt idx="41">
                <c:v>7405</c:v>
              </c:pt>
              <c:pt idx="42">
                <c:v>7655</c:v>
              </c:pt>
              <c:pt idx="43">
                <c:v>8016</c:v>
              </c:pt>
              <c:pt idx="44">
                <c:v>7519</c:v>
              </c:pt>
              <c:pt idx="45">
                <c:v>8101</c:v>
              </c:pt>
              <c:pt idx="46">
                <c:v>8065</c:v>
              </c:pt>
              <c:pt idx="47">
                <c:v>8549</c:v>
              </c:pt>
              <c:pt idx="48">
                <c:v>7791</c:v>
              </c:pt>
              <c:pt idx="49">
                <c:v>7735</c:v>
              </c:pt>
              <c:pt idx="50">
                <c:v>8081</c:v>
              </c:pt>
              <c:pt idx="51">
                <c:v>8236</c:v>
              </c:pt>
              <c:pt idx="52">
                <c:v>8606</c:v>
              </c:pt>
              <c:pt idx="53">
                <c:v>8197</c:v>
              </c:pt>
              <c:pt idx="54">
                <c:v>8871</c:v>
              </c:pt>
              <c:pt idx="55">
                <c:v>8487</c:v>
              </c:pt>
              <c:pt idx="56">
                <c:v>8685</c:v>
              </c:pt>
              <c:pt idx="57">
                <c:v>9074</c:v>
              </c:pt>
              <c:pt idx="58">
                <c:v>8594</c:v>
              </c:pt>
              <c:pt idx="59">
                <c:v>9976</c:v>
              </c:pt>
              <c:pt idx="60">
                <c:v>8328</c:v>
              </c:pt>
              <c:pt idx="61">
                <c:v>8252</c:v>
              </c:pt>
              <c:pt idx="62">
                <c:v>9134</c:v>
              </c:pt>
              <c:pt idx="63">
                <c:v>9065</c:v>
              </c:pt>
              <c:pt idx="64">
                <c:v>9190</c:v>
              </c:pt>
              <c:pt idx="65">
                <c:v>9263</c:v>
              </c:pt>
              <c:pt idx="66">
                <c:v>9532</c:v>
              </c:pt>
              <c:pt idx="67">
                <c:v>9481</c:v>
              </c:pt>
              <c:pt idx="68">
                <c:v>9604</c:v>
              </c:pt>
              <c:pt idx="69">
                <c:v>9950</c:v>
              </c:pt>
              <c:pt idx="70">
                <c:v>9479</c:v>
              </c:pt>
              <c:pt idx="71">
                <c:v>10595</c:v>
              </c:pt>
              <c:pt idx="72">
                <c:v>8733</c:v>
              </c:pt>
              <c:pt idx="73">
                <c:v>8846</c:v>
              </c:pt>
              <c:pt idx="74">
                <c:v>10456</c:v>
              </c:pt>
              <c:pt idx="75">
                <c:v>9582</c:v>
              </c:pt>
              <c:pt idx="76">
                <c:v>9870</c:v>
              </c:pt>
              <c:pt idx="77">
                <c:v>10084</c:v>
              </c:pt>
              <c:pt idx="78">
                <c:v>10521</c:v>
              </c:pt>
              <c:pt idx="79">
                <c:v>10438</c:v>
              </c:pt>
              <c:pt idx="80">
                <c:v>10614</c:v>
              </c:pt>
              <c:pt idx="81">
                <c:v>10525</c:v>
              </c:pt>
              <c:pt idx="82">
                <c:v>11110</c:v>
              </c:pt>
              <c:pt idx="83">
                <c:v>12109</c:v>
              </c:pt>
              <c:pt idx="84">
                <c:v>9893</c:v>
              </c:pt>
              <c:pt idx="85">
                <c:v>9984</c:v>
              </c:pt>
              <c:pt idx="86">
                <c:v>11509</c:v>
              </c:pt>
              <c:pt idx="87">
                <c:v>10653</c:v>
              </c:pt>
              <c:pt idx="88">
                <c:v>11404</c:v>
              </c:pt>
              <c:pt idx="89">
                <c:v>11354</c:v>
              </c:pt>
              <c:pt idx="90">
                <c:v>11381</c:v>
              </c:pt>
              <c:pt idx="91">
                <c:v>12085</c:v>
              </c:pt>
              <c:pt idx="92">
                <c:v>11878</c:v>
              </c:pt>
              <c:pt idx="93">
                <c:v>11592</c:v>
              </c:pt>
              <c:pt idx="94">
                <c:v>12006</c:v>
              </c:pt>
              <c:pt idx="95">
                <c:v>13292</c:v>
              </c:pt>
              <c:pt idx="96">
                <c:v>10858</c:v>
              </c:pt>
              <c:pt idx="97">
                <c:v>11360</c:v>
              </c:pt>
              <c:pt idx="98">
                <c:v>12761</c:v>
              </c:pt>
              <c:pt idx="99">
                <c:v>11305</c:v>
              </c:pt>
              <c:pt idx="100">
                <c:v>12789</c:v>
              </c:pt>
              <c:pt idx="101">
                <c:v>12097</c:v>
              </c:pt>
              <c:pt idx="102">
                <c:v>12338</c:v>
              </c:pt>
            </c:numLit>
          </c:val>
          <c:smooth val="0"/>
        </c:ser>
        <c:ser>
          <c:idx val="8"/>
          <c:order val="8"/>
          <c:tx>
            <c:v>AMISULPRIDE</c:v>
          </c:tx>
          <c:marker>
            <c:symbol val="none"/>
          </c:marker>
          <c:cat>
            <c:strLit>
              <c:ptCount val="103"/>
              <c:pt idx="0">
                <c:v>Jan-04</c:v>
              </c:pt>
              <c:pt idx="1">
                <c:v>Feb-04</c:v>
              </c:pt>
              <c:pt idx="2">
                <c:v>Mar-04</c:v>
              </c:pt>
              <c:pt idx="3">
                <c:v>Apr-04</c:v>
              </c:pt>
              <c:pt idx="4">
                <c:v>May-04</c:v>
              </c:pt>
              <c:pt idx="5">
                <c:v>Jun-04</c:v>
              </c:pt>
              <c:pt idx="6">
                <c:v>Jul-04</c:v>
              </c:pt>
              <c:pt idx="7">
                <c:v>Aug-04</c:v>
              </c:pt>
              <c:pt idx="8">
                <c:v>Sep-04</c:v>
              </c:pt>
              <c:pt idx="9">
                <c:v>Oct-04</c:v>
              </c:pt>
              <c:pt idx="10">
                <c:v>Nov-04</c:v>
              </c:pt>
              <c:pt idx="11">
                <c:v>Dec-04</c:v>
              </c:pt>
              <c:pt idx="12">
                <c:v>Jan-05</c:v>
              </c:pt>
              <c:pt idx="13">
                <c:v>Feb-05</c:v>
              </c:pt>
              <c:pt idx="14">
                <c:v>Mar-05</c:v>
              </c:pt>
              <c:pt idx="15">
                <c:v>Apr-05</c:v>
              </c:pt>
              <c:pt idx="16">
                <c:v>May-05</c:v>
              </c:pt>
              <c:pt idx="17">
                <c:v>Jun-05</c:v>
              </c:pt>
              <c:pt idx="18">
                <c:v>Jul-05</c:v>
              </c:pt>
              <c:pt idx="19">
                <c:v>Aug-05</c:v>
              </c:pt>
              <c:pt idx="20">
                <c:v>Sep-05</c:v>
              </c:pt>
              <c:pt idx="21">
                <c:v>Oct-05</c:v>
              </c:pt>
              <c:pt idx="22">
                <c:v>Nov-05</c:v>
              </c:pt>
              <c:pt idx="23">
                <c:v>Dec-05</c:v>
              </c:pt>
              <c:pt idx="24">
                <c:v>Jan-06</c:v>
              </c:pt>
              <c:pt idx="25">
                <c:v>Feb-06</c:v>
              </c:pt>
              <c:pt idx="26">
                <c:v>Mar-06</c:v>
              </c:pt>
              <c:pt idx="27">
                <c:v>Apr-06</c:v>
              </c:pt>
              <c:pt idx="28">
                <c:v>May-06</c:v>
              </c:pt>
              <c:pt idx="29">
                <c:v>Jun-06</c:v>
              </c:pt>
              <c:pt idx="30">
                <c:v>Jul-06</c:v>
              </c:pt>
              <c:pt idx="31">
                <c:v>Aug-06</c:v>
              </c:pt>
              <c:pt idx="32">
                <c:v>Sep-06</c:v>
              </c:pt>
              <c:pt idx="33">
                <c:v>Oct-06</c:v>
              </c:pt>
              <c:pt idx="34">
                <c:v>Nov-06</c:v>
              </c:pt>
              <c:pt idx="35">
                <c:v>Dec-06</c:v>
              </c:pt>
              <c:pt idx="36">
                <c:v>Jan-07</c:v>
              </c:pt>
              <c:pt idx="37">
                <c:v>Feb-07</c:v>
              </c:pt>
              <c:pt idx="38">
                <c:v>Mar-07</c:v>
              </c:pt>
              <c:pt idx="39">
                <c:v>Apr-07</c:v>
              </c:pt>
              <c:pt idx="40">
                <c:v>May-07</c:v>
              </c:pt>
              <c:pt idx="41">
                <c:v>Jun-07</c:v>
              </c:pt>
              <c:pt idx="42">
                <c:v>Jul-07</c:v>
              </c:pt>
              <c:pt idx="43">
                <c:v>Aug-07</c:v>
              </c:pt>
              <c:pt idx="44">
                <c:v>Sep-07</c:v>
              </c:pt>
              <c:pt idx="45">
                <c:v>Oct-07</c:v>
              </c:pt>
              <c:pt idx="46">
                <c:v>Nov-07</c:v>
              </c:pt>
              <c:pt idx="47">
                <c:v>Dec-07</c:v>
              </c:pt>
              <c:pt idx="48">
                <c:v>Jan-08</c:v>
              </c:pt>
              <c:pt idx="49">
                <c:v>Feb-08</c:v>
              </c:pt>
              <c:pt idx="50">
                <c:v>Mar-08</c:v>
              </c:pt>
              <c:pt idx="51">
                <c:v>Apr-08</c:v>
              </c:pt>
              <c:pt idx="52">
                <c:v>May-08</c:v>
              </c:pt>
              <c:pt idx="53">
                <c:v>Jun-08</c:v>
              </c:pt>
              <c:pt idx="54">
                <c:v>Jul-08</c:v>
              </c:pt>
              <c:pt idx="55">
                <c:v>Aug-08</c:v>
              </c:pt>
              <c:pt idx="56">
                <c:v>Sep-08</c:v>
              </c:pt>
              <c:pt idx="57">
                <c:v>Oct-08</c:v>
              </c:pt>
              <c:pt idx="58">
                <c:v>Nov-08</c:v>
              </c:pt>
              <c:pt idx="59">
                <c:v>Dec-08</c:v>
              </c:pt>
              <c:pt idx="60">
                <c:v>Jan-09</c:v>
              </c:pt>
              <c:pt idx="61">
                <c:v>Feb-09</c:v>
              </c:pt>
              <c:pt idx="62">
                <c:v>Mar-09</c:v>
              </c:pt>
              <c:pt idx="63">
                <c:v>Apr-09</c:v>
              </c:pt>
              <c:pt idx="64">
                <c:v>May-09</c:v>
              </c:pt>
              <c:pt idx="65">
                <c:v>Jun-09</c:v>
              </c:pt>
              <c:pt idx="66">
                <c:v>Jul-09</c:v>
              </c:pt>
              <c:pt idx="67">
                <c:v>Aug-09</c:v>
              </c:pt>
              <c:pt idx="68">
                <c:v>Sep-09</c:v>
              </c:pt>
              <c:pt idx="69">
                <c:v>Oct-09</c:v>
              </c:pt>
              <c:pt idx="70">
                <c:v>Nov-09</c:v>
              </c:pt>
              <c:pt idx="71">
                <c:v>Dec-09</c:v>
              </c:pt>
              <c:pt idx="72">
                <c:v>Jan-10</c:v>
              </c:pt>
              <c:pt idx="73">
                <c:v>Feb-10</c:v>
              </c:pt>
              <c:pt idx="74">
                <c:v>Mar-10</c:v>
              </c:pt>
              <c:pt idx="75">
                <c:v>Apr-10</c:v>
              </c:pt>
              <c:pt idx="76">
                <c:v>May-10</c:v>
              </c:pt>
              <c:pt idx="77">
                <c:v>Jun-10</c:v>
              </c:pt>
              <c:pt idx="78">
                <c:v>Jul-10</c:v>
              </c:pt>
              <c:pt idx="79">
                <c:v>Aug-10</c:v>
              </c:pt>
              <c:pt idx="80">
                <c:v>Sep-10</c:v>
              </c:pt>
              <c:pt idx="81">
                <c:v>Oct-10</c:v>
              </c:pt>
              <c:pt idx="82">
                <c:v>Nov-10</c:v>
              </c:pt>
              <c:pt idx="83">
                <c:v>Dec-10</c:v>
              </c:pt>
              <c:pt idx="84">
                <c:v>Jan-11</c:v>
              </c:pt>
              <c:pt idx="85">
                <c:v>Feb-11</c:v>
              </c:pt>
              <c:pt idx="86">
                <c:v>Mar-11</c:v>
              </c:pt>
              <c:pt idx="87">
                <c:v>Apr-11</c:v>
              </c:pt>
              <c:pt idx="88">
                <c:v>May-11</c:v>
              </c:pt>
              <c:pt idx="89">
                <c:v>Jun-11</c:v>
              </c:pt>
              <c:pt idx="90">
                <c:v>Jul-11</c:v>
              </c:pt>
              <c:pt idx="91">
                <c:v>Aug-11</c:v>
              </c:pt>
              <c:pt idx="92">
                <c:v>Sep-11</c:v>
              </c:pt>
              <c:pt idx="93">
                <c:v>Oct-11</c:v>
              </c:pt>
              <c:pt idx="94">
                <c:v>Nov-11</c:v>
              </c:pt>
              <c:pt idx="95">
                <c:v>Dec-11</c:v>
              </c:pt>
              <c:pt idx="96">
                <c:v>Jan-12</c:v>
              </c:pt>
              <c:pt idx="97">
                <c:v>Feb-12</c:v>
              </c:pt>
              <c:pt idx="98">
                <c:v>Mar-12</c:v>
              </c:pt>
              <c:pt idx="99">
                <c:v>Apr-12</c:v>
              </c:pt>
              <c:pt idx="100">
                <c:v>May-12</c:v>
              </c:pt>
              <c:pt idx="101">
                <c:v>Jun-12</c:v>
              </c:pt>
              <c:pt idx="102">
                <c:v>Jul-12</c:v>
              </c:pt>
            </c:strLit>
          </c:cat>
          <c:val>
            <c:numLit>
              <c:formatCode>General</c:formatCode>
              <c:ptCount val="103"/>
              <c:pt idx="0">
                <c:v>5404</c:v>
              </c:pt>
              <c:pt idx="1">
                <c:v>5514</c:v>
              </c:pt>
              <c:pt idx="2">
                <c:v>6448</c:v>
              </c:pt>
              <c:pt idx="3">
                <c:v>6048</c:v>
              </c:pt>
              <c:pt idx="4">
                <c:v>6216</c:v>
              </c:pt>
              <c:pt idx="5">
                <c:v>6492</c:v>
              </c:pt>
              <c:pt idx="6">
                <c:v>6587</c:v>
              </c:pt>
              <c:pt idx="7">
                <c:v>6559</c:v>
              </c:pt>
              <c:pt idx="8">
                <c:v>6461</c:v>
              </c:pt>
              <c:pt idx="9">
                <c:v>6533</c:v>
              </c:pt>
              <c:pt idx="10">
                <c:v>6785</c:v>
              </c:pt>
              <c:pt idx="11">
                <c:v>7408</c:v>
              </c:pt>
              <c:pt idx="12">
                <c:v>6001</c:v>
              </c:pt>
              <c:pt idx="13">
                <c:v>5967</c:v>
              </c:pt>
              <c:pt idx="14">
                <c:v>6761</c:v>
              </c:pt>
              <c:pt idx="15">
                <c:v>6523</c:v>
              </c:pt>
              <c:pt idx="16">
                <c:v>6822</c:v>
              </c:pt>
              <c:pt idx="17">
                <c:v>6684</c:v>
              </c:pt>
              <c:pt idx="18">
                <c:v>6781</c:v>
              </c:pt>
              <c:pt idx="19">
                <c:v>7072</c:v>
              </c:pt>
              <c:pt idx="20">
                <c:v>6866</c:v>
              </c:pt>
              <c:pt idx="21">
                <c:v>6764</c:v>
              </c:pt>
              <c:pt idx="22">
                <c:v>7018</c:v>
              </c:pt>
              <c:pt idx="23">
                <c:v>7569</c:v>
              </c:pt>
              <c:pt idx="24">
                <c:v>6183</c:v>
              </c:pt>
              <c:pt idx="25">
                <c:v>6108</c:v>
              </c:pt>
              <c:pt idx="26">
                <c:v>6906</c:v>
              </c:pt>
              <c:pt idx="27">
                <c:v>6259</c:v>
              </c:pt>
              <c:pt idx="28">
                <c:v>7107</c:v>
              </c:pt>
              <c:pt idx="29">
                <c:v>6819</c:v>
              </c:pt>
              <c:pt idx="30">
                <c:v>6729</c:v>
              </c:pt>
              <c:pt idx="31">
                <c:v>7080</c:v>
              </c:pt>
              <c:pt idx="32">
                <c:v>6723</c:v>
              </c:pt>
              <c:pt idx="33">
                <c:v>6843</c:v>
              </c:pt>
              <c:pt idx="34">
                <c:v>6982</c:v>
              </c:pt>
              <c:pt idx="35">
                <c:v>7396</c:v>
              </c:pt>
              <c:pt idx="36">
                <c:v>6473</c:v>
              </c:pt>
              <c:pt idx="37">
                <c:v>6190</c:v>
              </c:pt>
              <c:pt idx="38">
                <c:v>6898</c:v>
              </c:pt>
              <c:pt idx="39">
                <c:v>6503</c:v>
              </c:pt>
              <c:pt idx="40">
                <c:v>7098</c:v>
              </c:pt>
              <c:pt idx="41">
                <c:v>6650</c:v>
              </c:pt>
              <c:pt idx="42">
                <c:v>6865</c:v>
              </c:pt>
              <c:pt idx="43">
                <c:v>7165</c:v>
              </c:pt>
              <c:pt idx="44">
                <c:v>6549</c:v>
              </c:pt>
              <c:pt idx="45">
                <c:v>7178</c:v>
              </c:pt>
              <c:pt idx="46">
                <c:v>7351</c:v>
              </c:pt>
              <c:pt idx="47">
                <c:v>7384</c:v>
              </c:pt>
              <c:pt idx="48">
                <c:v>6588</c:v>
              </c:pt>
              <c:pt idx="49">
                <c:v>6668</c:v>
              </c:pt>
              <c:pt idx="50">
                <c:v>6761</c:v>
              </c:pt>
              <c:pt idx="51">
                <c:v>6909</c:v>
              </c:pt>
              <c:pt idx="52">
                <c:v>7237</c:v>
              </c:pt>
              <c:pt idx="53">
                <c:v>6735</c:v>
              </c:pt>
              <c:pt idx="54">
                <c:v>7363</c:v>
              </c:pt>
              <c:pt idx="55">
                <c:v>6788</c:v>
              </c:pt>
              <c:pt idx="56">
                <c:v>6965</c:v>
              </c:pt>
              <c:pt idx="57">
                <c:v>7415</c:v>
              </c:pt>
              <c:pt idx="58">
                <c:v>6873</c:v>
              </c:pt>
              <c:pt idx="59">
                <c:v>8003</c:v>
              </c:pt>
              <c:pt idx="60">
                <c:v>6358</c:v>
              </c:pt>
              <c:pt idx="61">
                <c:v>6329</c:v>
              </c:pt>
              <c:pt idx="62">
                <c:v>6917</c:v>
              </c:pt>
              <c:pt idx="63">
                <c:v>6859</c:v>
              </c:pt>
              <c:pt idx="64">
                <c:v>6864</c:v>
              </c:pt>
              <c:pt idx="65">
                <c:v>6947</c:v>
              </c:pt>
              <c:pt idx="66">
                <c:v>7178</c:v>
              </c:pt>
              <c:pt idx="67">
                <c:v>6873</c:v>
              </c:pt>
              <c:pt idx="68">
                <c:v>6898</c:v>
              </c:pt>
              <c:pt idx="69">
                <c:v>7119</c:v>
              </c:pt>
              <c:pt idx="70">
                <c:v>6773</c:v>
              </c:pt>
              <c:pt idx="71">
                <c:v>7835</c:v>
              </c:pt>
              <c:pt idx="72">
                <c:v>6139</c:v>
              </c:pt>
              <c:pt idx="73">
                <c:v>6318</c:v>
              </c:pt>
              <c:pt idx="74">
                <c:v>7314</c:v>
              </c:pt>
              <c:pt idx="75">
                <c:v>6623</c:v>
              </c:pt>
              <c:pt idx="76">
                <c:v>6746</c:v>
              </c:pt>
              <c:pt idx="77">
                <c:v>6943</c:v>
              </c:pt>
              <c:pt idx="78">
                <c:v>7011</c:v>
              </c:pt>
              <c:pt idx="79">
                <c:v>6909</c:v>
              </c:pt>
              <c:pt idx="80">
                <c:v>6959</c:v>
              </c:pt>
              <c:pt idx="81">
                <c:v>6912</c:v>
              </c:pt>
              <c:pt idx="82">
                <c:v>7010</c:v>
              </c:pt>
              <c:pt idx="83">
                <c:v>7840</c:v>
              </c:pt>
              <c:pt idx="84">
                <c:v>6199</c:v>
              </c:pt>
              <c:pt idx="85">
                <c:v>6112</c:v>
              </c:pt>
              <c:pt idx="86">
                <c:v>6981</c:v>
              </c:pt>
              <c:pt idx="87">
                <c:v>6525</c:v>
              </c:pt>
              <c:pt idx="88">
                <c:v>7059</c:v>
              </c:pt>
              <c:pt idx="89">
                <c:v>6998</c:v>
              </c:pt>
              <c:pt idx="90">
                <c:v>6945</c:v>
              </c:pt>
              <c:pt idx="91">
                <c:v>7294</c:v>
              </c:pt>
              <c:pt idx="92">
                <c:v>7015</c:v>
              </c:pt>
              <c:pt idx="93">
                <c:v>6858</c:v>
              </c:pt>
              <c:pt idx="94">
                <c:v>7148</c:v>
              </c:pt>
              <c:pt idx="95">
                <c:v>7974</c:v>
              </c:pt>
              <c:pt idx="96">
                <c:v>6448</c:v>
              </c:pt>
              <c:pt idx="97">
                <c:v>6694</c:v>
              </c:pt>
              <c:pt idx="98">
                <c:v>7273</c:v>
              </c:pt>
              <c:pt idx="99">
                <c:v>6565</c:v>
              </c:pt>
              <c:pt idx="100">
                <c:v>7331</c:v>
              </c:pt>
              <c:pt idx="101">
                <c:v>7016</c:v>
              </c:pt>
              <c:pt idx="102">
                <c:v>7309</c:v>
              </c:pt>
            </c:numLit>
          </c:val>
          <c:smooth val="0"/>
        </c:ser>
        <c:dLbls>
          <c:showLegendKey val="0"/>
          <c:showVal val="0"/>
          <c:showCatName val="0"/>
          <c:showSerName val="0"/>
          <c:showPercent val="0"/>
          <c:showBubbleSize val="0"/>
        </c:dLbls>
        <c:marker val="1"/>
        <c:smooth val="0"/>
        <c:axId val="119138944"/>
        <c:axId val="124814080"/>
      </c:lineChart>
      <c:catAx>
        <c:axId val="119138944"/>
        <c:scaling>
          <c:orientation val="minMax"/>
        </c:scaling>
        <c:delete val="0"/>
        <c:axPos val="b"/>
        <c:majorTickMark val="out"/>
        <c:minorTickMark val="none"/>
        <c:tickLblPos val="nextTo"/>
        <c:crossAx val="124814080"/>
        <c:crosses val="autoZero"/>
        <c:auto val="1"/>
        <c:lblAlgn val="ctr"/>
        <c:lblOffset val="100"/>
        <c:noMultiLvlLbl val="0"/>
      </c:catAx>
      <c:valAx>
        <c:axId val="124814080"/>
        <c:scaling>
          <c:orientation val="minMax"/>
        </c:scaling>
        <c:delete val="0"/>
        <c:axPos val="l"/>
        <c:majorGridlines/>
        <c:title>
          <c:tx>
            <c:rich>
              <a:bodyPr rot="-5400000" vert="horz"/>
              <a:lstStyle/>
              <a:p>
                <a:pPr>
                  <a:defRPr/>
                </a:pPr>
                <a:r>
                  <a:rPr lang="en-AU"/>
                  <a:t>Prescriptions</a:t>
                </a:r>
              </a:p>
            </c:rich>
          </c:tx>
          <c:overlay val="0"/>
        </c:title>
        <c:numFmt formatCode="General" sourceLinked="1"/>
        <c:majorTickMark val="out"/>
        <c:minorTickMark val="none"/>
        <c:tickLblPos val="nextTo"/>
        <c:crossAx val="119138944"/>
        <c:crosses val="autoZero"/>
        <c:crossBetween val="between"/>
      </c:valAx>
    </c:plotArea>
    <c:legend>
      <c:legendPos val="b"/>
      <c:overlay val="0"/>
    </c:legend>
    <c:plotVisOnly val="1"/>
    <c:dispBlanksAs val="gap"/>
    <c:showDLblsOverMax val="0"/>
  </c:chart>
  <c:externalData r:id="rId2">
    <c:autoUpdate val="0"/>
  </c:externalData>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ivotFmts>
      <c:pivotFmt>
        <c:idx val="0"/>
        <c:marker>
          <c:symbol val="none"/>
        </c:marker>
      </c:pivotFmt>
      <c:pivotFmt>
        <c:idx val="1"/>
        <c:spPr>
          <a:ln w="25400">
            <a:noFill/>
          </a:ln>
        </c:spPr>
        <c:marker>
          <c:symbol val="none"/>
        </c:marker>
      </c:pivotFmt>
      <c:pivotFmt>
        <c:idx val="2"/>
        <c:spPr>
          <a:ln w="25400">
            <a:noFill/>
          </a:ln>
        </c:spPr>
        <c:marker>
          <c:symbol val="none"/>
        </c:marker>
      </c:pivotFmt>
      <c:pivotFmt>
        <c:idx val="3"/>
        <c:spPr>
          <a:ln w="25400">
            <a:noFill/>
          </a:ln>
        </c:spPr>
        <c:marker>
          <c:symbol val="none"/>
        </c:marker>
      </c:pivotFmt>
      <c:pivotFmt>
        <c:idx val="4"/>
        <c:spPr>
          <a:ln w="25400">
            <a:noFill/>
          </a:ln>
        </c:spPr>
        <c:marker>
          <c:symbol val="none"/>
        </c:marker>
      </c:pivotFmt>
      <c:pivotFmt>
        <c:idx val="5"/>
        <c:spPr>
          <a:ln w="25400">
            <a:noFill/>
          </a:ln>
        </c:spPr>
        <c:marker>
          <c:symbol val="none"/>
        </c:marker>
      </c:pivotFmt>
      <c:pivotFmt>
        <c:idx val="6"/>
        <c:spPr>
          <a:ln w="25400">
            <a:noFill/>
          </a:ln>
        </c:spPr>
        <c:marker>
          <c:symbol val="none"/>
        </c:marker>
      </c:pivotFmt>
      <c:pivotFmt>
        <c:idx val="7"/>
        <c:spPr>
          <a:ln w="25400">
            <a:noFill/>
          </a:ln>
        </c:spPr>
        <c:marker>
          <c:symbol val="none"/>
        </c:marker>
      </c:pivotFmt>
      <c:pivotFmt>
        <c:idx val="8"/>
        <c:spPr>
          <a:ln w="25400">
            <a:noFill/>
          </a:ln>
        </c:spPr>
        <c:marker>
          <c:symbol val="none"/>
        </c:marker>
      </c:pivotFmt>
      <c:pivotFmt>
        <c:idx val="9"/>
        <c:spPr>
          <a:ln w="25400">
            <a:noFill/>
          </a:ln>
        </c:spPr>
        <c:marker>
          <c:symbol val="none"/>
        </c:marker>
      </c:pivotFmt>
      <c:pivotFmt>
        <c:idx val="10"/>
        <c:spPr>
          <a:ln w="25400">
            <a:noFill/>
          </a:ln>
        </c:spPr>
        <c:marker>
          <c:symbol val="none"/>
        </c:marker>
      </c:pivotFmt>
      <c:pivotFmt>
        <c:idx val="11"/>
        <c:spPr>
          <a:ln w="25400">
            <a:noFill/>
          </a:ln>
        </c:spPr>
        <c:marker>
          <c:symbol val="none"/>
        </c:marker>
      </c:pivotFmt>
      <c:pivotFmt>
        <c:idx val="12"/>
        <c:spPr>
          <a:ln w="25400">
            <a:noFill/>
          </a:ln>
        </c:spPr>
        <c:marker>
          <c:symbol val="none"/>
        </c:marker>
      </c:pivotFmt>
      <c:pivotFmt>
        <c:idx val="13"/>
        <c:spPr>
          <a:ln w="25400">
            <a:noFill/>
          </a:ln>
        </c:spPr>
        <c:marker>
          <c:symbol val="none"/>
        </c:marker>
      </c:pivotFmt>
      <c:pivotFmt>
        <c:idx val="14"/>
        <c:spPr>
          <a:ln w="25400">
            <a:noFill/>
          </a:ln>
        </c:spPr>
        <c:marker>
          <c:symbol val="none"/>
        </c:marker>
      </c:pivotFmt>
      <c:pivotFmt>
        <c:idx val="15"/>
        <c:marker>
          <c:symbol val="none"/>
        </c:marker>
      </c:pivotFmt>
      <c:pivotFmt>
        <c:idx val="16"/>
        <c:spPr>
          <a:ln w="25400">
            <a:noFill/>
          </a:ln>
        </c:spPr>
        <c:marker>
          <c:symbol val="none"/>
        </c:marker>
      </c:pivotFmt>
      <c:pivotFmt>
        <c:idx val="17"/>
        <c:spPr>
          <a:ln w="25400">
            <a:noFill/>
          </a:ln>
        </c:spPr>
        <c:marker>
          <c:symbol val="none"/>
        </c:marker>
      </c:pivotFmt>
      <c:pivotFmt>
        <c:idx val="18"/>
        <c:spPr>
          <a:ln w="25400">
            <a:noFill/>
          </a:ln>
        </c:spPr>
        <c:marker>
          <c:symbol val="none"/>
        </c:marker>
      </c:pivotFmt>
      <c:pivotFmt>
        <c:idx val="19"/>
        <c:spPr>
          <a:ln w="25400">
            <a:noFill/>
          </a:ln>
        </c:spPr>
        <c:marker>
          <c:symbol val="none"/>
        </c:marker>
      </c:pivotFmt>
      <c:pivotFmt>
        <c:idx val="20"/>
        <c:spPr>
          <a:ln w="25400">
            <a:noFill/>
          </a:ln>
        </c:spPr>
        <c:marker>
          <c:symbol val="none"/>
        </c:marker>
      </c:pivotFmt>
      <c:pivotFmt>
        <c:idx val="21"/>
        <c:spPr>
          <a:ln w="25400">
            <a:noFill/>
          </a:ln>
        </c:spPr>
        <c:marker>
          <c:symbol val="none"/>
        </c:marker>
      </c:pivotFmt>
      <c:pivotFmt>
        <c:idx val="22"/>
        <c:spPr>
          <a:ln w="25400">
            <a:noFill/>
          </a:ln>
        </c:spPr>
        <c:marker>
          <c:symbol val="none"/>
        </c:marker>
      </c:pivotFmt>
      <c:pivotFmt>
        <c:idx val="23"/>
        <c:spPr>
          <a:ln w="25400">
            <a:noFill/>
          </a:ln>
        </c:spPr>
        <c:marker>
          <c:symbol val="none"/>
        </c:marker>
      </c:pivotFmt>
      <c:pivotFmt>
        <c:idx val="24"/>
        <c:spPr>
          <a:ln w="25400">
            <a:noFill/>
          </a:ln>
        </c:spPr>
        <c:marker>
          <c:symbol val="none"/>
        </c:marker>
      </c:pivotFmt>
      <c:pivotFmt>
        <c:idx val="25"/>
        <c:spPr>
          <a:ln w="25400">
            <a:noFill/>
          </a:ln>
        </c:spPr>
        <c:marker>
          <c:symbol val="none"/>
        </c:marker>
      </c:pivotFmt>
      <c:pivotFmt>
        <c:idx val="26"/>
        <c:spPr>
          <a:ln w="25400">
            <a:noFill/>
          </a:ln>
        </c:spPr>
        <c:marker>
          <c:symbol val="none"/>
        </c:marker>
      </c:pivotFmt>
      <c:pivotFmt>
        <c:idx val="27"/>
        <c:spPr>
          <a:ln w="25400">
            <a:noFill/>
          </a:ln>
        </c:spPr>
        <c:marker>
          <c:symbol val="none"/>
        </c:marker>
      </c:pivotFmt>
      <c:pivotFmt>
        <c:idx val="28"/>
        <c:spPr>
          <a:ln w="25400">
            <a:noFill/>
          </a:ln>
        </c:spPr>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spPr>
          <a:ln w="25400">
            <a:noFill/>
          </a:ln>
        </c:spPr>
        <c:marker>
          <c:symbol val="none"/>
        </c:marker>
      </c:pivotFmt>
      <c:pivotFmt>
        <c:idx val="42"/>
        <c:spPr>
          <a:ln w="25400">
            <a:noFill/>
          </a:ln>
        </c:spPr>
        <c:marker>
          <c:symbol val="none"/>
        </c:marker>
      </c:pivotFmt>
      <c:pivotFmt>
        <c:idx val="43"/>
        <c:spPr>
          <a:ln w="25400">
            <a:noFill/>
          </a:ln>
        </c:spPr>
        <c:marker>
          <c:symbol val="none"/>
        </c:marker>
      </c:pivotFmt>
      <c:pivotFmt>
        <c:idx val="44"/>
        <c:spPr>
          <a:ln w="25400">
            <a:noFill/>
          </a:ln>
        </c:spPr>
        <c:marker>
          <c:symbol val="none"/>
        </c:marker>
      </c:pivotFmt>
      <c:pivotFmt>
        <c:idx val="45"/>
        <c:spPr>
          <a:ln w="25400">
            <a:noFill/>
          </a:ln>
        </c:spPr>
        <c:marker>
          <c:symbol val="none"/>
        </c:marker>
      </c:pivotFmt>
      <c:pivotFmt>
        <c:idx val="46"/>
        <c:spPr>
          <a:ln w="25400">
            <a:noFill/>
          </a:ln>
        </c:spPr>
        <c:marker>
          <c:symbol val="none"/>
        </c:marker>
      </c:pivotFmt>
      <c:pivotFmt>
        <c:idx val="47"/>
        <c:marker>
          <c:symbol val="none"/>
        </c:marker>
      </c:pivotFmt>
      <c:pivotFmt>
        <c:idx val="48"/>
        <c:marker>
          <c:symbol val="none"/>
        </c:marker>
      </c:pivotFmt>
      <c:pivotFmt>
        <c:idx val="49"/>
        <c:marker>
          <c:symbol val="none"/>
        </c:marker>
      </c:pivotFmt>
      <c:pivotFmt>
        <c:idx val="50"/>
        <c:spPr>
          <a:ln w="25400">
            <a:noFill/>
          </a:ln>
        </c:spPr>
        <c:marker>
          <c:symbol val="none"/>
        </c:marker>
      </c:pivotFmt>
      <c:pivotFmt>
        <c:idx val="51"/>
        <c:spPr>
          <a:ln w="25400">
            <a:noFill/>
          </a:ln>
        </c:spPr>
        <c:marker>
          <c:symbol val="none"/>
        </c:marker>
      </c:pivotFmt>
      <c:pivotFmt>
        <c:idx val="52"/>
        <c:spPr>
          <a:ln w="25400">
            <a:noFill/>
          </a:ln>
        </c:spPr>
        <c:marker>
          <c:symbol val="none"/>
        </c:marker>
      </c:pivotFmt>
      <c:pivotFmt>
        <c:idx val="53"/>
        <c:spPr>
          <a:ln w="25400">
            <a:noFill/>
          </a:ln>
        </c:spPr>
        <c:marker>
          <c:symbol val="none"/>
        </c:marker>
      </c:pivotFmt>
      <c:pivotFmt>
        <c:idx val="54"/>
        <c:spPr>
          <a:ln w="25400">
            <a:noFill/>
          </a:ln>
        </c:spPr>
        <c:marker>
          <c:symbol val="none"/>
        </c:marker>
      </c:pivotFmt>
      <c:pivotFmt>
        <c:idx val="55"/>
        <c:spPr>
          <a:ln w="25400">
            <a:noFill/>
          </a:ln>
        </c:spPr>
        <c:marker>
          <c:symbol val="none"/>
        </c:marker>
      </c:pivotFmt>
    </c:pivotFmts>
    <c:plotArea>
      <c:layout/>
      <c:areaChart>
        <c:grouping val="stacked"/>
        <c:varyColors val="0"/>
        <c:ser>
          <c:idx val="0"/>
          <c:order val="0"/>
          <c:tx>
            <c:v>ZIPRASIDONE</c:v>
          </c:tx>
          <c:cat>
            <c:strLit>
              <c:ptCount val="103"/>
              <c:pt idx="0">
                <c:v>Jan-04</c:v>
              </c:pt>
              <c:pt idx="1">
                <c:v>Feb-04</c:v>
              </c:pt>
              <c:pt idx="2">
                <c:v>Mar-04</c:v>
              </c:pt>
              <c:pt idx="3">
                <c:v>Apr-04</c:v>
              </c:pt>
              <c:pt idx="4">
                <c:v>May-04</c:v>
              </c:pt>
              <c:pt idx="5">
                <c:v>Jun-04</c:v>
              </c:pt>
              <c:pt idx="6">
                <c:v>Jul-04</c:v>
              </c:pt>
              <c:pt idx="7">
                <c:v>Aug-04</c:v>
              </c:pt>
              <c:pt idx="8">
                <c:v>Sep-04</c:v>
              </c:pt>
              <c:pt idx="9">
                <c:v>Oct-04</c:v>
              </c:pt>
              <c:pt idx="10">
                <c:v>Nov-04</c:v>
              </c:pt>
              <c:pt idx="11">
                <c:v>Dec-04</c:v>
              </c:pt>
              <c:pt idx="12">
                <c:v>Jan-05</c:v>
              </c:pt>
              <c:pt idx="13">
                <c:v>Feb-05</c:v>
              </c:pt>
              <c:pt idx="14">
                <c:v>Mar-05</c:v>
              </c:pt>
              <c:pt idx="15">
                <c:v>Apr-05</c:v>
              </c:pt>
              <c:pt idx="16">
                <c:v>May-05</c:v>
              </c:pt>
              <c:pt idx="17">
                <c:v>Jun-05</c:v>
              </c:pt>
              <c:pt idx="18">
                <c:v>Jul-05</c:v>
              </c:pt>
              <c:pt idx="19">
                <c:v>Aug-05</c:v>
              </c:pt>
              <c:pt idx="20">
                <c:v>Sep-05</c:v>
              </c:pt>
              <c:pt idx="21">
                <c:v>Oct-05</c:v>
              </c:pt>
              <c:pt idx="22">
                <c:v>Nov-05</c:v>
              </c:pt>
              <c:pt idx="23">
                <c:v>Dec-05</c:v>
              </c:pt>
              <c:pt idx="24">
                <c:v>Jan-06</c:v>
              </c:pt>
              <c:pt idx="25">
                <c:v>Feb-06</c:v>
              </c:pt>
              <c:pt idx="26">
                <c:v>Mar-06</c:v>
              </c:pt>
              <c:pt idx="27">
                <c:v>Apr-06</c:v>
              </c:pt>
              <c:pt idx="28">
                <c:v>May-06</c:v>
              </c:pt>
              <c:pt idx="29">
                <c:v>Jun-06</c:v>
              </c:pt>
              <c:pt idx="30">
                <c:v>Jul-06</c:v>
              </c:pt>
              <c:pt idx="31">
                <c:v>Aug-06</c:v>
              </c:pt>
              <c:pt idx="32">
                <c:v>Sep-06</c:v>
              </c:pt>
              <c:pt idx="33">
                <c:v>Oct-06</c:v>
              </c:pt>
              <c:pt idx="34">
                <c:v>Nov-06</c:v>
              </c:pt>
              <c:pt idx="35">
                <c:v>Dec-06</c:v>
              </c:pt>
              <c:pt idx="36">
                <c:v>Jan-07</c:v>
              </c:pt>
              <c:pt idx="37">
                <c:v>Feb-07</c:v>
              </c:pt>
              <c:pt idx="38">
                <c:v>Mar-07</c:v>
              </c:pt>
              <c:pt idx="39">
                <c:v>Apr-07</c:v>
              </c:pt>
              <c:pt idx="40">
                <c:v>May-07</c:v>
              </c:pt>
              <c:pt idx="41">
                <c:v>Jun-07</c:v>
              </c:pt>
              <c:pt idx="42">
                <c:v>Jul-07</c:v>
              </c:pt>
              <c:pt idx="43">
                <c:v>Aug-07</c:v>
              </c:pt>
              <c:pt idx="44">
                <c:v>Sep-07</c:v>
              </c:pt>
              <c:pt idx="45">
                <c:v>Oct-07</c:v>
              </c:pt>
              <c:pt idx="46">
                <c:v>Nov-07</c:v>
              </c:pt>
              <c:pt idx="47">
                <c:v>Dec-07</c:v>
              </c:pt>
              <c:pt idx="48">
                <c:v>Jan-08</c:v>
              </c:pt>
              <c:pt idx="49">
                <c:v>Feb-08</c:v>
              </c:pt>
              <c:pt idx="50">
                <c:v>Mar-08</c:v>
              </c:pt>
              <c:pt idx="51">
                <c:v>Apr-08</c:v>
              </c:pt>
              <c:pt idx="52">
                <c:v>May-08</c:v>
              </c:pt>
              <c:pt idx="53">
                <c:v>Jun-08</c:v>
              </c:pt>
              <c:pt idx="54">
                <c:v>Jul-08</c:v>
              </c:pt>
              <c:pt idx="55">
                <c:v>Aug-08</c:v>
              </c:pt>
              <c:pt idx="56">
                <c:v>Sep-08</c:v>
              </c:pt>
              <c:pt idx="57">
                <c:v>Oct-08</c:v>
              </c:pt>
              <c:pt idx="58">
                <c:v>Nov-08</c:v>
              </c:pt>
              <c:pt idx="59">
                <c:v>Dec-08</c:v>
              </c:pt>
              <c:pt idx="60">
                <c:v>Jan-09</c:v>
              </c:pt>
              <c:pt idx="61">
                <c:v>Feb-09</c:v>
              </c:pt>
              <c:pt idx="62">
                <c:v>Mar-09</c:v>
              </c:pt>
              <c:pt idx="63">
                <c:v>Apr-09</c:v>
              </c:pt>
              <c:pt idx="64">
                <c:v>May-09</c:v>
              </c:pt>
              <c:pt idx="65">
                <c:v>Jun-09</c:v>
              </c:pt>
              <c:pt idx="66">
                <c:v>Jul-09</c:v>
              </c:pt>
              <c:pt idx="67">
                <c:v>Aug-09</c:v>
              </c:pt>
              <c:pt idx="68">
                <c:v>Sep-09</c:v>
              </c:pt>
              <c:pt idx="69">
                <c:v>Oct-09</c:v>
              </c:pt>
              <c:pt idx="70">
                <c:v>Nov-09</c:v>
              </c:pt>
              <c:pt idx="71">
                <c:v>Dec-09</c:v>
              </c:pt>
              <c:pt idx="72">
                <c:v>Jan-10</c:v>
              </c:pt>
              <c:pt idx="73">
                <c:v>Feb-10</c:v>
              </c:pt>
              <c:pt idx="74">
                <c:v>Mar-10</c:v>
              </c:pt>
              <c:pt idx="75">
                <c:v>Apr-10</c:v>
              </c:pt>
              <c:pt idx="76">
                <c:v>May-10</c:v>
              </c:pt>
              <c:pt idx="77">
                <c:v>Jun-10</c:v>
              </c:pt>
              <c:pt idx="78">
                <c:v>Jul-10</c:v>
              </c:pt>
              <c:pt idx="79">
                <c:v>Aug-10</c:v>
              </c:pt>
              <c:pt idx="80">
                <c:v>Sep-10</c:v>
              </c:pt>
              <c:pt idx="81">
                <c:v>Oct-10</c:v>
              </c:pt>
              <c:pt idx="82">
                <c:v>Nov-10</c:v>
              </c:pt>
              <c:pt idx="83">
                <c:v>Dec-10</c:v>
              </c:pt>
              <c:pt idx="84">
                <c:v>Jan-11</c:v>
              </c:pt>
              <c:pt idx="85">
                <c:v>Feb-11</c:v>
              </c:pt>
              <c:pt idx="86">
                <c:v>Mar-11</c:v>
              </c:pt>
              <c:pt idx="87">
                <c:v>Apr-11</c:v>
              </c:pt>
              <c:pt idx="88">
                <c:v>May-11</c:v>
              </c:pt>
              <c:pt idx="89">
                <c:v>Jun-11</c:v>
              </c:pt>
              <c:pt idx="90">
                <c:v>Jul-11</c:v>
              </c:pt>
              <c:pt idx="91">
                <c:v>Aug-11</c:v>
              </c:pt>
              <c:pt idx="92">
                <c:v>Sep-11</c:v>
              </c:pt>
              <c:pt idx="93">
                <c:v>Oct-11</c:v>
              </c:pt>
              <c:pt idx="94">
                <c:v>Nov-11</c:v>
              </c:pt>
              <c:pt idx="95">
                <c:v>Dec-11</c:v>
              </c:pt>
              <c:pt idx="96">
                <c:v>Jan-12</c:v>
              </c:pt>
              <c:pt idx="97">
                <c:v>Feb-12</c:v>
              </c:pt>
              <c:pt idx="98">
                <c:v>Mar-12</c:v>
              </c:pt>
              <c:pt idx="99">
                <c:v>Apr-12</c:v>
              </c:pt>
              <c:pt idx="100">
                <c:v>May-12</c:v>
              </c:pt>
              <c:pt idx="101">
                <c:v>Jun-12</c:v>
              </c:pt>
              <c:pt idx="102">
                <c:v>Jul-12</c:v>
              </c:pt>
            </c:strLit>
          </c:cat>
          <c:val>
            <c:numLit>
              <c:formatCode>General</c:formatCode>
              <c:ptCount val="10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94247.49</c:v>
              </c:pt>
              <c:pt idx="40">
                <c:v>155777.94</c:v>
              </c:pt>
              <c:pt idx="41">
                <c:v>195329.93</c:v>
              </c:pt>
              <c:pt idx="42">
                <c:v>240838.82</c:v>
              </c:pt>
              <c:pt idx="43">
                <c:v>271639.89</c:v>
              </c:pt>
              <c:pt idx="44">
                <c:v>276799.59000000003</c:v>
              </c:pt>
              <c:pt idx="45">
                <c:v>315724.72000000009</c:v>
              </c:pt>
              <c:pt idx="46">
                <c:v>331720.76</c:v>
              </c:pt>
              <c:pt idx="47">
                <c:v>355422.84</c:v>
              </c:pt>
              <c:pt idx="48">
                <c:v>329079.14</c:v>
              </c:pt>
              <c:pt idx="49">
                <c:v>349058.58</c:v>
              </c:pt>
              <c:pt idx="50">
                <c:v>367567.95</c:v>
              </c:pt>
              <c:pt idx="51">
                <c:v>402845.82000000012</c:v>
              </c:pt>
              <c:pt idx="52">
                <c:v>439900.21000000008</c:v>
              </c:pt>
              <c:pt idx="53">
                <c:v>438186.36</c:v>
              </c:pt>
              <c:pt idx="54">
                <c:v>491790.64999999979</c:v>
              </c:pt>
              <c:pt idx="55">
                <c:v>482278.18000000011</c:v>
              </c:pt>
              <c:pt idx="56">
                <c:v>487695.9200000001</c:v>
              </c:pt>
              <c:pt idx="57">
                <c:v>519695.33</c:v>
              </c:pt>
              <c:pt idx="58">
                <c:v>494338.7900000001</c:v>
              </c:pt>
              <c:pt idx="59">
                <c:v>599583.6100000001</c:v>
              </c:pt>
              <c:pt idx="60">
                <c:v>483158.07</c:v>
              </c:pt>
              <c:pt idx="61">
                <c:v>474528.54</c:v>
              </c:pt>
              <c:pt idx="62">
                <c:v>535034.80999999959</c:v>
              </c:pt>
              <c:pt idx="63">
                <c:v>508618.6</c:v>
              </c:pt>
              <c:pt idx="64">
                <c:v>523120.63000000012</c:v>
              </c:pt>
              <c:pt idx="65">
                <c:v>543886.28999999922</c:v>
              </c:pt>
              <c:pt idx="66">
                <c:v>579381.64000000013</c:v>
              </c:pt>
              <c:pt idx="67">
                <c:v>566356.20000000007</c:v>
              </c:pt>
              <c:pt idx="68">
                <c:v>570101.35000000044</c:v>
              </c:pt>
              <c:pt idx="69">
                <c:v>602793.39</c:v>
              </c:pt>
              <c:pt idx="70">
                <c:v>607897.25</c:v>
              </c:pt>
              <c:pt idx="71">
                <c:v>716873.08000000031</c:v>
              </c:pt>
              <c:pt idx="72">
                <c:v>546644.16999999958</c:v>
              </c:pt>
              <c:pt idx="73">
                <c:v>572597.74</c:v>
              </c:pt>
              <c:pt idx="74">
                <c:v>667250.69000000006</c:v>
              </c:pt>
              <c:pt idx="75">
                <c:v>629199.76999999979</c:v>
              </c:pt>
              <c:pt idx="76">
                <c:v>632375.97</c:v>
              </c:pt>
              <c:pt idx="77">
                <c:v>641515.14000000013</c:v>
              </c:pt>
              <c:pt idx="78">
                <c:v>650365.74</c:v>
              </c:pt>
              <c:pt idx="79">
                <c:v>683591.79999999923</c:v>
              </c:pt>
              <c:pt idx="80">
                <c:v>661612.67999999924</c:v>
              </c:pt>
              <c:pt idx="81">
                <c:v>681665.97999999928</c:v>
              </c:pt>
              <c:pt idx="82">
                <c:v>693802.04</c:v>
              </c:pt>
              <c:pt idx="83">
                <c:v>806781.63000000012</c:v>
              </c:pt>
              <c:pt idx="84">
                <c:v>620181.65</c:v>
              </c:pt>
              <c:pt idx="85">
                <c:v>652723.63</c:v>
              </c:pt>
              <c:pt idx="86">
                <c:v>734380.42</c:v>
              </c:pt>
              <c:pt idx="87">
                <c:v>687090.41000000015</c:v>
              </c:pt>
              <c:pt idx="88">
                <c:v>745318.45000000007</c:v>
              </c:pt>
              <c:pt idx="89">
                <c:v>750575.61</c:v>
              </c:pt>
              <c:pt idx="90">
                <c:v>735814.48</c:v>
              </c:pt>
              <c:pt idx="91">
                <c:v>783845.1099999994</c:v>
              </c:pt>
              <c:pt idx="92">
                <c:v>771626.78999999899</c:v>
              </c:pt>
              <c:pt idx="93">
                <c:v>763299.13</c:v>
              </c:pt>
              <c:pt idx="94">
                <c:v>779514.9599999995</c:v>
              </c:pt>
              <c:pt idx="95">
                <c:v>880341.89</c:v>
              </c:pt>
              <c:pt idx="96">
                <c:v>654378.09</c:v>
              </c:pt>
              <c:pt idx="97">
                <c:v>719841.54</c:v>
              </c:pt>
              <c:pt idx="98">
                <c:v>769943.43</c:v>
              </c:pt>
              <c:pt idx="99">
                <c:v>686866.94000000006</c:v>
              </c:pt>
              <c:pt idx="100">
                <c:v>777377.45</c:v>
              </c:pt>
              <c:pt idx="101">
                <c:v>737055.35</c:v>
              </c:pt>
              <c:pt idx="102">
                <c:v>742312.73</c:v>
              </c:pt>
            </c:numLit>
          </c:val>
        </c:ser>
        <c:ser>
          <c:idx val="1"/>
          <c:order val="1"/>
          <c:tx>
            <c:v>RISPERIDONE</c:v>
          </c:tx>
          <c:cat>
            <c:strLit>
              <c:ptCount val="103"/>
              <c:pt idx="0">
                <c:v>Jan-04</c:v>
              </c:pt>
              <c:pt idx="1">
                <c:v>Feb-04</c:v>
              </c:pt>
              <c:pt idx="2">
                <c:v>Mar-04</c:v>
              </c:pt>
              <c:pt idx="3">
                <c:v>Apr-04</c:v>
              </c:pt>
              <c:pt idx="4">
                <c:v>May-04</c:v>
              </c:pt>
              <c:pt idx="5">
                <c:v>Jun-04</c:v>
              </c:pt>
              <c:pt idx="6">
                <c:v>Jul-04</c:v>
              </c:pt>
              <c:pt idx="7">
                <c:v>Aug-04</c:v>
              </c:pt>
              <c:pt idx="8">
                <c:v>Sep-04</c:v>
              </c:pt>
              <c:pt idx="9">
                <c:v>Oct-04</c:v>
              </c:pt>
              <c:pt idx="10">
                <c:v>Nov-04</c:v>
              </c:pt>
              <c:pt idx="11">
                <c:v>Dec-04</c:v>
              </c:pt>
              <c:pt idx="12">
                <c:v>Jan-05</c:v>
              </c:pt>
              <c:pt idx="13">
                <c:v>Feb-05</c:v>
              </c:pt>
              <c:pt idx="14">
                <c:v>Mar-05</c:v>
              </c:pt>
              <c:pt idx="15">
                <c:v>Apr-05</c:v>
              </c:pt>
              <c:pt idx="16">
                <c:v>May-05</c:v>
              </c:pt>
              <c:pt idx="17">
                <c:v>Jun-05</c:v>
              </c:pt>
              <c:pt idx="18">
                <c:v>Jul-05</c:v>
              </c:pt>
              <c:pt idx="19">
                <c:v>Aug-05</c:v>
              </c:pt>
              <c:pt idx="20">
                <c:v>Sep-05</c:v>
              </c:pt>
              <c:pt idx="21">
                <c:v>Oct-05</c:v>
              </c:pt>
              <c:pt idx="22">
                <c:v>Nov-05</c:v>
              </c:pt>
              <c:pt idx="23">
                <c:v>Dec-05</c:v>
              </c:pt>
              <c:pt idx="24">
                <c:v>Jan-06</c:v>
              </c:pt>
              <c:pt idx="25">
                <c:v>Feb-06</c:v>
              </c:pt>
              <c:pt idx="26">
                <c:v>Mar-06</c:v>
              </c:pt>
              <c:pt idx="27">
                <c:v>Apr-06</c:v>
              </c:pt>
              <c:pt idx="28">
                <c:v>May-06</c:v>
              </c:pt>
              <c:pt idx="29">
                <c:v>Jun-06</c:v>
              </c:pt>
              <c:pt idx="30">
                <c:v>Jul-06</c:v>
              </c:pt>
              <c:pt idx="31">
                <c:v>Aug-06</c:v>
              </c:pt>
              <c:pt idx="32">
                <c:v>Sep-06</c:v>
              </c:pt>
              <c:pt idx="33">
                <c:v>Oct-06</c:v>
              </c:pt>
              <c:pt idx="34">
                <c:v>Nov-06</c:v>
              </c:pt>
              <c:pt idx="35">
                <c:v>Dec-06</c:v>
              </c:pt>
              <c:pt idx="36">
                <c:v>Jan-07</c:v>
              </c:pt>
              <c:pt idx="37">
                <c:v>Feb-07</c:v>
              </c:pt>
              <c:pt idx="38">
                <c:v>Mar-07</c:v>
              </c:pt>
              <c:pt idx="39">
                <c:v>Apr-07</c:v>
              </c:pt>
              <c:pt idx="40">
                <c:v>May-07</c:v>
              </c:pt>
              <c:pt idx="41">
                <c:v>Jun-07</c:v>
              </c:pt>
              <c:pt idx="42">
                <c:v>Jul-07</c:v>
              </c:pt>
              <c:pt idx="43">
                <c:v>Aug-07</c:v>
              </c:pt>
              <c:pt idx="44">
                <c:v>Sep-07</c:v>
              </c:pt>
              <c:pt idx="45">
                <c:v>Oct-07</c:v>
              </c:pt>
              <c:pt idx="46">
                <c:v>Nov-07</c:v>
              </c:pt>
              <c:pt idx="47">
                <c:v>Dec-07</c:v>
              </c:pt>
              <c:pt idx="48">
                <c:v>Jan-08</c:v>
              </c:pt>
              <c:pt idx="49">
                <c:v>Feb-08</c:v>
              </c:pt>
              <c:pt idx="50">
                <c:v>Mar-08</c:v>
              </c:pt>
              <c:pt idx="51">
                <c:v>Apr-08</c:v>
              </c:pt>
              <c:pt idx="52">
                <c:v>May-08</c:v>
              </c:pt>
              <c:pt idx="53">
                <c:v>Jun-08</c:v>
              </c:pt>
              <c:pt idx="54">
                <c:v>Jul-08</c:v>
              </c:pt>
              <c:pt idx="55">
                <c:v>Aug-08</c:v>
              </c:pt>
              <c:pt idx="56">
                <c:v>Sep-08</c:v>
              </c:pt>
              <c:pt idx="57">
                <c:v>Oct-08</c:v>
              </c:pt>
              <c:pt idx="58">
                <c:v>Nov-08</c:v>
              </c:pt>
              <c:pt idx="59">
                <c:v>Dec-08</c:v>
              </c:pt>
              <c:pt idx="60">
                <c:v>Jan-09</c:v>
              </c:pt>
              <c:pt idx="61">
                <c:v>Feb-09</c:v>
              </c:pt>
              <c:pt idx="62">
                <c:v>Mar-09</c:v>
              </c:pt>
              <c:pt idx="63">
                <c:v>Apr-09</c:v>
              </c:pt>
              <c:pt idx="64">
                <c:v>May-09</c:v>
              </c:pt>
              <c:pt idx="65">
                <c:v>Jun-09</c:v>
              </c:pt>
              <c:pt idx="66">
                <c:v>Jul-09</c:v>
              </c:pt>
              <c:pt idx="67">
                <c:v>Aug-09</c:v>
              </c:pt>
              <c:pt idx="68">
                <c:v>Sep-09</c:v>
              </c:pt>
              <c:pt idx="69">
                <c:v>Oct-09</c:v>
              </c:pt>
              <c:pt idx="70">
                <c:v>Nov-09</c:v>
              </c:pt>
              <c:pt idx="71">
                <c:v>Dec-09</c:v>
              </c:pt>
              <c:pt idx="72">
                <c:v>Jan-10</c:v>
              </c:pt>
              <c:pt idx="73">
                <c:v>Feb-10</c:v>
              </c:pt>
              <c:pt idx="74">
                <c:v>Mar-10</c:v>
              </c:pt>
              <c:pt idx="75">
                <c:v>Apr-10</c:v>
              </c:pt>
              <c:pt idx="76">
                <c:v>May-10</c:v>
              </c:pt>
              <c:pt idx="77">
                <c:v>Jun-10</c:v>
              </c:pt>
              <c:pt idx="78">
                <c:v>Jul-10</c:v>
              </c:pt>
              <c:pt idx="79">
                <c:v>Aug-10</c:v>
              </c:pt>
              <c:pt idx="80">
                <c:v>Sep-10</c:v>
              </c:pt>
              <c:pt idx="81">
                <c:v>Oct-10</c:v>
              </c:pt>
              <c:pt idx="82">
                <c:v>Nov-10</c:v>
              </c:pt>
              <c:pt idx="83">
                <c:v>Dec-10</c:v>
              </c:pt>
              <c:pt idx="84">
                <c:v>Jan-11</c:v>
              </c:pt>
              <c:pt idx="85">
                <c:v>Feb-11</c:v>
              </c:pt>
              <c:pt idx="86">
                <c:v>Mar-11</c:v>
              </c:pt>
              <c:pt idx="87">
                <c:v>Apr-11</c:v>
              </c:pt>
              <c:pt idx="88">
                <c:v>May-11</c:v>
              </c:pt>
              <c:pt idx="89">
                <c:v>Jun-11</c:v>
              </c:pt>
              <c:pt idx="90">
                <c:v>Jul-11</c:v>
              </c:pt>
              <c:pt idx="91">
                <c:v>Aug-11</c:v>
              </c:pt>
              <c:pt idx="92">
                <c:v>Sep-11</c:v>
              </c:pt>
              <c:pt idx="93">
                <c:v>Oct-11</c:v>
              </c:pt>
              <c:pt idx="94">
                <c:v>Nov-11</c:v>
              </c:pt>
              <c:pt idx="95">
                <c:v>Dec-11</c:v>
              </c:pt>
              <c:pt idx="96">
                <c:v>Jan-12</c:v>
              </c:pt>
              <c:pt idx="97">
                <c:v>Feb-12</c:v>
              </c:pt>
              <c:pt idx="98">
                <c:v>Mar-12</c:v>
              </c:pt>
              <c:pt idx="99">
                <c:v>Apr-12</c:v>
              </c:pt>
              <c:pt idx="100">
                <c:v>May-12</c:v>
              </c:pt>
              <c:pt idx="101">
                <c:v>Jun-12</c:v>
              </c:pt>
              <c:pt idx="102">
                <c:v>Jul-12</c:v>
              </c:pt>
            </c:strLit>
          </c:cat>
          <c:val>
            <c:numLit>
              <c:formatCode>General</c:formatCode>
              <c:ptCount val="103"/>
              <c:pt idx="0">
                <c:v>2459603.3199999998</c:v>
              </c:pt>
              <c:pt idx="1">
                <c:v>2449304.81</c:v>
              </c:pt>
              <c:pt idx="2">
                <c:v>2784573.3</c:v>
              </c:pt>
              <c:pt idx="3">
                <c:v>2616046.87</c:v>
              </c:pt>
              <c:pt idx="4">
                <c:v>2661635.34</c:v>
              </c:pt>
              <c:pt idx="5">
                <c:v>2735351.15</c:v>
              </c:pt>
              <c:pt idx="6">
                <c:v>2753012.88</c:v>
              </c:pt>
              <c:pt idx="7">
                <c:v>2724031.21</c:v>
              </c:pt>
              <c:pt idx="8">
                <c:v>2712158.24</c:v>
              </c:pt>
              <c:pt idx="9">
                <c:v>2684261.62</c:v>
              </c:pt>
              <c:pt idx="10">
                <c:v>2789585.1</c:v>
              </c:pt>
              <c:pt idx="11">
                <c:v>3083711.98</c:v>
              </c:pt>
              <c:pt idx="12">
                <c:v>2386106.54</c:v>
              </c:pt>
              <c:pt idx="13">
                <c:v>3102012.53</c:v>
              </c:pt>
              <c:pt idx="14">
                <c:v>3778858.65</c:v>
              </c:pt>
              <c:pt idx="15">
                <c:v>3792319.4</c:v>
              </c:pt>
              <c:pt idx="16">
                <c:v>4189642.01</c:v>
              </c:pt>
              <c:pt idx="17">
                <c:v>4371902.3099999996</c:v>
              </c:pt>
              <c:pt idx="18">
                <c:v>4447191.95</c:v>
              </c:pt>
              <c:pt idx="19">
                <c:v>4881841.05</c:v>
              </c:pt>
              <c:pt idx="20">
                <c:v>4819958.43</c:v>
              </c:pt>
              <c:pt idx="21">
                <c:v>4928043.9000000004</c:v>
              </c:pt>
              <c:pt idx="22">
                <c:v>5123844.83</c:v>
              </c:pt>
              <c:pt idx="23">
                <c:v>5572007.3700000001</c:v>
              </c:pt>
              <c:pt idx="24">
                <c:v>4949903.12</c:v>
              </c:pt>
              <c:pt idx="25">
                <c:v>4840830.72</c:v>
              </c:pt>
              <c:pt idx="26">
                <c:v>5677214.0199999996</c:v>
              </c:pt>
              <c:pt idx="27">
                <c:v>5070962.6900000004</c:v>
              </c:pt>
              <c:pt idx="28">
                <c:v>6030089.6399999997</c:v>
              </c:pt>
              <c:pt idx="29">
                <c:v>5915060.7599999998</c:v>
              </c:pt>
              <c:pt idx="30">
                <c:v>5667670.2400000002</c:v>
              </c:pt>
              <c:pt idx="31">
                <c:v>6209443.1900000004</c:v>
              </c:pt>
              <c:pt idx="32">
                <c:v>5992834.7999999998</c:v>
              </c:pt>
              <c:pt idx="33">
                <c:v>6276366.75</c:v>
              </c:pt>
              <c:pt idx="34">
                <c:v>6372404.21</c:v>
              </c:pt>
              <c:pt idx="35">
                <c:v>6618058.7699999996</c:v>
              </c:pt>
              <c:pt idx="36">
                <c:v>6364338.4199999999</c:v>
              </c:pt>
              <c:pt idx="37">
                <c:v>5944609.9500000002</c:v>
              </c:pt>
              <c:pt idx="38">
                <c:v>6643320.8499999996</c:v>
              </c:pt>
              <c:pt idx="39">
                <c:v>6248620.21</c:v>
              </c:pt>
              <c:pt idx="40">
                <c:v>7134269.71</c:v>
              </c:pt>
              <c:pt idx="41">
                <c:v>6668320.5199999996</c:v>
              </c:pt>
              <c:pt idx="42">
                <c:v>6952815.3700000001</c:v>
              </c:pt>
              <c:pt idx="43">
                <c:v>7293702.7999999998</c:v>
              </c:pt>
              <c:pt idx="44">
                <c:v>6711934.7300000004</c:v>
              </c:pt>
              <c:pt idx="45">
                <c:v>7581632.5599999996</c:v>
              </c:pt>
              <c:pt idx="46">
                <c:v>7478312.6799999997</c:v>
              </c:pt>
              <c:pt idx="47">
                <c:v>7592410.1200000001</c:v>
              </c:pt>
              <c:pt idx="48">
                <c:v>7310310.2800000003</c:v>
              </c:pt>
              <c:pt idx="49">
                <c:v>7194130.1200000001</c:v>
              </c:pt>
              <c:pt idx="50">
                <c:v>7173009.8700000001</c:v>
              </c:pt>
              <c:pt idx="51">
                <c:v>7557955.7599999998</c:v>
              </c:pt>
              <c:pt idx="52">
                <c:v>7833704.9199999999</c:v>
              </c:pt>
              <c:pt idx="53">
                <c:v>7394821.3700000001</c:v>
              </c:pt>
              <c:pt idx="54">
                <c:v>8223815.6200000104</c:v>
              </c:pt>
              <c:pt idx="55">
                <c:v>7638777.3099999996</c:v>
              </c:pt>
              <c:pt idx="56">
                <c:v>7945394.1699999999</c:v>
              </c:pt>
              <c:pt idx="57">
                <c:v>8466214.4600000009</c:v>
              </c:pt>
              <c:pt idx="58">
                <c:v>7868422.1699999999</c:v>
              </c:pt>
              <c:pt idx="59">
                <c:v>8600896.4900000002</c:v>
              </c:pt>
              <c:pt idx="60">
                <c:v>7100061.3799999999</c:v>
              </c:pt>
              <c:pt idx="61">
                <c:v>7148093.8399999999</c:v>
              </c:pt>
              <c:pt idx="62">
                <c:v>7797418.8499999996</c:v>
              </c:pt>
              <c:pt idx="63">
                <c:v>7669304.25</c:v>
              </c:pt>
              <c:pt idx="64">
                <c:v>7606725.2699999996</c:v>
              </c:pt>
              <c:pt idx="65">
                <c:v>7814974.96</c:v>
              </c:pt>
              <c:pt idx="66">
                <c:v>8116785.4699999997</c:v>
              </c:pt>
              <c:pt idx="67">
                <c:v>7453182.2699999996</c:v>
              </c:pt>
              <c:pt idx="68">
                <c:v>7678863.8200000003</c:v>
              </c:pt>
              <c:pt idx="69">
                <c:v>7875310.3099999996</c:v>
              </c:pt>
              <c:pt idx="70">
                <c:v>7672359.9199999999</c:v>
              </c:pt>
              <c:pt idx="71">
                <c:v>8268422.7599999998</c:v>
              </c:pt>
              <c:pt idx="72">
                <c:v>6821500.6200000001</c:v>
              </c:pt>
              <c:pt idx="73">
                <c:v>6949087.9400000004</c:v>
              </c:pt>
              <c:pt idx="74">
                <c:v>8124537.1399999997</c:v>
              </c:pt>
              <c:pt idx="75">
                <c:v>7316458.4800000004</c:v>
              </c:pt>
              <c:pt idx="76">
                <c:v>7478201.7800000003</c:v>
              </c:pt>
              <c:pt idx="77">
                <c:v>7657115.9000000004</c:v>
              </c:pt>
              <c:pt idx="78">
                <c:v>7895000.1500000004</c:v>
              </c:pt>
              <c:pt idx="79">
                <c:v>7628942.6200000001</c:v>
              </c:pt>
              <c:pt idx="80">
                <c:v>7717232.5199999996</c:v>
              </c:pt>
              <c:pt idx="81">
                <c:v>7445719.5300000003</c:v>
              </c:pt>
              <c:pt idx="82">
                <c:v>7712736.7300000004</c:v>
              </c:pt>
              <c:pt idx="83">
                <c:v>8302384.0999999996</c:v>
              </c:pt>
              <c:pt idx="84">
                <c:v>6991433.1699999999</c:v>
              </c:pt>
              <c:pt idx="85">
                <c:v>6698864.4800000004</c:v>
              </c:pt>
              <c:pt idx="86">
                <c:v>7726504.96</c:v>
              </c:pt>
              <c:pt idx="87">
                <c:v>6338401</c:v>
              </c:pt>
              <c:pt idx="88">
                <c:v>6935771.7699999996</c:v>
              </c:pt>
              <c:pt idx="89">
                <c:v>6829804</c:v>
              </c:pt>
              <c:pt idx="90">
                <c:v>6693251.46</c:v>
              </c:pt>
              <c:pt idx="91">
                <c:v>7388769.3899999997</c:v>
              </c:pt>
              <c:pt idx="92">
                <c:v>6912754.96</c:v>
              </c:pt>
              <c:pt idx="93">
                <c:v>6779170.3700000001</c:v>
              </c:pt>
              <c:pt idx="94">
                <c:v>7262396.2699999996</c:v>
              </c:pt>
              <c:pt idx="95">
                <c:v>7092888.96</c:v>
              </c:pt>
              <c:pt idx="96">
                <c:v>5973834.8700000001</c:v>
              </c:pt>
              <c:pt idx="97">
                <c:v>6045088.5899999999</c:v>
              </c:pt>
              <c:pt idx="98">
                <c:v>6359137.0499999998</c:v>
              </c:pt>
              <c:pt idx="99">
                <c:v>5692012.5199999996</c:v>
              </c:pt>
              <c:pt idx="100">
                <c:v>6521012.96</c:v>
              </c:pt>
              <c:pt idx="101">
                <c:v>5888669.1299999999</c:v>
              </c:pt>
              <c:pt idx="102">
                <c:v>5946012.4199999999</c:v>
              </c:pt>
            </c:numLit>
          </c:val>
        </c:ser>
        <c:ser>
          <c:idx val="2"/>
          <c:order val="2"/>
          <c:tx>
            <c:v>QUETIAPINE</c:v>
          </c:tx>
          <c:cat>
            <c:strLit>
              <c:ptCount val="103"/>
              <c:pt idx="0">
                <c:v>Jan-04</c:v>
              </c:pt>
              <c:pt idx="1">
                <c:v>Feb-04</c:v>
              </c:pt>
              <c:pt idx="2">
                <c:v>Mar-04</c:v>
              </c:pt>
              <c:pt idx="3">
                <c:v>Apr-04</c:v>
              </c:pt>
              <c:pt idx="4">
                <c:v>May-04</c:v>
              </c:pt>
              <c:pt idx="5">
                <c:v>Jun-04</c:v>
              </c:pt>
              <c:pt idx="6">
                <c:v>Jul-04</c:v>
              </c:pt>
              <c:pt idx="7">
                <c:v>Aug-04</c:v>
              </c:pt>
              <c:pt idx="8">
                <c:v>Sep-04</c:v>
              </c:pt>
              <c:pt idx="9">
                <c:v>Oct-04</c:v>
              </c:pt>
              <c:pt idx="10">
                <c:v>Nov-04</c:v>
              </c:pt>
              <c:pt idx="11">
                <c:v>Dec-04</c:v>
              </c:pt>
              <c:pt idx="12">
                <c:v>Jan-05</c:v>
              </c:pt>
              <c:pt idx="13">
                <c:v>Feb-05</c:v>
              </c:pt>
              <c:pt idx="14">
                <c:v>Mar-05</c:v>
              </c:pt>
              <c:pt idx="15">
                <c:v>Apr-05</c:v>
              </c:pt>
              <c:pt idx="16">
                <c:v>May-05</c:v>
              </c:pt>
              <c:pt idx="17">
                <c:v>Jun-05</c:v>
              </c:pt>
              <c:pt idx="18">
                <c:v>Jul-05</c:v>
              </c:pt>
              <c:pt idx="19">
                <c:v>Aug-05</c:v>
              </c:pt>
              <c:pt idx="20">
                <c:v>Sep-05</c:v>
              </c:pt>
              <c:pt idx="21">
                <c:v>Oct-05</c:v>
              </c:pt>
              <c:pt idx="22">
                <c:v>Nov-05</c:v>
              </c:pt>
              <c:pt idx="23">
                <c:v>Dec-05</c:v>
              </c:pt>
              <c:pt idx="24">
                <c:v>Jan-06</c:v>
              </c:pt>
              <c:pt idx="25">
                <c:v>Feb-06</c:v>
              </c:pt>
              <c:pt idx="26">
                <c:v>Mar-06</c:v>
              </c:pt>
              <c:pt idx="27">
                <c:v>Apr-06</c:v>
              </c:pt>
              <c:pt idx="28">
                <c:v>May-06</c:v>
              </c:pt>
              <c:pt idx="29">
                <c:v>Jun-06</c:v>
              </c:pt>
              <c:pt idx="30">
                <c:v>Jul-06</c:v>
              </c:pt>
              <c:pt idx="31">
                <c:v>Aug-06</c:v>
              </c:pt>
              <c:pt idx="32">
                <c:v>Sep-06</c:v>
              </c:pt>
              <c:pt idx="33">
                <c:v>Oct-06</c:v>
              </c:pt>
              <c:pt idx="34">
                <c:v>Nov-06</c:v>
              </c:pt>
              <c:pt idx="35">
                <c:v>Dec-06</c:v>
              </c:pt>
              <c:pt idx="36">
                <c:v>Jan-07</c:v>
              </c:pt>
              <c:pt idx="37">
                <c:v>Feb-07</c:v>
              </c:pt>
              <c:pt idx="38">
                <c:v>Mar-07</c:v>
              </c:pt>
              <c:pt idx="39">
                <c:v>Apr-07</c:v>
              </c:pt>
              <c:pt idx="40">
                <c:v>May-07</c:v>
              </c:pt>
              <c:pt idx="41">
                <c:v>Jun-07</c:v>
              </c:pt>
              <c:pt idx="42">
                <c:v>Jul-07</c:v>
              </c:pt>
              <c:pt idx="43">
                <c:v>Aug-07</c:v>
              </c:pt>
              <c:pt idx="44">
                <c:v>Sep-07</c:v>
              </c:pt>
              <c:pt idx="45">
                <c:v>Oct-07</c:v>
              </c:pt>
              <c:pt idx="46">
                <c:v>Nov-07</c:v>
              </c:pt>
              <c:pt idx="47">
                <c:v>Dec-07</c:v>
              </c:pt>
              <c:pt idx="48">
                <c:v>Jan-08</c:v>
              </c:pt>
              <c:pt idx="49">
                <c:v>Feb-08</c:v>
              </c:pt>
              <c:pt idx="50">
                <c:v>Mar-08</c:v>
              </c:pt>
              <c:pt idx="51">
                <c:v>Apr-08</c:v>
              </c:pt>
              <c:pt idx="52">
                <c:v>May-08</c:v>
              </c:pt>
              <c:pt idx="53">
                <c:v>Jun-08</c:v>
              </c:pt>
              <c:pt idx="54">
                <c:v>Jul-08</c:v>
              </c:pt>
              <c:pt idx="55">
                <c:v>Aug-08</c:v>
              </c:pt>
              <c:pt idx="56">
                <c:v>Sep-08</c:v>
              </c:pt>
              <c:pt idx="57">
                <c:v>Oct-08</c:v>
              </c:pt>
              <c:pt idx="58">
                <c:v>Nov-08</c:v>
              </c:pt>
              <c:pt idx="59">
                <c:v>Dec-08</c:v>
              </c:pt>
              <c:pt idx="60">
                <c:v>Jan-09</c:v>
              </c:pt>
              <c:pt idx="61">
                <c:v>Feb-09</c:v>
              </c:pt>
              <c:pt idx="62">
                <c:v>Mar-09</c:v>
              </c:pt>
              <c:pt idx="63">
                <c:v>Apr-09</c:v>
              </c:pt>
              <c:pt idx="64">
                <c:v>May-09</c:v>
              </c:pt>
              <c:pt idx="65">
                <c:v>Jun-09</c:v>
              </c:pt>
              <c:pt idx="66">
                <c:v>Jul-09</c:v>
              </c:pt>
              <c:pt idx="67">
                <c:v>Aug-09</c:v>
              </c:pt>
              <c:pt idx="68">
                <c:v>Sep-09</c:v>
              </c:pt>
              <c:pt idx="69">
                <c:v>Oct-09</c:v>
              </c:pt>
              <c:pt idx="70">
                <c:v>Nov-09</c:v>
              </c:pt>
              <c:pt idx="71">
                <c:v>Dec-09</c:v>
              </c:pt>
              <c:pt idx="72">
                <c:v>Jan-10</c:v>
              </c:pt>
              <c:pt idx="73">
                <c:v>Feb-10</c:v>
              </c:pt>
              <c:pt idx="74">
                <c:v>Mar-10</c:v>
              </c:pt>
              <c:pt idx="75">
                <c:v>Apr-10</c:v>
              </c:pt>
              <c:pt idx="76">
                <c:v>May-10</c:v>
              </c:pt>
              <c:pt idx="77">
                <c:v>Jun-10</c:v>
              </c:pt>
              <c:pt idx="78">
                <c:v>Jul-10</c:v>
              </c:pt>
              <c:pt idx="79">
                <c:v>Aug-10</c:v>
              </c:pt>
              <c:pt idx="80">
                <c:v>Sep-10</c:v>
              </c:pt>
              <c:pt idx="81">
                <c:v>Oct-10</c:v>
              </c:pt>
              <c:pt idx="82">
                <c:v>Nov-10</c:v>
              </c:pt>
              <c:pt idx="83">
                <c:v>Dec-10</c:v>
              </c:pt>
              <c:pt idx="84">
                <c:v>Jan-11</c:v>
              </c:pt>
              <c:pt idx="85">
                <c:v>Feb-11</c:v>
              </c:pt>
              <c:pt idx="86">
                <c:v>Mar-11</c:v>
              </c:pt>
              <c:pt idx="87">
                <c:v>Apr-11</c:v>
              </c:pt>
              <c:pt idx="88">
                <c:v>May-11</c:v>
              </c:pt>
              <c:pt idx="89">
                <c:v>Jun-11</c:v>
              </c:pt>
              <c:pt idx="90">
                <c:v>Jul-11</c:v>
              </c:pt>
              <c:pt idx="91">
                <c:v>Aug-11</c:v>
              </c:pt>
              <c:pt idx="92">
                <c:v>Sep-11</c:v>
              </c:pt>
              <c:pt idx="93">
                <c:v>Oct-11</c:v>
              </c:pt>
              <c:pt idx="94">
                <c:v>Nov-11</c:v>
              </c:pt>
              <c:pt idx="95">
                <c:v>Dec-11</c:v>
              </c:pt>
              <c:pt idx="96">
                <c:v>Jan-12</c:v>
              </c:pt>
              <c:pt idx="97">
                <c:v>Feb-12</c:v>
              </c:pt>
              <c:pt idx="98">
                <c:v>Mar-12</c:v>
              </c:pt>
              <c:pt idx="99">
                <c:v>Apr-12</c:v>
              </c:pt>
              <c:pt idx="100">
                <c:v>May-12</c:v>
              </c:pt>
              <c:pt idx="101">
                <c:v>Jun-12</c:v>
              </c:pt>
              <c:pt idx="102">
                <c:v>Jul-12</c:v>
              </c:pt>
            </c:strLit>
          </c:cat>
          <c:val>
            <c:numLit>
              <c:formatCode>General</c:formatCode>
              <c:ptCount val="103"/>
              <c:pt idx="0">
                <c:v>2160455.85</c:v>
              </c:pt>
              <c:pt idx="1">
                <c:v>2165491.66</c:v>
              </c:pt>
              <c:pt idx="2">
                <c:v>2493016.64</c:v>
              </c:pt>
              <c:pt idx="3">
                <c:v>2420939.41</c:v>
              </c:pt>
              <c:pt idx="4">
                <c:v>2515286.58</c:v>
              </c:pt>
              <c:pt idx="5">
                <c:v>2619648.5499999998</c:v>
              </c:pt>
              <c:pt idx="6">
                <c:v>2729579.19</c:v>
              </c:pt>
              <c:pt idx="7">
                <c:v>2719466.27</c:v>
              </c:pt>
              <c:pt idx="8">
                <c:v>2784842.55</c:v>
              </c:pt>
              <c:pt idx="9">
                <c:v>2808231.83</c:v>
              </c:pt>
              <c:pt idx="10">
                <c:v>2906702.45</c:v>
              </c:pt>
              <c:pt idx="11">
                <c:v>3329723.56</c:v>
              </c:pt>
              <c:pt idx="12">
                <c:v>2554629.69</c:v>
              </c:pt>
              <c:pt idx="13">
                <c:v>2603073.19</c:v>
              </c:pt>
              <c:pt idx="14">
                <c:v>3020304.87</c:v>
              </c:pt>
              <c:pt idx="15">
                <c:v>2978609.56</c:v>
              </c:pt>
              <c:pt idx="16">
                <c:v>3178523.56</c:v>
              </c:pt>
              <c:pt idx="17">
                <c:v>3292036.72</c:v>
              </c:pt>
              <c:pt idx="18">
                <c:v>3338223.65</c:v>
              </c:pt>
              <c:pt idx="19">
                <c:v>3548461.21</c:v>
              </c:pt>
              <c:pt idx="20">
                <c:v>3492110.1</c:v>
              </c:pt>
              <c:pt idx="21">
                <c:v>3582571.68</c:v>
              </c:pt>
              <c:pt idx="22">
                <c:v>3647309.62</c:v>
              </c:pt>
              <c:pt idx="23">
                <c:v>4205259.4400000004</c:v>
              </c:pt>
              <c:pt idx="24">
                <c:v>3299394.81</c:v>
              </c:pt>
              <c:pt idx="25">
                <c:v>3317521.77</c:v>
              </c:pt>
              <c:pt idx="26">
                <c:v>3852214.51</c:v>
              </c:pt>
              <c:pt idx="27">
                <c:v>3583511</c:v>
              </c:pt>
              <c:pt idx="28">
                <c:v>4037581.63</c:v>
              </c:pt>
              <c:pt idx="29">
                <c:v>4024066.59</c:v>
              </c:pt>
              <c:pt idx="30">
                <c:v>3854985.07</c:v>
              </c:pt>
              <c:pt idx="31">
                <c:v>4199120.97</c:v>
              </c:pt>
              <c:pt idx="32">
                <c:v>3988092.61</c:v>
              </c:pt>
              <c:pt idx="33">
                <c:v>4236227.8499999996</c:v>
              </c:pt>
              <c:pt idx="34">
                <c:v>4328061.26</c:v>
              </c:pt>
              <c:pt idx="35">
                <c:v>4654328.46</c:v>
              </c:pt>
              <c:pt idx="36">
                <c:v>3928985.56</c:v>
              </c:pt>
              <c:pt idx="37">
                <c:v>3826181.29</c:v>
              </c:pt>
              <c:pt idx="38">
                <c:v>4352429.1900000004</c:v>
              </c:pt>
              <c:pt idx="39">
                <c:v>4188920.71</c:v>
              </c:pt>
              <c:pt idx="40">
                <c:v>4683350.01</c:v>
              </c:pt>
              <c:pt idx="41">
                <c:v>4442399.8099999996</c:v>
              </c:pt>
              <c:pt idx="42">
                <c:v>4646181.5</c:v>
              </c:pt>
              <c:pt idx="43">
                <c:v>4830344.22</c:v>
              </c:pt>
              <c:pt idx="44">
                <c:v>4621876.72</c:v>
              </c:pt>
              <c:pt idx="45">
                <c:v>5017843.4400000004</c:v>
              </c:pt>
              <c:pt idx="46">
                <c:v>5113093.3499999996</c:v>
              </c:pt>
              <c:pt idx="47">
                <c:v>5429198.6100000003</c:v>
              </c:pt>
              <c:pt idx="48">
                <c:v>4683068.8499999996</c:v>
              </c:pt>
              <c:pt idx="49">
                <c:v>4763530.9400000004</c:v>
              </c:pt>
              <c:pt idx="50">
                <c:v>4905471.25</c:v>
              </c:pt>
              <c:pt idx="51">
                <c:v>5181719.29</c:v>
              </c:pt>
              <c:pt idx="52">
                <c:v>5497947.04</c:v>
              </c:pt>
              <c:pt idx="53">
                <c:v>5367255.41</c:v>
              </c:pt>
              <c:pt idx="54">
                <c:v>5823180.5700000003</c:v>
              </c:pt>
              <c:pt idx="55">
                <c:v>5661256.6900000004</c:v>
              </c:pt>
              <c:pt idx="56">
                <c:v>5870921.8700000001</c:v>
              </c:pt>
              <c:pt idx="57">
                <c:v>6229238.6100000003</c:v>
              </c:pt>
              <c:pt idx="58">
                <c:v>5924977.5800000001</c:v>
              </c:pt>
              <c:pt idx="59">
                <c:v>7191359.4000000004</c:v>
              </c:pt>
              <c:pt idx="60">
                <c:v>5557199.1100000003</c:v>
              </c:pt>
              <c:pt idx="61">
                <c:v>5580908.8300000001</c:v>
              </c:pt>
              <c:pt idx="62">
                <c:v>6394553.6900000004</c:v>
              </c:pt>
              <c:pt idx="63">
                <c:v>6395040.8499999996</c:v>
              </c:pt>
              <c:pt idx="64">
                <c:v>6569144.8499999996</c:v>
              </c:pt>
              <c:pt idx="65">
                <c:v>6910480.29</c:v>
              </c:pt>
              <c:pt idx="66">
                <c:v>7234641.2999999998</c:v>
              </c:pt>
              <c:pt idx="67">
                <c:v>7026162.2400000002</c:v>
              </c:pt>
              <c:pt idx="68">
                <c:v>7213829.9900000002</c:v>
              </c:pt>
              <c:pt idx="69">
                <c:v>7553024.1900000004</c:v>
              </c:pt>
              <c:pt idx="70">
                <c:v>7401151.9699999997</c:v>
              </c:pt>
              <c:pt idx="71">
                <c:v>8640621.8800000008</c:v>
              </c:pt>
              <c:pt idx="72">
                <c:v>6672091.4699999997</c:v>
              </c:pt>
              <c:pt idx="73">
                <c:v>6799674.1299999999</c:v>
              </c:pt>
              <c:pt idx="74">
                <c:v>8111917.79</c:v>
              </c:pt>
              <c:pt idx="75">
                <c:v>7447688.96</c:v>
              </c:pt>
              <c:pt idx="76">
                <c:v>7842405.3700000001</c:v>
              </c:pt>
              <c:pt idx="77">
                <c:v>8060605.1200000001</c:v>
              </c:pt>
              <c:pt idx="78">
                <c:v>8490471.3000000007</c:v>
              </c:pt>
              <c:pt idx="79">
                <c:v>8609889.9199999999</c:v>
              </c:pt>
              <c:pt idx="80">
                <c:v>8749445.7899999991</c:v>
              </c:pt>
              <c:pt idx="81">
                <c:v>8723414.3200000003</c:v>
              </c:pt>
              <c:pt idx="82">
                <c:v>9128675.0700000003</c:v>
              </c:pt>
              <c:pt idx="83">
                <c:v>10408234.699999999</c:v>
              </c:pt>
              <c:pt idx="84">
                <c:v>7851329.4400000004</c:v>
              </c:pt>
              <c:pt idx="85">
                <c:v>7945266.46</c:v>
              </c:pt>
              <c:pt idx="86">
                <c:v>9272514.5999999996</c:v>
              </c:pt>
              <c:pt idx="87">
                <c:v>8726543.0600000005</c:v>
              </c:pt>
              <c:pt idx="88">
                <c:v>9635730.5500000007</c:v>
              </c:pt>
              <c:pt idx="89">
                <c:v>9559341.8100000005</c:v>
              </c:pt>
              <c:pt idx="90">
                <c:v>9522541.0899999999</c:v>
              </c:pt>
              <c:pt idx="91">
                <c:v>10248169.060000001</c:v>
              </c:pt>
              <c:pt idx="92">
                <c:v>9997187.5500000007</c:v>
              </c:pt>
              <c:pt idx="93">
                <c:v>10002932.199999999</c:v>
              </c:pt>
              <c:pt idx="94">
                <c:v>10439585.35</c:v>
              </c:pt>
              <c:pt idx="95">
                <c:v>11754590.16</c:v>
              </c:pt>
              <c:pt idx="96">
                <c:v>8848335.4499999993</c:v>
              </c:pt>
              <c:pt idx="97">
                <c:v>9399218.3200000003</c:v>
              </c:pt>
              <c:pt idx="98">
                <c:v>10602155.539999999</c:v>
              </c:pt>
              <c:pt idx="99">
                <c:v>7964999.8499999996</c:v>
              </c:pt>
              <c:pt idx="100">
                <c:v>9061703.2300000004</c:v>
              </c:pt>
              <c:pt idx="101">
                <c:v>8608562.9199999999</c:v>
              </c:pt>
              <c:pt idx="102">
                <c:v>8983922.0399999991</c:v>
              </c:pt>
            </c:numLit>
          </c:val>
        </c:ser>
        <c:ser>
          <c:idx val="3"/>
          <c:order val="3"/>
          <c:tx>
            <c:v>PALIPERIDONE</c:v>
          </c:tx>
          <c:spPr>
            <a:ln w="25400">
              <a:noFill/>
            </a:ln>
          </c:spPr>
          <c:cat>
            <c:strLit>
              <c:ptCount val="103"/>
              <c:pt idx="0">
                <c:v>Jan-04</c:v>
              </c:pt>
              <c:pt idx="1">
                <c:v>Feb-04</c:v>
              </c:pt>
              <c:pt idx="2">
                <c:v>Mar-04</c:v>
              </c:pt>
              <c:pt idx="3">
                <c:v>Apr-04</c:v>
              </c:pt>
              <c:pt idx="4">
                <c:v>May-04</c:v>
              </c:pt>
              <c:pt idx="5">
                <c:v>Jun-04</c:v>
              </c:pt>
              <c:pt idx="6">
                <c:v>Jul-04</c:v>
              </c:pt>
              <c:pt idx="7">
                <c:v>Aug-04</c:v>
              </c:pt>
              <c:pt idx="8">
                <c:v>Sep-04</c:v>
              </c:pt>
              <c:pt idx="9">
                <c:v>Oct-04</c:v>
              </c:pt>
              <c:pt idx="10">
                <c:v>Nov-04</c:v>
              </c:pt>
              <c:pt idx="11">
                <c:v>Dec-04</c:v>
              </c:pt>
              <c:pt idx="12">
                <c:v>Jan-05</c:v>
              </c:pt>
              <c:pt idx="13">
                <c:v>Feb-05</c:v>
              </c:pt>
              <c:pt idx="14">
                <c:v>Mar-05</c:v>
              </c:pt>
              <c:pt idx="15">
                <c:v>Apr-05</c:v>
              </c:pt>
              <c:pt idx="16">
                <c:v>May-05</c:v>
              </c:pt>
              <c:pt idx="17">
                <c:v>Jun-05</c:v>
              </c:pt>
              <c:pt idx="18">
                <c:v>Jul-05</c:v>
              </c:pt>
              <c:pt idx="19">
                <c:v>Aug-05</c:v>
              </c:pt>
              <c:pt idx="20">
                <c:v>Sep-05</c:v>
              </c:pt>
              <c:pt idx="21">
                <c:v>Oct-05</c:v>
              </c:pt>
              <c:pt idx="22">
                <c:v>Nov-05</c:v>
              </c:pt>
              <c:pt idx="23">
                <c:v>Dec-05</c:v>
              </c:pt>
              <c:pt idx="24">
                <c:v>Jan-06</c:v>
              </c:pt>
              <c:pt idx="25">
                <c:v>Feb-06</c:v>
              </c:pt>
              <c:pt idx="26">
                <c:v>Mar-06</c:v>
              </c:pt>
              <c:pt idx="27">
                <c:v>Apr-06</c:v>
              </c:pt>
              <c:pt idx="28">
                <c:v>May-06</c:v>
              </c:pt>
              <c:pt idx="29">
                <c:v>Jun-06</c:v>
              </c:pt>
              <c:pt idx="30">
                <c:v>Jul-06</c:v>
              </c:pt>
              <c:pt idx="31">
                <c:v>Aug-06</c:v>
              </c:pt>
              <c:pt idx="32">
                <c:v>Sep-06</c:v>
              </c:pt>
              <c:pt idx="33">
                <c:v>Oct-06</c:v>
              </c:pt>
              <c:pt idx="34">
                <c:v>Nov-06</c:v>
              </c:pt>
              <c:pt idx="35">
                <c:v>Dec-06</c:v>
              </c:pt>
              <c:pt idx="36">
                <c:v>Jan-07</c:v>
              </c:pt>
              <c:pt idx="37">
                <c:v>Feb-07</c:v>
              </c:pt>
              <c:pt idx="38">
                <c:v>Mar-07</c:v>
              </c:pt>
              <c:pt idx="39">
                <c:v>Apr-07</c:v>
              </c:pt>
              <c:pt idx="40">
                <c:v>May-07</c:v>
              </c:pt>
              <c:pt idx="41">
                <c:v>Jun-07</c:v>
              </c:pt>
              <c:pt idx="42">
                <c:v>Jul-07</c:v>
              </c:pt>
              <c:pt idx="43">
                <c:v>Aug-07</c:v>
              </c:pt>
              <c:pt idx="44">
                <c:v>Sep-07</c:v>
              </c:pt>
              <c:pt idx="45">
                <c:v>Oct-07</c:v>
              </c:pt>
              <c:pt idx="46">
                <c:v>Nov-07</c:v>
              </c:pt>
              <c:pt idx="47">
                <c:v>Dec-07</c:v>
              </c:pt>
              <c:pt idx="48">
                <c:v>Jan-08</c:v>
              </c:pt>
              <c:pt idx="49">
                <c:v>Feb-08</c:v>
              </c:pt>
              <c:pt idx="50">
                <c:v>Mar-08</c:v>
              </c:pt>
              <c:pt idx="51">
                <c:v>Apr-08</c:v>
              </c:pt>
              <c:pt idx="52">
                <c:v>May-08</c:v>
              </c:pt>
              <c:pt idx="53">
                <c:v>Jun-08</c:v>
              </c:pt>
              <c:pt idx="54">
                <c:v>Jul-08</c:v>
              </c:pt>
              <c:pt idx="55">
                <c:v>Aug-08</c:v>
              </c:pt>
              <c:pt idx="56">
                <c:v>Sep-08</c:v>
              </c:pt>
              <c:pt idx="57">
                <c:v>Oct-08</c:v>
              </c:pt>
              <c:pt idx="58">
                <c:v>Nov-08</c:v>
              </c:pt>
              <c:pt idx="59">
                <c:v>Dec-08</c:v>
              </c:pt>
              <c:pt idx="60">
                <c:v>Jan-09</c:v>
              </c:pt>
              <c:pt idx="61">
                <c:v>Feb-09</c:v>
              </c:pt>
              <c:pt idx="62">
                <c:v>Mar-09</c:v>
              </c:pt>
              <c:pt idx="63">
                <c:v>Apr-09</c:v>
              </c:pt>
              <c:pt idx="64">
                <c:v>May-09</c:v>
              </c:pt>
              <c:pt idx="65">
                <c:v>Jun-09</c:v>
              </c:pt>
              <c:pt idx="66">
                <c:v>Jul-09</c:v>
              </c:pt>
              <c:pt idx="67">
                <c:v>Aug-09</c:v>
              </c:pt>
              <c:pt idx="68">
                <c:v>Sep-09</c:v>
              </c:pt>
              <c:pt idx="69">
                <c:v>Oct-09</c:v>
              </c:pt>
              <c:pt idx="70">
                <c:v>Nov-09</c:v>
              </c:pt>
              <c:pt idx="71">
                <c:v>Dec-09</c:v>
              </c:pt>
              <c:pt idx="72">
                <c:v>Jan-10</c:v>
              </c:pt>
              <c:pt idx="73">
                <c:v>Feb-10</c:v>
              </c:pt>
              <c:pt idx="74">
                <c:v>Mar-10</c:v>
              </c:pt>
              <c:pt idx="75">
                <c:v>Apr-10</c:v>
              </c:pt>
              <c:pt idx="76">
                <c:v>May-10</c:v>
              </c:pt>
              <c:pt idx="77">
                <c:v>Jun-10</c:v>
              </c:pt>
              <c:pt idx="78">
                <c:v>Jul-10</c:v>
              </c:pt>
              <c:pt idx="79">
                <c:v>Aug-10</c:v>
              </c:pt>
              <c:pt idx="80">
                <c:v>Sep-10</c:v>
              </c:pt>
              <c:pt idx="81">
                <c:v>Oct-10</c:v>
              </c:pt>
              <c:pt idx="82">
                <c:v>Nov-10</c:v>
              </c:pt>
              <c:pt idx="83">
                <c:v>Dec-10</c:v>
              </c:pt>
              <c:pt idx="84">
                <c:v>Jan-11</c:v>
              </c:pt>
              <c:pt idx="85">
                <c:v>Feb-11</c:v>
              </c:pt>
              <c:pt idx="86">
                <c:v>Mar-11</c:v>
              </c:pt>
              <c:pt idx="87">
                <c:v>Apr-11</c:v>
              </c:pt>
              <c:pt idx="88">
                <c:v>May-11</c:v>
              </c:pt>
              <c:pt idx="89">
                <c:v>Jun-11</c:v>
              </c:pt>
              <c:pt idx="90">
                <c:v>Jul-11</c:v>
              </c:pt>
              <c:pt idx="91">
                <c:v>Aug-11</c:v>
              </c:pt>
              <c:pt idx="92">
                <c:v>Sep-11</c:v>
              </c:pt>
              <c:pt idx="93">
                <c:v>Oct-11</c:v>
              </c:pt>
              <c:pt idx="94">
                <c:v>Nov-11</c:v>
              </c:pt>
              <c:pt idx="95">
                <c:v>Dec-11</c:v>
              </c:pt>
              <c:pt idx="96">
                <c:v>Jan-12</c:v>
              </c:pt>
              <c:pt idx="97">
                <c:v>Feb-12</c:v>
              </c:pt>
              <c:pt idx="98">
                <c:v>Mar-12</c:v>
              </c:pt>
              <c:pt idx="99">
                <c:v>Apr-12</c:v>
              </c:pt>
              <c:pt idx="100">
                <c:v>May-12</c:v>
              </c:pt>
              <c:pt idx="101">
                <c:v>Jun-12</c:v>
              </c:pt>
              <c:pt idx="102">
                <c:v>Jul-12</c:v>
              </c:pt>
            </c:strLit>
          </c:cat>
          <c:val>
            <c:numLit>
              <c:formatCode>General</c:formatCode>
              <c:ptCount val="10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24690.400000000001</c:v>
              </c:pt>
              <c:pt idx="52">
                <c:v>81680.450000000012</c:v>
              </c:pt>
              <c:pt idx="53">
                <c:v>123872.62</c:v>
              </c:pt>
              <c:pt idx="54">
                <c:v>191961.30999999991</c:v>
              </c:pt>
              <c:pt idx="55">
                <c:v>224670.41</c:v>
              </c:pt>
              <c:pt idx="56">
                <c:v>264432.94000000012</c:v>
              </c:pt>
              <c:pt idx="57">
                <c:v>332769.9200000001</c:v>
              </c:pt>
              <c:pt idx="58">
                <c:v>324298.8299999999</c:v>
              </c:pt>
              <c:pt idx="59">
                <c:v>401155.60000000021</c:v>
              </c:pt>
              <c:pt idx="60">
                <c:v>351944.94</c:v>
              </c:pt>
              <c:pt idx="61">
                <c:v>351567.92</c:v>
              </c:pt>
              <c:pt idx="62">
                <c:v>407146.67</c:v>
              </c:pt>
              <c:pt idx="63">
                <c:v>418656.32</c:v>
              </c:pt>
              <c:pt idx="64">
                <c:v>447593.87000000011</c:v>
              </c:pt>
              <c:pt idx="65">
                <c:v>462414.56000000011</c:v>
              </c:pt>
              <c:pt idx="66">
                <c:v>508587.19</c:v>
              </c:pt>
              <c:pt idx="67">
                <c:v>355899.03</c:v>
              </c:pt>
              <c:pt idx="68">
                <c:v>362231.84</c:v>
              </c:pt>
              <c:pt idx="69">
                <c:v>395092.0400000001</c:v>
              </c:pt>
              <c:pt idx="70">
                <c:v>390688.1999999999</c:v>
              </c:pt>
              <c:pt idx="71">
                <c:v>443948.5</c:v>
              </c:pt>
              <c:pt idx="72">
                <c:v>367763.46</c:v>
              </c:pt>
              <c:pt idx="73">
                <c:v>385324.76</c:v>
              </c:pt>
              <c:pt idx="74">
                <c:v>445269.65</c:v>
              </c:pt>
              <c:pt idx="75">
                <c:v>396913.26</c:v>
              </c:pt>
              <c:pt idx="76">
                <c:v>416321.09</c:v>
              </c:pt>
              <c:pt idx="77">
                <c:v>431483.99</c:v>
              </c:pt>
              <c:pt idx="78">
                <c:v>445210.86</c:v>
              </c:pt>
              <c:pt idx="79">
                <c:v>434980.24</c:v>
              </c:pt>
              <c:pt idx="80">
                <c:v>443807.45</c:v>
              </c:pt>
              <c:pt idx="81">
                <c:v>428869.82</c:v>
              </c:pt>
              <c:pt idx="82">
                <c:v>452172.68</c:v>
              </c:pt>
              <c:pt idx="83">
                <c:v>487357.22000000009</c:v>
              </c:pt>
              <c:pt idx="84">
                <c:v>401570.86</c:v>
              </c:pt>
              <c:pt idx="85">
                <c:v>399841.13</c:v>
              </c:pt>
              <c:pt idx="86">
                <c:v>460819.89000000007</c:v>
              </c:pt>
              <c:pt idx="87">
                <c:v>431932.51</c:v>
              </c:pt>
              <c:pt idx="88">
                <c:v>466692.81999999989</c:v>
              </c:pt>
              <c:pt idx="89">
                <c:v>468497.41</c:v>
              </c:pt>
              <c:pt idx="90">
                <c:v>466867.71</c:v>
              </c:pt>
              <c:pt idx="91">
                <c:v>492095.81999999989</c:v>
              </c:pt>
              <c:pt idx="92">
                <c:v>489522.29</c:v>
              </c:pt>
              <c:pt idx="93">
                <c:v>465942.83000000007</c:v>
              </c:pt>
              <c:pt idx="94">
                <c:v>493133.82000000012</c:v>
              </c:pt>
              <c:pt idx="95">
                <c:v>1211431.82</c:v>
              </c:pt>
              <c:pt idx="96">
                <c:v>1367477.43</c:v>
              </c:pt>
              <c:pt idx="97">
                <c:v>1581393.94</c:v>
              </c:pt>
              <c:pt idx="98">
                <c:v>1906921.55</c:v>
              </c:pt>
              <c:pt idx="99">
                <c:v>1875756.74</c:v>
              </c:pt>
              <c:pt idx="100">
                <c:v>2314658.31</c:v>
              </c:pt>
              <c:pt idx="101">
                <c:v>2271785.44</c:v>
              </c:pt>
              <c:pt idx="102">
                <c:v>2470648.27</c:v>
              </c:pt>
            </c:numLit>
          </c:val>
        </c:ser>
        <c:ser>
          <c:idx val="4"/>
          <c:order val="4"/>
          <c:tx>
            <c:v>OLANZAPINE</c:v>
          </c:tx>
          <c:spPr>
            <a:ln w="25400">
              <a:noFill/>
            </a:ln>
          </c:spPr>
          <c:cat>
            <c:strLit>
              <c:ptCount val="103"/>
              <c:pt idx="0">
                <c:v>Jan-04</c:v>
              </c:pt>
              <c:pt idx="1">
                <c:v>Feb-04</c:v>
              </c:pt>
              <c:pt idx="2">
                <c:v>Mar-04</c:v>
              </c:pt>
              <c:pt idx="3">
                <c:v>Apr-04</c:v>
              </c:pt>
              <c:pt idx="4">
                <c:v>May-04</c:v>
              </c:pt>
              <c:pt idx="5">
                <c:v>Jun-04</c:v>
              </c:pt>
              <c:pt idx="6">
                <c:v>Jul-04</c:v>
              </c:pt>
              <c:pt idx="7">
                <c:v>Aug-04</c:v>
              </c:pt>
              <c:pt idx="8">
                <c:v>Sep-04</c:v>
              </c:pt>
              <c:pt idx="9">
                <c:v>Oct-04</c:v>
              </c:pt>
              <c:pt idx="10">
                <c:v>Nov-04</c:v>
              </c:pt>
              <c:pt idx="11">
                <c:v>Dec-04</c:v>
              </c:pt>
              <c:pt idx="12">
                <c:v>Jan-05</c:v>
              </c:pt>
              <c:pt idx="13">
                <c:v>Feb-05</c:v>
              </c:pt>
              <c:pt idx="14">
                <c:v>Mar-05</c:v>
              </c:pt>
              <c:pt idx="15">
                <c:v>Apr-05</c:v>
              </c:pt>
              <c:pt idx="16">
                <c:v>May-05</c:v>
              </c:pt>
              <c:pt idx="17">
                <c:v>Jun-05</c:v>
              </c:pt>
              <c:pt idx="18">
                <c:v>Jul-05</c:v>
              </c:pt>
              <c:pt idx="19">
                <c:v>Aug-05</c:v>
              </c:pt>
              <c:pt idx="20">
                <c:v>Sep-05</c:v>
              </c:pt>
              <c:pt idx="21">
                <c:v>Oct-05</c:v>
              </c:pt>
              <c:pt idx="22">
                <c:v>Nov-05</c:v>
              </c:pt>
              <c:pt idx="23">
                <c:v>Dec-05</c:v>
              </c:pt>
              <c:pt idx="24">
                <c:v>Jan-06</c:v>
              </c:pt>
              <c:pt idx="25">
                <c:v>Feb-06</c:v>
              </c:pt>
              <c:pt idx="26">
                <c:v>Mar-06</c:v>
              </c:pt>
              <c:pt idx="27">
                <c:v>Apr-06</c:v>
              </c:pt>
              <c:pt idx="28">
                <c:v>May-06</c:v>
              </c:pt>
              <c:pt idx="29">
                <c:v>Jun-06</c:v>
              </c:pt>
              <c:pt idx="30">
                <c:v>Jul-06</c:v>
              </c:pt>
              <c:pt idx="31">
                <c:v>Aug-06</c:v>
              </c:pt>
              <c:pt idx="32">
                <c:v>Sep-06</c:v>
              </c:pt>
              <c:pt idx="33">
                <c:v>Oct-06</c:v>
              </c:pt>
              <c:pt idx="34">
                <c:v>Nov-06</c:v>
              </c:pt>
              <c:pt idx="35">
                <c:v>Dec-06</c:v>
              </c:pt>
              <c:pt idx="36">
                <c:v>Jan-07</c:v>
              </c:pt>
              <c:pt idx="37">
                <c:v>Feb-07</c:v>
              </c:pt>
              <c:pt idx="38">
                <c:v>Mar-07</c:v>
              </c:pt>
              <c:pt idx="39">
                <c:v>Apr-07</c:v>
              </c:pt>
              <c:pt idx="40">
                <c:v>May-07</c:v>
              </c:pt>
              <c:pt idx="41">
                <c:v>Jun-07</c:v>
              </c:pt>
              <c:pt idx="42">
                <c:v>Jul-07</c:v>
              </c:pt>
              <c:pt idx="43">
                <c:v>Aug-07</c:v>
              </c:pt>
              <c:pt idx="44">
                <c:v>Sep-07</c:v>
              </c:pt>
              <c:pt idx="45">
                <c:v>Oct-07</c:v>
              </c:pt>
              <c:pt idx="46">
                <c:v>Nov-07</c:v>
              </c:pt>
              <c:pt idx="47">
                <c:v>Dec-07</c:v>
              </c:pt>
              <c:pt idx="48">
                <c:v>Jan-08</c:v>
              </c:pt>
              <c:pt idx="49">
                <c:v>Feb-08</c:v>
              </c:pt>
              <c:pt idx="50">
                <c:v>Mar-08</c:v>
              </c:pt>
              <c:pt idx="51">
                <c:v>Apr-08</c:v>
              </c:pt>
              <c:pt idx="52">
                <c:v>May-08</c:v>
              </c:pt>
              <c:pt idx="53">
                <c:v>Jun-08</c:v>
              </c:pt>
              <c:pt idx="54">
                <c:v>Jul-08</c:v>
              </c:pt>
              <c:pt idx="55">
                <c:v>Aug-08</c:v>
              </c:pt>
              <c:pt idx="56">
                <c:v>Sep-08</c:v>
              </c:pt>
              <c:pt idx="57">
                <c:v>Oct-08</c:v>
              </c:pt>
              <c:pt idx="58">
                <c:v>Nov-08</c:v>
              </c:pt>
              <c:pt idx="59">
                <c:v>Dec-08</c:v>
              </c:pt>
              <c:pt idx="60">
                <c:v>Jan-09</c:v>
              </c:pt>
              <c:pt idx="61">
                <c:v>Feb-09</c:v>
              </c:pt>
              <c:pt idx="62">
                <c:v>Mar-09</c:v>
              </c:pt>
              <c:pt idx="63">
                <c:v>Apr-09</c:v>
              </c:pt>
              <c:pt idx="64">
                <c:v>May-09</c:v>
              </c:pt>
              <c:pt idx="65">
                <c:v>Jun-09</c:v>
              </c:pt>
              <c:pt idx="66">
                <c:v>Jul-09</c:v>
              </c:pt>
              <c:pt idx="67">
                <c:v>Aug-09</c:v>
              </c:pt>
              <c:pt idx="68">
                <c:v>Sep-09</c:v>
              </c:pt>
              <c:pt idx="69">
                <c:v>Oct-09</c:v>
              </c:pt>
              <c:pt idx="70">
                <c:v>Nov-09</c:v>
              </c:pt>
              <c:pt idx="71">
                <c:v>Dec-09</c:v>
              </c:pt>
              <c:pt idx="72">
                <c:v>Jan-10</c:v>
              </c:pt>
              <c:pt idx="73">
                <c:v>Feb-10</c:v>
              </c:pt>
              <c:pt idx="74">
                <c:v>Mar-10</c:v>
              </c:pt>
              <c:pt idx="75">
                <c:v>Apr-10</c:v>
              </c:pt>
              <c:pt idx="76">
                <c:v>May-10</c:v>
              </c:pt>
              <c:pt idx="77">
                <c:v>Jun-10</c:v>
              </c:pt>
              <c:pt idx="78">
                <c:v>Jul-10</c:v>
              </c:pt>
              <c:pt idx="79">
                <c:v>Aug-10</c:v>
              </c:pt>
              <c:pt idx="80">
                <c:v>Sep-10</c:v>
              </c:pt>
              <c:pt idx="81">
                <c:v>Oct-10</c:v>
              </c:pt>
              <c:pt idx="82">
                <c:v>Nov-10</c:v>
              </c:pt>
              <c:pt idx="83">
                <c:v>Dec-10</c:v>
              </c:pt>
              <c:pt idx="84">
                <c:v>Jan-11</c:v>
              </c:pt>
              <c:pt idx="85">
                <c:v>Feb-11</c:v>
              </c:pt>
              <c:pt idx="86">
                <c:v>Mar-11</c:v>
              </c:pt>
              <c:pt idx="87">
                <c:v>Apr-11</c:v>
              </c:pt>
              <c:pt idx="88">
                <c:v>May-11</c:v>
              </c:pt>
              <c:pt idx="89">
                <c:v>Jun-11</c:v>
              </c:pt>
              <c:pt idx="90">
                <c:v>Jul-11</c:v>
              </c:pt>
              <c:pt idx="91">
                <c:v>Aug-11</c:v>
              </c:pt>
              <c:pt idx="92">
                <c:v>Sep-11</c:v>
              </c:pt>
              <c:pt idx="93">
                <c:v>Oct-11</c:v>
              </c:pt>
              <c:pt idx="94">
                <c:v>Nov-11</c:v>
              </c:pt>
              <c:pt idx="95">
                <c:v>Dec-11</c:v>
              </c:pt>
              <c:pt idx="96">
                <c:v>Jan-12</c:v>
              </c:pt>
              <c:pt idx="97">
                <c:v>Feb-12</c:v>
              </c:pt>
              <c:pt idx="98">
                <c:v>Mar-12</c:v>
              </c:pt>
              <c:pt idx="99">
                <c:v>Apr-12</c:v>
              </c:pt>
              <c:pt idx="100">
                <c:v>May-12</c:v>
              </c:pt>
              <c:pt idx="101">
                <c:v>Jun-12</c:v>
              </c:pt>
              <c:pt idx="102">
                <c:v>Jul-12</c:v>
              </c:pt>
            </c:strLit>
          </c:cat>
          <c:val>
            <c:numLit>
              <c:formatCode>General</c:formatCode>
              <c:ptCount val="103"/>
              <c:pt idx="0">
                <c:v>11738799.130000001</c:v>
              </c:pt>
              <c:pt idx="1">
                <c:v>11606281.439999999</c:v>
              </c:pt>
              <c:pt idx="2">
                <c:v>12995274.810000001</c:v>
              </c:pt>
              <c:pt idx="3">
                <c:v>12256730.710000001</c:v>
              </c:pt>
              <c:pt idx="4">
                <c:v>12449448.5</c:v>
              </c:pt>
              <c:pt idx="5">
                <c:v>12550681.460000001</c:v>
              </c:pt>
              <c:pt idx="6">
                <c:v>12822802.470000001</c:v>
              </c:pt>
              <c:pt idx="7">
                <c:v>12610921.960000001</c:v>
              </c:pt>
              <c:pt idx="8">
                <c:v>12589362.300000001</c:v>
              </c:pt>
              <c:pt idx="9">
                <c:v>12395449.859999999</c:v>
              </c:pt>
              <c:pt idx="10">
                <c:v>12727680.109999999</c:v>
              </c:pt>
              <c:pt idx="11">
                <c:v>14049749.85</c:v>
              </c:pt>
              <c:pt idx="12">
                <c:v>11240377.48</c:v>
              </c:pt>
              <c:pt idx="13">
                <c:v>11169261.289999999</c:v>
              </c:pt>
              <c:pt idx="14">
                <c:v>12549240.01</c:v>
              </c:pt>
              <c:pt idx="15">
                <c:v>12081614.689999999</c:v>
              </c:pt>
              <c:pt idx="16">
                <c:v>12634863.060000001</c:v>
              </c:pt>
              <c:pt idx="17">
                <c:v>12671289.75</c:v>
              </c:pt>
              <c:pt idx="18">
                <c:v>12691910.810000001</c:v>
              </c:pt>
              <c:pt idx="19">
                <c:v>13192651.73</c:v>
              </c:pt>
              <c:pt idx="20">
                <c:v>12829538.199999999</c:v>
              </c:pt>
              <c:pt idx="21">
                <c:v>12735682.109999999</c:v>
              </c:pt>
              <c:pt idx="22">
                <c:v>13043024.359999999</c:v>
              </c:pt>
              <c:pt idx="23">
                <c:v>14138297.560000001</c:v>
              </c:pt>
              <c:pt idx="24">
                <c:v>11871706.65</c:v>
              </c:pt>
              <c:pt idx="25">
                <c:v>11698272.390000001</c:v>
              </c:pt>
              <c:pt idx="26">
                <c:v>13364999.18</c:v>
              </c:pt>
              <c:pt idx="27">
                <c:v>12045131.77</c:v>
              </c:pt>
              <c:pt idx="28">
                <c:v>13751529.65</c:v>
              </c:pt>
              <c:pt idx="29">
                <c:v>13354570.27</c:v>
              </c:pt>
              <c:pt idx="30">
                <c:v>12697539.76</c:v>
              </c:pt>
              <c:pt idx="31">
                <c:v>13517771.75</c:v>
              </c:pt>
              <c:pt idx="32">
                <c:v>12768268.66</c:v>
              </c:pt>
              <c:pt idx="33">
                <c:v>13252179.560000001</c:v>
              </c:pt>
              <c:pt idx="34">
                <c:v>13464495.82</c:v>
              </c:pt>
              <c:pt idx="35">
                <c:v>13949671.789999999</c:v>
              </c:pt>
              <c:pt idx="36">
                <c:v>12546427.939999999</c:v>
              </c:pt>
              <c:pt idx="37">
                <c:v>12000513.390000001</c:v>
              </c:pt>
              <c:pt idx="38">
                <c:v>13794812.65</c:v>
              </c:pt>
              <c:pt idx="39">
                <c:v>12734498.130000001</c:v>
              </c:pt>
              <c:pt idx="40">
                <c:v>13927747.93</c:v>
              </c:pt>
              <c:pt idx="41">
                <c:v>13077760.619999999</c:v>
              </c:pt>
              <c:pt idx="42">
                <c:v>13245893.66</c:v>
              </c:pt>
              <c:pt idx="43">
                <c:v>13669401.68</c:v>
              </c:pt>
              <c:pt idx="44">
                <c:v>12602562.51</c:v>
              </c:pt>
              <c:pt idx="45">
                <c:v>13658075.73</c:v>
              </c:pt>
              <c:pt idx="46">
                <c:v>13588241.470000001</c:v>
              </c:pt>
              <c:pt idx="47">
                <c:v>13990597.460000001</c:v>
              </c:pt>
              <c:pt idx="48">
                <c:v>12657073.68</c:v>
              </c:pt>
              <c:pt idx="49">
                <c:v>12652816.6</c:v>
              </c:pt>
              <c:pt idx="50">
                <c:v>12768179.640000001</c:v>
              </c:pt>
              <c:pt idx="51">
                <c:v>13011288.09</c:v>
              </c:pt>
              <c:pt idx="52">
                <c:v>13679631</c:v>
              </c:pt>
              <c:pt idx="53">
                <c:v>12960806.640000001</c:v>
              </c:pt>
              <c:pt idx="54">
                <c:v>13911097.449999999</c:v>
              </c:pt>
              <c:pt idx="55">
                <c:v>13225820.24</c:v>
              </c:pt>
              <c:pt idx="56">
                <c:v>13622820.4</c:v>
              </c:pt>
              <c:pt idx="57">
                <c:v>14231859.289999999</c:v>
              </c:pt>
              <c:pt idx="58">
                <c:v>13173082.49</c:v>
              </c:pt>
              <c:pt idx="59">
                <c:v>14839841.85</c:v>
              </c:pt>
              <c:pt idx="60">
                <c:v>12158633.68</c:v>
              </c:pt>
              <c:pt idx="61">
                <c:v>11921946.57</c:v>
              </c:pt>
              <c:pt idx="62">
                <c:v>13226677.66</c:v>
              </c:pt>
              <c:pt idx="63">
                <c:v>13035051.699999999</c:v>
              </c:pt>
              <c:pt idx="64">
                <c:v>13082834.789999999</c:v>
              </c:pt>
              <c:pt idx="65">
                <c:v>13214322.16</c:v>
              </c:pt>
              <c:pt idx="66">
                <c:v>13784952.789999999</c:v>
              </c:pt>
              <c:pt idx="67">
                <c:v>13276706.779999999</c:v>
              </c:pt>
              <c:pt idx="68">
                <c:v>13539601.4</c:v>
              </c:pt>
              <c:pt idx="69">
                <c:v>13808278.18</c:v>
              </c:pt>
              <c:pt idx="70">
                <c:v>13140510.060000001</c:v>
              </c:pt>
              <c:pt idx="71">
                <c:v>14907471.93</c:v>
              </c:pt>
              <c:pt idx="72">
                <c:v>12081161.050000001</c:v>
              </c:pt>
              <c:pt idx="73">
                <c:v>12161775.869999999</c:v>
              </c:pt>
              <c:pt idx="74">
                <c:v>14042057.24</c:v>
              </c:pt>
              <c:pt idx="75">
                <c:v>12884218.52</c:v>
              </c:pt>
              <c:pt idx="76">
                <c:v>13254987.66</c:v>
              </c:pt>
              <c:pt idx="77">
                <c:v>13302274.16</c:v>
              </c:pt>
              <c:pt idx="78">
                <c:v>13706478.630000001</c:v>
              </c:pt>
              <c:pt idx="79">
                <c:v>13669975.789999999</c:v>
              </c:pt>
              <c:pt idx="80">
                <c:v>13716295.890000001</c:v>
              </c:pt>
              <c:pt idx="81">
                <c:v>13555741.630000001</c:v>
              </c:pt>
              <c:pt idx="82">
                <c:v>13933803.75</c:v>
              </c:pt>
              <c:pt idx="83">
                <c:v>15286866.189999999</c:v>
              </c:pt>
              <c:pt idx="84">
                <c:v>12292751.140000001</c:v>
              </c:pt>
              <c:pt idx="85">
                <c:v>12311920.449999999</c:v>
              </c:pt>
              <c:pt idx="86">
                <c:v>14045725.529999999</c:v>
              </c:pt>
              <c:pt idx="87">
                <c:v>12928002.640000001</c:v>
              </c:pt>
              <c:pt idx="88">
                <c:v>13958208.380000001</c:v>
              </c:pt>
              <c:pt idx="89">
                <c:v>13786526.77</c:v>
              </c:pt>
              <c:pt idx="90">
                <c:v>13693474.300000001</c:v>
              </c:pt>
              <c:pt idx="91">
                <c:v>14553663.43</c:v>
              </c:pt>
              <c:pt idx="92">
                <c:v>14092753.6</c:v>
              </c:pt>
              <c:pt idx="93">
                <c:v>13936002.65</c:v>
              </c:pt>
              <c:pt idx="94">
                <c:v>14340282.699999999</c:v>
              </c:pt>
              <c:pt idx="95">
                <c:v>15575603.300000001</c:v>
              </c:pt>
              <c:pt idx="96">
                <c:v>12683728.710000001</c:v>
              </c:pt>
              <c:pt idx="97">
                <c:v>13204655.199999999</c:v>
              </c:pt>
              <c:pt idx="98">
                <c:v>14588387.57</c:v>
              </c:pt>
              <c:pt idx="99">
                <c:v>10687038.369999999</c:v>
              </c:pt>
              <c:pt idx="100">
                <c:v>12238875.33</c:v>
              </c:pt>
              <c:pt idx="101">
                <c:v>11493983.92</c:v>
              </c:pt>
              <c:pt idx="102">
                <c:v>11802185.16</c:v>
              </c:pt>
            </c:numLit>
          </c:val>
        </c:ser>
        <c:ser>
          <c:idx val="5"/>
          <c:order val="5"/>
          <c:tx>
            <c:v>CLOZAPINE</c:v>
          </c:tx>
          <c:spPr>
            <a:ln w="25400">
              <a:noFill/>
            </a:ln>
          </c:spPr>
          <c:cat>
            <c:strLit>
              <c:ptCount val="103"/>
              <c:pt idx="0">
                <c:v>Jan-04</c:v>
              </c:pt>
              <c:pt idx="1">
                <c:v>Feb-04</c:v>
              </c:pt>
              <c:pt idx="2">
                <c:v>Mar-04</c:v>
              </c:pt>
              <c:pt idx="3">
                <c:v>Apr-04</c:v>
              </c:pt>
              <c:pt idx="4">
                <c:v>May-04</c:v>
              </c:pt>
              <c:pt idx="5">
                <c:v>Jun-04</c:v>
              </c:pt>
              <c:pt idx="6">
                <c:v>Jul-04</c:v>
              </c:pt>
              <c:pt idx="7">
                <c:v>Aug-04</c:v>
              </c:pt>
              <c:pt idx="8">
                <c:v>Sep-04</c:v>
              </c:pt>
              <c:pt idx="9">
                <c:v>Oct-04</c:v>
              </c:pt>
              <c:pt idx="10">
                <c:v>Nov-04</c:v>
              </c:pt>
              <c:pt idx="11">
                <c:v>Dec-04</c:v>
              </c:pt>
              <c:pt idx="12">
                <c:v>Jan-05</c:v>
              </c:pt>
              <c:pt idx="13">
                <c:v>Feb-05</c:v>
              </c:pt>
              <c:pt idx="14">
                <c:v>Mar-05</c:v>
              </c:pt>
              <c:pt idx="15">
                <c:v>Apr-05</c:v>
              </c:pt>
              <c:pt idx="16">
                <c:v>May-05</c:v>
              </c:pt>
              <c:pt idx="17">
                <c:v>Jun-05</c:v>
              </c:pt>
              <c:pt idx="18">
                <c:v>Jul-05</c:v>
              </c:pt>
              <c:pt idx="19">
                <c:v>Aug-05</c:v>
              </c:pt>
              <c:pt idx="20">
                <c:v>Sep-05</c:v>
              </c:pt>
              <c:pt idx="21">
                <c:v>Oct-05</c:v>
              </c:pt>
              <c:pt idx="22">
                <c:v>Nov-05</c:v>
              </c:pt>
              <c:pt idx="23">
                <c:v>Dec-05</c:v>
              </c:pt>
              <c:pt idx="24">
                <c:v>Jan-06</c:v>
              </c:pt>
              <c:pt idx="25">
                <c:v>Feb-06</c:v>
              </c:pt>
              <c:pt idx="26">
                <c:v>Mar-06</c:v>
              </c:pt>
              <c:pt idx="27">
                <c:v>Apr-06</c:v>
              </c:pt>
              <c:pt idx="28">
                <c:v>May-06</c:v>
              </c:pt>
              <c:pt idx="29">
                <c:v>Jun-06</c:v>
              </c:pt>
              <c:pt idx="30">
                <c:v>Jul-06</c:v>
              </c:pt>
              <c:pt idx="31">
                <c:v>Aug-06</c:v>
              </c:pt>
              <c:pt idx="32">
                <c:v>Sep-06</c:v>
              </c:pt>
              <c:pt idx="33">
                <c:v>Oct-06</c:v>
              </c:pt>
              <c:pt idx="34">
                <c:v>Nov-06</c:v>
              </c:pt>
              <c:pt idx="35">
                <c:v>Dec-06</c:v>
              </c:pt>
              <c:pt idx="36">
                <c:v>Jan-07</c:v>
              </c:pt>
              <c:pt idx="37">
                <c:v>Feb-07</c:v>
              </c:pt>
              <c:pt idx="38">
                <c:v>Mar-07</c:v>
              </c:pt>
              <c:pt idx="39">
                <c:v>Apr-07</c:v>
              </c:pt>
              <c:pt idx="40">
                <c:v>May-07</c:v>
              </c:pt>
              <c:pt idx="41">
                <c:v>Jun-07</c:v>
              </c:pt>
              <c:pt idx="42">
                <c:v>Jul-07</c:v>
              </c:pt>
              <c:pt idx="43">
                <c:v>Aug-07</c:v>
              </c:pt>
              <c:pt idx="44">
                <c:v>Sep-07</c:v>
              </c:pt>
              <c:pt idx="45">
                <c:v>Oct-07</c:v>
              </c:pt>
              <c:pt idx="46">
                <c:v>Nov-07</c:v>
              </c:pt>
              <c:pt idx="47">
                <c:v>Dec-07</c:v>
              </c:pt>
              <c:pt idx="48">
                <c:v>Jan-08</c:v>
              </c:pt>
              <c:pt idx="49">
                <c:v>Feb-08</c:v>
              </c:pt>
              <c:pt idx="50">
                <c:v>Mar-08</c:v>
              </c:pt>
              <c:pt idx="51">
                <c:v>Apr-08</c:v>
              </c:pt>
              <c:pt idx="52">
                <c:v>May-08</c:v>
              </c:pt>
              <c:pt idx="53">
                <c:v>Jun-08</c:v>
              </c:pt>
              <c:pt idx="54">
                <c:v>Jul-08</c:v>
              </c:pt>
              <c:pt idx="55">
                <c:v>Aug-08</c:v>
              </c:pt>
              <c:pt idx="56">
                <c:v>Sep-08</c:v>
              </c:pt>
              <c:pt idx="57">
                <c:v>Oct-08</c:v>
              </c:pt>
              <c:pt idx="58">
                <c:v>Nov-08</c:v>
              </c:pt>
              <c:pt idx="59">
                <c:v>Dec-08</c:v>
              </c:pt>
              <c:pt idx="60">
                <c:v>Jan-09</c:v>
              </c:pt>
              <c:pt idx="61">
                <c:v>Feb-09</c:v>
              </c:pt>
              <c:pt idx="62">
                <c:v>Mar-09</c:v>
              </c:pt>
              <c:pt idx="63">
                <c:v>Apr-09</c:v>
              </c:pt>
              <c:pt idx="64">
                <c:v>May-09</c:v>
              </c:pt>
              <c:pt idx="65">
                <c:v>Jun-09</c:v>
              </c:pt>
              <c:pt idx="66">
                <c:v>Jul-09</c:v>
              </c:pt>
              <c:pt idx="67">
                <c:v>Aug-09</c:v>
              </c:pt>
              <c:pt idx="68">
                <c:v>Sep-09</c:v>
              </c:pt>
              <c:pt idx="69">
                <c:v>Oct-09</c:v>
              </c:pt>
              <c:pt idx="70">
                <c:v>Nov-09</c:v>
              </c:pt>
              <c:pt idx="71">
                <c:v>Dec-09</c:v>
              </c:pt>
              <c:pt idx="72">
                <c:v>Jan-10</c:v>
              </c:pt>
              <c:pt idx="73">
                <c:v>Feb-10</c:v>
              </c:pt>
              <c:pt idx="74">
                <c:v>Mar-10</c:v>
              </c:pt>
              <c:pt idx="75">
                <c:v>Apr-10</c:v>
              </c:pt>
              <c:pt idx="76">
                <c:v>May-10</c:v>
              </c:pt>
              <c:pt idx="77">
                <c:v>Jun-10</c:v>
              </c:pt>
              <c:pt idx="78">
                <c:v>Jul-10</c:v>
              </c:pt>
              <c:pt idx="79">
                <c:v>Aug-10</c:v>
              </c:pt>
              <c:pt idx="80">
                <c:v>Sep-10</c:v>
              </c:pt>
              <c:pt idx="81">
                <c:v>Oct-10</c:v>
              </c:pt>
              <c:pt idx="82">
                <c:v>Nov-10</c:v>
              </c:pt>
              <c:pt idx="83">
                <c:v>Dec-10</c:v>
              </c:pt>
              <c:pt idx="84">
                <c:v>Jan-11</c:v>
              </c:pt>
              <c:pt idx="85">
                <c:v>Feb-11</c:v>
              </c:pt>
              <c:pt idx="86">
                <c:v>Mar-11</c:v>
              </c:pt>
              <c:pt idx="87">
                <c:v>Apr-11</c:v>
              </c:pt>
              <c:pt idx="88">
                <c:v>May-11</c:v>
              </c:pt>
              <c:pt idx="89">
                <c:v>Jun-11</c:v>
              </c:pt>
              <c:pt idx="90">
                <c:v>Jul-11</c:v>
              </c:pt>
              <c:pt idx="91">
                <c:v>Aug-11</c:v>
              </c:pt>
              <c:pt idx="92">
                <c:v>Sep-11</c:v>
              </c:pt>
              <c:pt idx="93">
                <c:v>Oct-11</c:v>
              </c:pt>
              <c:pt idx="94">
                <c:v>Nov-11</c:v>
              </c:pt>
              <c:pt idx="95">
                <c:v>Dec-11</c:v>
              </c:pt>
              <c:pt idx="96">
                <c:v>Jan-12</c:v>
              </c:pt>
              <c:pt idx="97">
                <c:v>Feb-12</c:v>
              </c:pt>
              <c:pt idx="98">
                <c:v>Mar-12</c:v>
              </c:pt>
              <c:pt idx="99">
                <c:v>Apr-12</c:v>
              </c:pt>
              <c:pt idx="100">
                <c:v>May-12</c:v>
              </c:pt>
              <c:pt idx="101">
                <c:v>Jun-12</c:v>
              </c:pt>
              <c:pt idx="102">
                <c:v>Jul-12</c:v>
              </c:pt>
            </c:strLit>
          </c:cat>
          <c:val>
            <c:numLit>
              <c:formatCode>General</c:formatCode>
              <c:ptCount val="103"/>
              <c:pt idx="0">
                <c:v>167632.26</c:v>
              </c:pt>
              <c:pt idx="1">
                <c:v>159524.20000000001</c:v>
              </c:pt>
              <c:pt idx="2">
                <c:v>195760.96</c:v>
              </c:pt>
              <c:pt idx="3">
                <c:v>190746</c:v>
              </c:pt>
              <c:pt idx="4">
                <c:v>183386.19</c:v>
              </c:pt>
              <c:pt idx="5">
                <c:v>206567.46</c:v>
              </c:pt>
              <c:pt idx="6">
                <c:v>185691.65999999989</c:v>
              </c:pt>
              <c:pt idx="7">
                <c:v>181632.93999999989</c:v>
              </c:pt>
              <c:pt idx="8">
                <c:v>204562.07</c:v>
              </c:pt>
              <c:pt idx="9">
                <c:v>195279.33999999991</c:v>
              </c:pt>
              <c:pt idx="10">
                <c:v>199759.77</c:v>
              </c:pt>
              <c:pt idx="11">
                <c:v>230689.8</c:v>
              </c:pt>
              <c:pt idx="12">
                <c:v>185276.57</c:v>
              </c:pt>
              <c:pt idx="13">
                <c:v>190101.08</c:v>
              </c:pt>
              <c:pt idx="14">
                <c:v>223169.18</c:v>
              </c:pt>
              <c:pt idx="15">
                <c:v>203075.88</c:v>
              </c:pt>
              <c:pt idx="16">
                <c:v>220979.47</c:v>
              </c:pt>
              <c:pt idx="17">
                <c:v>228368.27000000011</c:v>
              </c:pt>
              <c:pt idx="18">
                <c:v>207560.72</c:v>
              </c:pt>
              <c:pt idx="19">
                <c:v>229992.68999999989</c:v>
              </c:pt>
              <c:pt idx="20">
                <c:v>222876.67</c:v>
              </c:pt>
              <c:pt idx="21">
                <c:v>218294.11</c:v>
              </c:pt>
              <c:pt idx="22">
                <c:v>242001.82</c:v>
              </c:pt>
              <c:pt idx="23">
                <c:v>243285.08999999991</c:v>
              </c:pt>
              <c:pt idx="24">
                <c:v>214466.69</c:v>
              </c:pt>
              <c:pt idx="25">
                <c:v>208591.19</c:v>
              </c:pt>
              <c:pt idx="26">
                <c:v>261756.7</c:v>
              </c:pt>
              <c:pt idx="27">
                <c:v>218410.40999999989</c:v>
              </c:pt>
              <c:pt idx="28">
                <c:v>255422.9499999999</c:v>
              </c:pt>
              <c:pt idx="29">
                <c:v>250457.55</c:v>
              </c:pt>
              <c:pt idx="30">
                <c:v>232499.84</c:v>
              </c:pt>
              <c:pt idx="31">
                <c:v>275649.68000000011</c:v>
              </c:pt>
              <c:pt idx="32">
                <c:v>243449.56</c:v>
              </c:pt>
              <c:pt idx="33">
                <c:v>260125.3899999999</c:v>
              </c:pt>
              <c:pt idx="34">
                <c:v>272489.26</c:v>
              </c:pt>
              <c:pt idx="35">
                <c:v>255763.87</c:v>
              </c:pt>
              <c:pt idx="36">
                <c:v>243278.08999999991</c:v>
              </c:pt>
              <c:pt idx="37">
                <c:v>237150.87000000011</c:v>
              </c:pt>
              <c:pt idx="38">
                <c:v>270257.3</c:v>
              </c:pt>
              <c:pt idx="39">
                <c:v>260536.8899999999</c:v>
              </c:pt>
              <c:pt idx="40">
                <c:v>297847.62000000011</c:v>
              </c:pt>
              <c:pt idx="41">
                <c:v>260921.08</c:v>
              </c:pt>
              <c:pt idx="42">
                <c:v>263243.90000000002</c:v>
              </c:pt>
              <c:pt idx="43">
                <c:v>292160.41000000009</c:v>
              </c:pt>
              <c:pt idx="44">
                <c:v>248718.03</c:v>
              </c:pt>
              <c:pt idx="45">
                <c:v>285070.62</c:v>
              </c:pt>
              <c:pt idx="46">
                <c:v>289865.87999999989</c:v>
              </c:pt>
              <c:pt idx="47">
                <c:v>259790.50000000009</c:v>
              </c:pt>
              <c:pt idx="48">
                <c:v>290889.24</c:v>
              </c:pt>
              <c:pt idx="49">
                <c:v>260655.4</c:v>
              </c:pt>
              <c:pt idx="50">
                <c:v>266117.15999999997</c:v>
              </c:pt>
              <c:pt idx="51">
                <c:v>300567.78999999998</c:v>
              </c:pt>
              <c:pt idx="52">
                <c:v>300389.33</c:v>
              </c:pt>
              <c:pt idx="53">
                <c:v>261517.29</c:v>
              </c:pt>
              <c:pt idx="54">
                <c:v>305070.71000000002</c:v>
              </c:pt>
              <c:pt idx="55">
                <c:v>269959.04999999987</c:v>
              </c:pt>
              <c:pt idx="56">
                <c:v>267162.55999999988</c:v>
              </c:pt>
              <c:pt idx="57">
                <c:v>292275.23</c:v>
              </c:pt>
              <c:pt idx="58">
                <c:v>261795.63</c:v>
              </c:pt>
              <c:pt idx="59">
                <c:v>303151.09000000003</c:v>
              </c:pt>
              <c:pt idx="60">
                <c:v>261773.28</c:v>
              </c:pt>
              <c:pt idx="61">
                <c:v>255729.14</c:v>
              </c:pt>
              <c:pt idx="62">
                <c:v>299076.9800000001</c:v>
              </c:pt>
              <c:pt idx="63">
                <c:v>307532.73</c:v>
              </c:pt>
              <c:pt idx="64">
                <c:v>297366.49000000011</c:v>
              </c:pt>
              <c:pt idx="65">
                <c:v>288320.34000000003</c:v>
              </c:pt>
              <c:pt idx="66">
                <c:v>280117.2900000001</c:v>
              </c:pt>
              <c:pt idx="67">
                <c:v>272049.99</c:v>
              </c:pt>
              <c:pt idx="68">
                <c:v>294750.27</c:v>
              </c:pt>
              <c:pt idx="69">
                <c:v>304008.43</c:v>
              </c:pt>
              <c:pt idx="70">
                <c:v>268069.78000000009</c:v>
              </c:pt>
              <c:pt idx="71">
                <c:v>307601.64</c:v>
              </c:pt>
              <c:pt idx="72">
                <c:v>264599.55</c:v>
              </c:pt>
              <c:pt idx="73">
                <c:v>283440.90000000002</c:v>
              </c:pt>
              <c:pt idx="74">
                <c:v>318389.83</c:v>
              </c:pt>
              <c:pt idx="75">
                <c:v>295676.87</c:v>
              </c:pt>
              <c:pt idx="76">
                <c:v>282367.05</c:v>
              </c:pt>
              <c:pt idx="77">
                <c:v>306723.77</c:v>
              </c:pt>
              <c:pt idx="78">
                <c:v>311128.01</c:v>
              </c:pt>
              <c:pt idx="79">
                <c:v>307524.09000000003</c:v>
              </c:pt>
              <c:pt idx="80">
                <c:v>310518.61</c:v>
              </c:pt>
              <c:pt idx="81">
                <c:v>287625.73</c:v>
              </c:pt>
              <c:pt idx="82">
                <c:v>315642.53999999998</c:v>
              </c:pt>
              <c:pt idx="83">
                <c:v>317175.90000000002</c:v>
              </c:pt>
              <c:pt idx="84">
                <c:v>289702.93000000011</c:v>
              </c:pt>
              <c:pt idx="85">
                <c:v>268322.84999999998</c:v>
              </c:pt>
              <c:pt idx="86">
                <c:v>326720.57000000012</c:v>
              </c:pt>
              <c:pt idx="87">
                <c:v>299360.68</c:v>
              </c:pt>
              <c:pt idx="88">
                <c:v>328237.43000000011</c:v>
              </c:pt>
              <c:pt idx="89">
                <c:v>335745.2900000001</c:v>
              </c:pt>
              <c:pt idx="90">
                <c:v>313636.34000000003</c:v>
              </c:pt>
              <c:pt idx="91">
                <c:v>358888.37</c:v>
              </c:pt>
              <c:pt idx="92">
                <c:v>319052.43000000011</c:v>
              </c:pt>
              <c:pt idx="93">
                <c:v>308956.17</c:v>
              </c:pt>
              <c:pt idx="94">
                <c:v>322368.75</c:v>
              </c:pt>
              <c:pt idx="95">
                <c:v>320018.64</c:v>
              </c:pt>
              <c:pt idx="96">
                <c:v>311186.47000000009</c:v>
              </c:pt>
              <c:pt idx="97">
                <c:v>319173.36</c:v>
              </c:pt>
              <c:pt idx="98">
                <c:v>349925.18</c:v>
              </c:pt>
              <c:pt idx="99">
                <c:v>215182.8</c:v>
              </c:pt>
              <c:pt idx="100">
                <c:v>279132.47000000009</c:v>
              </c:pt>
              <c:pt idx="101">
                <c:v>223001.42</c:v>
              </c:pt>
              <c:pt idx="102">
                <c:v>253491.5</c:v>
              </c:pt>
            </c:numLit>
          </c:val>
        </c:ser>
        <c:ser>
          <c:idx val="6"/>
          <c:order val="6"/>
          <c:tx>
            <c:v>ASENAPINE</c:v>
          </c:tx>
          <c:spPr>
            <a:ln w="25400">
              <a:noFill/>
            </a:ln>
          </c:spPr>
          <c:cat>
            <c:strLit>
              <c:ptCount val="103"/>
              <c:pt idx="0">
                <c:v>Jan-04</c:v>
              </c:pt>
              <c:pt idx="1">
                <c:v>Feb-04</c:v>
              </c:pt>
              <c:pt idx="2">
                <c:v>Mar-04</c:v>
              </c:pt>
              <c:pt idx="3">
                <c:v>Apr-04</c:v>
              </c:pt>
              <c:pt idx="4">
                <c:v>May-04</c:v>
              </c:pt>
              <c:pt idx="5">
                <c:v>Jun-04</c:v>
              </c:pt>
              <c:pt idx="6">
                <c:v>Jul-04</c:v>
              </c:pt>
              <c:pt idx="7">
                <c:v>Aug-04</c:v>
              </c:pt>
              <c:pt idx="8">
                <c:v>Sep-04</c:v>
              </c:pt>
              <c:pt idx="9">
                <c:v>Oct-04</c:v>
              </c:pt>
              <c:pt idx="10">
                <c:v>Nov-04</c:v>
              </c:pt>
              <c:pt idx="11">
                <c:v>Dec-04</c:v>
              </c:pt>
              <c:pt idx="12">
                <c:v>Jan-05</c:v>
              </c:pt>
              <c:pt idx="13">
                <c:v>Feb-05</c:v>
              </c:pt>
              <c:pt idx="14">
                <c:v>Mar-05</c:v>
              </c:pt>
              <c:pt idx="15">
                <c:v>Apr-05</c:v>
              </c:pt>
              <c:pt idx="16">
                <c:v>May-05</c:v>
              </c:pt>
              <c:pt idx="17">
                <c:v>Jun-05</c:v>
              </c:pt>
              <c:pt idx="18">
                <c:v>Jul-05</c:v>
              </c:pt>
              <c:pt idx="19">
                <c:v>Aug-05</c:v>
              </c:pt>
              <c:pt idx="20">
                <c:v>Sep-05</c:v>
              </c:pt>
              <c:pt idx="21">
                <c:v>Oct-05</c:v>
              </c:pt>
              <c:pt idx="22">
                <c:v>Nov-05</c:v>
              </c:pt>
              <c:pt idx="23">
                <c:v>Dec-05</c:v>
              </c:pt>
              <c:pt idx="24">
                <c:v>Jan-06</c:v>
              </c:pt>
              <c:pt idx="25">
                <c:v>Feb-06</c:v>
              </c:pt>
              <c:pt idx="26">
                <c:v>Mar-06</c:v>
              </c:pt>
              <c:pt idx="27">
                <c:v>Apr-06</c:v>
              </c:pt>
              <c:pt idx="28">
                <c:v>May-06</c:v>
              </c:pt>
              <c:pt idx="29">
                <c:v>Jun-06</c:v>
              </c:pt>
              <c:pt idx="30">
                <c:v>Jul-06</c:v>
              </c:pt>
              <c:pt idx="31">
                <c:v>Aug-06</c:v>
              </c:pt>
              <c:pt idx="32">
                <c:v>Sep-06</c:v>
              </c:pt>
              <c:pt idx="33">
                <c:v>Oct-06</c:v>
              </c:pt>
              <c:pt idx="34">
                <c:v>Nov-06</c:v>
              </c:pt>
              <c:pt idx="35">
                <c:v>Dec-06</c:v>
              </c:pt>
              <c:pt idx="36">
                <c:v>Jan-07</c:v>
              </c:pt>
              <c:pt idx="37">
                <c:v>Feb-07</c:v>
              </c:pt>
              <c:pt idx="38">
                <c:v>Mar-07</c:v>
              </c:pt>
              <c:pt idx="39">
                <c:v>Apr-07</c:v>
              </c:pt>
              <c:pt idx="40">
                <c:v>May-07</c:v>
              </c:pt>
              <c:pt idx="41">
                <c:v>Jun-07</c:v>
              </c:pt>
              <c:pt idx="42">
                <c:v>Jul-07</c:v>
              </c:pt>
              <c:pt idx="43">
                <c:v>Aug-07</c:v>
              </c:pt>
              <c:pt idx="44">
                <c:v>Sep-07</c:v>
              </c:pt>
              <c:pt idx="45">
                <c:v>Oct-07</c:v>
              </c:pt>
              <c:pt idx="46">
                <c:v>Nov-07</c:v>
              </c:pt>
              <c:pt idx="47">
                <c:v>Dec-07</c:v>
              </c:pt>
              <c:pt idx="48">
                <c:v>Jan-08</c:v>
              </c:pt>
              <c:pt idx="49">
                <c:v>Feb-08</c:v>
              </c:pt>
              <c:pt idx="50">
                <c:v>Mar-08</c:v>
              </c:pt>
              <c:pt idx="51">
                <c:v>Apr-08</c:v>
              </c:pt>
              <c:pt idx="52">
                <c:v>May-08</c:v>
              </c:pt>
              <c:pt idx="53">
                <c:v>Jun-08</c:v>
              </c:pt>
              <c:pt idx="54">
                <c:v>Jul-08</c:v>
              </c:pt>
              <c:pt idx="55">
                <c:v>Aug-08</c:v>
              </c:pt>
              <c:pt idx="56">
                <c:v>Sep-08</c:v>
              </c:pt>
              <c:pt idx="57">
                <c:v>Oct-08</c:v>
              </c:pt>
              <c:pt idx="58">
                <c:v>Nov-08</c:v>
              </c:pt>
              <c:pt idx="59">
                <c:v>Dec-08</c:v>
              </c:pt>
              <c:pt idx="60">
                <c:v>Jan-09</c:v>
              </c:pt>
              <c:pt idx="61">
                <c:v>Feb-09</c:v>
              </c:pt>
              <c:pt idx="62">
                <c:v>Mar-09</c:v>
              </c:pt>
              <c:pt idx="63">
                <c:v>Apr-09</c:v>
              </c:pt>
              <c:pt idx="64">
                <c:v>May-09</c:v>
              </c:pt>
              <c:pt idx="65">
                <c:v>Jun-09</c:v>
              </c:pt>
              <c:pt idx="66">
                <c:v>Jul-09</c:v>
              </c:pt>
              <c:pt idx="67">
                <c:v>Aug-09</c:v>
              </c:pt>
              <c:pt idx="68">
                <c:v>Sep-09</c:v>
              </c:pt>
              <c:pt idx="69">
                <c:v>Oct-09</c:v>
              </c:pt>
              <c:pt idx="70">
                <c:v>Nov-09</c:v>
              </c:pt>
              <c:pt idx="71">
                <c:v>Dec-09</c:v>
              </c:pt>
              <c:pt idx="72">
                <c:v>Jan-10</c:v>
              </c:pt>
              <c:pt idx="73">
                <c:v>Feb-10</c:v>
              </c:pt>
              <c:pt idx="74">
                <c:v>Mar-10</c:v>
              </c:pt>
              <c:pt idx="75">
                <c:v>Apr-10</c:v>
              </c:pt>
              <c:pt idx="76">
                <c:v>May-10</c:v>
              </c:pt>
              <c:pt idx="77">
                <c:v>Jun-10</c:v>
              </c:pt>
              <c:pt idx="78">
                <c:v>Jul-10</c:v>
              </c:pt>
              <c:pt idx="79">
                <c:v>Aug-10</c:v>
              </c:pt>
              <c:pt idx="80">
                <c:v>Sep-10</c:v>
              </c:pt>
              <c:pt idx="81">
                <c:v>Oct-10</c:v>
              </c:pt>
              <c:pt idx="82">
                <c:v>Nov-10</c:v>
              </c:pt>
              <c:pt idx="83">
                <c:v>Dec-10</c:v>
              </c:pt>
              <c:pt idx="84">
                <c:v>Jan-11</c:v>
              </c:pt>
              <c:pt idx="85">
                <c:v>Feb-11</c:v>
              </c:pt>
              <c:pt idx="86">
                <c:v>Mar-11</c:v>
              </c:pt>
              <c:pt idx="87">
                <c:v>Apr-11</c:v>
              </c:pt>
              <c:pt idx="88">
                <c:v>May-11</c:v>
              </c:pt>
              <c:pt idx="89">
                <c:v>Jun-11</c:v>
              </c:pt>
              <c:pt idx="90">
                <c:v>Jul-11</c:v>
              </c:pt>
              <c:pt idx="91">
                <c:v>Aug-11</c:v>
              </c:pt>
              <c:pt idx="92">
                <c:v>Sep-11</c:v>
              </c:pt>
              <c:pt idx="93">
                <c:v>Oct-11</c:v>
              </c:pt>
              <c:pt idx="94">
                <c:v>Nov-11</c:v>
              </c:pt>
              <c:pt idx="95">
                <c:v>Dec-11</c:v>
              </c:pt>
              <c:pt idx="96">
                <c:v>Jan-12</c:v>
              </c:pt>
              <c:pt idx="97">
                <c:v>Feb-12</c:v>
              </c:pt>
              <c:pt idx="98">
                <c:v>Mar-12</c:v>
              </c:pt>
              <c:pt idx="99">
                <c:v>Apr-12</c:v>
              </c:pt>
              <c:pt idx="100">
                <c:v>May-12</c:v>
              </c:pt>
              <c:pt idx="101">
                <c:v>Jun-12</c:v>
              </c:pt>
              <c:pt idx="102">
                <c:v>Jul-12</c:v>
              </c:pt>
            </c:strLit>
          </c:cat>
          <c:val>
            <c:numLit>
              <c:formatCode>General</c:formatCode>
              <c:ptCount val="10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111192.5</c:v>
              </c:pt>
              <c:pt idx="96">
                <c:v>118625.52</c:v>
              </c:pt>
              <c:pt idx="97">
                <c:v>159865.01</c:v>
              </c:pt>
              <c:pt idx="98">
                <c:v>202286.75</c:v>
              </c:pt>
              <c:pt idx="99">
                <c:v>202959.97</c:v>
              </c:pt>
              <c:pt idx="100">
                <c:v>240717.48</c:v>
              </c:pt>
              <c:pt idx="101">
                <c:v>255876.42</c:v>
              </c:pt>
              <c:pt idx="102">
                <c:v>275933.56999999989</c:v>
              </c:pt>
            </c:numLit>
          </c:val>
        </c:ser>
        <c:ser>
          <c:idx val="7"/>
          <c:order val="7"/>
          <c:tx>
            <c:v>ARIPIPRAZOLE</c:v>
          </c:tx>
          <c:spPr>
            <a:ln w="25400">
              <a:noFill/>
            </a:ln>
          </c:spPr>
          <c:cat>
            <c:strLit>
              <c:ptCount val="103"/>
              <c:pt idx="0">
                <c:v>Jan-04</c:v>
              </c:pt>
              <c:pt idx="1">
                <c:v>Feb-04</c:v>
              </c:pt>
              <c:pt idx="2">
                <c:v>Mar-04</c:v>
              </c:pt>
              <c:pt idx="3">
                <c:v>Apr-04</c:v>
              </c:pt>
              <c:pt idx="4">
                <c:v>May-04</c:v>
              </c:pt>
              <c:pt idx="5">
                <c:v>Jun-04</c:v>
              </c:pt>
              <c:pt idx="6">
                <c:v>Jul-04</c:v>
              </c:pt>
              <c:pt idx="7">
                <c:v>Aug-04</c:v>
              </c:pt>
              <c:pt idx="8">
                <c:v>Sep-04</c:v>
              </c:pt>
              <c:pt idx="9">
                <c:v>Oct-04</c:v>
              </c:pt>
              <c:pt idx="10">
                <c:v>Nov-04</c:v>
              </c:pt>
              <c:pt idx="11">
                <c:v>Dec-04</c:v>
              </c:pt>
              <c:pt idx="12">
                <c:v>Jan-05</c:v>
              </c:pt>
              <c:pt idx="13">
                <c:v>Feb-05</c:v>
              </c:pt>
              <c:pt idx="14">
                <c:v>Mar-05</c:v>
              </c:pt>
              <c:pt idx="15">
                <c:v>Apr-05</c:v>
              </c:pt>
              <c:pt idx="16">
                <c:v>May-05</c:v>
              </c:pt>
              <c:pt idx="17">
                <c:v>Jun-05</c:v>
              </c:pt>
              <c:pt idx="18">
                <c:v>Jul-05</c:v>
              </c:pt>
              <c:pt idx="19">
                <c:v>Aug-05</c:v>
              </c:pt>
              <c:pt idx="20">
                <c:v>Sep-05</c:v>
              </c:pt>
              <c:pt idx="21">
                <c:v>Oct-05</c:v>
              </c:pt>
              <c:pt idx="22">
                <c:v>Nov-05</c:v>
              </c:pt>
              <c:pt idx="23">
                <c:v>Dec-05</c:v>
              </c:pt>
              <c:pt idx="24">
                <c:v>Jan-06</c:v>
              </c:pt>
              <c:pt idx="25">
                <c:v>Feb-06</c:v>
              </c:pt>
              <c:pt idx="26">
                <c:v>Mar-06</c:v>
              </c:pt>
              <c:pt idx="27">
                <c:v>Apr-06</c:v>
              </c:pt>
              <c:pt idx="28">
                <c:v>May-06</c:v>
              </c:pt>
              <c:pt idx="29">
                <c:v>Jun-06</c:v>
              </c:pt>
              <c:pt idx="30">
                <c:v>Jul-06</c:v>
              </c:pt>
              <c:pt idx="31">
                <c:v>Aug-06</c:v>
              </c:pt>
              <c:pt idx="32">
                <c:v>Sep-06</c:v>
              </c:pt>
              <c:pt idx="33">
                <c:v>Oct-06</c:v>
              </c:pt>
              <c:pt idx="34">
                <c:v>Nov-06</c:v>
              </c:pt>
              <c:pt idx="35">
                <c:v>Dec-06</c:v>
              </c:pt>
              <c:pt idx="36">
                <c:v>Jan-07</c:v>
              </c:pt>
              <c:pt idx="37">
                <c:v>Feb-07</c:v>
              </c:pt>
              <c:pt idx="38">
                <c:v>Mar-07</c:v>
              </c:pt>
              <c:pt idx="39">
                <c:v>Apr-07</c:v>
              </c:pt>
              <c:pt idx="40">
                <c:v>May-07</c:v>
              </c:pt>
              <c:pt idx="41">
                <c:v>Jun-07</c:v>
              </c:pt>
              <c:pt idx="42">
                <c:v>Jul-07</c:v>
              </c:pt>
              <c:pt idx="43">
                <c:v>Aug-07</c:v>
              </c:pt>
              <c:pt idx="44">
                <c:v>Sep-07</c:v>
              </c:pt>
              <c:pt idx="45">
                <c:v>Oct-07</c:v>
              </c:pt>
              <c:pt idx="46">
                <c:v>Nov-07</c:v>
              </c:pt>
              <c:pt idx="47">
                <c:v>Dec-07</c:v>
              </c:pt>
              <c:pt idx="48">
                <c:v>Jan-08</c:v>
              </c:pt>
              <c:pt idx="49">
                <c:v>Feb-08</c:v>
              </c:pt>
              <c:pt idx="50">
                <c:v>Mar-08</c:v>
              </c:pt>
              <c:pt idx="51">
                <c:v>Apr-08</c:v>
              </c:pt>
              <c:pt idx="52">
                <c:v>May-08</c:v>
              </c:pt>
              <c:pt idx="53">
                <c:v>Jun-08</c:v>
              </c:pt>
              <c:pt idx="54">
                <c:v>Jul-08</c:v>
              </c:pt>
              <c:pt idx="55">
                <c:v>Aug-08</c:v>
              </c:pt>
              <c:pt idx="56">
                <c:v>Sep-08</c:v>
              </c:pt>
              <c:pt idx="57">
                <c:v>Oct-08</c:v>
              </c:pt>
              <c:pt idx="58">
                <c:v>Nov-08</c:v>
              </c:pt>
              <c:pt idx="59">
                <c:v>Dec-08</c:v>
              </c:pt>
              <c:pt idx="60">
                <c:v>Jan-09</c:v>
              </c:pt>
              <c:pt idx="61">
                <c:v>Feb-09</c:v>
              </c:pt>
              <c:pt idx="62">
                <c:v>Mar-09</c:v>
              </c:pt>
              <c:pt idx="63">
                <c:v>Apr-09</c:v>
              </c:pt>
              <c:pt idx="64">
                <c:v>May-09</c:v>
              </c:pt>
              <c:pt idx="65">
                <c:v>Jun-09</c:v>
              </c:pt>
              <c:pt idx="66">
                <c:v>Jul-09</c:v>
              </c:pt>
              <c:pt idx="67">
                <c:v>Aug-09</c:v>
              </c:pt>
              <c:pt idx="68">
                <c:v>Sep-09</c:v>
              </c:pt>
              <c:pt idx="69">
                <c:v>Oct-09</c:v>
              </c:pt>
              <c:pt idx="70">
                <c:v>Nov-09</c:v>
              </c:pt>
              <c:pt idx="71">
                <c:v>Dec-09</c:v>
              </c:pt>
              <c:pt idx="72">
                <c:v>Jan-10</c:v>
              </c:pt>
              <c:pt idx="73">
                <c:v>Feb-10</c:v>
              </c:pt>
              <c:pt idx="74">
                <c:v>Mar-10</c:v>
              </c:pt>
              <c:pt idx="75">
                <c:v>Apr-10</c:v>
              </c:pt>
              <c:pt idx="76">
                <c:v>May-10</c:v>
              </c:pt>
              <c:pt idx="77">
                <c:v>Jun-10</c:v>
              </c:pt>
              <c:pt idx="78">
                <c:v>Jul-10</c:v>
              </c:pt>
              <c:pt idx="79">
                <c:v>Aug-10</c:v>
              </c:pt>
              <c:pt idx="80">
                <c:v>Sep-10</c:v>
              </c:pt>
              <c:pt idx="81">
                <c:v>Oct-10</c:v>
              </c:pt>
              <c:pt idx="82">
                <c:v>Nov-10</c:v>
              </c:pt>
              <c:pt idx="83">
                <c:v>Dec-10</c:v>
              </c:pt>
              <c:pt idx="84">
                <c:v>Jan-11</c:v>
              </c:pt>
              <c:pt idx="85">
                <c:v>Feb-11</c:v>
              </c:pt>
              <c:pt idx="86">
                <c:v>Mar-11</c:v>
              </c:pt>
              <c:pt idx="87">
                <c:v>Apr-11</c:v>
              </c:pt>
              <c:pt idx="88">
                <c:v>May-11</c:v>
              </c:pt>
              <c:pt idx="89">
                <c:v>Jun-11</c:v>
              </c:pt>
              <c:pt idx="90">
                <c:v>Jul-11</c:v>
              </c:pt>
              <c:pt idx="91">
                <c:v>Aug-11</c:v>
              </c:pt>
              <c:pt idx="92">
                <c:v>Sep-11</c:v>
              </c:pt>
              <c:pt idx="93">
                <c:v>Oct-11</c:v>
              </c:pt>
              <c:pt idx="94">
                <c:v>Nov-11</c:v>
              </c:pt>
              <c:pt idx="95">
                <c:v>Dec-11</c:v>
              </c:pt>
              <c:pt idx="96">
                <c:v>Jan-12</c:v>
              </c:pt>
              <c:pt idx="97">
                <c:v>Feb-12</c:v>
              </c:pt>
              <c:pt idx="98">
                <c:v>Mar-12</c:v>
              </c:pt>
              <c:pt idx="99">
                <c:v>Apr-12</c:v>
              </c:pt>
              <c:pt idx="100">
                <c:v>May-12</c:v>
              </c:pt>
              <c:pt idx="101">
                <c:v>Jun-12</c:v>
              </c:pt>
              <c:pt idx="102">
                <c:v>Jul-12</c:v>
              </c:pt>
            </c:strLit>
          </c:cat>
          <c:val>
            <c:numLit>
              <c:formatCode>General</c:formatCode>
              <c:ptCount val="103"/>
              <c:pt idx="0">
                <c:v>0</c:v>
              </c:pt>
              <c:pt idx="1">
                <c:v>0</c:v>
              </c:pt>
              <c:pt idx="2">
                <c:v>0</c:v>
              </c:pt>
              <c:pt idx="3">
                <c:v>0</c:v>
              </c:pt>
              <c:pt idx="4">
                <c:v>491774.2900000001</c:v>
              </c:pt>
              <c:pt idx="5">
                <c:v>743070.55000000016</c:v>
              </c:pt>
              <c:pt idx="6">
                <c:v>874488.04999999958</c:v>
              </c:pt>
              <c:pt idx="7">
                <c:v>972314.51000000024</c:v>
              </c:pt>
              <c:pt idx="8">
                <c:v>1054788.48</c:v>
              </c:pt>
              <c:pt idx="9">
                <c:v>1099766.2</c:v>
              </c:pt>
              <c:pt idx="10">
                <c:v>1170704.8899999999</c:v>
              </c:pt>
              <c:pt idx="11">
                <c:v>1347203.19</c:v>
              </c:pt>
              <c:pt idx="12">
                <c:v>1110121.4099999999</c:v>
              </c:pt>
              <c:pt idx="13">
                <c:v>1148315.8400000001</c:v>
              </c:pt>
              <c:pt idx="14">
                <c:v>1300845.05</c:v>
              </c:pt>
              <c:pt idx="15">
                <c:v>1251975.25</c:v>
              </c:pt>
              <c:pt idx="16">
                <c:v>1345622.21</c:v>
              </c:pt>
              <c:pt idx="17">
                <c:v>1388867.03</c:v>
              </c:pt>
              <c:pt idx="18">
                <c:v>1404958.51</c:v>
              </c:pt>
              <c:pt idx="19">
                <c:v>1492354.38</c:v>
              </c:pt>
              <c:pt idx="20">
                <c:v>1464765.84</c:v>
              </c:pt>
              <c:pt idx="21">
                <c:v>1488485.35</c:v>
              </c:pt>
              <c:pt idx="22">
                <c:v>1546130.65</c:v>
              </c:pt>
              <c:pt idx="23">
                <c:v>1710858.91</c:v>
              </c:pt>
              <c:pt idx="24">
                <c:v>1457855</c:v>
              </c:pt>
              <c:pt idx="25">
                <c:v>1421213.85</c:v>
              </c:pt>
              <c:pt idx="26">
                <c:v>1654359.36</c:v>
              </c:pt>
              <c:pt idx="27">
                <c:v>1522931.51</c:v>
              </c:pt>
              <c:pt idx="28">
                <c:v>1745742.73</c:v>
              </c:pt>
              <c:pt idx="29">
                <c:v>1728518.75</c:v>
              </c:pt>
              <c:pt idx="30">
                <c:v>1676152.78</c:v>
              </c:pt>
              <c:pt idx="31">
                <c:v>1780163.42</c:v>
              </c:pt>
              <c:pt idx="32">
                <c:v>1698785.27</c:v>
              </c:pt>
              <c:pt idx="33">
                <c:v>1775109.78</c:v>
              </c:pt>
              <c:pt idx="34">
                <c:v>1823475.59</c:v>
              </c:pt>
              <c:pt idx="35">
                <c:v>1892218.61</c:v>
              </c:pt>
              <c:pt idx="36">
                <c:v>1687539.03</c:v>
              </c:pt>
              <c:pt idx="37">
                <c:v>1635716.83</c:v>
              </c:pt>
              <c:pt idx="38">
                <c:v>1834729.64</c:v>
              </c:pt>
              <c:pt idx="39">
                <c:v>1727540.9</c:v>
              </c:pt>
              <c:pt idx="40">
                <c:v>1924212.98</c:v>
              </c:pt>
              <c:pt idx="41">
                <c:v>1812170.52</c:v>
              </c:pt>
              <c:pt idx="42">
                <c:v>1861576.62</c:v>
              </c:pt>
              <c:pt idx="43">
                <c:v>1942882.82</c:v>
              </c:pt>
              <c:pt idx="44">
                <c:v>1808034.06</c:v>
              </c:pt>
              <c:pt idx="45">
                <c:v>1949082.6</c:v>
              </c:pt>
              <c:pt idx="46">
                <c:v>1911159.87</c:v>
              </c:pt>
              <c:pt idx="47">
                <c:v>2042980.58</c:v>
              </c:pt>
              <c:pt idx="48">
                <c:v>1822439.95</c:v>
              </c:pt>
              <c:pt idx="49">
                <c:v>1817296.79</c:v>
              </c:pt>
              <c:pt idx="50">
                <c:v>1880751.22</c:v>
              </c:pt>
              <c:pt idx="51">
                <c:v>1907417.89</c:v>
              </c:pt>
              <c:pt idx="52">
                <c:v>2003509.96</c:v>
              </c:pt>
              <c:pt idx="53">
                <c:v>1908480.44</c:v>
              </c:pt>
              <c:pt idx="54">
                <c:v>2061487.21</c:v>
              </c:pt>
              <c:pt idx="55">
                <c:v>1975038.82</c:v>
              </c:pt>
              <c:pt idx="56">
                <c:v>2019472.57</c:v>
              </c:pt>
              <c:pt idx="57">
                <c:v>2111746.5699999998</c:v>
              </c:pt>
              <c:pt idx="58">
                <c:v>1987951.9</c:v>
              </c:pt>
              <c:pt idx="59">
                <c:v>2326537.65</c:v>
              </c:pt>
              <c:pt idx="60">
                <c:v>1909742.79</c:v>
              </c:pt>
              <c:pt idx="61">
                <c:v>1883542.01</c:v>
              </c:pt>
              <c:pt idx="62">
                <c:v>2086994</c:v>
              </c:pt>
              <c:pt idx="63">
                <c:v>2020912.61</c:v>
              </c:pt>
              <c:pt idx="64">
                <c:v>2054181.87</c:v>
              </c:pt>
              <c:pt idx="65">
                <c:v>2075288.9</c:v>
              </c:pt>
              <c:pt idx="66">
                <c:v>2145250.09</c:v>
              </c:pt>
              <c:pt idx="67">
                <c:v>2112329.4</c:v>
              </c:pt>
              <c:pt idx="68">
                <c:v>2166898.83</c:v>
              </c:pt>
              <c:pt idx="69">
                <c:v>2226021.89</c:v>
              </c:pt>
              <c:pt idx="70">
                <c:v>2133129.06</c:v>
              </c:pt>
              <c:pt idx="71">
                <c:v>2411530.35</c:v>
              </c:pt>
              <c:pt idx="72">
                <c:v>1948890.22</c:v>
              </c:pt>
              <c:pt idx="73">
                <c:v>1969131.41</c:v>
              </c:pt>
              <c:pt idx="74">
                <c:v>2319676.5</c:v>
              </c:pt>
              <c:pt idx="75">
                <c:v>2115554.16</c:v>
              </c:pt>
              <c:pt idx="76">
                <c:v>2182971.4700000002</c:v>
              </c:pt>
              <c:pt idx="77">
                <c:v>2237653.33</c:v>
              </c:pt>
              <c:pt idx="78">
                <c:v>2315635.73</c:v>
              </c:pt>
              <c:pt idx="79">
                <c:v>2307561.4300000002</c:v>
              </c:pt>
              <c:pt idx="80">
                <c:v>2345118.71</c:v>
              </c:pt>
              <c:pt idx="81">
                <c:v>2335697.7200000002</c:v>
              </c:pt>
              <c:pt idx="82">
                <c:v>2452616.15</c:v>
              </c:pt>
              <c:pt idx="83">
                <c:v>2689804.89</c:v>
              </c:pt>
              <c:pt idx="84">
                <c:v>2165120.8199999998</c:v>
              </c:pt>
              <c:pt idx="85">
                <c:v>2179876.5099999998</c:v>
              </c:pt>
              <c:pt idx="86">
                <c:v>2500934.2999999998</c:v>
              </c:pt>
              <c:pt idx="87">
                <c:v>2327942.08</c:v>
              </c:pt>
              <c:pt idx="88">
                <c:v>2490307.12</c:v>
              </c:pt>
              <c:pt idx="89">
                <c:v>2473256.02</c:v>
              </c:pt>
              <c:pt idx="90">
                <c:v>2425685.9500000002</c:v>
              </c:pt>
              <c:pt idx="91">
                <c:v>2633451.84</c:v>
              </c:pt>
              <c:pt idx="92">
                <c:v>2590766.37</c:v>
              </c:pt>
              <c:pt idx="93">
                <c:v>2522103.2799999998</c:v>
              </c:pt>
              <c:pt idx="94">
                <c:v>2627531.34</c:v>
              </c:pt>
              <c:pt idx="95">
                <c:v>2915257.12</c:v>
              </c:pt>
              <c:pt idx="96">
                <c:v>2333195.96</c:v>
              </c:pt>
              <c:pt idx="97">
                <c:v>2442263.19</c:v>
              </c:pt>
              <c:pt idx="98">
                <c:v>2742769.75</c:v>
              </c:pt>
              <c:pt idx="99">
                <c:v>2434419.37</c:v>
              </c:pt>
              <c:pt idx="100">
                <c:v>2750066.56</c:v>
              </c:pt>
              <c:pt idx="101">
                <c:v>2600112.87</c:v>
              </c:pt>
              <c:pt idx="102">
                <c:v>2653577.6800000002</c:v>
              </c:pt>
            </c:numLit>
          </c:val>
        </c:ser>
        <c:ser>
          <c:idx val="8"/>
          <c:order val="8"/>
          <c:tx>
            <c:v>AMISULPRIDE</c:v>
          </c:tx>
          <c:spPr>
            <a:ln w="25400">
              <a:noFill/>
            </a:ln>
          </c:spPr>
          <c:cat>
            <c:strLit>
              <c:ptCount val="103"/>
              <c:pt idx="0">
                <c:v>Jan-04</c:v>
              </c:pt>
              <c:pt idx="1">
                <c:v>Feb-04</c:v>
              </c:pt>
              <c:pt idx="2">
                <c:v>Mar-04</c:v>
              </c:pt>
              <c:pt idx="3">
                <c:v>Apr-04</c:v>
              </c:pt>
              <c:pt idx="4">
                <c:v>May-04</c:v>
              </c:pt>
              <c:pt idx="5">
                <c:v>Jun-04</c:v>
              </c:pt>
              <c:pt idx="6">
                <c:v>Jul-04</c:v>
              </c:pt>
              <c:pt idx="7">
                <c:v>Aug-04</c:v>
              </c:pt>
              <c:pt idx="8">
                <c:v>Sep-04</c:v>
              </c:pt>
              <c:pt idx="9">
                <c:v>Oct-04</c:v>
              </c:pt>
              <c:pt idx="10">
                <c:v>Nov-04</c:v>
              </c:pt>
              <c:pt idx="11">
                <c:v>Dec-04</c:v>
              </c:pt>
              <c:pt idx="12">
                <c:v>Jan-05</c:v>
              </c:pt>
              <c:pt idx="13">
                <c:v>Feb-05</c:v>
              </c:pt>
              <c:pt idx="14">
                <c:v>Mar-05</c:v>
              </c:pt>
              <c:pt idx="15">
                <c:v>Apr-05</c:v>
              </c:pt>
              <c:pt idx="16">
                <c:v>May-05</c:v>
              </c:pt>
              <c:pt idx="17">
                <c:v>Jun-05</c:v>
              </c:pt>
              <c:pt idx="18">
                <c:v>Jul-05</c:v>
              </c:pt>
              <c:pt idx="19">
                <c:v>Aug-05</c:v>
              </c:pt>
              <c:pt idx="20">
                <c:v>Sep-05</c:v>
              </c:pt>
              <c:pt idx="21">
                <c:v>Oct-05</c:v>
              </c:pt>
              <c:pt idx="22">
                <c:v>Nov-05</c:v>
              </c:pt>
              <c:pt idx="23">
                <c:v>Dec-05</c:v>
              </c:pt>
              <c:pt idx="24">
                <c:v>Jan-06</c:v>
              </c:pt>
              <c:pt idx="25">
                <c:v>Feb-06</c:v>
              </c:pt>
              <c:pt idx="26">
                <c:v>Mar-06</c:v>
              </c:pt>
              <c:pt idx="27">
                <c:v>Apr-06</c:v>
              </c:pt>
              <c:pt idx="28">
                <c:v>May-06</c:v>
              </c:pt>
              <c:pt idx="29">
                <c:v>Jun-06</c:v>
              </c:pt>
              <c:pt idx="30">
                <c:v>Jul-06</c:v>
              </c:pt>
              <c:pt idx="31">
                <c:v>Aug-06</c:v>
              </c:pt>
              <c:pt idx="32">
                <c:v>Sep-06</c:v>
              </c:pt>
              <c:pt idx="33">
                <c:v>Oct-06</c:v>
              </c:pt>
              <c:pt idx="34">
                <c:v>Nov-06</c:v>
              </c:pt>
              <c:pt idx="35">
                <c:v>Dec-06</c:v>
              </c:pt>
              <c:pt idx="36">
                <c:v>Jan-07</c:v>
              </c:pt>
              <c:pt idx="37">
                <c:v>Feb-07</c:v>
              </c:pt>
              <c:pt idx="38">
                <c:v>Mar-07</c:v>
              </c:pt>
              <c:pt idx="39">
                <c:v>Apr-07</c:v>
              </c:pt>
              <c:pt idx="40">
                <c:v>May-07</c:v>
              </c:pt>
              <c:pt idx="41">
                <c:v>Jun-07</c:v>
              </c:pt>
              <c:pt idx="42">
                <c:v>Jul-07</c:v>
              </c:pt>
              <c:pt idx="43">
                <c:v>Aug-07</c:v>
              </c:pt>
              <c:pt idx="44">
                <c:v>Sep-07</c:v>
              </c:pt>
              <c:pt idx="45">
                <c:v>Oct-07</c:v>
              </c:pt>
              <c:pt idx="46">
                <c:v>Nov-07</c:v>
              </c:pt>
              <c:pt idx="47">
                <c:v>Dec-07</c:v>
              </c:pt>
              <c:pt idx="48">
                <c:v>Jan-08</c:v>
              </c:pt>
              <c:pt idx="49">
                <c:v>Feb-08</c:v>
              </c:pt>
              <c:pt idx="50">
                <c:v>Mar-08</c:v>
              </c:pt>
              <c:pt idx="51">
                <c:v>Apr-08</c:v>
              </c:pt>
              <c:pt idx="52">
                <c:v>May-08</c:v>
              </c:pt>
              <c:pt idx="53">
                <c:v>Jun-08</c:v>
              </c:pt>
              <c:pt idx="54">
                <c:v>Jul-08</c:v>
              </c:pt>
              <c:pt idx="55">
                <c:v>Aug-08</c:v>
              </c:pt>
              <c:pt idx="56">
                <c:v>Sep-08</c:v>
              </c:pt>
              <c:pt idx="57">
                <c:v>Oct-08</c:v>
              </c:pt>
              <c:pt idx="58">
                <c:v>Nov-08</c:v>
              </c:pt>
              <c:pt idx="59">
                <c:v>Dec-08</c:v>
              </c:pt>
              <c:pt idx="60">
                <c:v>Jan-09</c:v>
              </c:pt>
              <c:pt idx="61">
                <c:v>Feb-09</c:v>
              </c:pt>
              <c:pt idx="62">
                <c:v>Mar-09</c:v>
              </c:pt>
              <c:pt idx="63">
                <c:v>Apr-09</c:v>
              </c:pt>
              <c:pt idx="64">
                <c:v>May-09</c:v>
              </c:pt>
              <c:pt idx="65">
                <c:v>Jun-09</c:v>
              </c:pt>
              <c:pt idx="66">
                <c:v>Jul-09</c:v>
              </c:pt>
              <c:pt idx="67">
                <c:v>Aug-09</c:v>
              </c:pt>
              <c:pt idx="68">
                <c:v>Sep-09</c:v>
              </c:pt>
              <c:pt idx="69">
                <c:v>Oct-09</c:v>
              </c:pt>
              <c:pt idx="70">
                <c:v>Nov-09</c:v>
              </c:pt>
              <c:pt idx="71">
                <c:v>Dec-09</c:v>
              </c:pt>
              <c:pt idx="72">
                <c:v>Jan-10</c:v>
              </c:pt>
              <c:pt idx="73">
                <c:v>Feb-10</c:v>
              </c:pt>
              <c:pt idx="74">
                <c:v>Mar-10</c:v>
              </c:pt>
              <c:pt idx="75">
                <c:v>Apr-10</c:v>
              </c:pt>
              <c:pt idx="76">
                <c:v>May-10</c:v>
              </c:pt>
              <c:pt idx="77">
                <c:v>Jun-10</c:v>
              </c:pt>
              <c:pt idx="78">
                <c:v>Jul-10</c:v>
              </c:pt>
              <c:pt idx="79">
                <c:v>Aug-10</c:v>
              </c:pt>
              <c:pt idx="80">
                <c:v>Sep-10</c:v>
              </c:pt>
              <c:pt idx="81">
                <c:v>Oct-10</c:v>
              </c:pt>
              <c:pt idx="82">
                <c:v>Nov-10</c:v>
              </c:pt>
              <c:pt idx="83">
                <c:v>Dec-10</c:v>
              </c:pt>
              <c:pt idx="84">
                <c:v>Jan-11</c:v>
              </c:pt>
              <c:pt idx="85">
                <c:v>Feb-11</c:v>
              </c:pt>
              <c:pt idx="86">
                <c:v>Mar-11</c:v>
              </c:pt>
              <c:pt idx="87">
                <c:v>Apr-11</c:v>
              </c:pt>
              <c:pt idx="88">
                <c:v>May-11</c:v>
              </c:pt>
              <c:pt idx="89">
                <c:v>Jun-11</c:v>
              </c:pt>
              <c:pt idx="90">
                <c:v>Jul-11</c:v>
              </c:pt>
              <c:pt idx="91">
                <c:v>Aug-11</c:v>
              </c:pt>
              <c:pt idx="92">
                <c:v>Sep-11</c:v>
              </c:pt>
              <c:pt idx="93">
                <c:v>Oct-11</c:v>
              </c:pt>
              <c:pt idx="94">
                <c:v>Nov-11</c:v>
              </c:pt>
              <c:pt idx="95">
                <c:v>Dec-11</c:v>
              </c:pt>
              <c:pt idx="96">
                <c:v>Jan-12</c:v>
              </c:pt>
              <c:pt idx="97">
                <c:v>Feb-12</c:v>
              </c:pt>
              <c:pt idx="98">
                <c:v>Mar-12</c:v>
              </c:pt>
              <c:pt idx="99">
                <c:v>Apr-12</c:v>
              </c:pt>
              <c:pt idx="100">
                <c:v>May-12</c:v>
              </c:pt>
              <c:pt idx="101">
                <c:v>Jun-12</c:v>
              </c:pt>
              <c:pt idx="102">
                <c:v>Jul-12</c:v>
              </c:pt>
            </c:strLit>
          </c:cat>
          <c:val>
            <c:numLit>
              <c:formatCode>General</c:formatCode>
              <c:ptCount val="103"/>
              <c:pt idx="0">
                <c:v>988840.5</c:v>
              </c:pt>
              <c:pt idx="1">
                <c:v>1000276.07</c:v>
              </c:pt>
              <c:pt idx="2">
                <c:v>1159297.1000000001</c:v>
              </c:pt>
              <c:pt idx="3">
                <c:v>1095765.25</c:v>
              </c:pt>
              <c:pt idx="4">
                <c:v>1147563.07</c:v>
              </c:pt>
              <c:pt idx="5">
                <c:v>1183694.94</c:v>
              </c:pt>
              <c:pt idx="6">
                <c:v>1215000.3700000001</c:v>
              </c:pt>
              <c:pt idx="7">
                <c:v>1208685.1599999999</c:v>
              </c:pt>
              <c:pt idx="8">
                <c:v>1204811.72</c:v>
              </c:pt>
              <c:pt idx="9">
                <c:v>1215036.3600000001</c:v>
              </c:pt>
              <c:pt idx="10">
                <c:v>1267793.7</c:v>
              </c:pt>
              <c:pt idx="11">
                <c:v>1387257.91</c:v>
              </c:pt>
              <c:pt idx="12">
                <c:v>1115021.3700000001</c:v>
              </c:pt>
              <c:pt idx="13">
                <c:v>1101878.8600000001</c:v>
              </c:pt>
              <c:pt idx="14">
                <c:v>1246434.1499999999</c:v>
              </c:pt>
              <c:pt idx="15">
                <c:v>1213252.53</c:v>
              </c:pt>
              <c:pt idx="16">
                <c:v>1263972.31</c:v>
              </c:pt>
              <c:pt idx="17">
                <c:v>1244190.22</c:v>
              </c:pt>
              <c:pt idx="18">
                <c:v>1281277.25</c:v>
              </c:pt>
              <c:pt idx="19">
                <c:v>1329303.8799999999</c:v>
              </c:pt>
              <c:pt idx="20">
                <c:v>1279432.7</c:v>
              </c:pt>
              <c:pt idx="21">
                <c:v>1277675.3</c:v>
              </c:pt>
              <c:pt idx="22">
                <c:v>1314071.78</c:v>
              </c:pt>
              <c:pt idx="23">
                <c:v>1423029.71</c:v>
              </c:pt>
              <c:pt idx="24">
                <c:v>1168084.6100000001</c:v>
              </c:pt>
              <c:pt idx="25">
                <c:v>1151415.97</c:v>
              </c:pt>
              <c:pt idx="26">
                <c:v>1297561.46</c:v>
              </c:pt>
              <c:pt idx="27">
                <c:v>1168865.8500000001</c:v>
              </c:pt>
              <c:pt idx="28">
                <c:v>1346072.93</c:v>
              </c:pt>
              <c:pt idx="29">
                <c:v>1287910.78</c:v>
              </c:pt>
              <c:pt idx="30">
                <c:v>1238248.6200000001</c:v>
              </c:pt>
              <c:pt idx="31">
                <c:v>1282097.6100000001</c:v>
              </c:pt>
              <c:pt idx="32">
                <c:v>1237797.1200000001</c:v>
              </c:pt>
              <c:pt idx="33">
                <c:v>1264452.76</c:v>
              </c:pt>
              <c:pt idx="34">
                <c:v>1290079.74</c:v>
              </c:pt>
              <c:pt idx="35">
                <c:v>1364357.7</c:v>
              </c:pt>
              <c:pt idx="36">
                <c:v>1178867.54</c:v>
              </c:pt>
              <c:pt idx="37">
                <c:v>1126372.1299999999</c:v>
              </c:pt>
              <c:pt idx="38">
                <c:v>1244329.06</c:v>
              </c:pt>
              <c:pt idx="39">
                <c:v>1185634.6000000001</c:v>
              </c:pt>
              <c:pt idx="40">
                <c:v>1303011.6200000001</c:v>
              </c:pt>
              <c:pt idx="41">
                <c:v>1213164.44</c:v>
              </c:pt>
              <c:pt idx="42">
                <c:v>1231392.06</c:v>
              </c:pt>
              <c:pt idx="43">
                <c:v>1135299.06</c:v>
              </c:pt>
              <c:pt idx="44">
                <c:v>1032063.23</c:v>
              </c:pt>
              <c:pt idx="45">
                <c:v>1122278.8500000001</c:v>
              </c:pt>
              <c:pt idx="46">
                <c:v>1139418.04</c:v>
              </c:pt>
              <c:pt idx="47">
                <c:v>1153371.92</c:v>
              </c:pt>
              <c:pt idx="48">
                <c:v>995741.02</c:v>
              </c:pt>
              <c:pt idx="49">
                <c:v>1021202.48</c:v>
              </c:pt>
              <c:pt idx="50">
                <c:v>1021036.18</c:v>
              </c:pt>
              <c:pt idx="51">
                <c:v>1033888.24</c:v>
              </c:pt>
              <c:pt idx="52">
                <c:v>1093663.3799999999</c:v>
              </c:pt>
              <c:pt idx="53">
                <c:v>1009845.11</c:v>
              </c:pt>
              <c:pt idx="54">
                <c:v>1098067.53</c:v>
              </c:pt>
              <c:pt idx="55">
                <c:v>995895.99</c:v>
              </c:pt>
              <c:pt idx="56">
                <c:v>1026453.59</c:v>
              </c:pt>
              <c:pt idx="57">
                <c:v>1085675.8</c:v>
              </c:pt>
              <c:pt idx="58">
                <c:v>1002839.43</c:v>
              </c:pt>
              <c:pt idx="59">
                <c:v>1182192.1100000001</c:v>
              </c:pt>
              <c:pt idx="60">
                <c:v>909920.68999999948</c:v>
              </c:pt>
              <c:pt idx="61">
                <c:v>929122.78999999922</c:v>
              </c:pt>
              <c:pt idx="62">
                <c:v>1007508.95</c:v>
              </c:pt>
              <c:pt idx="63">
                <c:v>996984.83000000007</c:v>
              </c:pt>
              <c:pt idx="64">
                <c:v>993956.35</c:v>
              </c:pt>
              <c:pt idx="65">
                <c:v>1000197.58</c:v>
              </c:pt>
              <c:pt idx="66">
                <c:v>1053928.95</c:v>
              </c:pt>
              <c:pt idx="67">
                <c:v>984558.7100000002</c:v>
              </c:pt>
              <c:pt idx="68">
                <c:v>987679.70999999915</c:v>
              </c:pt>
              <c:pt idx="69">
                <c:v>1022689.23</c:v>
              </c:pt>
              <c:pt idx="70">
                <c:v>960512.17999999947</c:v>
              </c:pt>
              <c:pt idx="71">
                <c:v>1095312.95</c:v>
              </c:pt>
              <c:pt idx="72">
                <c:v>844622.85</c:v>
              </c:pt>
              <c:pt idx="73">
                <c:v>859012.35</c:v>
              </c:pt>
              <c:pt idx="74">
                <c:v>996500.88000000024</c:v>
              </c:pt>
              <c:pt idx="75">
                <c:v>921547.78999999946</c:v>
              </c:pt>
              <c:pt idx="76">
                <c:v>927459.89</c:v>
              </c:pt>
              <c:pt idx="77">
                <c:v>945637.09</c:v>
              </c:pt>
              <c:pt idx="78">
                <c:v>956949.60000000009</c:v>
              </c:pt>
              <c:pt idx="79">
                <c:v>944532.27999999945</c:v>
              </c:pt>
              <c:pt idx="80">
                <c:v>938239.09999999928</c:v>
              </c:pt>
              <c:pt idx="81">
                <c:v>938707.08999999915</c:v>
              </c:pt>
              <c:pt idx="82">
                <c:v>953680.43999999948</c:v>
              </c:pt>
              <c:pt idx="83">
                <c:v>1069355.96</c:v>
              </c:pt>
              <c:pt idx="84">
                <c:v>837104.68999999948</c:v>
              </c:pt>
              <c:pt idx="85">
                <c:v>809060.1099999994</c:v>
              </c:pt>
              <c:pt idx="86">
                <c:v>924630.28000000026</c:v>
              </c:pt>
              <c:pt idx="87">
                <c:v>850186.41000000015</c:v>
              </c:pt>
              <c:pt idx="88">
                <c:v>932082.21000000008</c:v>
              </c:pt>
              <c:pt idx="89">
                <c:v>918080.59000000008</c:v>
              </c:pt>
              <c:pt idx="90">
                <c:v>900335.55</c:v>
              </c:pt>
              <c:pt idx="91">
                <c:v>944920.30999999936</c:v>
              </c:pt>
              <c:pt idx="92">
                <c:v>913182.65000000014</c:v>
              </c:pt>
              <c:pt idx="93">
                <c:v>908580.10999999917</c:v>
              </c:pt>
              <c:pt idx="94">
                <c:v>943223.9</c:v>
              </c:pt>
              <c:pt idx="95">
                <c:v>1033057.18</c:v>
              </c:pt>
              <c:pt idx="96">
                <c:v>819106.01999999955</c:v>
              </c:pt>
              <c:pt idx="97">
                <c:v>845819.01000000013</c:v>
              </c:pt>
              <c:pt idx="98">
                <c:v>952581.81999999948</c:v>
              </c:pt>
              <c:pt idx="99">
                <c:v>836844.44000000018</c:v>
              </c:pt>
              <c:pt idx="100">
                <c:v>931621.62</c:v>
              </c:pt>
              <c:pt idx="101">
                <c:v>893472.63000000012</c:v>
              </c:pt>
              <c:pt idx="102">
                <c:v>926057.72</c:v>
              </c:pt>
            </c:numLit>
          </c:val>
        </c:ser>
        <c:dLbls>
          <c:showLegendKey val="0"/>
          <c:showVal val="0"/>
          <c:showCatName val="0"/>
          <c:showSerName val="0"/>
          <c:showPercent val="0"/>
          <c:showBubbleSize val="0"/>
        </c:dLbls>
        <c:axId val="4585344"/>
        <c:axId val="4586880"/>
      </c:areaChart>
      <c:catAx>
        <c:axId val="4585344"/>
        <c:scaling>
          <c:orientation val="minMax"/>
        </c:scaling>
        <c:delete val="0"/>
        <c:axPos val="b"/>
        <c:majorTickMark val="none"/>
        <c:minorTickMark val="none"/>
        <c:tickLblPos val="nextTo"/>
        <c:txPr>
          <a:bodyPr/>
          <a:lstStyle/>
          <a:p>
            <a:pPr>
              <a:defRPr lang="en-AU"/>
            </a:pPr>
            <a:endParaRPr lang="en-US"/>
          </a:p>
        </c:txPr>
        <c:crossAx val="4586880"/>
        <c:crosses val="autoZero"/>
        <c:auto val="1"/>
        <c:lblAlgn val="ctr"/>
        <c:lblOffset val="100"/>
        <c:noMultiLvlLbl val="0"/>
      </c:catAx>
      <c:valAx>
        <c:axId val="4586880"/>
        <c:scaling>
          <c:orientation val="minMax"/>
        </c:scaling>
        <c:delete val="0"/>
        <c:axPos val="l"/>
        <c:majorGridlines/>
        <c:title>
          <c:tx>
            <c:rich>
              <a:bodyPr/>
              <a:lstStyle/>
              <a:p>
                <a:pPr>
                  <a:defRPr lang="en-AU"/>
                </a:pPr>
                <a:r>
                  <a:rPr lang="en-AU"/>
                  <a:t>Expenditure</a:t>
                </a:r>
              </a:p>
            </c:rich>
          </c:tx>
          <c:overlay val="0"/>
        </c:title>
        <c:numFmt formatCode="&quot;$&quot;#,##0" sourceLinked="0"/>
        <c:majorTickMark val="none"/>
        <c:minorTickMark val="none"/>
        <c:tickLblPos val="nextTo"/>
        <c:txPr>
          <a:bodyPr/>
          <a:lstStyle/>
          <a:p>
            <a:pPr>
              <a:defRPr lang="en-AU"/>
            </a:pPr>
            <a:endParaRPr lang="en-US"/>
          </a:p>
        </c:txPr>
        <c:crossAx val="4585344"/>
        <c:crosses val="autoZero"/>
        <c:crossBetween val="midCat"/>
      </c:valAx>
    </c:plotArea>
    <c:legend>
      <c:legendPos val="b"/>
      <c:overlay val="0"/>
      <c:txPr>
        <a:bodyPr/>
        <a:lstStyle/>
        <a:p>
          <a:pPr>
            <a:defRPr lang="en-AU"/>
          </a:pPr>
          <a:endParaRPr lang="en-US"/>
        </a:p>
      </c:txPr>
    </c:legend>
    <c:plotVisOnly val="1"/>
    <c:dispBlanksAs val="zero"/>
    <c:showDLblsOverMax val="0"/>
  </c:chart>
  <c:externalData r:id="rId2">
    <c:autoUpdate val="0"/>
  </c:externalData>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[D735_DTYPDE_ST_SX_AGE_AT_1ST_SUPP working.xlsx]stand!PivotTable2</c:name>
    <c:fmtId val="-1"/>
  </c:pivotSource>
  <c:chart>
    <c:autoTitleDeleted val="1"/>
    <c:pivotFmts>
      <c:pivotFmt>
        <c:idx val="0"/>
      </c:pivotFmt>
      <c:pivotFmt>
        <c:idx val="1"/>
      </c:pivotFmt>
      <c:pivotFmt>
        <c:idx val="2"/>
      </c:pivotFmt>
      <c:pivotFmt>
        <c:idx val="3"/>
      </c:pivotFmt>
      <c:pivotFmt>
        <c:idx val="4"/>
      </c:pivotFmt>
      <c:pivotFmt>
        <c:idx val="5"/>
      </c:pivotFmt>
    </c:pivotFmts>
    <c:plotArea>
      <c:layout/>
      <c:lineChart>
        <c:grouping val="standard"/>
        <c:varyColors val="0"/>
        <c:ser>
          <c:idx val="0"/>
          <c:order val="0"/>
          <c:tx>
            <c:strRef>
              <c:f>stand!$B$6:$B$7</c:f>
              <c:strCache>
                <c:ptCount val="1"/>
                <c:pt idx="0">
                  <c:v>F</c:v>
                </c:pt>
              </c:strCache>
            </c:strRef>
          </c:tx>
          <c:cat>
            <c:strRef>
              <c:f>stand!$A$8:$A$17</c:f>
              <c:strCache>
                <c:ptCount val="9"/>
                <c:pt idx="0">
                  <c:v>20-24 yrs</c:v>
                </c:pt>
                <c:pt idx="1">
                  <c:v>25-29 yrs</c:v>
                </c:pt>
                <c:pt idx="2">
                  <c:v>30-34 yrs</c:v>
                </c:pt>
                <c:pt idx="3">
                  <c:v>35-39 yrs</c:v>
                </c:pt>
                <c:pt idx="4">
                  <c:v>40-44 yrs</c:v>
                </c:pt>
                <c:pt idx="5">
                  <c:v>45-49 yrs</c:v>
                </c:pt>
                <c:pt idx="6">
                  <c:v>50-54 yrs</c:v>
                </c:pt>
                <c:pt idx="7">
                  <c:v>55-59 yrs</c:v>
                </c:pt>
                <c:pt idx="8">
                  <c:v>60-64 yrs</c:v>
                </c:pt>
              </c:strCache>
            </c:strRef>
          </c:cat>
          <c:val>
            <c:numRef>
              <c:f>stand!$B$8:$B$17</c:f>
              <c:numCache>
                <c:formatCode>General</c:formatCode>
                <c:ptCount val="9"/>
                <c:pt idx="0">
                  <c:v>8.9927778610681735</c:v>
                </c:pt>
                <c:pt idx="1">
                  <c:v>10.82928794540716</c:v>
                </c:pt>
                <c:pt idx="2">
                  <c:v>13.852751497692081</c:v>
                </c:pt>
                <c:pt idx="3">
                  <c:v>16.393153832409318</c:v>
                </c:pt>
                <c:pt idx="4">
                  <c:v>17.3846096067901</c:v>
                </c:pt>
                <c:pt idx="5">
                  <c:v>17.244621538242605</c:v>
                </c:pt>
                <c:pt idx="6">
                  <c:v>17.078985680680091</c:v>
                </c:pt>
                <c:pt idx="7">
                  <c:v>15.96046627267887</c:v>
                </c:pt>
                <c:pt idx="8">
                  <c:v>15.349285768848826</c:v>
                </c:pt>
              </c:numCache>
            </c:numRef>
          </c:val>
          <c:smooth val="0"/>
        </c:ser>
        <c:ser>
          <c:idx val="1"/>
          <c:order val="1"/>
          <c:tx>
            <c:strRef>
              <c:f>stand!$C$6:$C$7</c:f>
              <c:strCache>
                <c:ptCount val="1"/>
                <c:pt idx="0">
                  <c:v>M</c:v>
                </c:pt>
              </c:strCache>
            </c:strRef>
          </c:tx>
          <c:cat>
            <c:strRef>
              <c:f>stand!$A$8:$A$17</c:f>
              <c:strCache>
                <c:ptCount val="9"/>
                <c:pt idx="0">
                  <c:v>20-24 yrs</c:v>
                </c:pt>
                <c:pt idx="1">
                  <c:v>25-29 yrs</c:v>
                </c:pt>
                <c:pt idx="2">
                  <c:v>30-34 yrs</c:v>
                </c:pt>
                <c:pt idx="3">
                  <c:v>35-39 yrs</c:v>
                </c:pt>
                <c:pt idx="4">
                  <c:v>40-44 yrs</c:v>
                </c:pt>
                <c:pt idx="5">
                  <c:v>45-49 yrs</c:v>
                </c:pt>
                <c:pt idx="6">
                  <c:v>50-54 yrs</c:v>
                </c:pt>
                <c:pt idx="7">
                  <c:v>55-59 yrs</c:v>
                </c:pt>
                <c:pt idx="8">
                  <c:v>60-64 yrs</c:v>
                </c:pt>
              </c:strCache>
            </c:strRef>
          </c:cat>
          <c:val>
            <c:numRef>
              <c:f>stand!$C$8:$C$17</c:f>
              <c:numCache>
                <c:formatCode>General</c:formatCode>
                <c:ptCount val="9"/>
                <c:pt idx="0">
                  <c:v>11.326014343255723</c:v>
                </c:pt>
                <c:pt idx="1">
                  <c:v>14.843104872006608</c:v>
                </c:pt>
                <c:pt idx="2">
                  <c:v>19.33930543433442</c:v>
                </c:pt>
                <c:pt idx="3">
                  <c:v>20.45974703619596</c:v>
                </c:pt>
                <c:pt idx="4">
                  <c:v>19.396917680631976</c:v>
                </c:pt>
                <c:pt idx="5">
                  <c:v>17.452990835535005</c:v>
                </c:pt>
                <c:pt idx="6">
                  <c:v>15.581726834714463</c:v>
                </c:pt>
                <c:pt idx="7">
                  <c:v>13.889553595998995</c:v>
                </c:pt>
                <c:pt idx="8">
                  <c:v>13.500409029961645</c:v>
                </c:pt>
              </c:numCache>
            </c:numRef>
          </c:val>
          <c:smooth val="0"/>
        </c:ser>
        <c:dLbls>
          <c:showLegendKey val="0"/>
          <c:showVal val="0"/>
          <c:showCatName val="0"/>
          <c:showSerName val="0"/>
          <c:showPercent val="0"/>
          <c:showBubbleSize val="0"/>
        </c:dLbls>
        <c:marker val="1"/>
        <c:smooth val="0"/>
        <c:axId val="73892224"/>
        <c:axId val="73894144"/>
      </c:lineChart>
      <c:catAx>
        <c:axId val="73892224"/>
        <c:scaling>
          <c:orientation val="minMax"/>
        </c:scaling>
        <c:delete val="0"/>
        <c:axPos val="b"/>
        <c:title>
          <c:tx>
            <c:rich>
              <a:bodyPr/>
              <a:lstStyle/>
              <a:p>
                <a:pPr>
                  <a:defRPr/>
                </a:pPr>
                <a:r>
                  <a:rPr lang="en-AU"/>
                  <a:t>Age of patient </a:t>
                </a:r>
              </a:p>
            </c:rich>
          </c:tx>
          <c:overlay val="0"/>
        </c:title>
        <c:majorTickMark val="out"/>
        <c:minorTickMark val="none"/>
        <c:tickLblPos val="nextTo"/>
        <c:crossAx val="73894144"/>
        <c:crosses val="autoZero"/>
        <c:auto val="1"/>
        <c:lblAlgn val="ctr"/>
        <c:lblOffset val="100"/>
        <c:noMultiLvlLbl val="0"/>
      </c:catAx>
      <c:valAx>
        <c:axId val="73894144"/>
        <c:scaling>
          <c:orientation val="minMax"/>
        </c:scaling>
        <c:delete val="0"/>
        <c:axPos val="l"/>
        <c:majorGridlines/>
        <c:title>
          <c:tx>
            <c:rich>
              <a:bodyPr rot="-5400000" vert="horz"/>
              <a:lstStyle/>
              <a:p>
                <a:pPr>
                  <a:defRPr/>
                </a:pPr>
                <a:r>
                  <a:rPr lang="en-AU"/>
                  <a:t>Patients standardised</a:t>
                </a:r>
                <a:r>
                  <a:rPr lang="en-AU" baseline="0"/>
                  <a:t> by 1000 population</a:t>
                </a:r>
                <a:endParaRPr lang="en-AU"/>
              </a:p>
            </c:rich>
          </c:tx>
          <c:overlay val="0"/>
        </c:title>
        <c:numFmt formatCode="General" sourceLinked="1"/>
        <c:majorTickMark val="out"/>
        <c:minorTickMark val="none"/>
        <c:tickLblPos val="nextTo"/>
        <c:crossAx val="73892224"/>
        <c:crosses val="autoZero"/>
        <c:crossBetween val="between"/>
      </c:valAx>
    </c:plotArea>
    <c:legend>
      <c:legendPos val="b"/>
      <c:overlay val="0"/>
    </c:legend>
    <c:plotVisOnly val="1"/>
    <c:dispBlanksAs val="gap"/>
    <c:showDLblsOverMax val="0"/>
  </c:chart>
  <c:externalData r:id="rId2">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'age stand'!$B$29</c:f>
              <c:strCache>
                <c:ptCount val="1"/>
                <c:pt idx="0">
                  <c:v>AMISULPRIDE</c:v>
                </c:pt>
              </c:strCache>
            </c:strRef>
          </c:tx>
          <c:marker>
            <c:symbol val="none"/>
          </c:marker>
          <c:cat>
            <c:strRef>
              <c:f>'age stand'!$A$30:$A$37</c:f>
              <c:strCache>
                <c:ptCount val="8"/>
                <c:pt idx="0">
                  <c:v>20-24</c:v>
                </c:pt>
                <c:pt idx="1">
                  <c:v>25-29</c:v>
                </c:pt>
                <c:pt idx="2">
                  <c:v>30-34</c:v>
                </c:pt>
                <c:pt idx="3">
                  <c:v>35-39</c:v>
                </c:pt>
                <c:pt idx="4">
                  <c:v>40-44</c:v>
                </c:pt>
                <c:pt idx="5">
                  <c:v>45-49</c:v>
                </c:pt>
                <c:pt idx="6">
                  <c:v>50-54</c:v>
                </c:pt>
                <c:pt idx="7">
                  <c:v>55-59</c:v>
                </c:pt>
              </c:strCache>
            </c:strRef>
          </c:cat>
          <c:val>
            <c:numRef>
              <c:f>'age stand'!$B$30:$B$37</c:f>
              <c:numCache>
                <c:formatCode>General</c:formatCode>
                <c:ptCount val="8"/>
                <c:pt idx="0">
                  <c:v>0.61727427331565055</c:v>
                </c:pt>
                <c:pt idx="1">
                  <c:v>1.1911662912177492</c:v>
                </c:pt>
                <c:pt idx="2">
                  <c:v>1.8649962778108522</c:v>
                </c:pt>
                <c:pt idx="3">
                  <c:v>1.9658863434230793</c:v>
                </c:pt>
                <c:pt idx="4">
                  <c:v>1.8857912634552809</c:v>
                </c:pt>
                <c:pt idx="5">
                  <c:v>1.682492787679871</c:v>
                </c:pt>
                <c:pt idx="6">
                  <c:v>1.4421042256633205</c:v>
                </c:pt>
                <c:pt idx="7">
                  <c:v>1.3736374219928591</c:v>
                </c:pt>
              </c:numCache>
            </c:numRef>
          </c:val>
          <c:smooth val="0"/>
        </c:ser>
        <c:ser>
          <c:idx val="1"/>
          <c:order val="1"/>
          <c:tx>
            <c:strRef>
              <c:f>'age stand'!$C$29</c:f>
              <c:strCache>
                <c:ptCount val="1"/>
                <c:pt idx="0">
                  <c:v>ARIPIPRAZOLE</c:v>
                </c:pt>
              </c:strCache>
            </c:strRef>
          </c:tx>
          <c:marker>
            <c:symbol val="none"/>
          </c:marker>
          <c:cat>
            <c:strRef>
              <c:f>'age stand'!$A$30:$A$37</c:f>
              <c:strCache>
                <c:ptCount val="8"/>
                <c:pt idx="0">
                  <c:v>20-24</c:v>
                </c:pt>
                <c:pt idx="1">
                  <c:v>25-29</c:v>
                </c:pt>
                <c:pt idx="2">
                  <c:v>30-34</c:v>
                </c:pt>
                <c:pt idx="3">
                  <c:v>35-39</c:v>
                </c:pt>
                <c:pt idx="4">
                  <c:v>40-44</c:v>
                </c:pt>
                <c:pt idx="5">
                  <c:v>45-49</c:v>
                </c:pt>
                <c:pt idx="6">
                  <c:v>50-54</c:v>
                </c:pt>
                <c:pt idx="7">
                  <c:v>55-59</c:v>
                </c:pt>
              </c:strCache>
            </c:strRef>
          </c:cat>
          <c:val>
            <c:numRef>
              <c:f>'age stand'!$C$30:$C$37</c:f>
              <c:numCache>
                <c:formatCode>General</c:formatCode>
                <c:ptCount val="8"/>
                <c:pt idx="0">
                  <c:v>1.8080807478504126</c:v>
                </c:pt>
                <c:pt idx="1">
                  <c:v>2.5271370690909007</c:v>
                </c:pt>
                <c:pt idx="2">
                  <c:v>3.1955202619255902</c:v>
                </c:pt>
                <c:pt idx="3">
                  <c:v>3.3420532741290665</c:v>
                </c:pt>
                <c:pt idx="4">
                  <c:v>3.0413624824409973</c:v>
                </c:pt>
                <c:pt idx="5">
                  <c:v>2.5900585750063265</c:v>
                </c:pt>
                <c:pt idx="6">
                  <c:v>2.2410545793401626</c:v>
                </c:pt>
                <c:pt idx="7">
                  <c:v>1.844775312888981</c:v>
                </c:pt>
              </c:numCache>
            </c:numRef>
          </c:val>
          <c:smooth val="0"/>
        </c:ser>
        <c:ser>
          <c:idx val="2"/>
          <c:order val="2"/>
          <c:tx>
            <c:strRef>
              <c:f>'age stand'!$D$29</c:f>
              <c:strCache>
                <c:ptCount val="1"/>
                <c:pt idx="0">
                  <c:v>ASENAPINE</c:v>
                </c:pt>
              </c:strCache>
            </c:strRef>
          </c:tx>
          <c:marker>
            <c:symbol val="none"/>
          </c:marker>
          <c:cat>
            <c:strRef>
              <c:f>'age stand'!$A$30:$A$37</c:f>
              <c:strCache>
                <c:ptCount val="8"/>
                <c:pt idx="0">
                  <c:v>20-24</c:v>
                </c:pt>
                <c:pt idx="1">
                  <c:v>25-29</c:v>
                </c:pt>
                <c:pt idx="2">
                  <c:v>30-34</c:v>
                </c:pt>
                <c:pt idx="3">
                  <c:v>35-39</c:v>
                </c:pt>
                <c:pt idx="4">
                  <c:v>40-44</c:v>
                </c:pt>
                <c:pt idx="5">
                  <c:v>45-49</c:v>
                </c:pt>
                <c:pt idx="6">
                  <c:v>50-54</c:v>
                </c:pt>
                <c:pt idx="7">
                  <c:v>55-59</c:v>
                </c:pt>
              </c:strCache>
            </c:strRef>
          </c:cat>
          <c:val>
            <c:numRef>
              <c:f>'age stand'!$D$30:$D$37</c:f>
              <c:numCache>
                <c:formatCode>General</c:formatCode>
                <c:ptCount val="8"/>
                <c:pt idx="0">
                  <c:v>3.7029747127621165E-2</c:v>
                </c:pt>
                <c:pt idx="1">
                  <c:v>6.6419287097590957E-2</c:v>
                </c:pt>
                <c:pt idx="2">
                  <c:v>8.8755219461418927E-2</c:v>
                </c:pt>
                <c:pt idx="3">
                  <c:v>8.4655932917640953E-2</c:v>
                </c:pt>
                <c:pt idx="4">
                  <c:v>8.9434109972166484E-2</c:v>
                </c:pt>
                <c:pt idx="5">
                  <c:v>7.5529329790361144E-2</c:v>
                </c:pt>
                <c:pt idx="6">
                  <c:v>7.0800202234506823E-2</c:v>
                </c:pt>
                <c:pt idx="7">
                  <c:v>4.8721536633514737E-2</c:v>
                </c:pt>
              </c:numCache>
            </c:numRef>
          </c:val>
          <c:smooth val="0"/>
        </c:ser>
        <c:ser>
          <c:idx val="3"/>
          <c:order val="3"/>
          <c:tx>
            <c:strRef>
              <c:f>'age stand'!$E$29</c:f>
              <c:strCache>
                <c:ptCount val="1"/>
                <c:pt idx="0">
                  <c:v>CLOZAPINE</c:v>
                </c:pt>
              </c:strCache>
            </c:strRef>
          </c:tx>
          <c:marker>
            <c:symbol val="none"/>
          </c:marker>
          <c:cat>
            <c:strRef>
              <c:f>'age stand'!$A$30:$A$37</c:f>
              <c:strCache>
                <c:ptCount val="8"/>
                <c:pt idx="0">
                  <c:v>20-24</c:v>
                </c:pt>
                <c:pt idx="1">
                  <c:v>25-29</c:v>
                </c:pt>
                <c:pt idx="2">
                  <c:v>30-34</c:v>
                </c:pt>
                <c:pt idx="3">
                  <c:v>35-39</c:v>
                </c:pt>
                <c:pt idx="4">
                  <c:v>40-44</c:v>
                </c:pt>
                <c:pt idx="5">
                  <c:v>45-49</c:v>
                </c:pt>
                <c:pt idx="6">
                  <c:v>50-54</c:v>
                </c:pt>
                <c:pt idx="7">
                  <c:v>55-59</c:v>
                </c:pt>
              </c:strCache>
            </c:strRef>
          </c:cat>
          <c:val>
            <c:numRef>
              <c:f>'age stand'!$E$30:$E$37</c:f>
              <c:numCache>
                <c:formatCode>General</c:formatCode>
                <c:ptCount val="8"/>
                <c:pt idx="0">
                  <c:v>0.14780502112434027</c:v>
                </c:pt>
                <c:pt idx="1">
                  <c:v>0.28116492540923671</c:v>
                </c:pt>
                <c:pt idx="2">
                  <c:v>0.45627743587466862</c:v>
                </c:pt>
                <c:pt idx="3">
                  <c:v>0.41179577660937428</c:v>
                </c:pt>
                <c:pt idx="4">
                  <c:v>0.35207501831879556</c:v>
                </c:pt>
                <c:pt idx="5">
                  <c:v>0.31401930717247273</c:v>
                </c:pt>
                <c:pt idx="6">
                  <c:v>0.20165900595911634</c:v>
                </c:pt>
                <c:pt idx="7">
                  <c:v>0.1525497706226833</c:v>
                </c:pt>
              </c:numCache>
            </c:numRef>
          </c:val>
          <c:smooth val="0"/>
        </c:ser>
        <c:ser>
          <c:idx val="4"/>
          <c:order val="4"/>
          <c:tx>
            <c:strRef>
              <c:f>'age stand'!$F$29</c:f>
              <c:strCache>
                <c:ptCount val="1"/>
                <c:pt idx="0">
                  <c:v>OLANZAPINE</c:v>
                </c:pt>
              </c:strCache>
            </c:strRef>
          </c:tx>
          <c:marker>
            <c:symbol val="none"/>
          </c:marker>
          <c:cat>
            <c:strRef>
              <c:f>'age stand'!$A$30:$A$37</c:f>
              <c:strCache>
                <c:ptCount val="8"/>
                <c:pt idx="0">
                  <c:v>20-24</c:v>
                </c:pt>
                <c:pt idx="1">
                  <c:v>25-29</c:v>
                </c:pt>
                <c:pt idx="2">
                  <c:v>30-34</c:v>
                </c:pt>
                <c:pt idx="3">
                  <c:v>35-39</c:v>
                </c:pt>
                <c:pt idx="4">
                  <c:v>40-44</c:v>
                </c:pt>
                <c:pt idx="5">
                  <c:v>45-49</c:v>
                </c:pt>
                <c:pt idx="6">
                  <c:v>50-54</c:v>
                </c:pt>
                <c:pt idx="7">
                  <c:v>55-59</c:v>
                </c:pt>
              </c:strCache>
            </c:strRef>
          </c:cat>
          <c:val>
            <c:numRef>
              <c:f>'age stand'!$F$30:$F$37</c:f>
              <c:numCache>
                <c:formatCode>General</c:formatCode>
                <c:ptCount val="8"/>
                <c:pt idx="0">
                  <c:v>6.29878524029301</c:v>
                </c:pt>
                <c:pt idx="1">
                  <c:v>8.2727893128938312</c:v>
                </c:pt>
                <c:pt idx="2">
                  <c:v>11.252898882646171</c:v>
                </c:pt>
                <c:pt idx="3">
                  <c:v>12.59103612582371</c:v>
                </c:pt>
                <c:pt idx="4">
                  <c:v>12.964794638503932</c:v>
                </c:pt>
                <c:pt idx="5">
                  <c:v>12.661778989325033</c:v>
                </c:pt>
                <c:pt idx="6">
                  <c:v>12.438390757182264</c:v>
                </c:pt>
                <c:pt idx="7">
                  <c:v>11.615354829877456</c:v>
                </c:pt>
              </c:numCache>
            </c:numRef>
          </c:val>
          <c:smooth val="0"/>
        </c:ser>
        <c:ser>
          <c:idx val="5"/>
          <c:order val="5"/>
          <c:tx>
            <c:strRef>
              <c:f>'age stand'!$G$29</c:f>
              <c:strCache>
                <c:ptCount val="1"/>
                <c:pt idx="0">
                  <c:v>PALIPERIDONE</c:v>
                </c:pt>
              </c:strCache>
            </c:strRef>
          </c:tx>
          <c:marker>
            <c:symbol val="none"/>
          </c:marker>
          <c:cat>
            <c:strRef>
              <c:f>'age stand'!$A$30:$A$37</c:f>
              <c:strCache>
                <c:ptCount val="8"/>
                <c:pt idx="0">
                  <c:v>20-24</c:v>
                </c:pt>
                <c:pt idx="1">
                  <c:v>25-29</c:v>
                </c:pt>
                <c:pt idx="2">
                  <c:v>30-34</c:v>
                </c:pt>
                <c:pt idx="3">
                  <c:v>35-39</c:v>
                </c:pt>
                <c:pt idx="4">
                  <c:v>40-44</c:v>
                </c:pt>
                <c:pt idx="5">
                  <c:v>45-49</c:v>
                </c:pt>
                <c:pt idx="6">
                  <c:v>50-54</c:v>
                </c:pt>
                <c:pt idx="7">
                  <c:v>55-59</c:v>
                </c:pt>
              </c:strCache>
            </c:strRef>
          </c:cat>
          <c:val>
            <c:numRef>
              <c:f>'age stand'!$G$30:$G$37</c:f>
              <c:numCache>
                <c:formatCode>General</c:formatCode>
                <c:ptCount val="8"/>
                <c:pt idx="0">
                  <c:v>0.55995204362535322</c:v>
                </c:pt>
                <c:pt idx="1">
                  <c:v>0.70884647845256654</c:v>
                </c:pt>
                <c:pt idx="2">
                  <c:v>0.84865317365406323</c:v>
                </c:pt>
                <c:pt idx="3">
                  <c:v>0.85446205982140977</c:v>
                </c:pt>
                <c:pt idx="4">
                  <c:v>0.90770289818429628</c:v>
                </c:pt>
                <c:pt idx="5">
                  <c:v>0.72774827802223552</c:v>
                </c:pt>
                <c:pt idx="6">
                  <c:v>0.62676893042315251</c:v>
                </c:pt>
                <c:pt idx="7">
                  <c:v>0.5358511005300689</c:v>
                </c:pt>
              </c:numCache>
            </c:numRef>
          </c:val>
          <c:smooth val="0"/>
        </c:ser>
        <c:ser>
          <c:idx val="6"/>
          <c:order val="6"/>
          <c:tx>
            <c:strRef>
              <c:f>'age stand'!$H$29</c:f>
              <c:strCache>
                <c:ptCount val="1"/>
                <c:pt idx="0">
                  <c:v>PERICYAZINE</c:v>
                </c:pt>
              </c:strCache>
            </c:strRef>
          </c:tx>
          <c:marker>
            <c:symbol val="none"/>
          </c:marker>
          <c:cat>
            <c:strRef>
              <c:f>'age stand'!$A$30:$A$37</c:f>
              <c:strCache>
                <c:ptCount val="8"/>
                <c:pt idx="0">
                  <c:v>20-24</c:v>
                </c:pt>
                <c:pt idx="1">
                  <c:v>25-29</c:v>
                </c:pt>
                <c:pt idx="2">
                  <c:v>30-34</c:v>
                </c:pt>
                <c:pt idx="3">
                  <c:v>35-39</c:v>
                </c:pt>
                <c:pt idx="4">
                  <c:v>40-44</c:v>
                </c:pt>
                <c:pt idx="5">
                  <c:v>45-49</c:v>
                </c:pt>
                <c:pt idx="6">
                  <c:v>50-54</c:v>
                </c:pt>
                <c:pt idx="7">
                  <c:v>55-59</c:v>
                </c:pt>
              </c:strCache>
            </c:strRef>
          </c:cat>
          <c:val>
            <c:numRef>
              <c:f>'age stand'!$H$30:$H$37</c:f>
              <c:numCache>
                <c:formatCode>General</c:formatCode>
                <c:ptCount val="8"/>
                <c:pt idx="0">
                  <c:v>0.49019641341058162</c:v>
                </c:pt>
                <c:pt idx="1">
                  <c:v>0.48022695709700897</c:v>
                </c:pt>
                <c:pt idx="2">
                  <c:v>0.64330304064177579</c:v>
                </c:pt>
                <c:pt idx="3">
                  <c:v>0.78000673304494572</c:v>
                </c:pt>
                <c:pt idx="4">
                  <c:v>0.93662846380895337</c:v>
                </c:pt>
                <c:pt idx="5">
                  <c:v>0.917418020858904</c:v>
                </c:pt>
                <c:pt idx="6">
                  <c:v>0.96452824199147291</c:v>
                </c:pt>
                <c:pt idx="7">
                  <c:v>1.0886710724001256</c:v>
                </c:pt>
              </c:numCache>
            </c:numRef>
          </c:val>
          <c:smooth val="0"/>
        </c:ser>
        <c:ser>
          <c:idx val="7"/>
          <c:order val="7"/>
          <c:tx>
            <c:strRef>
              <c:f>'age stand'!$I$29</c:f>
              <c:strCache>
                <c:ptCount val="1"/>
                <c:pt idx="0">
                  <c:v>QUETIAPINE</c:v>
                </c:pt>
              </c:strCache>
            </c:strRef>
          </c:tx>
          <c:marker>
            <c:symbol val="none"/>
          </c:marker>
          <c:cat>
            <c:strRef>
              <c:f>'age stand'!$A$30:$A$37</c:f>
              <c:strCache>
                <c:ptCount val="8"/>
                <c:pt idx="0">
                  <c:v>20-24</c:v>
                </c:pt>
                <c:pt idx="1">
                  <c:v>25-29</c:v>
                </c:pt>
                <c:pt idx="2">
                  <c:v>30-34</c:v>
                </c:pt>
                <c:pt idx="3">
                  <c:v>35-39</c:v>
                </c:pt>
                <c:pt idx="4">
                  <c:v>40-44</c:v>
                </c:pt>
                <c:pt idx="5">
                  <c:v>45-49</c:v>
                </c:pt>
                <c:pt idx="6">
                  <c:v>50-54</c:v>
                </c:pt>
                <c:pt idx="7">
                  <c:v>55-59</c:v>
                </c:pt>
              </c:strCache>
            </c:strRef>
          </c:cat>
          <c:val>
            <c:numRef>
              <c:f>'age stand'!$I$30:$I$37</c:f>
              <c:numCache>
                <c:formatCode>General</c:formatCode>
                <c:ptCount val="8"/>
                <c:pt idx="0">
                  <c:v>10.554959041011504</c:v>
                </c:pt>
                <c:pt idx="1">
                  <c:v>12.683113147281787</c:v>
                </c:pt>
                <c:pt idx="2">
                  <c:v>15.487843349013852</c:v>
                </c:pt>
                <c:pt idx="3">
                  <c:v>17.066818275535791</c:v>
                </c:pt>
                <c:pt idx="4">
                  <c:v>16.61862725439228</c:v>
                </c:pt>
                <c:pt idx="5">
                  <c:v>14.911768512673923</c:v>
                </c:pt>
                <c:pt idx="6">
                  <c:v>13.545972712014377</c:v>
                </c:pt>
                <c:pt idx="7">
                  <c:v>11.862636025375966</c:v>
                </c:pt>
              </c:numCache>
            </c:numRef>
          </c:val>
          <c:smooth val="0"/>
        </c:ser>
        <c:ser>
          <c:idx val="8"/>
          <c:order val="8"/>
          <c:tx>
            <c:strRef>
              <c:f>'age stand'!$J$29</c:f>
              <c:strCache>
                <c:ptCount val="1"/>
                <c:pt idx="0">
                  <c:v>RISPERIDONE</c:v>
                </c:pt>
              </c:strCache>
            </c:strRef>
          </c:tx>
          <c:marker>
            <c:symbol val="none"/>
          </c:marker>
          <c:cat>
            <c:strRef>
              <c:f>'age stand'!$A$30:$A$37</c:f>
              <c:strCache>
                <c:ptCount val="8"/>
                <c:pt idx="0">
                  <c:v>20-24</c:v>
                </c:pt>
                <c:pt idx="1">
                  <c:v>25-29</c:v>
                </c:pt>
                <c:pt idx="2">
                  <c:v>30-34</c:v>
                </c:pt>
                <c:pt idx="3">
                  <c:v>35-39</c:v>
                </c:pt>
                <c:pt idx="4">
                  <c:v>40-44</c:v>
                </c:pt>
                <c:pt idx="5">
                  <c:v>45-49</c:v>
                </c:pt>
                <c:pt idx="6">
                  <c:v>50-54</c:v>
                </c:pt>
                <c:pt idx="7">
                  <c:v>55-59</c:v>
                </c:pt>
              </c:strCache>
            </c:strRef>
          </c:cat>
          <c:val>
            <c:numRef>
              <c:f>'age stand'!$J$30:$J$37</c:f>
              <c:numCache>
                <c:formatCode>General</c:formatCode>
                <c:ptCount val="8"/>
                <c:pt idx="0">
                  <c:v>4.3383860988820704</c:v>
                </c:pt>
                <c:pt idx="1">
                  <c:v>5.2735262613373619</c:v>
                </c:pt>
                <c:pt idx="2">
                  <c:v>6.7014917328996439</c:v>
                </c:pt>
                <c:pt idx="3">
                  <c:v>7.1355815474227642</c:v>
                </c:pt>
                <c:pt idx="4">
                  <c:v>7.0793265575386792</c:v>
                </c:pt>
                <c:pt idx="5">
                  <c:v>6.9207489797021537</c:v>
                </c:pt>
                <c:pt idx="6">
                  <c:v>6.7092891319465995</c:v>
                </c:pt>
                <c:pt idx="7">
                  <c:v>6.342751182054851</c:v>
                </c:pt>
              </c:numCache>
            </c:numRef>
          </c:val>
          <c:smooth val="0"/>
        </c:ser>
        <c:ser>
          <c:idx val="9"/>
          <c:order val="9"/>
          <c:tx>
            <c:strRef>
              <c:f>'age stand'!$K$29</c:f>
              <c:strCache>
                <c:ptCount val="1"/>
                <c:pt idx="0">
                  <c:v>ZIPRASIDONE HYDROCHLORIDE</c:v>
                </c:pt>
              </c:strCache>
            </c:strRef>
          </c:tx>
          <c:marker>
            <c:symbol val="none"/>
          </c:marker>
          <c:cat>
            <c:strRef>
              <c:f>'age stand'!$A$30:$A$37</c:f>
              <c:strCache>
                <c:ptCount val="8"/>
                <c:pt idx="0">
                  <c:v>20-24</c:v>
                </c:pt>
                <c:pt idx="1">
                  <c:v>25-29</c:v>
                </c:pt>
                <c:pt idx="2">
                  <c:v>30-34</c:v>
                </c:pt>
                <c:pt idx="3">
                  <c:v>35-39</c:v>
                </c:pt>
                <c:pt idx="4">
                  <c:v>40-44</c:v>
                </c:pt>
                <c:pt idx="5">
                  <c:v>45-49</c:v>
                </c:pt>
                <c:pt idx="6">
                  <c:v>50-54</c:v>
                </c:pt>
                <c:pt idx="7">
                  <c:v>55-59</c:v>
                </c:pt>
              </c:strCache>
            </c:strRef>
          </c:cat>
          <c:val>
            <c:numRef>
              <c:f>'age stand'!$K$30:$K$37</c:f>
              <c:numCache>
                <c:formatCode>General</c:formatCode>
                <c:ptCount val="8"/>
                <c:pt idx="0">
                  <c:v>0.5691639184734093</c:v>
                </c:pt>
                <c:pt idx="1">
                  <c:v>0.79135918769125069</c:v>
                </c:pt>
                <c:pt idx="2">
                  <c:v>0.94247089535452067</c:v>
                </c:pt>
                <c:pt idx="3">
                  <c:v>1.109510100792908</c:v>
                </c:pt>
                <c:pt idx="4">
                  <c:v>1.0629438965187574</c:v>
                </c:pt>
                <c:pt idx="5">
                  <c:v>0.85643608108450786</c:v>
                </c:pt>
                <c:pt idx="6">
                  <c:v>0.72831088701606617</c:v>
                </c:pt>
                <c:pt idx="7">
                  <c:v>0.60226027723402564</c:v>
                </c:pt>
              </c:numCache>
            </c:numRef>
          </c:val>
          <c:smooth val="0"/>
        </c:ser>
        <c:dLbls>
          <c:showLegendKey val="0"/>
          <c:showVal val="0"/>
          <c:showCatName val="0"/>
          <c:showSerName val="0"/>
          <c:showPercent val="0"/>
          <c:showBubbleSize val="0"/>
        </c:dLbls>
        <c:marker val="1"/>
        <c:smooth val="0"/>
        <c:axId val="73909760"/>
        <c:axId val="73911680"/>
      </c:lineChart>
      <c:catAx>
        <c:axId val="73909760"/>
        <c:scaling>
          <c:orientation val="minMax"/>
        </c:scaling>
        <c:delete val="0"/>
        <c:axPos val="b"/>
        <c:title>
          <c:tx>
            <c:rich>
              <a:bodyPr/>
              <a:lstStyle/>
              <a:p>
                <a:pPr>
                  <a:defRPr/>
                </a:pPr>
                <a:r>
                  <a:rPr lang="en-US"/>
                  <a:t>Age of patient (years)</a:t>
                </a:r>
              </a:p>
            </c:rich>
          </c:tx>
          <c:overlay val="0"/>
        </c:title>
        <c:numFmt formatCode="yy\rs" sourceLinked="0"/>
        <c:majorTickMark val="out"/>
        <c:minorTickMark val="none"/>
        <c:tickLblPos val="nextTo"/>
        <c:crossAx val="73911680"/>
        <c:crosses val="autoZero"/>
        <c:auto val="1"/>
        <c:lblAlgn val="ctr"/>
        <c:lblOffset val="100"/>
        <c:noMultiLvlLbl val="0"/>
      </c:catAx>
      <c:valAx>
        <c:axId val="73911680"/>
        <c:scaling>
          <c:orientation val="minMax"/>
        </c:scaling>
        <c:delete val="0"/>
        <c:axPos val="l"/>
        <c:majorGridlines/>
        <c:title>
          <c:tx>
            <c:rich>
              <a:bodyPr rot="-5400000" vert="horz"/>
              <a:lstStyle/>
              <a:p>
                <a:pPr>
                  <a:defRPr/>
                </a:pPr>
                <a:r>
                  <a:rPr lang="en-US"/>
                  <a:t>Patients standardised by 1000 population</a:t>
                </a:r>
              </a:p>
            </c:rich>
          </c:tx>
          <c:overlay val="0"/>
        </c:title>
        <c:numFmt formatCode="General" sourceLinked="1"/>
        <c:majorTickMark val="out"/>
        <c:minorTickMark val="none"/>
        <c:tickLblPos val="nextTo"/>
        <c:crossAx val="73909760"/>
        <c:crosses val="autoZero"/>
        <c:crossBetween val="between"/>
      </c:valAx>
    </c:plotArea>
    <c:legend>
      <c:legendPos val="b"/>
      <c:layout>
        <c:manualLayout>
          <c:xMode val="edge"/>
          <c:yMode val="edge"/>
          <c:x val="0.12439268730022608"/>
          <c:y val="0.76001373722090049"/>
          <c:w val="0.81804630856786464"/>
          <c:h val="0.18681375224136584"/>
        </c:manualLayout>
      </c:layout>
      <c:overlay val="0"/>
      <c:txPr>
        <a:bodyPr/>
        <a:lstStyle/>
        <a:p>
          <a:pPr>
            <a:defRPr sz="800"/>
          </a:pPr>
          <a:endParaRPr lang="en-US"/>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[D742_drg_10pc_bk2scd_end1scd.xlsx]Sheet1 (9)!PivotTable1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
        <c:idx val="145"/>
      </c:pivotFmt>
      <c:pivotFmt>
        <c:idx val="146"/>
      </c:pivotFmt>
      <c:pivotFmt>
        <c:idx val="147"/>
      </c:pivotFmt>
      <c:pivotFmt>
        <c:idx val="148"/>
      </c:pivotFmt>
      <c:pivotFmt>
        <c:idx val="149"/>
      </c:pivotFmt>
      <c:pivotFmt>
        <c:idx val="150"/>
      </c:pivotFmt>
      <c:pivotFmt>
        <c:idx val="151"/>
      </c:pivotFmt>
      <c:pivotFmt>
        <c:idx val="152"/>
      </c:pivotFmt>
      <c:pivotFmt>
        <c:idx val="153"/>
      </c:pivotFmt>
      <c:pivotFmt>
        <c:idx val="154"/>
      </c:pivotFmt>
      <c:pivotFmt>
        <c:idx val="155"/>
      </c:pivotFmt>
      <c:pivotFmt>
        <c:idx val="156"/>
      </c:pivotFmt>
      <c:pivotFmt>
        <c:idx val="157"/>
      </c:pivotFmt>
      <c:pivotFmt>
        <c:idx val="158"/>
      </c:pivotFmt>
      <c:pivotFmt>
        <c:idx val="159"/>
      </c:pivotFmt>
      <c:pivotFmt>
        <c:idx val="160"/>
      </c:pivotFmt>
      <c:pivotFmt>
        <c:idx val="161"/>
      </c:pivotFmt>
      <c:pivotFmt>
        <c:idx val="162"/>
      </c:pivotFmt>
      <c:pivotFmt>
        <c:idx val="163"/>
      </c:pivotFmt>
      <c:pivotFmt>
        <c:idx val="164"/>
      </c:pivotFmt>
      <c:pivotFmt>
        <c:idx val="165"/>
      </c:pivotFmt>
      <c:pivotFmt>
        <c:idx val="166"/>
      </c:pivotFmt>
      <c:pivotFmt>
        <c:idx val="167"/>
      </c:pivotFmt>
      <c:pivotFmt>
        <c:idx val="168"/>
      </c:pivotFmt>
      <c:pivotFmt>
        <c:idx val="169"/>
      </c:pivotFmt>
      <c:pivotFmt>
        <c:idx val="170"/>
      </c:pivotFmt>
      <c:pivotFmt>
        <c:idx val="171"/>
      </c:pivotFmt>
      <c:pivotFmt>
        <c:idx val="172"/>
      </c:pivotFmt>
      <c:pivotFmt>
        <c:idx val="173"/>
      </c:pivotFmt>
      <c:pivotFmt>
        <c:idx val="174"/>
      </c:pivotFmt>
      <c:pivotFmt>
        <c:idx val="175"/>
      </c:pivotFmt>
      <c:pivotFmt>
        <c:idx val="176"/>
      </c:pivotFmt>
      <c:pivotFmt>
        <c:idx val="177"/>
      </c:pivotFmt>
      <c:pivotFmt>
        <c:idx val="178"/>
      </c:pivotFmt>
      <c:pivotFmt>
        <c:idx val="179"/>
      </c:pivotFmt>
      <c:pivotFmt>
        <c:idx val="180"/>
      </c:pivotFmt>
      <c:pivotFmt>
        <c:idx val="181"/>
      </c:pivotFmt>
      <c:pivotFmt>
        <c:idx val="182"/>
      </c:pivotFmt>
      <c:pivotFmt>
        <c:idx val="183"/>
      </c:pivotFmt>
      <c:pivotFmt>
        <c:idx val="184"/>
      </c:pivotFmt>
      <c:pivotFmt>
        <c:idx val="185"/>
      </c:pivotFmt>
      <c:pivotFmt>
        <c:idx val="186"/>
      </c:pivotFmt>
      <c:pivotFmt>
        <c:idx val="187"/>
      </c:pivotFmt>
      <c:pivotFmt>
        <c:idx val="188"/>
      </c:pivotFmt>
      <c:pivotFmt>
        <c:idx val="189"/>
      </c:pivotFmt>
      <c:pivotFmt>
        <c:idx val="190"/>
      </c:pivotFmt>
      <c:pivotFmt>
        <c:idx val="191"/>
      </c:pivotFmt>
      <c:pivotFmt>
        <c:idx val="192"/>
      </c:pivotFmt>
      <c:pivotFmt>
        <c:idx val="193"/>
      </c:pivotFmt>
      <c:pivotFmt>
        <c:idx val="194"/>
      </c:pivotFmt>
      <c:pivotFmt>
        <c:idx val="195"/>
      </c:pivotFmt>
      <c:pivotFmt>
        <c:idx val="196"/>
      </c:pivotFmt>
      <c:pivotFmt>
        <c:idx val="197"/>
      </c:pivotFmt>
      <c:pivotFmt>
        <c:idx val="198"/>
      </c:pivotFmt>
      <c:pivotFmt>
        <c:idx val="199"/>
      </c:pivotFmt>
      <c:pivotFmt>
        <c:idx val="200"/>
      </c:pivotFmt>
      <c:pivotFmt>
        <c:idx val="201"/>
      </c:pivotFmt>
      <c:pivotFmt>
        <c:idx val="202"/>
      </c:pivotFmt>
      <c:pivotFmt>
        <c:idx val="203"/>
      </c:pivotFmt>
      <c:pivotFmt>
        <c:idx val="204"/>
      </c:pivotFmt>
      <c:pivotFmt>
        <c:idx val="205"/>
      </c:pivotFmt>
      <c:pivotFmt>
        <c:idx val="206"/>
      </c:pivotFmt>
      <c:pivotFmt>
        <c:idx val="207"/>
      </c:pivotFmt>
      <c:pivotFmt>
        <c:idx val="208"/>
      </c:pivotFmt>
      <c:pivotFmt>
        <c:idx val="209"/>
      </c:pivotFmt>
      <c:pivotFmt>
        <c:idx val="210"/>
      </c:pivotFmt>
      <c:pivotFmt>
        <c:idx val="211"/>
      </c:pivotFmt>
      <c:pivotFmt>
        <c:idx val="212"/>
      </c:pivotFmt>
      <c:pivotFmt>
        <c:idx val="213"/>
      </c:pivotFmt>
      <c:pivotFmt>
        <c:idx val="214"/>
      </c:pivotFmt>
      <c:pivotFmt>
        <c:idx val="215"/>
      </c:pivotFmt>
      <c:pivotFmt>
        <c:idx val="216"/>
      </c:pivotFmt>
      <c:pivotFmt>
        <c:idx val="217"/>
      </c:pivotFmt>
      <c:pivotFmt>
        <c:idx val="218"/>
      </c:pivotFmt>
      <c:pivotFmt>
        <c:idx val="219"/>
      </c:pivotFmt>
      <c:pivotFmt>
        <c:idx val="220"/>
      </c:pivotFmt>
      <c:pivotFmt>
        <c:idx val="221"/>
      </c:pivotFmt>
      <c:pivotFmt>
        <c:idx val="222"/>
      </c:pivotFmt>
      <c:pivotFmt>
        <c:idx val="223"/>
      </c:pivotFmt>
      <c:pivotFmt>
        <c:idx val="224"/>
      </c:pivotFmt>
      <c:pivotFmt>
        <c:idx val="225"/>
      </c:pivotFmt>
      <c:pivotFmt>
        <c:idx val="226"/>
      </c:pivotFmt>
      <c:pivotFmt>
        <c:idx val="227"/>
      </c:pivotFmt>
      <c:pivotFmt>
        <c:idx val="228"/>
      </c:pivotFmt>
      <c:pivotFmt>
        <c:idx val="229"/>
      </c:pivotFmt>
      <c:pivotFmt>
        <c:idx val="230"/>
      </c:pivotFmt>
      <c:pivotFmt>
        <c:idx val="231"/>
      </c:pivotFmt>
      <c:pivotFmt>
        <c:idx val="232"/>
      </c:pivotFmt>
      <c:pivotFmt>
        <c:idx val="233"/>
      </c:pivotFmt>
      <c:pivotFmt>
        <c:idx val="234"/>
      </c:pivotFmt>
      <c:pivotFmt>
        <c:idx val="235"/>
      </c:pivotFmt>
      <c:pivotFmt>
        <c:idx val="236"/>
      </c:pivotFmt>
      <c:pivotFmt>
        <c:idx val="237"/>
      </c:pivotFmt>
      <c:pivotFmt>
        <c:idx val="238"/>
      </c:pivotFmt>
      <c:pivotFmt>
        <c:idx val="239"/>
      </c:pivotFmt>
      <c:pivotFmt>
        <c:idx val="240"/>
      </c:pivotFmt>
      <c:pivotFmt>
        <c:idx val="241"/>
      </c:pivotFmt>
      <c:pivotFmt>
        <c:idx val="242"/>
      </c:pivotFmt>
      <c:pivotFmt>
        <c:idx val="243"/>
      </c:pivotFmt>
      <c:pivotFmt>
        <c:idx val="244"/>
      </c:pivotFmt>
      <c:pivotFmt>
        <c:idx val="245"/>
      </c:pivotFmt>
      <c:pivotFmt>
        <c:idx val="246"/>
      </c:pivotFmt>
      <c:pivotFmt>
        <c:idx val="247"/>
      </c:pivotFmt>
      <c:pivotFmt>
        <c:idx val="248"/>
      </c:pivotFmt>
      <c:pivotFmt>
        <c:idx val="249"/>
      </c:pivotFmt>
      <c:pivotFmt>
        <c:idx val="250"/>
      </c:pivotFmt>
      <c:pivotFmt>
        <c:idx val="251"/>
      </c:pivotFmt>
      <c:pivotFmt>
        <c:idx val="252"/>
      </c:pivotFmt>
      <c:pivotFmt>
        <c:idx val="253"/>
      </c:pivotFmt>
      <c:pivotFmt>
        <c:idx val="254"/>
      </c:pivotFmt>
      <c:pivotFmt>
        <c:idx val="255"/>
      </c:pivotFmt>
      <c:pivotFmt>
        <c:idx val="256"/>
      </c:pivotFmt>
      <c:pivotFmt>
        <c:idx val="257"/>
      </c:pivotFmt>
      <c:pivotFmt>
        <c:idx val="258"/>
      </c:pivotFmt>
      <c:pivotFmt>
        <c:idx val="259"/>
      </c:pivotFmt>
      <c:pivotFmt>
        <c:idx val="260"/>
      </c:pivotFmt>
      <c:pivotFmt>
        <c:idx val="261"/>
      </c:pivotFmt>
      <c:pivotFmt>
        <c:idx val="262"/>
      </c:pivotFmt>
      <c:pivotFmt>
        <c:idx val="263"/>
      </c:pivotFmt>
      <c:pivotFmt>
        <c:idx val="264"/>
      </c:pivotFmt>
      <c:pivotFmt>
        <c:idx val="265"/>
      </c:pivotFmt>
      <c:pivotFmt>
        <c:idx val="266"/>
      </c:pivotFmt>
      <c:pivotFmt>
        <c:idx val="267"/>
      </c:pivotFmt>
      <c:pivotFmt>
        <c:idx val="268"/>
      </c:pivotFmt>
      <c:pivotFmt>
        <c:idx val="269"/>
      </c:pivotFmt>
      <c:pivotFmt>
        <c:idx val="270"/>
      </c:pivotFmt>
      <c:pivotFmt>
        <c:idx val="271"/>
      </c:pivotFmt>
      <c:pivotFmt>
        <c:idx val="272"/>
      </c:pivotFmt>
      <c:pivotFmt>
        <c:idx val="273"/>
      </c:pivotFmt>
      <c:pivotFmt>
        <c:idx val="274"/>
      </c:pivotFmt>
      <c:pivotFmt>
        <c:idx val="275"/>
      </c:pivotFmt>
      <c:pivotFmt>
        <c:idx val="276"/>
      </c:pivotFmt>
      <c:pivotFmt>
        <c:idx val="277"/>
      </c:pivotFmt>
      <c:pivotFmt>
        <c:idx val="278"/>
      </c:pivotFmt>
      <c:pivotFmt>
        <c:idx val="279"/>
      </c:pivotFmt>
      <c:pivotFmt>
        <c:idx val="280"/>
      </c:pivotFmt>
      <c:pivotFmt>
        <c:idx val="281"/>
      </c:pivotFmt>
      <c:pivotFmt>
        <c:idx val="282"/>
      </c:pivotFmt>
      <c:pivotFmt>
        <c:idx val="283"/>
      </c:pivotFmt>
      <c:pivotFmt>
        <c:idx val="284"/>
      </c:pivotFmt>
      <c:pivotFmt>
        <c:idx val="285"/>
      </c:pivotFmt>
      <c:pivotFmt>
        <c:idx val="286"/>
      </c:pivotFmt>
      <c:pivotFmt>
        <c:idx val="287"/>
      </c:pivotFmt>
      <c:pivotFmt>
        <c:idx val="288"/>
      </c:pivotFmt>
      <c:pivotFmt>
        <c:idx val="289"/>
      </c:pivotFmt>
      <c:pivotFmt>
        <c:idx val="290"/>
      </c:pivotFmt>
      <c:pivotFmt>
        <c:idx val="291"/>
      </c:pivotFmt>
      <c:pivotFmt>
        <c:idx val="292"/>
      </c:pivotFmt>
      <c:pivotFmt>
        <c:idx val="293"/>
      </c:pivotFmt>
      <c:pivotFmt>
        <c:idx val="294"/>
      </c:pivotFmt>
      <c:pivotFmt>
        <c:idx val="295"/>
      </c:pivotFmt>
      <c:pivotFmt>
        <c:idx val="296"/>
      </c:pivotFmt>
      <c:pivotFmt>
        <c:idx val="297"/>
      </c:pivotFmt>
      <c:pivotFmt>
        <c:idx val="298"/>
      </c:pivotFmt>
      <c:pivotFmt>
        <c:idx val="299"/>
      </c:pivotFmt>
      <c:pivotFmt>
        <c:idx val="300"/>
      </c:pivotFmt>
      <c:pivotFmt>
        <c:idx val="301"/>
      </c:pivotFmt>
      <c:pivotFmt>
        <c:idx val="302"/>
      </c:pivotFmt>
      <c:pivotFmt>
        <c:idx val="303"/>
      </c:pivotFmt>
      <c:pivotFmt>
        <c:idx val="304"/>
      </c:pivotFmt>
      <c:pivotFmt>
        <c:idx val="305"/>
      </c:pivotFmt>
      <c:pivotFmt>
        <c:idx val="306"/>
      </c:pivotFmt>
      <c:pivotFmt>
        <c:idx val="307"/>
      </c:pivotFmt>
      <c:pivotFmt>
        <c:idx val="308"/>
      </c:pivotFmt>
      <c:pivotFmt>
        <c:idx val="309"/>
      </c:pivotFmt>
      <c:pivotFmt>
        <c:idx val="310"/>
      </c:pivotFmt>
      <c:pivotFmt>
        <c:idx val="311"/>
      </c:pivotFmt>
      <c:pivotFmt>
        <c:idx val="312"/>
      </c:pivotFmt>
      <c:pivotFmt>
        <c:idx val="313"/>
      </c:pivotFmt>
      <c:pivotFmt>
        <c:idx val="314"/>
      </c:pivotFmt>
      <c:pivotFmt>
        <c:idx val="315"/>
      </c:pivotFmt>
      <c:pivotFmt>
        <c:idx val="316"/>
      </c:pivotFmt>
      <c:pivotFmt>
        <c:idx val="317"/>
      </c:pivotFmt>
      <c:pivotFmt>
        <c:idx val="318"/>
      </c:pivotFmt>
      <c:pivotFmt>
        <c:idx val="319"/>
      </c:pivotFmt>
      <c:pivotFmt>
        <c:idx val="320"/>
      </c:pivotFmt>
      <c:pivotFmt>
        <c:idx val="321"/>
      </c:pivotFmt>
      <c:pivotFmt>
        <c:idx val="322"/>
      </c:pivotFmt>
      <c:pivotFmt>
        <c:idx val="323"/>
      </c:pivotFmt>
      <c:pivotFmt>
        <c:idx val="324"/>
      </c:pivotFmt>
      <c:pivotFmt>
        <c:idx val="325"/>
      </c:pivotFmt>
      <c:pivotFmt>
        <c:idx val="326"/>
      </c:pivotFmt>
      <c:pivotFmt>
        <c:idx val="327"/>
      </c:pivotFmt>
      <c:pivotFmt>
        <c:idx val="328"/>
      </c:pivotFmt>
      <c:pivotFmt>
        <c:idx val="329"/>
      </c:pivotFmt>
      <c:pivotFmt>
        <c:idx val="330"/>
      </c:pivotFmt>
      <c:pivotFmt>
        <c:idx val="331"/>
      </c:pivotFmt>
      <c:pivotFmt>
        <c:idx val="332"/>
      </c:pivotFmt>
      <c:pivotFmt>
        <c:idx val="333"/>
      </c:pivotFmt>
      <c:pivotFmt>
        <c:idx val="334"/>
      </c:pivotFmt>
      <c:pivotFmt>
        <c:idx val="335"/>
      </c:pivotFmt>
      <c:pivotFmt>
        <c:idx val="336"/>
      </c:pivotFmt>
      <c:pivotFmt>
        <c:idx val="337"/>
      </c:pivotFmt>
      <c:pivotFmt>
        <c:idx val="338"/>
      </c:pivotFmt>
      <c:pivotFmt>
        <c:idx val="339"/>
      </c:pivotFmt>
      <c:pivotFmt>
        <c:idx val="340"/>
      </c:pivotFmt>
      <c:pivotFmt>
        <c:idx val="341"/>
      </c:pivotFmt>
      <c:pivotFmt>
        <c:idx val="342"/>
      </c:pivotFmt>
      <c:pivotFmt>
        <c:idx val="343"/>
      </c:pivotFmt>
      <c:pivotFmt>
        <c:idx val="344"/>
      </c:pivotFmt>
      <c:pivotFmt>
        <c:idx val="345"/>
      </c:pivotFmt>
      <c:pivotFmt>
        <c:idx val="346"/>
      </c:pivotFmt>
      <c:pivotFmt>
        <c:idx val="347"/>
      </c:pivotFmt>
      <c:pivotFmt>
        <c:idx val="348"/>
      </c:pivotFmt>
      <c:pivotFmt>
        <c:idx val="349"/>
      </c:pivotFmt>
      <c:pivotFmt>
        <c:idx val="350"/>
      </c:pivotFmt>
      <c:pivotFmt>
        <c:idx val="351"/>
      </c:pivotFmt>
      <c:pivotFmt>
        <c:idx val="352"/>
      </c:pivotFmt>
      <c:pivotFmt>
        <c:idx val="353"/>
      </c:pivotFmt>
      <c:pivotFmt>
        <c:idx val="354"/>
      </c:pivotFmt>
      <c:pivotFmt>
        <c:idx val="355"/>
      </c:pivotFmt>
      <c:pivotFmt>
        <c:idx val="356"/>
      </c:pivotFmt>
      <c:pivotFmt>
        <c:idx val="357"/>
      </c:pivotFmt>
      <c:pivotFmt>
        <c:idx val="358"/>
      </c:pivotFmt>
      <c:pivotFmt>
        <c:idx val="359"/>
      </c:pivotFmt>
      <c:pivotFmt>
        <c:idx val="360"/>
      </c:pivotFmt>
      <c:pivotFmt>
        <c:idx val="361"/>
      </c:pivotFmt>
      <c:pivotFmt>
        <c:idx val="362"/>
      </c:pivotFmt>
      <c:pivotFmt>
        <c:idx val="363"/>
      </c:pivotFmt>
      <c:pivotFmt>
        <c:idx val="364"/>
      </c:pivotFmt>
      <c:pivotFmt>
        <c:idx val="365"/>
      </c:pivotFmt>
      <c:pivotFmt>
        <c:idx val="366"/>
      </c:pivotFmt>
      <c:pivotFmt>
        <c:idx val="367"/>
      </c:pivotFmt>
      <c:pivotFmt>
        <c:idx val="368"/>
      </c:pivotFmt>
      <c:pivotFmt>
        <c:idx val="369"/>
      </c:pivotFmt>
      <c:pivotFmt>
        <c:idx val="370"/>
      </c:pivotFmt>
      <c:pivotFmt>
        <c:idx val="371"/>
      </c:pivotFmt>
      <c:pivotFmt>
        <c:idx val="372"/>
      </c:pivotFmt>
      <c:pivotFmt>
        <c:idx val="373"/>
      </c:pivotFmt>
      <c:pivotFmt>
        <c:idx val="374"/>
      </c:pivotFmt>
      <c:pivotFmt>
        <c:idx val="375"/>
      </c:pivotFmt>
      <c:pivotFmt>
        <c:idx val="376"/>
      </c:pivotFmt>
      <c:pivotFmt>
        <c:idx val="377"/>
      </c:pivotFmt>
      <c:pivotFmt>
        <c:idx val="378"/>
      </c:pivotFmt>
      <c:pivotFmt>
        <c:idx val="379"/>
      </c:pivotFmt>
      <c:pivotFmt>
        <c:idx val="380"/>
      </c:pivotFmt>
      <c:pivotFmt>
        <c:idx val="381"/>
      </c:pivotFmt>
      <c:pivotFmt>
        <c:idx val="382"/>
      </c:pivotFmt>
      <c:pivotFmt>
        <c:idx val="383"/>
      </c:pivotFmt>
      <c:pivotFmt>
        <c:idx val="384"/>
      </c:pivotFmt>
      <c:pivotFmt>
        <c:idx val="385"/>
      </c:pivotFmt>
      <c:pivotFmt>
        <c:idx val="386"/>
      </c:pivotFmt>
      <c:pivotFmt>
        <c:idx val="387"/>
      </c:pivotFmt>
      <c:pivotFmt>
        <c:idx val="388"/>
      </c:pivotFmt>
      <c:pivotFmt>
        <c:idx val="389"/>
      </c:pivotFmt>
      <c:pivotFmt>
        <c:idx val="390"/>
      </c:pivotFmt>
      <c:pivotFmt>
        <c:idx val="391"/>
      </c:pivotFmt>
      <c:pivotFmt>
        <c:idx val="392"/>
      </c:pivotFmt>
      <c:pivotFmt>
        <c:idx val="393"/>
      </c:pivotFmt>
      <c:pivotFmt>
        <c:idx val="394"/>
      </c:pivotFmt>
      <c:pivotFmt>
        <c:idx val="395"/>
      </c:pivotFmt>
      <c:pivotFmt>
        <c:idx val="396"/>
      </c:pivotFmt>
      <c:pivotFmt>
        <c:idx val="397"/>
      </c:pivotFmt>
      <c:pivotFmt>
        <c:idx val="398"/>
      </c:pivotFmt>
      <c:pivotFmt>
        <c:idx val="399"/>
      </c:pivotFmt>
      <c:pivotFmt>
        <c:idx val="400"/>
      </c:pivotFmt>
      <c:pivotFmt>
        <c:idx val="401"/>
      </c:pivotFmt>
      <c:pivotFmt>
        <c:idx val="402"/>
      </c:pivotFmt>
      <c:pivotFmt>
        <c:idx val="403"/>
      </c:pivotFmt>
      <c:pivotFmt>
        <c:idx val="404"/>
      </c:pivotFmt>
      <c:pivotFmt>
        <c:idx val="405"/>
      </c:pivotFmt>
      <c:pivotFmt>
        <c:idx val="406"/>
      </c:pivotFmt>
      <c:pivotFmt>
        <c:idx val="407"/>
      </c:pivotFmt>
      <c:pivotFmt>
        <c:idx val="408"/>
      </c:pivotFmt>
      <c:pivotFmt>
        <c:idx val="409"/>
      </c:pivotFmt>
      <c:pivotFmt>
        <c:idx val="410"/>
      </c:pivotFmt>
      <c:pivotFmt>
        <c:idx val="411"/>
      </c:pivotFmt>
      <c:pivotFmt>
        <c:idx val="412"/>
      </c:pivotFmt>
      <c:pivotFmt>
        <c:idx val="413"/>
      </c:pivotFmt>
      <c:pivotFmt>
        <c:idx val="414"/>
      </c:pivotFmt>
      <c:pivotFmt>
        <c:idx val="415"/>
      </c:pivotFmt>
      <c:pivotFmt>
        <c:idx val="416"/>
      </c:pivotFmt>
      <c:pivotFmt>
        <c:idx val="417"/>
      </c:pivotFmt>
      <c:pivotFmt>
        <c:idx val="418"/>
      </c:pivotFmt>
      <c:pivotFmt>
        <c:idx val="419"/>
      </c:pivotFmt>
      <c:pivotFmt>
        <c:idx val="420"/>
      </c:pivotFmt>
      <c:pivotFmt>
        <c:idx val="421"/>
      </c:pivotFmt>
      <c:pivotFmt>
        <c:idx val="422"/>
      </c:pivotFmt>
      <c:pivotFmt>
        <c:idx val="423"/>
      </c:pivotFmt>
      <c:pivotFmt>
        <c:idx val="424"/>
      </c:pivotFmt>
      <c:pivotFmt>
        <c:idx val="425"/>
      </c:pivotFmt>
      <c:pivotFmt>
        <c:idx val="426"/>
      </c:pivotFmt>
      <c:pivotFmt>
        <c:idx val="427"/>
      </c:pivotFmt>
      <c:pivotFmt>
        <c:idx val="428"/>
      </c:pivotFmt>
      <c:pivotFmt>
        <c:idx val="429"/>
      </c:pivotFmt>
      <c:pivotFmt>
        <c:idx val="430"/>
      </c:pivotFmt>
      <c:pivotFmt>
        <c:idx val="431"/>
      </c:pivotFmt>
      <c:pivotFmt>
        <c:idx val="432"/>
      </c:pivotFmt>
      <c:pivotFmt>
        <c:idx val="433"/>
      </c:pivotFmt>
      <c:pivotFmt>
        <c:idx val="434"/>
      </c:pivotFmt>
      <c:pivotFmt>
        <c:idx val="435"/>
      </c:pivotFmt>
      <c:pivotFmt>
        <c:idx val="436"/>
      </c:pivotFmt>
      <c:pivotFmt>
        <c:idx val="437"/>
      </c:pivotFmt>
      <c:pivotFmt>
        <c:idx val="438"/>
      </c:pivotFmt>
      <c:pivotFmt>
        <c:idx val="439"/>
      </c:pivotFmt>
      <c:pivotFmt>
        <c:idx val="440"/>
      </c:pivotFmt>
      <c:pivotFmt>
        <c:idx val="441"/>
      </c:pivotFmt>
      <c:pivotFmt>
        <c:idx val="442"/>
      </c:pivotFmt>
      <c:pivotFmt>
        <c:idx val="443"/>
      </c:pivotFmt>
      <c:pivotFmt>
        <c:idx val="444"/>
      </c:pivotFmt>
      <c:pivotFmt>
        <c:idx val="445"/>
      </c:pivotFmt>
      <c:pivotFmt>
        <c:idx val="446"/>
      </c:pivotFmt>
      <c:pivotFmt>
        <c:idx val="447"/>
      </c:pivotFmt>
      <c:pivotFmt>
        <c:idx val="448"/>
      </c:pivotFmt>
      <c:pivotFmt>
        <c:idx val="449"/>
      </c:pivotFmt>
      <c:pivotFmt>
        <c:idx val="450"/>
      </c:pivotFmt>
      <c:pivotFmt>
        <c:idx val="451"/>
      </c:pivotFmt>
      <c:pivotFmt>
        <c:idx val="452"/>
      </c:pivotFmt>
      <c:pivotFmt>
        <c:idx val="453"/>
      </c:pivotFmt>
      <c:pivotFmt>
        <c:idx val="454"/>
      </c:pivotFmt>
      <c:pivotFmt>
        <c:idx val="455"/>
      </c:pivotFmt>
      <c:pivotFmt>
        <c:idx val="456"/>
      </c:pivotFmt>
      <c:pivotFmt>
        <c:idx val="457"/>
      </c:pivotFmt>
      <c:pivotFmt>
        <c:idx val="458"/>
      </c:pivotFmt>
      <c:pivotFmt>
        <c:idx val="459"/>
      </c:pivotFmt>
      <c:pivotFmt>
        <c:idx val="460"/>
      </c:pivotFmt>
      <c:pivotFmt>
        <c:idx val="461"/>
      </c:pivotFmt>
      <c:pivotFmt>
        <c:idx val="462"/>
      </c:pivotFmt>
      <c:pivotFmt>
        <c:idx val="463"/>
      </c:pivotFmt>
      <c:pivotFmt>
        <c:idx val="464"/>
      </c:pivotFmt>
      <c:pivotFmt>
        <c:idx val="465"/>
      </c:pivotFmt>
      <c:pivotFmt>
        <c:idx val="466"/>
      </c:pivotFmt>
      <c:pivotFmt>
        <c:idx val="467"/>
      </c:pivotFmt>
      <c:pivotFmt>
        <c:idx val="468"/>
      </c:pivotFmt>
      <c:pivotFmt>
        <c:idx val="469"/>
      </c:pivotFmt>
      <c:pivotFmt>
        <c:idx val="470"/>
      </c:pivotFmt>
      <c:pivotFmt>
        <c:idx val="471"/>
      </c:pivotFmt>
      <c:pivotFmt>
        <c:idx val="472"/>
      </c:pivotFmt>
      <c:pivotFmt>
        <c:idx val="473"/>
      </c:pivotFmt>
      <c:pivotFmt>
        <c:idx val="474"/>
      </c:pivotFmt>
      <c:pivotFmt>
        <c:idx val="475"/>
      </c:pivotFmt>
      <c:pivotFmt>
        <c:idx val="476"/>
      </c:pivotFmt>
      <c:pivotFmt>
        <c:idx val="477"/>
      </c:pivotFmt>
      <c:pivotFmt>
        <c:idx val="478"/>
      </c:pivotFmt>
      <c:pivotFmt>
        <c:idx val="479"/>
      </c:pivotFmt>
      <c:pivotFmt>
        <c:idx val="480"/>
      </c:pivotFmt>
      <c:pivotFmt>
        <c:idx val="481"/>
      </c:pivotFmt>
      <c:pivotFmt>
        <c:idx val="482"/>
      </c:pivotFmt>
      <c:pivotFmt>
        <c:idx val="483"/>
      </c:pivotFmt>
      <c:pivotFmt>
        <c:idx val="484"/>
      </c:pivotFmt>
      <c:pivotFmt>
        <c:idx val="485"/>
      </c:pivotFmt>
      <c:pivotFmt>
        <c:idx val="486"/>
      </c:pivotFmt>
      <c:pivotFmt>
        <c:idx val="487"/>
      </c:pivotFmt>
      <c:pivotFmt>
        <c:idx val="488"/>
      </c:pivotFmt>
      <c:pivotFmt>
        <c:idx val="489"/>
      </c:pivotFmt>
      <c:pivotFmt>
        <c:idx val="490"/>
      </c:pivotFmt>
      <c:pivotFmt>
        <c:idx val="491"/>
      </c:pivotFmt>
      <c:pivotFmt>
        <c:idx val="492"/>
      </c:pivotFmt>
      <c:pivotFmt>
        <c:idx val="493"/>
      </c:pivotFmt>
      <c:pivotFmt>
        <c:idx val="494"/>
      </c:pivotFmt>
      <c:pivotFmt>
        <c:idx val="495"/>
      </c:pivotFmt>
      <c:pivotFmt>
        <c:idx val="496"/>
      </c:pivotFmt>
      <c:pivotFmt>
        <c:idx val="497"/>
      </c:pivotFmt>
      <c:pivotFmt>
        <c:idx val="498"/>
      </c:pivotFmt>
      <c:pivotFmt>
        <c:idx val="499"/>
      </c:pivotFmt>
      <c:pivotFmt>
        <c:idx val="500"/>
      </c:pivotFmt>
      <c:pivotFmt>
        <c:idx val="501"/>
      </c:pivotFmt>
      <c:pivotFmt>
        <c:idx val="502"/>
      </c:pivotFmt>
      <c:pivotFmt>
        <c:idx val="503"/>
      </c:pivotFmt>
      <c:pivotFmt>
        <c:idx val="504"/>
      </c:pivotFmt>
      <c:pivotFmt>
        <c:idx val="505"/>
      </c:pivotFmt>
      <c:pivotFmt>
        <c:idx val="506"/>
      </c:pivotFmt>
      <c:pivotFmt>
        <c:idx val="507"/>
      </c:pivotFmt>
      <c:pivotFmt>
        <c:idx val="508"/>
      </c:pivotFmt>
      <c:pivotFmt>
        <c:idx val="509"/>
      </c:pivotFmt>
      <c:pivotFmt>
        <c:idx val="510"/>
      </c:pivotFmt>
      <c:pivotFmt>
        <c:idx val="511"/>
      </c:pivotFmt>
      <c:pivotFmt>
        <c:idx val="512"/>
      </c:pivotFmt>
      <c:pivotFmt>
        <c:idx val="513"/>
      </c:pivotFmt>
      <c:pivotFmt>
        <c:idx val="514"/>
      </c:pivotFmt>
      <c:pivotFmt>
        <c:idx val="515"/>
      </c:pivotFmt>
      <c:pivotFmt>
        <c:idx val="516"/>
      </c:pivotFmt>
      <c:pivotFmt>
        <c:idx val="517"/>
      </c:pivotFmt>
      <c:pivotFmt>
        <c:idx val="518"/>
      </c:pivotFmt>
      <c:pivotFmt>
        <c:idx val="519"/>
      </c:pivotFmt>
      <c:pivotFmt>
        <c:idx val="520"/>
      </c:pivotFmt>
      <c:pivotFmt>
        <c:idx val="521"/>
      </c:pivotFmt>
      <c:pivotFmt>
        <c:idx val="522"/>
      </c:pivotFmt>
      <c:pivotFmt>
        <c:idx val="523"/>
      </c:pivotFmt>
      <c:pivotFmt>
        <c:idx val="524"/>
      </c:pivotFmt>
      <c:pivotFmt>
        <c:idx val="525"/>
      </c:pivotFmt>
      <c:pivotFmt>
        <c:idx val="526"/>
      </c:pivotFmt>
      <c:pivotFmt>
        <c:idx val="527"/>
      </c:pivotFmt>
      <c:pivotFmt>
        <c:idx val="528"/>
      </c:pivotFmt>
      <c:pivotFmt>
        <c:idx val="529"/>
      </c:pivotFmt>
      <c:pivotFmt>
        <c:idx val="530"/>
      </c:pivotFmt>
      <c:pivotFmt>
        <c:idx val="531"/>
      </c:pivotFmt>
      <c:pivotFmt>
        <c:idx val="532"/>
      </c:pivotFmt>
      <c:pivotFmt>
        <c:idx val="533"/>
      </c:pivotFmt>
      <c:pivotFmt>
        <c:idx val="534"/>
      </c:pivotFmt>
      <c:pivotFmt>
        <c:idx val="535"/>
      </c:pivotFmt>
      <c:pivotFmt>
        <c:idx val="536"/>
      </c:pivotFmt>
      <c:pivotFmt>
        <c:idx val="537"/>
      </c:pivotFmt>
      <c:pivotFmt>
        <c:idx val="538"/>
      </c:pivotFmt>
      <c:pivotFmt>
        <c:idx val="539"/>
      </c:pivotFmt>
      <c:pivotFmt>
        <c:idx val="540"/>
      </c:pivotFmt>
      <c:pivotFmt>
        <c:idx val="541"/>
      </c:pivotFmt>
      <c:pivotFmt>
        <c:idx val="542"/>
      </c:pivotFmt>
      <c:pivotFmt>
        <c:idx val="543"/>
      </c:pivotFmt>
      <c:pivotFmt>
        <c:idx val="544"/>
      </c:pivotFmt>
      <c:pivotFmt>
        <c:idx val="545"/>
      </c:pivotFmt>
      <c:pivotFmt>
        <c:idx val="546"/>
      </c:pivotFmt>
      <c:pivotFmt>
        <c:idx val="547"/>
      </c:pivotFmt>
      <c:pivotFmt>
        <c:idx val="548"/>
      </c:pivotFmt>
      <c:pivotFmt>
        <c:idx val="549"/>
      </c:pivotFmt>
      <c:pivotFmt>
        <c:idx val="550"/>
      </c:pivotFmt>
      <c:pivotFmt>
        <c:idx val="551"/>
      </c:pivotFmt>
      <c:pivotFmt>
        <c:idx val="552"/>
      </c:pivotFmt>
      <c:pivotFmt>
        <c:idx val="553"/>
      </c:pivotFmt>
      <c:pivotFmt>
        <c:idx val="554"/>
      </c:pivotFmt>
      <c:pivotFmt>
        <c:idx val="555"/>
      </c:pivotFmt>
      <c:pivotFmt>
        <c:idx val="556"/>
      </c:pivotFmt>
      <c:pivotFmt>
        <c:idx val="557"/>
      </c:pivotFmt>
      <c:pivotFmt>
        <c:idx val="558"/>
      </c:pivotFmt>
      <c:pivotFmt>
        <c:idx val="559"/>
      </c:pivotFmt>
      <c:pivotFmt>
        <c:idx val="560"/>
      </c:pivotFmt>
      <c:pivotFmt>
        <c:idx val="561"/>
      </c:pivotFmt>
      <c:pivotFmt>
        <c:idx val="562"/>
      </c:pivotFmt>
      <c:pivotFmt>
        <c:idx val="563"/>
      </c:pivotFmt>
      <c:pivotFmt>
        <c:idx val="564"/>
      </c:pivotFmt>
      <c:pivotFmt>
        <c:idx val="565"/>
      </c:pivotFmt>
      <c:pivotFmt>
        <c:idx val="566"/>
      </c:pivotFmt>
      <c:pivotFmt>
        <c:idx val="567"/>
      </c:pivotFmt>
      <c:pivotFmt>
        <c:idx val="568"/>
      </c:pivotFmt>
      <c:pivotFmt>
        <c:idx val="569"/>
      </c:pivotFmt>
      <c:pivotFmt>
        <c:idx val="570"/>
      </c:pivotFmt>
      <c:pivotFmt>
        <c:idx val="571"/>
      </c:pivotFmt>
      <c:pivotFmt>
        <c:idx val="572"/>
      </c:pivotFmt>
      <c:pivotFmt>
        <c:idx val="573"/>
      </c:pivotFmt>
      <c:pivotFmt>
        <c:idx val="574"/>
      </c:pivotFmt>
      <c:pivotFmt>
        <c:idx val="575"/>
      </c:pivotFmt>
      <c:pivotFmt>
        <c:idx val="576"/>
      </c:pivotFmt>
      <c:pivotFmt>
        <c:idx val="577"/>
      </c:pivotFmt>
      <c:pivotFmt>
        <c:idx val="578"/>
      </c:pivotFmt>
      <c:pivotFmt>
        <c:idx val="579"/>
      </c:pivotFmt>
      <c:pivotFmt>
        <c:idx val="580"/>
      </c:pivotFmt>
      <c:pivotFmt>
        <c:idx val="581"/>
      </c:pivotFmt>
      <c:pivotFmt>
        <c:idx val="582"/>
      </c:pivotFmt>
      <c:pivotFmt>
        <c:idx val="583"/>
      </c:pivotFmt>
      <c:pivotFmt>
        <c:idx val="584"/>
      </c:pivotFmt>
      <c:pivotFmt>
        <c:idx val="585"/>
      </c:pivotFmt>
      <c:pivotFmt>
        <c:idx val="586"/>
      </c:pivotFmt>
      <c:pivotFmt>
        <c:idx val="587"/>
      </c:pivotFmt>
      <c:pivotFmt>
        <c:idx val="588"/>
      </c:pivotFmt>
      <c:pivotFmt>
        <c:idx val="589"/>
      </c:pivotFmt>
      <c:pivotFmt>
        <c:idx val="590"/>
      </c:pivotFmt>
      <c:pivotFmt>
        <c:idx val="591"/>
      </c:pivotFmt>
      <c:pivotFmt>
        <c:idx val="592"/>
      </c:pivotFmt>
      <c:pivotFmt>
        <c:idx val="593"/>
      </c:pivotFmt>
      <c:pivotFmt>
        <c:idx val="594"/>
      </c:pivotFmt>
      <c:pivotFmt>
        <c:idx val="595"/>
      </c:pivotFmt>
      <c:pivotFmt>
        <c:idx val="596"/>
      </c:pivotFmt>
      <c:pivotFmt>
        <c:idx val="597"/>
      </c:pivotFmt>
      <c:pivotFmt>
        <c:idx val="598"/>
      </c:pivotFmt>
      <c:pivotFmt>
        <c:idx val="599"/>
      </c:pivotFmt>
      <c:pivotFmt>
        <c:idx val="600"/>
      </c:pivotFmt>
      <c:pivotFmt>
        <c:idx val="601"/>
      </c:pivotFmt>
      <c:pivotFmt>
        <c:idx val="602"/>
      </c:pivotFmt>
      <c:pivotFmt>
        <c:idx val="603"/>
      </c:pivotFmt>
      <c:pivotFmt>
        <c:idx val="604"/>
      </c:pivotFmt>
      <c:pivotFmt>
        <c:idx val="605"/>
      </c:pivotFmt>
      <c:pivotFmt>
        <c:idx val="606"/>
      </c:pivotFmt>
      <c:pivotFmt>
        <c:idx val="607"/>
      </c:pivotFmt>
      <c:pivotFmt>
        <c:idx val="608"/>
      </c:pivotFmt>
      <c:pivotFmt>
        <c:idx val="609"/>
      </c:pivotFmt>
      <c:pivotFmt>
        <c:idx val="610"/>
      </c:pivotFmt>
      <c:pivotFmt>
        <c:idx val="611"/>
      </c:pivotFmt>
      <c:pivotFmt>
        <c:idx val="612"/>
      </c:pivotFmt>
      <c:pivotFmt>
        <c:idx val="613"/>
      </c:pivotFmt>
      <c:pivotFmt>
        <c:idx val="614"/>
      </c:pivotFmt>
      <c:pivotFmt>
        <c:idx val="615"/>
      </c:pivotFmt>
      <c:pivotFmt>
        <c:idx val="616"/>
      </c:pivotFmt>
      <c:pivotFmt>
        <c:idx val="617"/>
      </c:pivotFmt>
      <c:pivotFmt>
        <c:idx val="618"/>
      </c:pivotFmt>
      <c:pivotFmt>
        <c:idx val="619"/>
      </c:pivotFmt>
      <c:pivotFmt>
        <c:idx val="620"/>
      </c:pivotFmt>
      <c:pivotFmt>
        <c:idx val="621"/>
      </c:pivotFmt>
      <c:pivotFmt>
        <c:idx val="622"/>
      </c:pivotFmt>
      <c:pivotFmt>
        <c:idx val="623"/>
      </c:pivotFmt>
      <c:pivotFmt>
        <c:idx val="624"/>
      </c:pivotFmt>
      <c:pivotFmt>
        <c:idx val="625"/>
      </c:pivotFmt>
      <c:pivotFmt>
        <c:idx val="626"/>
      </c:pivotFmt>
      <c:pivotFmt>
        <c:idx val="627"/>
      </c:pivotFmt>
      <c:pivotFmt>
        <c:idx val="628"/>
      </c:pivotFmt>
      <c:pivotFmt>
        <c:idx val="629"/>
      </c:pivotFmt>
      <c:pivotFmt>
        <c:idx val="630"/>
      </c:pivotFmt>
      <c:pivotFmt>
        <c:idx val="631"/>
      </c:pivotFmt>
      <c:pivotFmt>
        <c:idx val="632"/>
      </c:pivotFmt>
      <c:pivotFmt>
        <c:idx val="633"/>
      </c:pivotFmt>
      <c:pivotFmt>
        <c:idx val="634"/>
      </c:pivotFmt>
      <c:pivotFmt>
        <c:idx val="635"/>
      </c:pivotFmt>
      <c:pivotFmt>
        <c:idx val="636"/>
      </c:pivotFmt>
      <c:pivotFmt>
        <c:idx val="637"/>
      </c:pivotFmt>
      <c:pivotFmt>
        <c:idx val="638"/>
      </c:pivotFmt>
      <c:pivotFmt>
        <c:idx val="639"/>
      </c:pivotFmt>
      <c:pivotFmt>
        <c:idx val="640"/>
      </c:pivotFmt>
      <c:pivotFmt>
        <c:idx val="641"/>
      </c:pivotFmt>
      <c:pivotFmt>
        <c:idx val="642"/>
      </c:pivotFmt>
      <c:pivotFmt>
        <c:idx val="643"/>
      </c:pivotFmt>
      <c:pivotFmt>
        <c:idx val="644"/>
      </c:pivotFmt>
      <c:pivotFmt>
        <c:idx val="645"/>
      </c:pivotFmt>
      <c:pivotFmt>
        <c:idx val="646"/>
      </c:pivotFmt>
      <c:pivotFmt>
        <c:idx val="647"/>
      </c:pivotFmt>
      <c:pivotFmt>
        <c:idx val="648"/>
      </c:pivotFmt>
      <c:pivotFmt>
        <c:idx val="649"/>
      </c:pivotFmt>
      <c:pivotFmt>
        <c:idx val="650"/>
      </c:pivotFmt>
      <c:pivotFmt>
        <c:idx val="651"/>
      </c:pivotFmt>
      <c:pivotFmt>
        <c:idx val="652"/>
      </c:pivotFmt>
      <c:pivotFmt>
        <c:idx val="653"/>
      </c:pivotFmt>
      <c:pivotFmt>
        <c:idx val="654"/>
      </c:pivotFmt>
      <c:pivotFmt>
        <c:idx val="655"/>
      </c:pivotFmt>
      <c:pivotFmt>
        <c:idx val="656"/>
      </c:pivotFmt>
      <c:pivotFmt>
        <c:idx val="657"/>
      </c:pivotFmt>
      <c:pivotFmt>
        <c:idx val="658"/>
      </c:pivotFmt>
      <c:pivotFmt>
        <c:idx val="659"/>
      </c:pivotFmt>
      <c:pivotFmt>
        <c:idx val="660"/>
      </c:pivotFmt>
      <c:pivotFmt>
        <c:idx val="661"/>
      </c:pivotFmt>
      <c:pivotFmt>
        <c:idx val="662"/>
      </c:pivotFmt>
      <c:pivotFmt>
        <c:idx val="663"/>
      </c:pivotFmt>
      <c:pivotFmt>
        <c:idx val="664"/>
      </c:pivotFmt>
      <c:pivotFmt>
        <c:idx val="665"/>
      </c:pivotFmt>
      <c:pivotFmt>
        <c:idx val="666"/>
      </c:pivotFmt>
      <c:pivotFmt>
        <c:idx val="667"/>
      </c:pivotFmt>
      <c:pivotFmt>
        <c:idx val="668"/>
      </c:pivotFmt>
      <c:pivotFmt>
        <c:idx val="669"/>
      </c:pivotFmt>
      <c:pivotFmt>
        <c:idx val="670"/>
      </c:pivotFmt>
      <c:pivotFmt>
        <c:idx val="671"/>
      </c:pivotFmt>
      <c:pivotFmt>
        <c:idx val="672"/>
      </c:pivotFmt>
      <c:pivotFmt>
        <c:idx val="673"/>
      </c:pivotFmt>
      <c:pivotFmt>
        <c:idx val="674"/>
      </c:pivotFmt>
      <c:pivotFmt>
        <c:idx val="675"/>
      </c:pivotFmt>
      <c:pivotFmt>
        <c:idx val="676"/>
      </c:pivotFmt>
      <c:pivotFmt>
        <c:idx val="677"/>
      </c:pivotFmt>
      <c:pivotFmt>
        <c:idx val="678"/>
      </c:pivotFmt>
      <c:pivotFmt>
        <c:idx val="679"/>
      </c:pivotFmt>
      <c:pivotFmt>
        <c:idx val="680"/>
      </c:pivotFmt>
      <c:pivotFmt>
        <c:idx val="681"/>
      </c:pivotFmt>
      <c:pivotFmt>
        <c:idx val="682"/>
      </c:pivotFmt>
      <c:pivotFmt>
        <c:idx val="683"/>
      </c:pivotFmt>
      <c:pivotFmt>
        <c:idx val="684"/>
      </c:pivotFmt>
      <c:pivotFmt>
        <c:idx val="685"/>
      </c:pivotFmt>
      <c:pivotFmt>
        <c:idx val="686"/>
      </c:pivotFmt>
      <c:pivotFmt>
        <c:idx val="687"/>
      </c:pivotFmt>
      <c:pivotFmt>
        <c:idx val="688"/>
      </c:pivotFmt>
      <c:pivotFmt>
        <c:idx val="689"/>
      </c:pivotFmt>
      <c:pivotFmt>
        <c:idx val="690"/>
      </c:pivotFmt>
      <c:pivotFmt>
        <c:idx val="691"/>
      </c:pivotFmt>
      <c:pivotFmt>
        <c:idx val="692"/>
      </c:pivotFmt>
      <c:pivotFmt>
        <c:idx val="693"/>
      </c:pivotFmt>
      <c:pivotFmt>
        <c:idx val="694"/>
      </c:pivotFmt>
      <c:pivotFmt>
        <c:idx val="695"/>
      </c:pivotFmt>
      <c:pivotFmt>
        <c:idx val="696"/>
      </c:pivotFmt>
      <c:pivotFmt>
        <c:idx val="697"/>
      </c:pivotFmt>
      <c:pivotFmt>
        <c:idx val="698"/>
      </c:pivotFmt>
      <c:pivotFmt>
        <c:idx val="699"/>
      </c:pivotFmt>
      <c:pivotFmt>
        <c:idx val="700"/>
      </c:pivotFmt>
      <c:pivotFmt>
        <c:idx val="701"/>
      </c:pivotFmt>
      <c:pivotFmt>
        <c:idx val="702"/>
      </c:pivotFmt>
      <c:pivotFmt>
        <c:idx val="703"/>
      </c:pivotFmt>
      <c:pivotFmt>
        <c:idx val="704"/>
      </c:pivotFmt>
      <c:pivotFmt>
        <c:idx val="705"/>
      </c:pivotFmt>
      <c:pivotFmt>
        <c:idx val="706"/>
      </c:pivotFmt>
      <c:pivotFmt>
        <c:idx val="707"/>
      </c:pivotFmt>
      <c:pivotFmt>
        <c:idx val="708"/>
      </c:pivotFmt>
      <c:pivotFmt>
        <c:idx val="709"/>
      </c:pivotFmt>
      <c:pivotFmt>
        <c:idx val="710"/>
      </c:pivotFmt>
      <c:pivotFmt>
        <c:idx val="711"/>
      </c:pivotFmt>
      <c:pivotFmt>
        <c:idx val="712"/>
      </c:pivotFmt>
      <c:pivotFmt>
        <c:idx val="713"/>
      </c:pivotFmt>
      <c:pivotFmt>
        <c:idx val="714"/>
      </c:pivotFmt>
      <c:pivotFmt>
        <c:idx val="715"/>
      </c:pivotFmt>
      <c:pivotFmt>
        <c:idx val="716"/>
      </c:pivotFmt>
      <c:pivotFmt>
        <c:idx val="717"/>
      </c:pivotFmt>
      <c:pivotFmt>
        <c:idx val="718"/>
      </c:pivotFmt>
      <c:pivotFmt>
        <c:idx val="719"/>
      </c:pivotFmt>
      <c:pivotFmt>
        <c:idx val="720"/>
      </c:pivotFmt>
      <c:pivotFmt>
        <c:idx val="721"/>
      </c:pivotFmt>
      <c:pivotFmt>
        <c:idx val="722"/>
      </c:pivotFmt>
      <c:pivotFmt>
        <c:idx val="723"/>
      </c:pivotFmt>
      <c:pivotFmt>
        <c:idx val="724"/>
      </c:pivotFmt>
      <c:pivotFmt>
        <c:idx val="725"/>
      </c:pivotFmt>
      <c:pivotFmt>
        <c:idx val="726"/>
      </c:pivotFmt>
      <c:pivotFmt>
        <c:idx val="727"/>
      </c:pivotFmt>
      <c:pivotFmt>
        <c:idx val="728"/>
      </c:pivotFmt>
      <c:pivotFmt>
        <c:idx val="729"/>
      </c:pivotFmt>
      <c:pivotFmt>
        <c:idx val="730"/>
      </c:pivotFmt>
      <c:pivotFmt>
        <c:idx val="731"/>
      </c:pivotFmt>
      <c:pivotFmt>
        <c:idx val="732"/>
      </c:pivotFmt>
      <c:pivotFmt>
        <c:idx val="733"/>
      </c:pivotFmt>
      <c:pivotFmt>
        <c:idx val="734"/>
      </c:pivotFmt>
      <c:pivotFmt>
        <c:idx val="735"/>
      </c:pivotFmt>
      <c:pivotFmt>
        <c:idx val="736"/>
      </c:pivotFmt>
      <c:pivotFmt>
        <c:idx val="737"/>
      </c:pivotFmt>
      <c:pivotFmt>
        <c:idx val="738"/>
      </c:pivotFmt>
      <c:pivotFmt>
        <c:idx val="739"/>
      </c:pivotFmt>
      <c:pivotFmt>
        <c:idx val="740"/>
      </c:pivotFmt>
      <c:pivotFmt>
        <c:idx val="741"/>
      </c:pivotFmt>
      <c:pivotFmt>
        <c:idx val="742"/>
      </c:pivotFmt>
      <c:pivotFmt>
        <c:idx val="743"/>
      </c:pivotFmt>
      <c:pivotFmt>
        <c:idx val="744"/>
      </c:pivotFmt>
      <c:pivotFmt>
        <c:idx val="745"/>
      </c:pivotFmt>
      <c:pivotFmt>
        <c:idx val="746"/>
      </c:pivotFmt>
      <c:pivotFmt>
        <c:idx val="747"/>
      </c:pivotFmt>
      <c:pivotFmt>
        <c:idx val="748"/>
      </c:pivotFmt>
      <c:pivotFmt>
        <c:idx val="749"/>
      </c:pivotFmt>
      <c:pivotFmt>
        <c:idx val="750"/>
      </c:pivotFmt>
      <c:pivotFmt>
        <c:idx val="751"/>
      </c:pivotFmt>
      <c:pivotFmt>
        <c:idx val="752"/>
      </c:pivotFmt>
      <c:pivotFmt>
        <c:idx val="753"/>
      </c:pivotFmt>
      <c:pivotFmt>
        <c:idx val="754"/>
      </c:pivotFmt>
      <c:pivotFmt>
        <c:idx val="755"/>
      </c:pivotFmt>
      <c:pivotFmt>
        <c:idx val="756"/>
      </c:pivotFmt>
      <c:pivotFmt>
        <c:idx val="757"/>
      </c:pivotFmt>
      <c:pivotFmt>
        <c:idx val="758"/>
      </c:pivotFmt>
      <c:pivotFmt>
        <c:idx val="759"/>
      </c:pivotFmt>
      <c:pivotFmt>
        <c:idx val="760"/>
      </c:pivotFmt>
      <c:pivotFmt>
        <c:idx val="761"/>
      </c:pivotFmt>
      <c:pivotFmt>
        <c:idx val="762"/>
      </c:pivotFmt>
      <c:pivotFmt>
        <c:idx val="763"/>
      </c:pivotFmt>
      <c:pivotFmt>
        <c:idx val="764"/>
      </c:pivotFmt>
      <c:pivotFmt>
        <c:idx val="765"/>
      </c:pivotFmt>
      <c:pivotFmt>
        <c:idx val="766"/>
      </c:pivotFmt>
      <c:pivotFmt>
        <c:idx val="767"/>
      </c:pivotFmt>
      <c:pivotFmt>
        <c:idx val="768"/>
      </c:pivotFmt>
      <c:pivotFmt>
        <c:idx val="769"/>
      </c:pivotFmt>
      <c:pivotFmt>
        <c:idx val="770"/>
      </c:pivotFmt>
      <c:pivotFmt>
        <c:idx val="771"/>
      </c:pivotFmt>
      <c:pivotFmt>
        <c:idx val="772"/>
      </c:pivotFmt>
      <c:pivotFmt>
        <c:idx val="773"/>
      </c:pivotFmt>
      <c:pivotFmt>
        <c:idx val="774"/>
      </c:pivotFmt>
      <c:pivotFmt>
        <c:idx val="775"/>
      </c:pivotFmt>
      <c:pivotFmt>
        <c:idx val="776"/>
      </c:pivotFmt>
      <c:pivotFmt>
        <c:idx val="777"/>
      </c:pivotFmt>
      <c:pivotFmt>
        <c:idx val="778"/>
      </c:pivotFmt>
      <c:pivotFmt>
        <c:idx val="779"/>
      </c:pivotFmt>
      <c:pivotFmt>
        <c:idx val="780"/>
      </c:pivotFmt>
      <c:pivotFmt>
        <c:idx val="781"/>
      </c:pivotFmt>
      <c:pivotFmt>
        <c:idx val="782"/>
      </c:pivotFmt>
      <c:pivotFmt>
        <c:idx val="783"/>
      </c:pivotFmt>
      <c:pivotFmt>
        <c:idx val="784"/>
      </c:pivotFmt>
      <c:pivotFmt>
        <c:idx val="785"/>
      </c:pivotFmt>
      <c:pivotFmt>
        <c:idx val="786"/>
      </c:pivotFmt>
      <c:pivotFmt>
        <c:idx val="787"/>
      </c:pivotFmt>
      <c:pivotFmt>
        <c:idx val="788"/>
      </c:pivotFmt>
      <c:pivotFmt>
        <c:idx val="789"/>
      </c:pivotFmt>
      <c:pivotFmt>
        <c:idx val="790"/>
      </c:pivotFmt>
      <c:pivotFmt>
        <c:idx val="791"/>
      </c:pivotFmt>
      <c:pivotFmt>
        <c:idx val="792"/>
      </c:pivotFmt>
      <c:pivotFmt>
        <c:idx val="793"/>
      </c:pivotFmt>
      <c:pivotFmt>
        <c:idx val="794"/>
      </c:pivotFmt>
      <c:pivotFmt>
        <c:idx val="795"/>
      </c:pivotFmt>
      <c:pivotFmt>
        <c:idx val="796"/>
      </c:pivotFmt>
      <c:pivotFmt>
        <c:idx val="797"/>
      </c:pivotFmt>
      <c:pivotFmt>
        <c:idx val="798"/>
      </c:pivotFmt>
      <c:pivotFmt>
        <c:idx val="799"/>
      </c:pivotFmt>
      <c:pivotFmt>
        <c:idx val="800"/>
      </c:pivotFmt>
      <c:pivotFmt>
        <c:idx val="801"/>
      </c:pivotFmt>
      <c:pivotFmt>
        <c:idx val="802"/>
      </c:pivotFmt>
      <c:pivotFmt>
        <c:idx val="803"/>
      </c:pivotFmt>
      <c:pivotFmt>
        <c:idx val="804"/>
      </c:pivotFmt>
      <c:pivotFmt>
        <c:idx val="805"/>
      </c:pivotFmt>
      <c:pivotFmt>
        <c:idx val="806"/>
      </c:pivotFmt>
      <c:pivotFmt>
        <c:idx val="807"/>
      </c:pivotFmt>
      <c:pivotFmt>
        <c:idx val="808"/>
      </c:pivotFmt>
      <c:pivotFmt>
        <c:idx val="809"/>
      </c:pivotFmt>
      <c:pivotFmt>
        <c:idx val="810"/>
      </c:pivotFmt>
      <c:pivotFmt>
        <c:idx val="811"/>
      </c:pivotFmt>
      <c:pivotFmt>
        <c:idx val="812"/>
      </c:pivotFmt>
      <c:pivotFmt>
        <c:idx val="813"/>
      </c:pivotFmt>
      <c:pivotFmt>
        <c:idx val="814"/>
      </c:pivotFmt>
      <c:pivotFmt>
        <c:idx val="815"/>
      </c:pivotFmt>
      <c:pivotFmt>
        <c:idx val="816"/>
      </c:pivotFmt>
      <c:pivotFmt>
        <c:idx val="817"/>
      </c:pivotFmt>
      <c:pivotFmt>
        <c:idx val="818"/>
      </c:pivotFmt>
      <c:pivotFmt>
        <c:idx val="819"/>
      </c:pivotFmt>
      <c:pivotFmt>
        <c:idx val="820"/>
      </c:pivotFmt>
      <c:pivotFmt>
        <c:idx val="821"/>
      </c:pivotFmt>
      <c:pivotFmt>
        <c:idx val="822"/>
      </c:pivotFmt>
      <c:pivotFmt>
        <c:idx val="823"/>
      </c:pivotFmt>
      <c:pivotFmt>
        <c:idx val="824"/>
      </c:pivotFmt>
      <c:pivotFmt>
        <c:idx val="825"/>
      </c:pivotFmt>
      <c:pivotFmt>
        <c:idx val="826"/>
      </c:pivotFmt>
      <c:pivotFmt>
        <c:idx val="827"/>
      </c:pivotFmt>
      <c:pivotFmt>
        <c:idx val="828"/>
      </c:pivotFmt>
      <c:pivotFmt>
        <c:idx val="829"/>
      </c:pivotFmt>
      <c:pivotFmt>
        <c:idx val="830"/>
      </c:pivotFmt>
      <c:pivotFmt>
        <c:idx val="831"/>
      </c:pivotFmt>
      <c:pivotFmt>
        <c:idx val="832"/>
      </c:pivotFmt>
      <c:pivotFmt>
        <c:idx val="833"/>
      </c:pivotFmt>
      <c:pivotFmt>
        <c:idx val="834"/>
      </c:pivotFmt>
      <c:pivotFmt>
        <c:idx val="835"/>
      </c:pivotFmt>
      <c:pivotFmt>
        <c:idx val="836"/>
      </c:pivotFmt>
      <c:pivotFmt>
        <c:idx val="837"/>
      </c:pivotFmt>
      <c:pivotFmt>
        <c:idx val="838"/>
      </c:pivotFmt>
      <c:pivotFmt>
        <c:idx val="839"/>
      </c:pivotFmt>
      <c:pivotFmt>
        <c:idx val="840"/>
      </c:pivotFmt>
      <c:pivotFmt>
        <c:idx val="841"/>
      </c:pivotFmt>
      <c:pivotFmt>
        <c:idx val="842"/>
      </c:pivotFmt>
      <c:pivotFmt>
        <c:idx val="843"/>
      </c:pivotFmt>
      <c:pivotFmt>
        <c:idx val="844"/>
      </c:pivotFmt>
      <c:pivotFmt>
        <c:idx val="845"/>
      </c:pivotFmt>
      <c:pivotFmt>
        <c:idx val="846"/>
      </c:pivotFmt>
      <c:pivotFmt>
        <c:idx val="847"/>
      </c:pivotFmt>
      <c:pivotFmt>
        <c:idx val="848"/>
      </c:pivotFmt>
      <c:pivotFmt>
        <c:idx val="849"/>
      </c:pivotFmt>
      <c:pivotFmt>
        <c:idx val="850"/>
      </c:pivotFmt>
      <c:pivotFmt>
        <c:idx val="851"/>
      </c:pivotFmt>
      <c:pivotFmt>
        <c:idx val="852"/>
      </c:pivotFmt>
      <c:pivotFmt>
        <c:idx val="853"/>
      </c:pivotFmt>
      <c:pivotFmt>
        <c:idx val="854"/>
      </c:pivotFmt>
      <c:pivotFmt>
        <c:idx val="855"/>
      </c:pivotFmt>
      <c:pivotFmt>
        <c:idx val="856"/>
      </c:pivotFmt>
      <c:pivotFmt>
        <c:idx val="857"/>
      </c:pivotFmt>
      <c:pivotFmt>
        <c:idx val="858"/>
      </c:pivotFmt>
      <c:pivotFmt>
        <c:idx val="859"/>
      </c:pivotFmt>
      <c:pivotFmt>
        <c:idx val="860"/>
      </c:pivotFmt>
      <c:pivotFmt>
        <c:idx val="861"/>
      </c:pivotFmt>
      <c:pivotFmt>
        <c:idx val="862"/>
      </c:pivotFmt>
      <c:pivotFmt>
        <c:idx val="863"/>
      </c:pivotFmt>
      <c:pivotFmt>
        <c:idx val="864"/>
      </c:pivotFmt>
      <c:pivotFmt>
        <c:idx val="865"/>
      </c:pivotFmt>
      <c:pivotFmt>
        <c:idx val="866"/>
      </c:pivotFmt>
      <c:pivotFmt>
        <c:idx val="867"/>
      </c:pivotFmt>
      <c:pivotFmt>
        <c:idx val="868"/>
      </c:pivotFmt>
      <c:pivotFmt>
        <c:idx val="869"/>
      </c:pivotFmt>
      <c:pivotFmt>
        <c:idx val="870"/>
      </c:pivotFmt>
      <c:pivotFmt>
        <c:idx val="871"/>
      </c:pivotFmt>
      <c:pivotFmt>
        <c:idx val="872"/>
      </c:pivotFmt>
      <c:pivotFmt>
        <c:idx val="873"/>
      </c:pivotFmt>
      <c:pivotFmt>
        <c:idx val="874"/>
      </c:pivotFmt>
      <c:pivotFmt>
        <c:idx val="875"/>
      </c:pivotFmt>
      <c:pivotFmt>
        <c:idx val="876"/>
      </c:pivotFmt>
      <c:pivotFmt>
        <c:idx val="877"/>
      </c:pivotFmt>
      <c:pivotFmt>
        <c:idx val="878"/>
      </c:pivotFmt>
      <c:pivotFmt>
        <c:idx val="879"/>
      </c:pivotFmt>
      <c:pivotFmt>
        <c:idx val="880"/>
      </c:pivotFmt>
      <c:pivotFmt>
        <c:idx val="881"/>
      </c:pivotFmt>
      <c:pivotFmt>
        <c:idx val="882"/>
      </c:pivotFmt>
      <c:pivotFmt>
        <c:idx val="883"/>
      </c:pivotFmt>
      <c:pivotFmt>
        <c:idx val="884"/>
      </c:pivotFmt>
      <c:pivotFmt>
        <c:idx val="885"/>
      </c:pivotFmt>
      <c:pivotFmt>
        <c:idx val="886"/>
      </c:pivotFmt>
      <c:pivotFmt>
        <c:idx val="887"/>
      </c:pivotFmt>
      <c:pivotFmt>
        <c:idx val="888"/>
      </c:pivotFmt>
      <c:pivotFmt>
        <c:idx val="889"/>
      </c:pivotFmt>
      <c:pivotFmt>
        <c:idx val="890"/>
      </c:pivotFmt>
      <c:pivotFmt>
        <c:idx val="891"/>
      </c:pivotFmt>
      <c:pivotFmt>
        <c:idx val="892"/>
      </c:pivotFmt>
      <c:pivotFmt>
        <c:idx val="893"/>
      </c:pivotFmt>
      <c:pivotFmt>
        <c:idx val="894"/>
      </c:pivotFmt>
      <c:pivotFmt>
        <c:idx val="895"/>
      </c:pivotFmt>
      <c:pivotFmt>
        <c:idx val="896"/>
      </c:pivotFmt>
      <c:pivotFmt>
        <c:idx val="897"/>
      </c:pivotFmt>
      <c:pivotFmt>
        <c:idx val="898"/>
      </c:pivotFmt>
      <c:pivotFmt>
        <c:idx val="899"/>
      </c:pivotFmt>
      <c:pivotFmt>
        <c:idx val="900"/>
      </c:pivotFmt>
      <c:pivotFmt>
        <c:idx val="901"/>
      </c:pivotFmt>
      <c:pivotFmt>
        <c:idx val="902"/>
      </c:pivotFmt>
      <c:pivotFmt>
        <c:idx val="903"/>
      </c:pivotFmt>
      <c:pivotFmt>
        <c:idx val="904"/>
      </c:pivotFmt>
      <c:pivotFmt>
        <c:idx val="905"/>
      </c:pivotFmt>
      <c:pivotFmt>
        <c:idx val="906"/>
      </c:pivotFmt>
      <c:pivotFmt>
        <c:idx val="907"/>
      </c:pivotFmt>
      <c:pivotFmt>
        <c:idx val="908"/>
      </c:pivotFmt>
      <c:pivotFmt>
        <c:idx val="909"/>
      </c:pivotFmt>
      <c:pivotFmt>
        <c:idx val="910"/>
      </c:pivotFmt>
      <c:pivotFmt>
        <c:idx val="911"/>
      </c:pivotFmt>
      <c:pivotFmt>
        <c:idx val="912"/>
      </c:pivotFmt>
      <c:pivotFmt>
        <c:idx val="913"/>
      </c:pivotFmt>
      <c:pivotFmt>
        <c:idx val="914"/>
      </c:pivotFmt>
      <c:pivotFmt>
        <c:idx val="915"/>
      </c:pivotFmt>
      <c:pivotFmt>
        <c:idx val="916"/>
      </c:pivotFmt>
      <c:pivotFmt>
        <c:idx val="917"/>
      </c:pivotFmt>
      <c:pivotFmt>
        <c:idx val="918"/>
      </c:pivotFmt>
      <c:pivotFmt>
        <c:idx val="919"/>
      </c:pivotFmt>
      <c:pivotFmt>
        <c:idx val="920"/>
      </c:pivotFmt>
      <c:pivotFmt>
        <c:idx val="921"/>
      </c:pivotFmt>
      <c:pivotFmt>
        <c:idx val="922"/>
      </c:pivotFmt>
      <c:pivotFmt>
        <c:idx val="923"/>
      </c:pivotFmt>
      <c:pivotFmt>
        <c:idx val="924"/>
      </c:pivotFmt>
      <c:pivotFmt>
        <c:idx val="925"/>
      </c:pivotFmt>
      <c:pivotFmt>
        <c:idx val="926"/>
      </c:pivotFmt>
      <c:pivotFmt>
        <c:idx val="927"/>
      </c:pivotFmt>
      <c:pivotFmt>
        <c:idx val="928"/>
      </c:pivotFmt>
      <c:pivotFmt>
        <c:idx val="929"/>
      </c:pivotFmt>
      <c:pivotFmt>
        <c:idx val="930"/>
      </c:pivotFmt>
      <c:pivotFmt>
        <c:idx val="931"/>
      </c:pivotFmt>
      <c:pivotFmt>
        <c:idx val="932"/>
      </c:pivotFmt>
      <c:pivotFmt>
        <c:idx val="933"/>
      </c:pivotFmt>
      <c:pivotFmt>
        <c:idx val="934"/>
      </c:pivotFmt>
      <c:pivotFmt>
        <c:idx val="935"/>
      </c:pivotFmt>
      <c:pivotFmt>
        <c:idx val="936"/>
      </c:pivotFmt>
      <c:pivotFmt>
        <c:idx val="937"/>
      </c:pivotFmt>
      <c:pivotFmt>
        <c:idx val="938"/>
      </c:pivotFmt>
      <c:pivotFmt>
        <c:idx val="939"/>
      </c:pivotFmt>
      <c:pivotFmt>
        <c:idx val="940"/>
      </c:pivotFmt>
      <c:pivotFmt>
        <c:idx val="941"/>
      </c:pivotFmt>
      <c:pivotFmt>
        <c:idx val="942"/>
      </c:pivotFmt>
      <c:pivotFmt>
        <c:idx val="943"/>
      </c:pivotFmt>
      <c:pivotFmt>
        <c:idx val="944"/>
      </c:pivotFmt>
      <c:pivotFmt>
        <c:idx val="945"/>
      </c:pivotFmt>
      <c:pivotFmt>
        <c:idx val="946"/>
      </c:pivotFmt>
      <c:pivotFmt>
        <c:idx val="947"/>
      </c:pivotFmt>
      <c:pivotFmt>
        <c:idx val="948"/>
      </c:pivotFmt>
      <c:pivotFmt>
        <c:idx val="949"/>
      </c:pivotFmt>
      <c:pivotFmt>
        <c:idx val="950"/>
      </c:pivotFmt>
      <c:pivotFmt>
        <c:idx val="951"/>
      </c:pivotFmt>
      <c:pivotFmt>
        <c:idx val="952"/>
      </c:pivotFmt>
      <c:pivotFmt>
        <c:idx val="953"/>
      </c:pivotFmt>
      <c:pivotFmt>
        <c:idx val="954"/>
      </c:pivotFmt>
      <c:pivotFmt>
        <c:idx val="955"/>
      </c:pivotFmt>
      <c:pivotFmt>
        <c:idx val="956"/>
      </c:pivotFmt>
      <c:pivotFmt>
        <c:idx val="957"/>
      </c:pivotFmt>
      <c:pivotFmt>
        <c:idx val="958"/>
      </c:pivotFmt>
      <c:pivotFmt>
        <c:idx val="959"/>
      </c:pivotFmt>
      <c:pivotFmt>
        <c:idx val="960"/>
      </c:pivotFmt>
      <c:pivotFmt>
        <c:idx val="961"/>
      </c:pivotFmt>
      <c:pivotFmt>
        <c:idx val="962"/>
      </c:pivotFmt>
      <c:pivotFmt>
        <c:idx val="963"/>
      </c:pivotFmt>
      <c:pivotFmt>
        <c:idx val="964"/>
      </c:pivotFmt>
      <c:pivotFmt>
        <c:idx val="965"/>
      </c:pivotFmt>
      <c:pivotFmt>
        <c:idx val="966"/>
      </c:pivotFmt>
      <c:pivotFmt>
        <c:idx val="967"/>
      </c:pivotFmt>
      <c:pivotFmt>
        <c:idx val="968"/>
      </c:pivotFmt>
      <c:pivotFmt>
        <c:idx val="969"/>
      </c:pivotFmt>
      <c:pivotFmt>
        <c:idx val="970"/>
      </c:pivotFmt>
      <c:pivotFmt>
        <c:idx val="971"/>
      </c:pivotFmt>
      <c:pivotFmt>
        <c:idx val="972"/>
      </c:pivotFmt>
      <c:pivotFmt>
        <c:idx val="973"/>
      </c:pivotFmt>
      <c:pivotFmt>
        <c:idx val="974"/>
      </c:pivotFmt>
      <c:pivotFmt>
        <c:idx val="975"/>
      </c:pivotFmt>
      <c:pivotFmt>
        <c:idx val="976"/>
      </c:pivotFmt>
      <c:pivotFmt>
        <c:idx val="977"/>
      </c:pivotFmt>
      <c:pivotFmt>
        <c:idx val="978"/>
      </c:pivotFmt>
      <c:pivotFmt>
        <c:idx val="979"/>
      </c:pivotFmt>
      <c:pivotFmt>
        <c:idx val="980"/>
      </c:pivotFmt>
      <c:pivotFmt>
        <c:idx val="981"/>
      </c:pivotFmt>
      <c:pivotFmt>
        <c:idx val="982"/>
      </c:pivotFmt>
      <c:pivotFmt>
        <c:idx val="983"/>
      </c:pivotFmt>
      <c:pivotFmt>
        <c:idx val="984"/>
      </c:pivotFmt>
      <c:pivotFmt>
        <c:idx val="985"/>
      </c:pivotFmt>
      <c:pivotFmt>
        <c:idx val="986"/>
      </c:pivotFmt>
      <c:pivotFmt>
        <c:idx val="987"/>
      </c:pivotFmt>
      <c:pivotFmt>
        <c:idx val="988"/>
      </c:pivotFmt>
      <c:pivotFmt>
        <c:idx val="989"/>
      </c:pivotFmt>
      <c:pivotFmt>
        <c:idx val="990"/>
      </c:pivotFmt>
      <c:pivotFmt>
        <c:idx val="991"/>
      </c:pivotFmt>
      <c:pivotFmt>
        <c:idx val="992"/>
      </c:pivotFmt>
      <c:pivotFmt>
        <c:idx val="993"/>
      </c:pivotFmt>
      <c:pivotFmt>
        <c:idx val="994"/>
      </c:pivotFmt>
      <c:pivotFmt>
        <c:idx val="995"/>
      </c:pivotFmt>
      <c:pivotFmt>
        <c:idx val="996"/>
      </c:pivotFmt>
      <c:pivotFmt>
        <c:idx val="997"/>
      </c:pivotFmt>
      <c:pivotFmt>
        <c:idx val="998"/>
      </c:pivotFmt>
      <c:pivotFmt>
        <c:idx val="999"/>
      </c:pivotFmt>
      <c:pivotFmt>
        <c:idx val="1000"/>
      </c:pivotFmt>
      <c:pivotFmt>
        <c:idx val="1001"/>
      </c:pivotFmt>
      <c:pivotFmt>
        <c:idx val="1002"/>
      </c:pivotFmt>
      <c:pivotFmt>
        <c:idx val="1003"/>
      </c:pivotFmt>
      <c:pivotFmt>
        <c:idx val="1004"/>
      </c:pivotFmt>
      <c:pivotFmt>
        <c:idx val="1005"/>
      </c:pivotFmt>
      <c:pivotFmt>
        <c:idx val="1006"/>
      </c:pivotFmt>
      <c:pivotFmt>
        <c:idx val="1007"/>
      </c:pivotFmt>
      <c:pivotFmt>
        <c:idx val="1008"/>
      </c:pivotFmt>
      <c:pivotFmt>
        <c:idx val="1009"/>
      </c:pivotFmt>
      <c:pivotFmt>
        <c:idx val="1010"/>
      </c:pivotFmt>
      <c:pivotFmt>
        <c:idx val="1011"/>
      </c:pivotFmt>
      <c:pivotFmt>
        <c:idx val="1012"/>
      </c:pivotFmt>
      <c:pivotFmt>
        <c:idx val="1013"/>
      </c:pivotFmt>
      <c:pivotFmt>
        <c:idx val="1014"/>
      </c:pivotFmt>
      <c:pivotFmt>
        <c:idx val="1015"/>
      </c:pivotFmt>
      <c:pivotFmt>
        <c:idx val="1016"/>
      </c:pivotFmt>
      <c:pivotFmt>
        <c:idx val="1017"/>
      </c:pivotFmt>
      <c:pivotFmt>
        <c:idx val="1018"/>
      </c:pivotFmt>
      <c:pivotFmt>
        <c:idx val="1019"/>
      </c:pivotFmt>
      <c:pivotFmt>
        <c:idx val="1020"/>
      </c:pivotFmt>
      <c:pivotFmt>
        <c:idx val="1021"/>
      </c:pivotFmt>
      <c:pivotFmt>
        <c:idx val="1022"/>
      </c:pivotFmt>
      <c:pivotFmt>
        <c:idx val="1023"/>
      </c:pivotFmt>
      <c:pivotFmt>
        <c:idx val="1024"/>
      </c:pivotFmt>
      <c:pivotFmt>
        <c:idx val="1025"/>
      </c:pivotFmt>
      <c:pivotFmt>
        <c:idx val="1026"/>
      </c:pivotFmt>
      <c:pivotFmt>
        <c:idx val="1027"/>
      </c:pivotFmt>
      <c:pivotFmt>
        <c:idx val="1028"/>
      </c:pivotFmt>
      <c:pivotFmt>
        <c:idx val="1029"/>
      </c:pivotFmt>
      <c:pivotFmt>
        <c:idx val="1030"/>
      </c:pivotFmt>
      <c:pivotFmt>
        <c:idx val="1031"/>
      </c:pivotFmt>
      <c:pivotFmt>
        <c:idx val="1032"/>
      </c:pivotFmt>
      <c:pivotFmt>
        <c:idx val="1033"/>
      </c:pivotFmt>
      <c:pivotFmt>
        <c:idx val="1034"/>
      </c:pivotFmt>
      <c:pivotFmt>
        <c:idx val="1035"/>
      </c:pivotFmt>
      <c:pivotFmt>
        <c:idx val="1036"/>
      </c:pivotFmt>
      <c:pivotFmt>
        <c:idx val="1037"/>
      </c:pivotFmt>
      <c:pivotFmt>
        <c:idx val="1038"/>
      </c:pivotFmt>
      <c:pivotFmt>
        <c:idx val="1039"/>
      </c:pivotFmt>
      <c:pivotFmt>
        <c:idx val="1040"/>
      </c:pivotFmt>
      <c:pivotFmt>
        <c:idx val="1041"/>
      </c:pivotFmt>
      <c:pivotFmt>
        <c:idx val="1042"/>
      </c:pivotFmt>
      <c:pivotFmt>
        <c:idx val="1043"/>
      </c:pivotFmt>
      <c:pivotFmt>
        <c:idx val="1044"/>
      </c:pivotFmt>
      <c:pivotFmt>
        <c:idx val="1045"/>
      </c:pivotFmt>
      <c:pivotFmt>
        <c:idx val="1046"/>
      </c:pivotFmt>
      <c:pivotFmt>
        <c:idx val="1047"/>
      </c:pivotFmt>
      <c:pivotFmt>
        <c:idx val="1048"/>
      </c:pivotFmt>
      <c:pivotFmt>
        <c:idx val="1049"/>
      </c:pivotFmt>
      <c:pivotFmt>
        <c:idx val="1050"/>
      </c:pivotFmt>
      <c:pivotFmt>
        <c:idx val="1051"/>
      </c:pivotFmt>
      <c:pivotFmt>
        <c:idx val="1052"/>
      </c:pivotFmt>
      <c:pivotFmt>
        <c:idx val="1053"/>
      </c:pivotFmt>
      <c:pivotFmt>
        <c:idx val="1054"/>
      </c:pivotFmt>
      <c:pivotFmt>
        <c:idx val="1055"/>
      </c:pivotFmt>
      <c:pivotFmt>
        <c:idx val="1056"/>
      </c:pivotFmt>
      <c:pivotFmt>
        <c:idx val="1057"/>
      </c:pivotFmt>
      <c:pivotFmt>
        <c:idx val="1058"/>
      </c:pivotFmt>
      <c:pivotFmt>
        <c:idx val="1059"/>
      </c:pivotFmt>
      <c:pivotFmt>
        <c:idx val="1060"/>
      </c:pivotFmt>
      <c:pivotFmt>
        <c:idx val="1061"/>
      </c:pivotFmt>
      <c:pivotFmt>
        <c:idx val="1062"/>
      </c:pivotFmt>
      <c:pivotFmt>
        <c:idx val="1063"/>
      </c:pivotFmt>
      <c:pivotFmt>
        <c:idx val="1064"/>
      </c:pivotFmt>
      <c:pivotFmt>
        <c:idx val="1065"/>
      </c:pivotFmt>
      <c:pivotFmt>
        <c:idx val="1066"/>
      </c:pivotFmt>
      <c:pivotFmt>
        <c:idx val="1067"/>
      </c:pivotFmt>
      <c:pivotFmt>
        <c:idx val="1068"/>
      </c:pivotFmt>
      <c:pivotFmt>
        <c:idx val="1069"/>
      </c:pivotFmt>
      <c:pivotFmt>
        <c:idx val="1070"/>
      </c:pivotFmt>
      <c:pivotFmt>
        <c:idx val="1071"/>
      </c:pivotFmt>
      <c:pivotFmt>
        <c:idx val="1072"/>
      </c:pivotFmt>
      <c:pivotFmt>
        <c:idx val="1073"/>
      </c:pivotFmt>
      <c:pivotFmt>
        <c:idx val="1074"/>
      </c:pivotFmt>
      <c:pivotFmt>
        <c:idx val="1075"/>
      </c:pivotFmt>
      <c:pivotFmt>
        <c:idx val="1076"/>
      </c:pivotFmt>
      <c:pivotFmt>
        <c:idx val="1077"/>
      </c:pivotFmt>
      <c:pivotFmt>
        <c:idx val="1078"/>
      </c:pivotFmt>
      <c:pivotFmt>
        <c:idx val="1079"/>
      </c:pivotFmt>
      <c:pivotFmt>
        <c:idx val="1080"/>
      </c:pivotFmt>
      <c:pivotFmt>
        <c:idx val="1081"/>
      </c:pivotFmt>
      <c:pivotFmt>
        <c:idx val="1082"/>
      </c:pivotFmt>
      <c:pivotFmt>
        <c:idx val="1083"/>
      </c:pivotFmt>
      <c:pivotFmt>
        <c:idx val="1084"/>
      </c:pivotFmt>
      <c:pivotFmt>
        <c:idx val="1085"/>
      </c:pivotFmt>
      <c:pivotFmt>
        <c:idx val="1086"/>
      </c:pivotFmt>
      <c:pivotFmt>
        <c:idx val="1087"/>
      </c:pivotFmt>
      <c:pivotFmt>
        <c:idx val="1088"/>
      </c:pivotFmt>
      <c:pivotFmt>
        <c:idx val="1089"/>
      </c:pivotFmt>
      <c:pivotFmt>
        <c:idx val="1090"/>
      </c:pivotFmt>
      <c:pivotFmt>
        <c:idx val="1091"/>
      </c:pivotFmt>
      <c:pivotFmt>
        <c:idx val="1092"/>
      </c:pivotFmt>
      <c:pivotFmt>
        <c:idx val="1093"/>
      </c:pivotFmt>
      <c:pivotFmt>
        <c:idx val="1094"/>
      </c:pivotFmt>
      <c:pivotFmt>
        <c:idx val="1095"/>
      </c:pivotFmt>
      <c:pivotFmt>
        <c:idx val="1096"/>
      </c:pivotFmt>
      <c:pivotFmt>
        <c:idx val="1097"/>
      </c:pivotFmt>
      <c:pivotFmt>
        <c:idx val="1098"/>
      </c:pivotFmt>
      <c:pivotFmt>
        <c:idx val="1099"/>
      </c:pivotFmt>
      <c:pivotFmt>
        <c:idx val="1100"/>
      </c:pivotFmt>
      <c:pivotFmt>
        <c:idx val="1101"/>
      </c:pivotFmt>
      <c:pivotFmt>
        <c:idx val="1102"/>
      </c:pivotFmt>
      <c:pivotFmt>
        <c:idx val="1103"/>
      </c:pivotFmt>
      <c:pivotFmt>
        <c:idx val="1104"/>
      </c:pivotFmt>
      <c:pivotFmt>
        <c:idx val="1105"/>
      </c:pivotFmt>
      <c:pivotFmt>
        <c:idx val="1106"/>
      </c:pivotFmt>
      <c:pivotFmt>
        <c:idx val="1107"/>
      </c:pivotFmt>
      <c:pivotFmt>
        <c:idx val="1108"/>
      </c:pivotFmt>
      <c:pivotFmt>
        <c:idx val="1109"/>
      </c:pivotFmt>
      <c:pivotFmt>
        <c:idx val="1110"/>
      </c:pivotFmt>
      <c:pivotFmt>
        <c:idx val="1111"/>
      </c:pivotFmt>
      <c:pivotFmt>
        <c:idx val="1112"/>
        <c:marker>
          <c:symbol val="none"/>
        </c:marker>
      </c:pivotFmt>
      <c:pivotFmt>
        <c:idx val="1113"/>
        <c:marker>
          <c:symbol val="none"/>
        </c:marker>
      </c:pivotFmt>
      <c:pivotFmt>
        <c:idx val="1114"/>
        <c:marker>
          <c:symbol val="none"/>
        </c:marker>
      </c:pivotFmt>
      <c:pivotFmt>
        <c:idx val="1115"/>
        <c:marker>
          <c:symbol val="none"/>
        </c:marker>
      </c:pivotFmt>
      <c:pivotFmt>
        <c:idx val="1116"/>
        <c:marker>
          <c:symbol val="none"/>
        </c:marker>
      </c:pivotFmt>
      <c:pivotFmt>
        <c:idx val="1117"/>
        <c:marker>
          <c:symbol val="none"/>
        </c:marker>
      </c:pivotFmt>
      <c:pivotFmt>
        <c:idx val="1118"/>
        <c:marker>
          <c:symbol val="none"/>
        </c:marker>
      </c:pivotFmt>
      <c:pivotFmt>
        <c:idx val="1119"/>
        <c:marker>
          <c:symbol val="none"/>
        </c:marker>
      </c:pivotFmt>
      <c:pivotFmt>
        <c:idx val="1120"/>
        <c:marker>
          <c:symbol val="none"/>
        </c:marker>
      </c:pivotFmt>
      <c:pivotFmt>
        <c:idx val="1121"/>
        <c:marker>
          <c:symbol val="none"/>
        </c:marker>
      </c:pivotFmt>
      <c:pivotFmt>
        <c:idx val="1122"/>
        <c:marker>
          <c:symbol val="none"/>
        </c:marker>
      </c:pivotFmt>
      <c:pivotFmt>
        <c:idx val="1123"/>
        <c:marker>
          <c:symbol val="none"/>
        </c:marker>
      </c:pivotFmt>
      <c:pivotFmt>
        <c:idx val="1124"/>
        <c:marker>
          <c:symbol val="none"/>
        </c:marker>
      </c:pivotFmt>
      <c:pivotFmt>
        <c:idx val="1125"/>
        <c:marker>
          <c:symbol val="none"/>
        </c:marker>
      </c:pivotFmt>
      <c:pivotFmt>
        <c:idx val="1126"/>
        <c:marker>
          <c:symbol val="none"/>
        </c:marker>
      </c:pivotFmt>
      <c:pivotFmt>
        <c:idx val="1127"/>
        <c:marker>
          <c:symbol val="none"/>
        </c:marker>
      </c:pivotFmt>
      <c:pivotFmt>
        <c:idx val="1128"/>
        <c:marker>
          <c:symbol val="none"/>
        </c:marker>
      </c:pivotFmt>
      <c:pivotFmt>
        <c:idx val="1129"/>
        <c:marker>
          <c:symbol val="none"/>
        </c:marker>
      </c:pivotFmt>
      <c:pivotFmt>
        <c:idx val="1130"/>
        <c:marker>
          <c:symbol val="none"/>
        </c:marker>
      </c:pivotFmt>
      <c:pivotFmt>
        <c:idx val="1131"/>
        <c:marker>
          <c:symbol val="none"/>
        </c:marker>
      </c:pivotFmt>
      <c:pivotFmt>
        <c:idx val="1132"/>
      </c:pivotFmt>
      <c:pivotFmt>
        <c:idx val="1133"/>
      </c:pivotFmt>
      <c:pivotFmt>
        <c:idx val="1134"/>
      </c:pivotFmt>
      <c:pivotFmt>
        <c:idx val="1135"/>
      </c:pivotFmt>
      <c:pivotFmt>
        <c:idx val="1136"/>
      </c:pivotFmt>
      <c:pivotFmt>
        <c:idx val="1137"/>
      </c:pivotFmt>
      <c:pivotFmt>
        <c:idx val="1138"/>
      </c:pivotFmt>
      <c:pivotFmt>
        <c:idx val="1139"/>
      </c:pivotFmt>
      <c:pivotFmt>
        <c:idx val="1140"/>
      </c:pivotFmt>
      <c:pivotFmt>
        <c:idx val="1141"/>
      </c:pivotFmt>
      <c:pivotFmt>
        <c:idx val="1142"/>
      </c:pivotFmt>
      <c:pivotFmt>
        <c:idx val="1143"/>
      </c:pivotFmt>
      <c:pivotFmt>
        <c:idx val="1144"/>
      </c:pivotFmt>
      <c:pivotFmt>
        <c:idx val="1145"/>
      </c:pivotFmt>
      <c:pivotFmt>
        <c:idx val="1146"/>
      </c:pivotFmt>
      <c:pivotFmt>
        <c:idx val="1147"/>
      </c:pivotFmt>
      <c:pivotFmt>
        <c:idx val="1148"/>
      </c:pivotFmt>
      <c:pivotFmt>
        <c:idx val="1149"/>
      </c:pivotFmt>
      <c:pivotFmt>
        <c:idx val="1150"/>
      </c:pivotFmt>
      <c:pivotFmt>
        <c:idx val="1151"/>
      </c:pivotFmt>
      <c:pivotFmt>
        <c:idx val="1152"/>
        <c:marker>
          <c:symbol val="none"/>
        </c:marker>
      </c:pivotFmt>
      <c:pivotFmt>
        <c:idx val="1153"/>
        <c:marker>
          <c:symbol val="none"/>
        </c:marker>
      </c:pivotFmt>
      <c:pivotFmt>
        <c:idx val="1154"/>
        <c:marker>
          <c:symbol val="none"/>
        </c:marker>
      </c:pivotFmt>
      <c:pivotFmt>
        <c:idx val="1155"/>
        <c:marker>
          <c:symbol val="none"/>
        </c:marker>
      </c:pivotFmt>
      <c:pivotFmt>
        <c:idx val="1156"/>
        <c:marker>
          <c:symbol val="none"/>
        </c:marker>
      </c:pivotFmt>
      <c:pivotFmt>
        <c:idx val="1157"/>
        <c:marker>
          <c:symbol val="none"/>
        </c:marker>
      </c:pivotFmt>
      <c:pivotFmt>
        <c:idx val="1158"/>
        <c:marker>
          <c:symbol val="none"/>
        </c:marker>
      </c:pivotFmt>
      <c:pivotFmt>
        <c:idx val="1159"/>
        <c:marker>
          <c:symbol val="none"/>
        </c:marker>
      </c:pivotFmt>
      <c:pivotFmt>
        <c:idx val="1160"/>
        <c:marker>
          <c:symbol val="none"/>
        </c:marker>
      </c:pivotFmt>
      <c:pivotFmt>
        <c:idx val="1161"/>
        <c:marker>
          <c:symbol val="none"/>
        </c:marker>
      </c:pivotFmt>
      <c:pivotFmt>
        <c:idx val="1162"/>
        <c:marker>
          <c:symbol val="none"/>
        </c:marker>
      </c:pivotFmt>
      <c:pivotFmt>
        <c:idx val="1163"/>
        <c:marker>
          <c:symbol val="none"/>
        </c:marker>
      </c:pivotFmt>
      <c:pivotFmt>
        <c:idx val="1164"/>
        <c:marker>
          <c:symbol val="none"/>
        </c:marker>
      </c:pivotFmt>
      <c:pivotFmt>
        <c:idx val="1165"/>
        <c:marker>
          <c:symbol val="none"/>
        </c:marker>
      </c:pivotFmt>
      <c:pivotFmt>
        <c:idx val="1166"/>
        <c:marker>
          <c:symbol val="none"/>
        </c:marker>
      </c:pivotFmt>
      <c:pivotFmt>
        <c:idx val="1167"/>
        <c:marker>
          <c:symbol val="none"/>
        </c:marker>
      </c:pivotFmt>
      <c:pivotFmt>
        <c:idx val="1168"/>
        <c:marker>
          <c:symbol val="none"/>
        </c:marker>
      </c:pivotFmt>
      <c:pivotFmt>
        <c:idx val="1169"/>
        <c:marker>
          <c:symbol val="none"/>
        </c:marker>
      </c:pivotFmt>
      <c:pivotFmt>
        <c:idx val="1170"/>
        <c:marker>
          <c:symbol val="none"/>
        </c:marker>
      </c:pivotFmt>
      <c:pivotFmt>
        <c:idx val="1171"/>
        <c:marker>
          <c:symbol val="none"/>
        </c:marker>
      </c:pivotFmt>
      <c:pivotFmt>
        <c:idx val="1172"/>
        <c:marker>
          <c:symbol val="none"/>
        </c:marker>
      </c:pivotFmt>
      <c:pivotFmt>
        <c:idx val="1173"/>
        <c:marker>
          <c:symbol val="none"/>
        </c:marker>
      </c:pivotFmt>
      <c:pivotFmt>
        <c:idx val="1174"/>
        <c:marker>
          <c:symbol val="none"/>
        </c:marker>
      </c:pivotFmt>
      <c:pivotFmt>
        <c:idx val="1175"/>
        <c:marker>
          <c:symbol val="none"/>
        </c:marker>
      </c:pivotFmt>
      <c:pivotFmt>
        <c:idx val="1176"/>
        <c:marker>
          <c:symbol val="none"/>
        </c:marker>
      </c:pivotFmt>
      <c:pivotFmt>
        <c:idx val="1177"/>
        <c:marker>
          <c:symbol val="none"/>
        </c:marker>
      </c:pivotFmt>
      <c:pivotFmt>
        <c:idx val="1178"/>
        <c:marker>
          <c:symbol val="none"/>
        </c:marker>
      </c:pivotFmt>
      <c:pivotFmt>
        <c:idx val="1179"/>
        <c:marker>
          <c:symbol val="none"/>
        </c:marker>
      </c:pivotFmt>
      <c:pivotFmt>
        <c:idx val="1180"/>
        <c:marker>
          <c:symbol val="none"/>
        </c:marker>
      </c:pivotFmt>
      <c:pivotFmt>
        <c:idx val="1181"/>
        <c:marker>
          <c:symbol val="none"/>
        </c:marker>
      </c:pivotFmt>
      <c:pivotFmt>
        <c:idx val="1182"/>
        <c:marker>
          <c:symbol val="none"/>
        </c:marker>
      </c:pivotFmt>
      <c:pivotFmt>
        <c:idx val="1183"/>
        <c:marker>
          <c:symbol val="none"/>
        </c:marker>
      </c:pivotFmt>
      <c:pivotFmt>
        <c:idx val="1184"/>
        <c:marker>
          <c:symbol val="none"/>
        </c:marker>
      </c:pivotFmt>
      <c:pivotFmt>
        <c:idx val="1185"/>
        <c:marker>
          <c:symbol val="none"/>
        </c:marker>
      </c:pivotFmt>
      <c:pivotFmt>
        <c:idx val="1186"/>
        <c:marker>
          <c:symbol val="none"/>
        </c:marker>
      </c:pivotFmt>
      <c:pivotFmt>
        <c:idx val="1187"/>
        <c:marker>
          <c:symbol val="none"/>
        </c:marker>
      </c:pivotFmt>
      <c:pivotFmt>
        <c:idx val="1188"/>
        <c:marker>
          <c:symbol val="none"/>
        </c:marker>
      </c:pivotFmt>
      <c:pivotFmt>
        <c:idx val="1189"/>
        <c:marker>
          <c:symbol val="none"/>
        </c:marker>
      </c:pivotFmt>
      <c:pivotFmt>
        <c:idx val="1190"/>
        <c:marker>
          <c:symbol val="none"/>
        </c:marker>
      </c:pivotFmt>
      <c:pivotFmt>
        <c:idx val="1191"/>
        <c:marker>
          <c:symbol val="none"/>
        </c:marker>
      </c:pivotFmt>
      <c:pivotFmt>
        <c:idx val="1192"/>
        <c:marker>
          <c:symbol val="none"/>
        </c:marker>
      </c:pivotFmt>
      <c:pivotFmt>
        <c:idx val="1193"/>
        <c:marker>
          <c:symbol val="none"/>
        </c:marker>
      </c:pivotFmt>
      <c:pivotFmt>
        <c:idx val="1194"/>
        <c:marker>
          <c:symbol val="none"/>
        </c:marker>
      </c:pivotFmt>
      <c:pivotFmt>
        <c:idx val="1195"/>
        <c:marker>
          <c:symbol val="none"/>
        </c:marker>
      </c:pivotFmt>
      <c:pivotFmt>
        <c:idx val="1196"/>
        <c:marker>
          <c:symbol val="none"/>
        </c:marker>
      </c:pivotFmt>
      <c:pivotFmt>
        <c:idx val="1197"/>
        <c:marker>
          <c:symbol val="none"/>
        </c:marker>
      </c:pivotFmt>
      <c:pivotFmt>
        <c:idx val="1198"/>
        <c:marker>
          <c:symbol val="none"/>
        </c:marker>
      </c:pivotFmt>
      <c:pivotFmt>
        <c:idx val="1199"/>
        <c:marker>
          <c:symbol val="none"/>
        </c:marker>
      </c:pivotFmt>
      <c:pivotFmt>
        <c:idx val="1200"/>
        <c:marker>
          <c:symbol val="none"/>
        </c:marker>
      </c:pivotFmt>
      <c:pivotFmt>
        <c:idx val="1201"/>
        <c:marker>
          <c:symbol val="none"/>
        </c:marker>
      </c:pivotFmt>
      <c:pivotFmt>
        <c:idx val="1202"/>
        <c:marker>
          <c:symbol val="none"/>
        </c:marker>
      </c:pivotFmt>
      <c:pivotFmt>
        <c:idx val="1203"/>
        <c:marker>
          <c:symbol val="none"/>
        </c:marker>
      </c:pivotFmt>
      <c:pivotFmt>
        <c:idx val="1204"/>
        <c:marker>
          <c:symbol val="none"/>
        </c:marker>
      </c:pivotFmt>
      <c:pivotFmt>
        <c:idx val="1205"/>
        <c:marker>
          <c:symbol val="none"/>
        </c:marker>
      </c:pivotFmt>
      <c:pivotFmt>
        <c:idx val="1206"/>
        <c:marker>
          <c:symbol val="none"/>
        </c:marker>
      </c:pivotFmt>
      <c:pivotFmt>
        <c:idx val="1207"/>
        <c:marker>
          <c:symbol val="none"/>
        </c:marker>
      </c:pivotFmt>
      <c:pivotFmt>
        <c:idx val="1208"/>
        <c:marker>
          <c:symbol val="none"/>
        </c:marker>
      </c:pivotFmt>
      <c:pivotFmt>
        <c:idx val="1209"/>
        <c:marker>
          <c:symbol val="none"/>
        </c:marker>
      </c:pivotFmt>
      <c:pivotFmt>
        <c:idx val="1210"/>
        <c:marker>
          <c:symbol val="none"/>
        </c:marker>
      </c:pivotFmt>
      <c:pivotFmt>
        <c:idx val="1211"/>
        <c:marker>
          <c:symbol val="none"/>
        </c:marker>
      </c:pivotFmt>
      <c:pivotFmt>
        <c:idx val="1212"/>
        <c:marker>
          <c:symbol val="none"/>
        </c:marker>
      </c:pivotFmt>
      <c:pivotFmt>
        <c:idx val="1213"/>
        <c:marker>
          <c:symbol val="none"/>
        </c:marker>
      </c:pivotFmt>
      <c:pivotFmt>
        <c:idx val="1214"/>
        <c:marker>
          <c:symbol val="none"/>
        </c:marker>
      </c:pivotFmt>
      <c:pivotFmt>
        <c:idx val="1215"/>
        <c:marker>
          <c:symbol val="none"/>
        </c:marker>
      </c:pivotFmt>
      <c:pivotFmt>
        <c:idx val="1216"/>
        <c:marker>
          <c:symbol val="none"/>
        </c:marker>
      </c:pivotFmt>
      <c:pivotFmt>
        <c:idx val="1217"/>
        <c:marker>
          <c:symbol val="none"/>
        </c:marker>
      </c:pivotFmt>
      <c:pivotFmt>
        <c:idx val="1218"/>
        <c:marker>
          <c:symbol val="none"/>
        </c:marker>
      </c:pivotFmt>
      <c:pivotFmt>
        <c:idx val="1219"/>
        <c:marker>
          <c:symbol val="none"/>
        </c:marker>
      </c:pivotFmt>
      <c:pivotFmt>
        <c:idx val="1220"/>
        <c:marker>
          <c:symbol val="none"/>
        </c:marker>
      </c:pivotFmt>
      <c:pivotFmt>
        <c:idx val="1221"/>
        <c:marker>
          <c:symbol val="none"/>
        </c:marker>
      </c:pivotFmt>
      <c:pivotFmt>
        <c:idx val="1222"/>
        <c:marker>
          <c:symbol val="none"/>
        </c:marker>
      </c:pivotFmt>
      <c:pivotFmt>
        <c:idx val="1223"/>
        <c:marker>
          <c:symbol val="none"/>
        </c:marker>
      </c:pivotFmt>
      <c:pivotFmt>
        <c:idx val="1224"/>
        <c:marker>
          <c:symbol val="none"/>
        </c:marker>
      </c:pivotFmt>
      <c:pivotFmt>
        <c:idx val="1225"/>
        <c:marker>
          <c:symbol val="none"/>
        </c:marker>
      </c:pivotFmt>
      <c:pivotFmt>
        <c:idx val="1226"/>
        <c:marker>
          <c:symbol val="none"/>
        </c:marker>
      </c:pivotFmt>
      <c:pivotFmt>
        <c:idx val="1227"/>
        <c:marker>
          <c:symbol val="none"/>
        </c:marker>
      </c:pivotFmt>
      <c:pivotFmt>
        <c:idx val="1228"/>
        <c:marker>
          <c:symbol val="none"/>
        </c:marker>
      </c:pivotFmt>
      <c:pivotFmt>
        <c:idx val="1229"/>
        <c:marker>
          <c:symbol val="none"/>
        </c:marker>
      </c:pivotFmt>
      <c:pivotFmt>
        <c:idx val="1230"/>
        <c:marker>
          <c:symbol val="none"/>
        </c:marker>
      </c:pivotFmt>
      <c:pivotFmt>
        <c:idx val="1231"/>
        <c:marker>
          <c:symbol val="none"/>
        </c:marker>
      </c:pivotFmt>
      <c:pivotFmt>
        <c:idx val="1232"/>
        <c:marker>
          <c:symbol val="none"/>
        </c:marker>
      </c:pivotFmt>
      <c:pivotFmt>
        <c:idx val="1233"/>
        <c:marker>
          <c:symbol val="none"/>
        </c:marker>
      </c:pivotFmt>
      <c:pivotFmt>
        <c:idx val="1234"/>
        <c:marker>
          <c:symbol val="none"/>
        </c:marker>
      </c:pivotFmt>
      <c:pivotFmt>
        <c:idx val="1235"/>
        <c:marker>
          <c:symbol val="none"/>
        </c:marker>
      </c:pivotFmt>
      <c:pivotFmt>
        <c:idx val="1236"/>
        <c:marker>
          <c:symbol val="none"/>
        </c:marker>
      </c:pivotFmt>
      <c:pivotFmt>
        <c:idx val="1237"/>
        <c:marker>
          <c:symbol val="none"/>
        </c:marker>
      </c:pivotFmt>
      <c:pivotFmt>
        <c:idx val="1238"/>
        <c:marker>
          <c:symbol val="none"/>
        </c:marker>
      </c:pivotFmt>
      <c:pivotFmt>
        <c:idx val="1239"/>
        <c:marker>
          <c:symbol val="none"/>
        </c:marker>
      </c:pivotFmt>
      <c:pivotFmt>
        <c:idx val="1240"/>
        <c:marker>
          <c:symbol val="none"/>
        </c:marker>
      </c:pivotFmt>
      <c:pivotFmt>
        <c:idx val="1241"/>
        <c:marker>
          <c:symbol val="none"/>
        </c:marker>
      </c:pivotFmt>
      <c:pivotFmt>
        <c:idx val="1242"/>
        <c:marker>
          <c:symbol val="none"/>
        </c:marker>
      </c:pivotFmt>
      <c:pivotFmt>
        <c:idx val="1243"/>
        <c:marker>
          <c:symbol val="none"/>
        </c:marker>
      </c:pivotFmt>
      <c:pivotFmt>
        <c:idx val="1244"/>
        <c:marker>
          <c:symbol val="none"/>
        </c:marker>
      </c:pivotFmt>
      <c:pivotFmt>
        <c:idx val="1245"/>
        <c:marker>
          <c:symbol val="none"/>
        </c:marker>
      </c:pivotFmt>
      <c:pivotFmt>
        <c:idx val="1246"/>
        <c:marker>
          <c:symbol val="none"/>
        </c:marker>
      </c:pivotFmt>
      <c:pivotFmt>
        <c:idx val="1247"/>
        <c:marker>
          <c:symbol val="none"/>
        </c:marker>
      </c:pivotFmt>
      <c:pivotFmt>
        <c:idx val="1248"/>
        <c:marker>
          <c:symbol val="none"/>
        </c:marker>
      </c:pivotFmt>
      <c:pivotFmt>
        <c:idx val="1249"/>
        <c:marker>
          <c:symbol val="none"/>
        </c:marker>
      </c:pivotFmt>
      <c:pivotFmt>
        <c:idx val="1250"/>
        <c:marker>
          <c:symbol val="none"/>
        </c:marker>
      </c:pivotFmt>
      <c:pivotFmt>
        <c:idx val="1251"/>
        <c:marker>
          <c:symbol val="none"/>
        </c:marker>
      </c:pivotFmt>
      <c:pivotFmt>
        <c:idx val="1252"/>
        <c:marker>
          <c:symbol val="none"/>
        </c:marker>
      </c:pivotFmt>
      <c:pivotFmt>
        <c:idx val="1253"/>
        <c:marker>
          <c:symbol val="none"/>
        </c:marker>
      </c:pivotFmt>
      <c:pivotFmt>
        <c:idx val="1254"/>
        <c:marker>
          <c:symbol val="none"/>
        </c:marker>
      </c:pivotFmt>
      <c:pivotFmt>
        <c:idx val="1255"/>
        <c:marker>
          <c:symbol val="none"/>
        </c:marker>
      </c:pivotFmt>
      <c:pivotFmt>
        <c:idx val="1256"/>
        <c:marker>
          <c:symbol val="none"/>
        </c:marker>
      </c:pivotFmt>
      <c:pivotFmt>
        <c:idx val="1257"/>
        <c:marker>
          <c:symbol val="none"/>
        </c:marker>
      </c:pivotFmt>
      <c:pivotFmt>
        <c:idx val="1258"/>
        <c:marker>
          <c:symbol val="none"/>
        </c:marker>
      </c:pivotFmt>
      <c:pivotFmt>
        <c:idx val="1259"/>
        <c:marker>
          <c:symbol val="none"/>
        </c:marker>
      </c:pivotFmt>
      <c:pivotFmt>
        <c:idx val="1260"/>
        <c:marker>
          <c:symbol val="none"/>
        </c:marker>
      </c:pivotFmt>
      <c:pivotFmt>
        <c:idx val="1261"/>
        <c:marker>
          <c:symbol val="none"/>
        </c:marker>
      </c:pivotFmt>
      <c:pivotFmt>
        <c:idx val="1262"/>
        <c:spPr>
          <a:ln>
            <a:solidFill>
              <a:schemeClr val="tx1"/>
            </a:solidFill>
          </a:ln>
        </c:spPr>
        <c:marker>
          <c:symbol val="none"/>
        </c:marker>
      </c:pivotFmt>
      <c:pivotFmt>
        <c:idx val="1263"/>
        <c:marker>
          <c:symbol val="none"/>
        </c:marker>
      </c:pivotFmt>
      <c:pivotFmt>
        <c:idx val="1264"/>
        <c:marker>
          <c:symbol val="none"/>
        </c:marker>
      </c:pivotFmt>
      <c:pivotFmt>
        <c:idx val="1265"/>
        <c:marker>
          <c:symbol val="none"/>
        </c:marker>
      </c:pivotFmt>
      <c:pivotFmt>
        <c:idx val="1266"/>
        <c:spPr>
          <a:ln>
            <a:solidFill>
              <a:srgbClr val="FF0000"/>
            </a:solidFill>
          </a:ln>
        </c:spPr>
        <c:marker>
          <c:symbol val="none"/>
        </c:marker>
      </c:pivotFmt>
      <c:pivotFmt>
        <c:idx val="1267"/>
        <c:marker>
          <c:symbol val="none"/>
        </c:marker>
      </c:pivotFmt>
      <c:pivotFmt>
        <c:idx val="1268"/>
        <c:marker>
          <c:symbol val="none"/>
        </c:marker>
      </c:pivotFmt>
      <c:pivotFmt>
        <c:idx val="1269"/>
        <c:marker>
          <c:symbol val="none"/>
        </c:marker>
      </c:pivotFmt>
      <c:pivotFmt>
        <c:idx val="1270"/>
        <c:marker>
          <c:symbol val="none"/>
        </c:marker>
      </c:pivotFmt>
      <c:pivotFmt>
        <c:idx val="1271"/>
        <c:marker>
          <c:symbol val="none"/>
        </c:marker>
      </c:pivotFmt>
      <c:pivotFmt>
        <c:idx val="1272"/>
        <c:marker>
          <c:symbol val="none"/>
        </c:marker>
      </c:pivotFmt>
      <c:pivotFmt>
        <c:idx val="1273"/>
        <c:marker>
          <c:symbol val="none"/>
        </c:marker>
      </c:pivotFmt>
      <c:pivotFmt>
        <c:idx val="1274"/>
        <c:marker>
          <c:symbol val="none"/>
        </c:marker>
      </c:pivotFmt>
      <c:pivotFmt>
        <c:idx val="1275"/>
        <c:marker>
          <c:symbol val="none"/>
        </c:marker>
      </c:pivotFmt>
      <c:pivotFmt>
        <c:idx val="1276"/>
        <c:marker>
          <c:symbol val="none"/>
        </c:marker>
      </c:pivotFmt>
      <c:pivotFmt>
        <c:idx val="1277"/>
        <c:marker>
          <c:symbol val="none"/>
        </c:marker>
      </c:pivotFmt>
      <c:pivotFmt>
        <c:idx val="1278"/>
        <c:marker>
          <c:symbol val="none"/>
        </c:marker>
      </c:pivotFmt>
      <c:pivotFmt>
        <c:idx val="1279"/>
        <c:marker>
          <c:symbol val="none"/>
        </c:marker>
      </c:pivotFmt>
      <c:pivotFmt>
        <c:idx val="1280"/>
        <c:marker>
          <c:symbol val="none"/>
        </c:marker>
      </c:pivotFmt>
      <c:pivotFmt>
        <c:idx val="1281"/>
        <c:marker>
          <c:symbol val="none"/>
        </c:marker>
      </c:pivotFmt>
      <c:pivotFmt>
        <c:idx val="1282"/>
        <c:marker>
          <c:symbol val="none"/>
        </c:marker>
      </c:pivotFmt>
      <c:pivotFmt>
        <c:idx val="1283"/>
        <c:spPr>
          <a:ln>
            <a:solidFill>
              <a:srgbClr val="FF0000"/>
            </a:solidFill>
          </a:ln>
        </c:spPr>
        <c:marker>
          <c:symbol val="none"/>
        </c:marker>
      </c:pivotFmt>
      <c:pivotFmt>
        <c:idx val="1284"/>
        <c:marker>
          <c:symbol val="none"/>
        </c:marker>
      </c:pivotFmt>
      <c:pivotFmt>
        <c:idx val="1285"/>
        <c:spPr>
          <a:ln>
            <a:solidFill>
              <a:schemeClr val="tx1"/>
            </a:solidFill>
          </a:ln>
        </c:spPr>
        <c:marker>
          <c:symbol val="none"/>
        </c:marker>
      </c:pivotFmt>
      <c:pivotFmt>
        <c:idx val="1286"/>
        <c:marker>
          <c:symbol val="none"/>
        </c:marker>
      </c:pivotFmt>
      <c:pivotFmt>
        <c:idx val="1287"/>
        <c:marker>
          <c:symbol val="none"/>
        </c:marker>
      </c:pivotFmt>
      <c:pivotFmt>
        <c:idx val="1288"/>
        <c:marker>
          <c:symbol val="none"/>
        </c:marker>
      </c:pivotFmt>
      <c:pivotFmt>
        <c:idx val="1289"/>
        <c:marker>
          <c:symbol val="none"/>
        </c:marker>
      </c:pivotFmt>
      <c:pivotFmt>
        <c:idx val="1290"/>
        <c:marker>
          <c:symbol val="none"/>
        </c:marker>
      </c:pivotFmt>
      <c:pivotFmt>
        <c:idx val="1291"/>
        <c:marker>
          <c:symbol val="none"/>
        </c:marker>
      </c:pivotFmt>
      <c:pivotFmt>
        <c:idx val="1292"/>
        <c:marker>
          <c:symbol val="none"/>
        </c:marker>
      </c:pivotFmt>
      <c:pivotFmt>
        <c:idx val="1293"/>
        <c:marker>
          <c:symbol val="none"/>
        </c:marker>
      </c:pivotFmt>
      <c:pivotFmt>
        <c:idx val="1294"/>
        <c:marker>
          <c:symbol val="none"/>
        </c:marker>
      </c:pivotFmt>
      <c:pivotFmt>
        <c:idx val="1295"/>
        <c:marker>
          <c:symbol val="none"/>
        </c:marker>
      </c:pivotFmt>
      <c:pivotFmt>
        <c:idx val="1296"/>
        <c:marker>
          <c:symbol val="none"/>
        </c:marker>
      </c:pivotFmt>
      <c:pivotFmt>
        <c:idx val="1297"/>
        <c:marker>
          <c:symbol val="none"/>
        </c:marker>
      </c:pivotFmt>
      <c:pivotFmt>
        <c:idx val="1298"/>
        <c:marker>
          <c:symbol val="none"/>
        </c:marker>
      </c:pivotFmt>
      <c:pivotFmt>
        <c:idx val="1299"/>
        <c:marker>
          <c:symbol val="none"/>
        </c:marker>
      </c:pivotFmt>
      <c:pivotFmt>
        <c:idx val="1300"/>
        <c:marker>
          <c:symbol val="none"/>
        </c:marker>
      </c:pivotFmt>
      <c:pivotFmt>
        <c:idx val="1301"/>
        <c:spPr>
          <a:ln>
            <a:solidFill>
              <a:srgbClr val="FF0000"/>
            </a:solidFill>
          </a:ln>
        </c:spPr>
        <c:marker>
          <c:symbol val="none"/>
        </c:marker>
      </c:pivotFmt>
      <c:pivotFmt>
        <c:idx val="1302"/>
        <c:marker>
          <c:symbol val="none"/>
        </c:marker>
      </c:pivotFmt>
      <c:pivotFmt>
        <c:idx val="1303"/>
        <c:spPr>
          <a:ln>
            <a:solidFill>
              <a:schemeClr val="tx1"/>
            </a:solidFill>
          </a:ln>
        </c:spPr>
        <c:marker>
          <c:symbol val="none"/>
        </c:marker>
      </c:pivotFmt>
      <c:pivotFmt>
        <c:idx val="1304"/>
        <c:marker>
          <c:symbol val="none"/>
        </c:marker>
      </c:pivotFmt>
      <c:pivotFmt>
        <c:idx val="1305"/>
        <c:marker>
          <c:symbol val="none"/>
        </c:marker>
      </c:pivotFmt>
      <c:pivotFmt>
        <c:idx val="1306"/>
        <c:marker>
          <c:symbol val="none"/>
        </c:marker>
      </c:pivotFmt>
      <c:pivotFmt>
        <c:idx val="1307"/>
        <c:marker>
          <c:symbol val="none"/>
        </c:marker>
      </c:pivotFmt>
      <c:pivotFmt>
        <c:idx val="1308"/>
        <c:marker>
          <c:symbol val="none"/>
        </c:marker>
      </c:pivotFmt>
      <c:pivotFmt>
        <c:idx val="1309"/>
        <c:marker>
          <c:symbol val="none"/>
        </c:marker>
      </c:pivotFmt>
      <c:pivotFmt>
        <c:idx val="1310"/>
        <c:marker>
          <c:symbol val="none"/>
        </c:marker>
      </c:pivotFmt>
      <c:pivotFmt>
        <c:idx val="1311"/>
        <c:marker>
          <c:symbol val="none"/>
        </c:marker>
      </c:pivotFmt>
      <c:pivotFmt>
        <c:idx val="1312"/>
        <c:marker>
          <c:symbol val="none"/>
        </c:marker>
      </c:pivotFmt>
      <c:pivotFmt>
        <c:idx val="1313"/>
        <c:marker>
          <c:symbol val="none"/>
        </c:marker>
      </c:pivotFmt>
      <c:pivotFmt>
        <c:idx val="1314"/>
        <c:marker>
          <c:symbol val="none"/>
        </c:marker>
      </c:pivotFmt>
      <c:pivotFmt>
        <c:idx val="1315"/>
        <c:marker>
          <c:symbol val="none"/>
        </c:marker>
      </c:pivotFmt>
      <c:pivotFmt>
        <c:idx val="1316"/>
        <c:marker>
          <c:symbol val="none"/>
        </c:marker>
      </c:pivotFmt>
      <c:pivotFmt>
        <c:idx val="1317"/>
        <c:marker>
          <c:symbol val="none"/>
        </c:marker>
      </c:pivotFmt>
      <c:pivotFmt>
        <c:idx val="1318"/>
        <c:marker>
          <c:symbol val="none"/>
        </c:marker>
      </c:pivotFmt>
      <c:pivotFmt>
        <c:idx val="1319"/>
        <c:spPr>
          <a:ln>
            <a:solidFill>
              <a:srgbClr val="FF0000"/>
            </a:solidFill>
          </a:ln>
        </c:spPr>
        <c:marker>
          <c:symbol val="none"/>
        </c:marker>
      </c:pivotFmt>
      <c:pivotFmt>
        <c:idx val="1320"/>
        <c:marker>
          <c:symbol val="none"/>
        </c:marker>
      </c:pivotFmt>
      <c:pivotFmt>
        <c:idx val="1321"/>
        <c:spPr>
          <a:ln>
            <a:solidFill>
              <a:schemeClr val="tx1"/>
            </a:solidFill>
          </a:ln>
        </c:spPr>
        <c:marker>
          <c:symbol val="none"/>
        </c:marker>
      </c:pivotFmt>
      <c:pivotFmt>
        <c:idx val="1322"/>
        <c:marker>
          <c:symbol val="none"/>
        </c:marker>
      </c:pivotFmt>
      <c:pivotFmt>
        <c:idx val="1323"/>
        <c:marker>
          <c:symbol val="none"/>
        </c:marker>
      </c:pivotFmt>
      <c:pivotFmt>
        <c:idx val="1324"/>
        <c:marker>
          <c:symbol val="none"/>
        </c:marker>
      </c:pivotFmt>
      <c:pivotFmt>
        <c:idx val="1325"/>
        <c:marker>
          <c:symbol val="none"/>
        </c:marker>
      </c:pivotFmt>
      <c:pivotFmt>
        <c:idx val="1326"/>
        <c:marker>
          <c:symbol val="none"/>
        </c:marker>
      </c:pivotFmt>
      <c:pivotFmt>
        <c:idx val="1327"/>
        <c:marker>
          <c:symbol val="none"/>
        </c:marker>
      </c:pivotFmt>
      <c:pivotFmt>
        <c:idx val="1328"/>
        <c:marker>
          <c:symbol val="none"/>
        </c:marker>
      </c:pivotFmt>
      <c:pivotFmt>
        <c:idx val="1329"/>
        <c:marker>
          <c:symbol val="none"/>
        </c:marker>
      </c:pivotFmt>
      <c:pivotFmt>
        <c:idx val="1330"/>
        <c:marker>
          <c:symbol val="none"/>
        </c:marker>
      </c:pivotFmt>
      <c:pivotFmt>
        <c:idx val="1331"/>
        <c:marker>
          <c:symbol val="none"/>
        </c:marker>
      </c:pivotFmt>
      <c:pivotFmt>
        <c:idx val="1332"/>
        <c:marker>
          <c:symbol val="none"/>
        </c:marker>
      </c:pivotFmt>
      <c:pivotFmt>
        <c:idx val="1333"/>
        <c:marker>
          <c:symbol val="none"/>
        </c:marker>
      </c:pivotFmt>
      <c:pivotFmt>
        <c:idx val="1334"/>
        <c:marker>
          <c:symbol val="none"/>
        </c:marker>
      </c:pivotFmt>
      <c:pivotFmt>
        <c:idx val="1335"/>
        <c:marker>
          <c:symbol val="none"/>
        </c:marker>
      </c:pivotFmt>
      <c:pivotFmt>
        <c:idx val="1336"/>
        <c:marker>
          <c:symbol val="none"/>
        </c:marker>
      </c:pivotFmt>
      <c:pivotFmt>
        <c:idx val="1337"/>
        <c:marker>
          <c:symbol val="none"/>
        </c:marker>
      </c:pivotFmt>
      <c:pivotFmt>
        <c:idx val="1338"/>
        <c:marker>
          <c:symbol val="none"/>
        </c:marker>
      </c:pivotFmt>
      <c:pivotFmt>
        <c:idx val="1339"/>
        <c:marker>
          <c:symbol val="none"/>
        </c:marker>
      </c:pivotFmt>
      <c:pivotFmt>
        <c:idx val="1340"/>
        <c:marker>
          <c:symbol val="none"/>
        </c:marker>
      </c:pivotFmt>
      <c:pivotFmt>
        <c:idx val="1341"/>
        <c:marker>
          <c:symbol val="none"/>
        </c:marker>
      </c:pivotFmt>
      <c:pivotFmt>
        <c:idx val="1342"/>
        <c:marker>
          <c:symbol val="none"/>
        </c:marker>
      </c:pivotFmt>
      <c:pivotFmt>
        <c:idx val="1343"/>
        <c:marker>
          <c:symbol val="none"/>
        </c:marker>
      </c:pivotFmt>
      <c:pivotFmt>
        <c:idx val="1344"/>
        <c:marker>
          <c:symbol val="none"/>
        </c:marker>
      </c:pivotFmt>
      <c:pivotFmt>
        <c:idx val="1345"/>
        <c:marker>
          <c:symbol val="none"/>
        </c:marker>
      </c:pivotFmt>
      <c:pivotFmt>
        <c:idx val="1346"/>
        <c:marker>
          <c:symbol val="none"/>
        </c:marker>
      </c:pivotFmt>
      <c:pivotFmt>
        <c:idx val="1347"/>
        <c:spPr>
          <a:ln>
            <a:solidFill>
              <a:srgbClr val="FF0000"/>
            </a:solidFill>
          </a:ln>
        </c:spPr>
        <c:marker>
          <c:symbol val="none"/>
        </c:marker>
      </c:pivotFmt>
      <c:pivotFmt>
        <c:idx val="1348"/>
        <c:marker>
          <c:symbol val="none"/>
        </c:marker>
      </c:pivotFmt>
      <c:pivotFmt>
        <c:idx val="1349"/>
        <c:marker>
          <c:symbol val="none"/>
        </c:marker>
      </c:pivotFmt>
      <c:pivotFmt>
        <c:idx val="1350"/>
        <c:marker>
          <c:symbol val="none"/>
        </c:marker>
      </c:pivotFmt>
      <c:pivotFmt>
        <c:idx val="1351"/>
        <c:marker>
          <c:symbol val="none"/>
        </c:marker>
      </c:pivotFmt>
      <c:pivotFmt>
        <c:idx val="1352"/>
        <c:marker>
          <c:symbol val="none"/>
        </c:marker>
      </c:pivotFmt>
      <c:pivotFmt>
        <c:idx val="1353"/>
        <c:marker>
          <c:symbol val="none"/>
        </c:marker>
      </c:pivotFmt>
      <c:pivotFmt>
        <c:idx val="1354"/>
        <c:marker>
          <c:symbol val="none"/>
        </c:marker>
      </c:pivotFmt>
      <c:pivotFmt>
        <c:idx val="1355"/>
        <c:marker>
          <c:symbol val="none"/>
        </c:marker>
      </c:pivotFmt>
      <c:pivotFmt>
        <c:idx val="1356"/>
        <c:marker>
          <c:symbol val="none"/>
        </c:marker>
      </c:pivotFmt>
      <c:pivotFmt>
        <c:idx val="1357"/>
        <c:marker>
          <c:symbol val="none"/>
        </c:marker>
      </c:pivotFmt>
      <c:pivotFmt>
        <c:idx val="1358"/>
        <c:marker>
          <c:symbol val="none"/>
        </c:marker>
      </c:pivotFmt>
      <c:pivotFmt>
        <c:idx val="1359"/>
        <c:marker>
          <c:symbol val="none"/>
        </c:marker>
      </c:pivotFmt>
      <c:pivotFmt>
        <c:idx val="1360"/>
        <c:marker>
          <c:symbol val="none"/>
        </c:marker>
      </c:pivotFmt>
      <c:pivotFmt>
        <c:idx val="1361"/>
        <c:marker>
          <c:symbol val="none"/>
        </c:marker>
      </c:pivotFmt>
      <c:pivotFmt>
        <c:idx val="1362"/>
        <c:marker>
          <c:symbol val="none"/>
        </c:marker>
      </c:pivotFmt>
      <c:pivotFmt>
        <c:idx val="1363"/>
        <c:marker>
          <c:symbol val="none"/>
        </c:marker>
      </c:pivotFmt>
      <c:pivotFmt>
        <c:idx val="1364"/>
        <c:marker>
          <c:symbol val="none"/>
        </c:marker>
      </c:pivotFmt>
      <c:pivotFmt>
        <c:idx val="1365"/>
        <c:marker>
          <c:symbol val="none"/>
        </c:marker>
      </c:pivotFmt>
      <c:pivotFmt>
        <c:idx val="1366"/>
        <c:marker>
          <c:symbol val="none"/>
        </c:marker>
      </c:pivotFmt>
      <c:pivotFmt>
        <c:idx val="1367"/>
        <c:marker>
          <c:symbol val="none"/>
        </c:marker>
      </c:pivotFmt>
      <c:pivotFmt>
        <c:idx val="1368"/>
        <c:marker>
          <c:symbol val="none"/>
        </c:marker>
      </c:pivotFmt>
      <c:pivotFmt>
        <c:idx val="1369"/>
        <c:spPr>
          <a:ln>
            <a:solidFill>
              <a:srgbClr val="FF0000"/>
            </a:solidFill>
          </a:ln>
        </c:spPr>
        <c:marker>
          <c:symbol val="none"/>
        </c:marker>
      </c:pivotFmt>
      <c:pivotFmt>
        <c:idx val="1370"/>
        <c:marker>
          <c:symbol val="none"/>
        </c:marker>
      </c:pivotFmt>
      <c:pivotFmt>
        <c:idx val="1371"/>
        <c:marker>
          <c:symbol val="none"/>
        </c:marker>
      </c:pivotFmt>
      <c:pivotFmt>
        <c:idx val="1372"/>
        <c:marker>
          <c:symbol val="none"/>
        </c:marker>
      </c:pivotFmt>
      <c:pivotFmt>
        <c:idx val="1373"/>
        <c:marker>
          <c:symbol val="none"/>
        </c:marker>
      </c:pivotFmt>
      <c:pivotFmt>
        <c:idx val="1374"/>
        <c:marker>
          <c:symbol val="none"/>
        </c:marker>
      </c:pivotFmt>
      <c:pivotFmt>
        <c:idx val="1375"/>
        <c:marker>
          <c:symbol val="none"/>
        </c:marker>
      </c:pivotFmt>
      <c:pivotFmt>
        <c:idx val="1376"/>
        <c:marker>
          <c:symbol val="none"/>
        </c:marker>
      </c:pivotFmt>
      <c:pivotFmt>
        <c:idx val="1377"/>
        <c:marker>
          <c:symbol val="none"/>
        </c:marker>
      </c:pivotFmt>
      <c:pivotFmt>
        <c:idx val="1378"/>
        <c:marker>
          <c:symbol val="none"/>
        </c:marker>
      </c:pivotFmt>
      <c:pivotFmt>
        <c:idx val="1379"/>
        <c:marker>
          <c:symbol val="none"/>
        </c:marker>
      </c:pivotFmt>
      <c:pivotFmt>
        <c:idx val="1380"/>
        <c:marker>
          <c:symbol val="none"/>
        </c:marker>
      </c:pivotFmt>
      <c:pivotFmt>
        <c:idx val="1381"/>
        <c:marker>
          <c:symbol val="none"/>
        </c:marker>
      </c:pivotFmt>
      <c:pivotFmt>
        <c:idx val="1382"/>
        <c:marker>
          <c:symbol val="none"/>
        </c:marker>
      </c:pivotFmt>
      <c:pivotFmt>
        <c:idx val="1383"/>
        <c:marker>
          <c:symbol val="none"/>
        </c:marker>
      </c:pivotFmt>
      <c:pivotFmt>
        <c:idx val="1384"/>
        <c:marker>
          <c:symbol val="none"/>
        </c:marker>
      </c:pivotFmt>
      <c:pivotFmt>
        <c:idx val="1385"/>
        <c:marker>
          <c:symbol val="none"/>
        </c:marker>
      </c:pivotFmt>
      <c:pivotFmt>
        <c:idx val="1386"/>
        <c:marker>
          <c:symbol val="none"/>
        </c:marker>
      </c:pivotFmt>
      <c:pivotFmt>
        <c:idx val="1387"/>
        <c:marker>
          <c:symbol val="none"/>
        </c:marker>
      </c:pivotFmt>
      <c:pivotFmt>
        <c:idx val="1388"/>
        <c:marker>
          <c:symbol val="none"/>
        </c:marker>
      </c:pivotFmt>
      <c:pivotFmt>
        <c:idx val="1389"/>
        <c:marker>
          <c:symbol val="none"/>
        </c:marker>
      </c:pivotFmt>
      <c:pivotFmt>
        <c:idx val="1390"/>
        <c:marker>
          <c:symbol val="none"/>
        </c:marker>
      </c:pivotFmt>
      <c:pivotFmt>
        <c:idx val="1391"/>
        <c:marker>
          <c:symbol val="none"/>
        </c:marker>
      </c:pivotFmt>
      <c:pivotFmt>
        <c:idx val="1392"/>
        <c:marker>
          <c:symbol val="none"/>
        </c:marker>
      </c:pivotFmt>
      <c:pivotFmt>
        <c:idx val="1393"/>
        <c:marker>
          <c:symbol val="none"/>
        </c:marker>
      </c:pivotFmt>
      <c:pivotFmt>
        <c:idx val="1394"/>
      </c:pivotFmt>
      <c:pivotFmt>
        <c:idx val="1395"/>
      </c:pivotFmt>
      <c:pivotFmt>
        <c:idx val="1396"/>
      </c:pivotFmt>
      <c:pivotFmt>
        <c:idx val="1397"/>
      </c:pivotFmt>
      <c:pivotFmt>
        <c:idx val="1398"/>
      </c:pivotFmt>
      <c:pivotFmt>
        <c:idx val="1399"/>
      </c:pivotFmt>
      <c:pivotFmt>
        <c:idx val="1400"/>
        <c:spPr>
          <a:ln>
            <a:solidFill>
              <a:srgbClr val="FF0000"/>
            </a:solidFill>
          </a:ln>
        </c:spPr>
        <c:marker>
          <c:symbol val="none"/>
        </c:marker>
      </c:pivotFmt>
      <c:pivotFmt>
        <c:idx val="1401"/>
        <c:marker>
          <c:symbol val="none"/>
        </c:marker>
      </c:pivotFmt>
      <c:pivotFmt>
        <c:idx val="1402"/>
      </c:pivotFmt>
      <c:pivotFmt>
        <c:idx val="1403"/>
      </c:pivotFmt>
      <c:pivotFmt>
        <c:idx val="1404"/>
      </c:pivotFmt>
      <c:pivotFmt>
        <c:idx val="1405"/>
      </c:pivotFmt>
      <c:pivotFmt>
        <c:idx val="1406"/>
      </c:pivotFmt>
      <c:pivotFmt>
        <c:idx val="1407"/>
        <c:marker>
          <c:symbol val="none"/>
        </c:marker>
      </c:pivotFmt>
      <c:pivotFmt>
        <c:idx val="1408"/>
        <c:dLbl>
          <c:idx val="0"/>
          <c:delete val="1"/>
        </c:dLbl>
      </c:pivotFmt>
      <c:pivotFmt>
        <c:idx val="1409"/>
      </c:pivotFmt>
      <c:pivotFmt>
        <c:idx val="1410"/>
        <c:dLbl>
          <c:idx val="0"/>
          <c:delete val="1"/>
        </c:dLbl>
      </c:pivotFmt>
      <c:pivotFmt>
        <c:idx val="1411"/>
        <c:marker>
          <c:symbol val="none"/>
        </c:marker>
      </c:pivotFmt>
      <c:pivotFmt>
        <c:idx val="1412"/>
      </c:pivotFmt>
      <c:pivotFmt>
        <c:idx val="1413"/>
        <c:marker>
          <c:symbol val="none"/>
        </c:marker>
      </c:pivotFmt>
      <c:pivotFmt>
        <c:idx val="1414"/>
        <c:dLbl>
          <c:idx val="0"/>
          <c:delete val="1"/>
        </c:dLbl>
      </c:pivotFmt>
      <c:pivotFmt>
        <c:idx val="1415"/>
        <c:marker>
          <c:symbol val="none"/>
        </c:marker>
      </c:pivotFmt>
      <c:pivotFmt>
        <c:idx val="1416"/>
      </c:pivotFmt>
      <c:pivotFmt>
        <c:idx val="1417"/>
      </c:pivotFmt>
      <c:pivotFmt>
        <c:idx val="1418"/>
      </c:pivotFmt>
      <c:pivotFmt>
        <c:idx val="1419"/>
      </c:pivotFmt>
      <c:pivotFmt>
        <c:idx val="1420"/>
      </c:pivotFmt>
      <c:pivotFmt>
        <c:idx val="1421"/>
      </c:pivotFmt>
      <c:pivotFmt>
        <c:idx val="1422"/>
      </c:pivotFmt>
      <c:pivotFmt>
        <c:idx val="1423"/>
      </c:pivotFmt>
      <c:pivotFmt>
        <c:idx val="1424"/>
      </c:pivotFmt>
      <c:pivotFmt>
        <c:idx val="1425"/>
      </c:pivotFmt>
      <c:pivotFmt>
        <c:idx val="1426"/>
      </c:pivotFmt>
      <c:pivotFmt>
        <c:idx val="1427"/>
      </c:pivotFmt>
      <c:pivotFmt>
        <c:idx val="1428"/>
      </c:pivotFmt>
      <c:pivotFmt>
        <c:idx val="1429"/>
      </c:pivotFmt>
      <c:pivotFmt>
        <c:idx val="1430"/>
      </c:pivotFmt>
      <c:pivotFmt>
        <c:idx val="1431"/>
      </c:pivotFmt>
      <c:pivotFmt>
        <c:idx val="1432"/>
      </c:pivotFmt>
      <c:pivotFmt>
        <c:idx val="1433"/>
        <c:marker>
          <c:symbol val="none"/>
        </c:marker>
      </c:pivotFmt>
      <c:pivotFmt>
        <c:idx val="1434"/>
      </c:pivotFmt>
      <c:pivotFmt>
        <c:idx val="1435"/>
      </c:pivotFmt>
      <c:pivotFmt>
        <c:idx val="1436"/>
      </c:pivotFmt>
      <c:pivotFmt>
        <c:idx val="1437"/>
      </c:pivotFmt>
      <c:pivotFmt>
        <c:idx val="1438"/>
      </c:pivotFmt>
      <c:pivotFmt>
        <c:idx val="1439"/>
      </c:pivotFmt>
      <c:pivotFmt>
        <c:idx val="1440"/>
      </c:pivotFmt>
      <c:pivotFmt>
        <c:idx val="1441"/>
      </c:pivotFmt>
      <c:pivotFmt>
        <c:idx val="1442"/>
      </c:pivotFmt>
      <c:pivotFmt>
        <c:idx val="1443"/>
      </c:pivotFmt>
      <c:pivotFmt>
        <c:idx val="1444"/>
      </c:pivotFmt>
      <c:pivotFmt>
        <c:idx val="1445"/>
      </c:pivotFmt>
      <c:pivotFmt>
        <c:idx val="1446"/>
      </c:pivotFmt>
      <c:pivotFmt>
        <c:idx val="1447"/>
      </c:pivotFmt>
      <c:pivotFmt>
        <c:idx val="1448"/>
      </c:pivotFmt>
      <c:pivotFmt>
        <c:idx val="1449"/>
      </c:pivotFmt>
      <c:pivotFmt>
        <c:idx val="1450"/>
        <c:marker>
          <c:symbol val="none"/>
        </c:marker>
      </c:pivotFmt>
      <c:pivotFmt>
        <c:idx val="1451"/>
      </c:pivotFmt>
      <c:pivotFmt>
        <c:idx val="1452"/>
      </c:pivotFmt>
      <c:pivotFmt>
        <c:idx val="1453"/>
      </c:pivotFmt>
    </c:pivotFmts>
    <c:plotArea>
      <c:layout>
        <c:manualLayout>
          <c:layoutTarget val="inner"/>
          <c:xMode val="edge"/>
          <c:yMode val="edge"/>
          <c:x val="0.10807475571577649"/>
          <c:y val="4.0515653775322284E-2"/>
          <c:w val="0.7198041931505551"/>
          <c:h val="0.81176143037368953"/>
        </c:manualLayout>
      </c:layout>
      <c:lineChart>
        <c:grouping val="standard"/>
        <c:varyColors val="0"/>
        <c:ser>
          <c:idx val="0"/>
          <c:order val="0"/>
          <c:tx>
            <c:strRef>
              <c:f>'Sheet1 (9)'!$B$3:$B$4</c:f>
              <c:strCache>
                <c:ptCount val="1"/>
                <c:pt idx="0">
                  <c:v>AD  +QUET</c:v>
                </c:pt>
              </c:strCache>
            </c:strRef>
          </c:tx>
          <c:cat>
            <c:strRef>
              <c:f>'Sheet1 (9)'!$A$5:$A$13</c:f>
              <c:strCache>
                <c:ptCount val="8"/>
                <c:pt idx="0">
                  <c:v>20-24 yrs</c:v>
                </c:pt>
                <c:pt idx="1">
                  <c:v>25-29 yrs</c:v>
                </c:pt>
                <c:pt idx="2">
                  <c:v>30-34 yrs</c:v>
                </c:pt>
                <c:pt idx="3">
                  <c:v>35-39 yrs</c:v>
                </c:pt>
                <c:pt idx="4">
                  <c:v>40-44 yrs</c:v>
                </c:pt>
                <c:pt idx="5">
                  <c:v>45-49 yrs</c:v>
                </c:pt>
                <c:pt idx="6">
                  <c:v>50-54 yrs</c:v>
                </c:pt>
                <c:pt idx="7">
                  <c:v>55-59 yrs</c:v>
                </c:pt>
              </c:strCache>
            </c:strRef>
          </c:cat>
          <c:val>
            <c:numRef>
              <c:f>'Sheet1 (9)'!$B$5:$B$13</c:f>
              <c:numCache>
                <c:formatCode>General</c:formatCode>
                <c:ptCount val="8"/>
                <c:pt idx="0">
                  <c:v>185</c:v>
                </c:pt>
                <c:pt idx="1">
                  <c:v>249</c:v>
                </c:pt>
                <c:pt idx="2">
                  <c:v>325</c:v>
                </c:pt>
                <c:pt idx="3">
                  <c:v>419</c:v>
                </c:pt>
                <c:pt idx="4">
                  <c:v>528</c:v>
                </c:pt>
                <c:pt idx="5">
                  <c:v>455</c:v>
                </c:pt>
                <c:pt idx="6">
                  <c:v>448</c:v>
                </c:pt>
                <c:pt idx="7">
                  <c:v>365</c:v>
                </c:pt>
              </c:numCache>
            </c:numRef>
          </c:val>
          <c:smooth val="0"/>
        </c:ser>
        <c:ser>
          <c:idx val="1"/>
          <c:order val="1"/>
          <c:tx>
            <c:strRef>
              <c:f>'Sheet1 (9)'!$C$3:$C$4</c:f>
              <c:strCache>
                <c:ptCount val="1"/>
                <c:pt idx="0">
                  <c:v>OLAN</c:v>
                </c:pt>
              </c:strCache>
            </c:strRef>
          </c:tx>
          <c:cat>
            <c:strRef>
              <c:f>'Sheet1 (9)'!$A$5:$A$13</c:f>
              <c:strCache>
                <c:ptCount val="8"/>
                <c:pt idx="0">
                  <c:v>20-24 yrs</c:v>
                </c:pt>
                <c:pt idx="1">
                  <c:v>25-29 yrs</c:v>
                </c:pt>
                <c:pt idx="2">
                  <c:v>30-34 yrs</c:v>
                </c:pt>
                <c:pt idx="3">
                  <c:v>35-39 yrs</c:v>
                </c:pt>
                <c:pt idx="4">
                  <c:v>40-44 yrs</c:v>
                </c:pt>
                <c:pt idx="5">
                  <c:v>45-49 yrs</c:v>
                </c:pt>
                <c:pt idx="6">
                  <c:v>50-54 yrs</c:v>
                </c:pt>
                <c:pt idx="7">
                  <c:v>55-59 yrs</c:v>
                </c:pt>
              </c:strCache>
            </c:strRef>
          </c:cat>
          <c:val>
            <c:numRef>
              <c:f>'Sheet1 (9)'!$C$5:$C$13</c:f>
              <c:numCache>
                <c:formatCode>General</c:formatCode>
                <c:ptCount val="8"/>
                <c:pt idx="0">
                  <c:v>105</c:v>
                </c:pt>
                <c:pt idx="1">
                  <c:v>157</c:v>
                </c:pt>
                <c:pt idx="2">
                  <c:v>218</c:v>
                </c:pt>
                <c:pt idx="3">
                  <c:v>252</c:v>
                </c:pt>
                <c:pt idx="4">
                  <c:v>282</c:v>
                </c:pt>
                <c:pt idx="5">
                  <c:v>265</c:v>
                </c:pt>
                <c:pt idx="6">
                  <c:v>274</c:v>
                </c:pt>
                <c:pt idx="7">
                  <c:v>207</c:v>
                </c:pt>
              </c:numCache>
            </c:numRef>
          </c:val>
          <c:smooth val="0"/>
        </c:ser>
        <c:ser>
          <c:idx val="2"/>
          <c:order val="2"/>
          <c:tx>
            <c:strRef>
              <c:f>'Sheet1 (9)'!$D$3:$D$4</c:f>
              <c:strCache>
                <c:ptCount val="1"/>
                <c:pt idx="0">
                  <c:v>AD  +OLAN</c:v>
                </c:pt>
              </c:strCache>
            </c:strRef>
          </c:tx>
          <c:cat>
            <c:strRef>
              <c:f>'Sheet1 (9)'!$A$5:$A$13</c:f>
              <c:strCache>
                <c:ptCount val="8"/>
                <c:pt idx="0">
                  <c:v>20-24 yrs</c:v>
                </c:pt>
                <c:pt idx="1">
                  <c:v>25-29 yrs</c:v>
                </c:pt>
                <c:pt idx="2">
                  <c:v>30-34 yrs</c:v>
                </c:pt>
                <c:pt idx="3">
                  <c:v>35-39 yrs</c:v>
                </c:pt>
                <c:pt idx="4">
                  <c:v>40-44 yrs</c:v>
                </c:pt>
                <c:pt idx="5">
                  <c:v>45-49 yrs</c:v>
                </c:pt>
                <c:pt idx="6">
                  <c:v>50-54 yrs</c:v>
                </c:pt>
                <c:pt idx="7">
                  <c:v>55-59 yrs</c:v>
                </c:pt>
              </c:strCache>
            </c:strRef>
          </c:cat>
          <c:val>
            <c:numRef>
              <c:f>'Sheet1 (9)'!$D$5:$D$13</c:f>
              <c:numCache>
                <c:formatCode>General</c:formatCode>
                <c:ptCount val="8"/>
                <c:pt idx="0">
                  <c:v>77</c:v>
                </c:pt>
                <c:pt idx="1">
                  <c:v>111</c:v>
                </c:pt>
                <c:pt idx="2">
                  <c:v>175</c:v>
                </c:pt>
                <c:pt idx="3">
                  <c:v>219</c:v>
                </c:pt>
                <c:pt idx="4">
                  <c:v>312</c:v>
                </c:pt>
                <c:pt idx="5">
                  <c:v>290</c:v>
                </c:pt>
                <c:pt idx="6">
                  <c:v>289</c:v>
                </c:pt>
                <c:pt idx="7">
                  <c:v>259</c:v>
                </c:pt>
              </c:numCache>
            </c:numRef>
          </c:val>
          <c:smooth val="0"/>
        </c:ser>
        <c:ser>
          <c:idx val="3"/>
          <c:order val="3"/>
          <c:tx>
            <c:strRef>
              <c:f>'Sheet1 (9)'!$E$3:$E$4</c:f>
              <c:strCache>
                <c:ptCount val="1"/>
                <c:pt idx="0">
                  <c:v>QUET</c:v>
                </c:pt>
              </c:strCache>
            </c:strRef>
          </c:tx>
          <c:cat>
            <c:strRef>
              <c:f>'Sheet1 (9)'!$A$5:$A$13</c:f>
              <c:strCache>
                <c:ptCount val="8"/>
                <c:pt idx="0">
                  <c:v>20-24 yrs</c:v>
                </c:pt>
                <c:pt idx="1">
                  <c:v>25-29 yrs</c:v>
                </c:pt>
                <c:pt idx="2">
                  <c:v>30-34 yrs</c:v>
                </c:pt>
                <c:pt idx="3">
                  <c:v>35-39 yrs</c:v>
                </c:pt>
                <c:pt idx="4">
                  <c:v>40-44 yrs</c:v>
                </c:pt>
                <c:pt idx="5">
                  <c:v>45-49 yrs</c:v>
                </c:pt>
                <c:pt idx="6">
                  <c:v>50-54 yrs</c:v>
                </c:pt>
                <c:pt idx="7">
                  <c:v>55-59 yrs</c:v>
                </c:pt>
              </c:strCache>
            </c:strRef>
          </c:cat>
          <c:val>
            <c:numRef>
              <c:f>'Sheet1 (9)'!$E$5:$E$13</c:f>
              <c:numCache>
                <c:formatCode>General</c:formatCode>
                <c:ptCount val="8"/>
                <c:pt idx="0">
                  <c:v>150</c:v>
                </c:pt>
                <c:pt idx="1">
                  <c:v>219</c:v>
                </c:pt>
                <c:pt idx="2">
                  <c:v>250</c:v>
                </c:pt>
                <c:pt idx="3">
                  <c:v>271</c:v>
                </c:pt>
                <c:pt idx="4">
                  <c:v>254</c:v>
                </c:pt>
                <c:pt idx="5">
                  <c:v>214</c:v>
                </c:pt>
                <c:pt idx="6">
                  <c:v>168</c:v>
                </c:pt>
                <c:pt idx="7">
                  <c:v>135</c:v>
                </c:pt>
              </c:numCache>
            </c:numRef>
          </c:val>
          <c:smooth val="0"/>
        </c:ser>
        <c:ser>
          <c:idx val="4"/>
          <c:order val="4"/>
          <c:tx>
            <c:strRef>
              <c:f>'Sheet1 (9)'!$F$3:$F$4</c:f>
              <c:strCache>
                <c:ptCount val="1"/>
                <c:pt idx="0">
                  <c:v>RISP</c:v>
                </c:pt>
              </c:strCache>
            </c:strRef>
          </c:tx>
          <c:cat>
            <c:strRef>
              <c:f>'Sheet1 (9)'!$A$5:$A$13</c:f>
              <c:strCache>
                <c:ptCount val="8"/>
                <c:pt idx="0">
                  <c:v>20-24 yrs</c:v>
                </c:pt>
                <c:pt idx="1">
                  <c:v>25-29 yrs</c:v>
                </c:pt>
                <c:pt idx="2">
                  <c:v>30-34 yrs</c:v>
                </c:pt>
                <c:pt idx="3">
                  <c:v>35-39 yrs</c:v>
                </c:pt>
                <c:pt idx="4">
                  <c:v>40-44 yrs</c:v>
                </c:pt>
                <c:pt idx="5">
                  <c:v>45-49 yrs</c:v>
                </c:pt>
                <c:pt idx="6">
                  <c:v>50-54 yrs</c:v>
                </c:pt>
                <c:pt idx="7">
                  <c:v>55-59 yrs</c:v>
                </c:pt>
              </c:strCache>
            </c:strRef>
          </c:cat>
          <c:val>
            <c:numRef>
              <c:f>'Sheet1 (9)'!$F$5:$F$13</c:f>
              <c:numCache>
                <c:formatCode>General</c:formatCode>
                <c:ptCount val="8"/>
                <c:pt idx="0">
                  <c:v>91</c:v>
                </c:pt>
                <c:pt idx="1">
                  <c:v>103</c:v>
                </c:pt>
                <c:pt idx="2">
                  <c:v>141</c:v>
                </c:pt>
                <c:pt idx="3">
                  <c:v>200</c:v>
                </c:pt>
                <c:pt idx="4">
                  <c:v>207</c:v>
                </c:pt>
                <c:pt idx="5">
                  <c:v>193</c:v>
                </c:pt>
                <c:pt idx="6">
                  <c:v>159</c:v>
                </c:pt>
                <c:pt idx="7">
                  <c:v>138</c:v>
                </c:pt>
              </c:numCache>
            </c:numRef>
          </c:val>
          <c:smooth val="0"/>
        </c:ser>
        <c:ser>
          <c:idx val="5"/>
          <c:order val="5"/>
          <c:tx>
            <c:strRef>
              <c:f>'Sheet1 (9)'!$G$3:$G$4</c:f>
              <c:strCache>
                <c:ptCount val="1"/>
                <c:pt idx="0">
                  <c:v>AD  +RISP</c:v>
                </c:pt>
              </c:strCache>
            </c:strRef>
          </c:tx>
          <c:cat>
            <c:strRef>
              <c:f>'Sheet1 (9)'!$A$5:$A$13</c:f>
              <c:strCache>
                <c:ptCount val="8"/>
                <c:pt idx="0">
                  <c:v>20-24 yrs</c:v>
                </c:pt>
                <c:pt idx="1">
                  <c:v>25-29 yrs</c:v>
                </c:pt>
                <c:pt idx="2">
                  <c:v>30-34 yrs</c:v>
                </c:pt>
                <c:pt idx="3">
                  <c:v>35-39 yrs</c:v>
                </c:pt>
                <c:pt idx="4">
                  <c:v>40-44 yrs</c:v>
                </c:pt>
                <c:pt idx="5">
                  <c:v>45-49 yrs</c:v>
                </c:pt>
                <c:pt idx="6">
                  <c:v>50-54 yrs</c:v>
                </c:pt>
                <c:pt idx="7">
                  <c:v>55-59 yrs</c:v>
                </c:pt>
              </c:strCache>
            </c:strRef>
          </c:cat>
          <c:val>
            <c:numRef>
              <c:f>'Sheet1 (9)'!$G$5:$G$13</c:f>
              <c:numCache>
                <c:formatCode>General</c:formatCode>
                <c:ptCount val="8"/>
                <c:pt idx="0">
                  <c:v>59</c:v>
                </c:pt>
                <c:pt idx="1">
                  <c:v>63</c:v>
                </c:pt>
                <c:pt idx="2">
                  <c:v>61</c:v>
                </c:pt>
                <c:pt idx="3">
                  <c:v>93</c:v>
                </c:pt>
                <c:pt idx="4">
                  <c:v>111</c:v>
                </c:pt>
                <c:pt idx="5">
                  <c:v>134</c:v>
                </c:pt>
                <c:pt idx="6">
                  <c:v>131</c:v>
                </c:pt>
                <c:pt idx="7">
                  <c:v>133</c:v>
                </c:pt>
              </c:numCache>
            </c:numRef>
          </c:val>
          <c:smooth val="0"/>
        </c:ser>
        <c:ser>
          <c:idx val="6"/>
          <c:order val="6"/>
          <c:tx>
            <c:strRef>
              <c:f>'Sheet1 (9)'!$H$3:$H$4</c:f>
              <c:strCache>
                <c:ptCount val="1"/>
                <c:pt idx="0">
                  <c:v>ARIP</c:v>
                </c:pt>
              </c:strCache>
            </c:strRef>
          </c:tx>
          <c:cat>
            <c:strRef>
              <c:f>'Sheet1 (9)'!$A$5:$A$13</c:f>
              <c:strCache>
                <c:ptCount val="8"/>
                <c:pt idx="0">
                  <c:v>20-24 yrs</c:v>
                </c:pt>
                <c:pt idx="1">
                  <c:v>25-29 yrs</c:v>
                </c:pt>
                <c:pt idx="2">
                  <c:v>30-34 yrs</c:v>
                </c:pt>
                <c:pt idx="3">
                  <c:v>35-39 yrs</c:v>
                </c:pt>
                <c:pt idx="4">
                  <c:v>40-44 yrs</c:v>
                </c:pt>
                <c:pt idx="5">
                  <c:v>45-49 yrs</c:v>
                </c:pt>
                <c:pt idx="6">
                  <c:v>50-54 yrs</c:v>
                </c:pt>
                <c:pt idx="7">
                  <c:v>55-59 yrs</c:v>
                </c:pt>
              </c:strCache>
            </c:strRef>
          </c:cat>
          <c:val>
            <c:numRef>
              <c:f>'Sheet1 (9)'!$H$5:$H$13</c:f>
              <c:numCache>
                <c:formatCode>General</c:formatCode>
                <c:ptCount val="8"/>
                <c:pt idx="0">
                  <c:v>29</c:v>
                </c:pt>
                <c:pt idx="1">
                  <c:v>41</c:v>
                </c:pt>
                <c:pt idx="2">
                  <c:v>55</c:v>
                </c:pt>
                <c:pt idx="3">
                  <c:v>58</c:v>
                </c:pt>
                <c:pt idx="4">
                  <c:v>75</c:v>
                </c:pt>
                <c:pt idx="5">
                  <c:v>35</c:v>
                </c:pt>
                <c:pt idx="6">
                  <c:v>42</c:v>
                </c:pt>
                <c:pt idx="7">
                  <c:v>26</c:v>
                </c:pt>
              </c:numCache>
            </c:numRef>
          </c:val>
          <c:smooth val="0"/>
        </c:ser>
        <c:ser>
          <c:idx val="7"/>
          <c:order val="7"/>
          <c:tx>
            <c:strRef>
              <c:f>'Sheet1 (9)'!$I$3:$I$4</c:f>
              <c:strCache>
                <c:ptCount val="1"/>
                <c:pt idx="0">
                  <c:v>PALI</c:v>
                </c:pt>
              </c:strCache>
            </c:strRef>
          </c:tx>
          <c:cat>
            <c:strRef>
              <c:f>'Sheet1 (9)'!$A$5:$A$13</c:f>
              <c:strCache>
                <c:ptCount val="8"/>
                <c:pt idx="0">
                  <c:v>20-24 yrs</c:v>
                </c:pt>
                <c:pt idx="1">
                  <c:v>25-29 yrs</c:v>
                </c:pt>
                <c:pt idx="2">
                  <c:v>30-34 yrs</c:v>
                </c:pt>
                <c:pt idx="3">
                  <c:v>35-39 yrs</c:v>
                </c:pt>
                <c:pt idx="4">
                  <c:v>40-44 yrs</c:v>
                </c:pt>
                <c:pt idx="5">
                  <c:v>45-49 yrs</c:v>
                </c:pt>
                <c:pt idx="6">
                  <c:v>50-54 yrs</c:v>
                </c:pt>
                <c:pt idx="7">
                  <c:v>55-59 yrs</c:v>
                </c:pt>
              </c:strCache>
            </c:strRef>
          </c:cat>
          <c:val>
            <c:numRef>
              <c:f>'Sheet1 (9)'!$I$5:$I$13</c:f>
              <c:numCache>
                <c:formatCode>General</c:formatCode>
                <c:ptCount val="8"/>
                <c:pt idx="0">
                  <c:v>31</c:v>
                </c:pt>
                <c:pt idx="1">
                  <c:v>45</c:v>
                </c:pt>
                <c:pt idx="2">
                  <c:v>52</c:v>
                </c:pt>
                <c:pt idx="3">
                  <c:v>54</c:v>
                </c:pt>
                <c:pt idx="4">
                  <c:v>56</c:v>
                </c:pt>
                <c:pt idx="5">
                  <c:v>53</c:v>
                </c:pt>
                <c:pt idx="6">
                  <c:v>32</c:v>
                </c:pt>
                <c:pt idx="7">
                  <c:v>17</c:v>
                </c:pt>
              </c:numCache>
            </c:numRef>
          </c:val>
          <c:smooth val="0"/>
        </c:ser>
        <c:ser>
          <c:idx val="8"/>
          <c:order val="8"/>
          <c:tx>
            <c:strRef>
              <c:f>'Sheet1 (9)'!$J$3:$J$4</c:f>
              <c:strCache>
                <c:ptCount val="1"/>
                <c:pt idx="0">
                  <c:v>AD  +ARIP</c:v>
                </c:pt>
              </c:strCache>
            </c:strRef>
          </c:tx>
          <c:cat>
            <c:strRef>
              <c:f>'Sheet1 (9)'!$A$5:$A$13</c:f>
              <c:strCache>
                <c:ptCount val="8"/>
                <c:pt idx="0">
                  <c:v>20-24 yrs</c:v>
                </c:pt>
                <c:pt idx="1">
                  <c:v>25-29 yrs</c:v>
                </c:pt>
                <c:pt idx="2">
                  <c:v>30-34 yrs</c:v>
                </c:pt>
                <c:pt idx="3">
                  <c:v>35-39 yrs</c:v>
                </c:pt>
                <c:pt idx="4">
                  <c:v>40-44 yrs</c:v>
                </c:pt>
                <c:pt idx="5">
                  <c:v>45-49 yrs</c:v>
                </c:pt>
                <c:pt idx="6">
                  <c:v>50-54 yrs</c:v>
                </c:pt>
                <c:pt idx="7">
                  <c:v>55-59 yrs</c:v>
                </c:pt>
              </c:strCache>
            </c:strRef>
          </c:cat>
          <c:val>
            <c:numRef>
              <c:f>'Sheet1 (9)'!$J$5:$J$13</c:f>
              <c:numCache>
                <c:formatCode>General</c:formatCode>
                <c:ptCount val="8"/>
                <c:pt idx="0">
                  <c:v>24</c:v>
                </c:pt>
                <c:pt idx="1">
                  <c:v>32</c:v>
                </c:pt>
                <c:pt idx="2">
                  <c:v>32</c:v>
                </c:pt>
                <c:pt idx="3">
                  <c:v>52</c:v>
                </c:pt>
                <c:pt idx="4">
                  <c:v>43</c:v>
                </c:pt>
                <c:pt idx="5">
                  <c:v>46</c:v>
                </c:pt>
                <c:pt idx="6">
                  <c:v>37</c:v>
                </c:pt>
                <c:pt idx="7">
                  <c:v>33</c:v>
                </c:pt>
              </c:numCache>
            </c:numRef>
          </c:val>
          <c:smooth val="0"/>
        </c:ser>
        <c:ser>
          <c:idx val="9"/>
          <c:order val="9"/>
          <c:tx>
            <c:strRef>
              <c:f>'Sheet1 (9)'!$K$3:$K$4</c:f>
              <c:strCache>
                <c:ptCount val="1"/>
                <c:pt idx="0">
                  <c:v>AD  +PERI</c:v>
                </c:pt>
              </c:strCache>
            </c:strRef>
          </c:tx>
          <c:cat>
            <c:strRef>
              <c:f>'Sheet1 (9)'!$A$5:$A$13</c:f>
              <c:strCache>
                <c:ptCount val="8"/>
                <c:pt idx="0">
                  <c:v>20-24 yrs</c:v>
                </c:pt>
                <c:pt idx="1">
                  <c:v>25-29 yrs</c:v>
                </c:pt>
                <c:pt idx="2">
                  <c:v>30-34 yrs</c:v>
                </c:pt>
                <c:pt idx="3">
                  <c:v>35-39 yrs</c:v>
                </c:pt>
                <c:pt idx="4">
                  <c:v>40-44 yrs</c:v>
                </c:pt>
                <c:pt idx="5">
                  <c:v>45-49 yrs</c:v>
                </c:pt>
                <c:pt idx="6">
                  <c:v>50-54 yrs</c:v>
                </c:pt>
                <c:pt idx="7">
                  <c:v>55-59 yrs</c:v>
                </c:pt>
              </c:strCache>
            </c:strRef>
          </c:cat>
          <c:val>
            <c:numRef>
              <c:f>'Sheet1 (9)'!$K$5:$K$13</c:f>
              <c:numCache>
                <c:formatCode>General</c:formatCode>
                <c:ptCount val="8"/>
                <c:pt idx="0">
                  <c:v>11</c:v>
                </c:pt>
                <c:pt idx="1">
                  <c:v>14</c:v>
                </c:pt>
                <c:pt idx="2">
                  <c:v>15</c:v>
                </c:pt>
                <c:pt idx="3">
                  <c:v>23</c:v>
                </c:pt>
                <c:pt idx="4">
                  <c:v>31</c:v>
                </c:pt>
                <c:pt idx="5">
                  <c:v>46</c:v>
                </c:pt>
                <c:pt idx="6">
                  <c:v>38</c:v>
                </c:pt>
                <c:pt idx="7">
                  <c:v>40</c:v>
                </c:pt>
              </c:numCache>
            </c:numRef>
          </c:val>
          <c:smooth val="0"/>
        </c:ser>
        <c:ser>
          <c:idx val="10"/>
          <c:order val="10"/>
          <c:tx>
            <c:strRef>
              <c:f>'Sheet1 (9)'!$L$3:$L$4</c:f>
              <c:strCache>
                <c:ptCount val="1"/>
                <c:pt idx="0">
                  <c:v>AMIS</c:v>
                </c:pt>
              </c:strCache>
            </c:strRef>
          </c:tx>
          <c:cat>
            <c:strRef>
              <c:f>'Sheet1 (9)'!$A$5:$A$13</c:f>
              <c:strCache>
                <c:ptCount val="8"/>
                <c:pt idx="0">
                  <c:v>20-24 yrs</c:v>
                </c:pt>
                <c:pt idx="1">
                  <c:v>25-29 yrs</c:v>
                </c:pt>
                <c:pt idx="2">
                  <c:v>30-34 yrs</c:v>
                </c:pt>
                <c:pt idx="3">
                  <c:v>35-39 yrs</c:v>
                </c:pt>
                <c:pt idx="4">
                  <c:v>40-44 yrs</c:v>
                </c:pt>
                <c:pt idx="5">
                  <c:v>45-49 yrs</c:v>
                </c:pt>
                <c:pt idx="6">
                  <c:v>50-54 yrs</c:v>
                </c:pt>
                <c:pt idx="7">
                  <c:v>55-59 yrs</c:v>
                </c:pt>
              </c:strCache>
            </c:strRef>
          </c:cat>
          <c:val>
            <c:numRef>
              <c:f>'Sheet1 (9)'!$L$5:$L$13</c:f>
              <c:numCache>
                <c:formatCode>General</c:formatCode>
                <c:ptCount val="8"/>
                <c:pt idx="0">
                  <c:v>6</c:v>
                </c:pt>
                <c:pt idx="1">
                  <c:v>24</c:v>
                </c:pt>
                <c:pt idx="2">
                  <c:v>24</c:v>
                </c:pt>
                <c:pt idx="3">
                  <c:v>35</c:v>
                </c:pt>
                <c:pt idx="4">
                  <c:v>35</c:v>
                </c:pt>
                <c:pt idx="5">
                  <c:v>32</c:v>
                </c:pt>
                <c:pt idx="6">
                  <c:v>30</c:v>
                </c:pt>
                <c:pt idx="7">
                  <c:v>28</c:v>
                </c:pt>
              </c:numCache>
            </c:numRef>
          </c:val>
          <c:smooth val="0"/>
        </c:ser>
        <c:ser>
          <c:idx val="11"/>
          <c:order val="11"/>
          <c:tx>
            <c:strRef>
              <c:f>'Sheet1 (9)'!$M$3:$M$4</c:f>
              <c:strCache>
                <c:ptCount val="1"/>
                <c:pt idx="0">
                  <c:v>AD  +AMIS</c:v>
                </c:pt>
              </c:strCache>
            </c:strRef>
          </c:tx>
          <c:cat>
            <c:strRef>
              <c:f>'Sheet1 (9)'!$A$5:$A$13</c:f>
              <c:strCache>
                <c:ptCount val="8"/>
                <c:pt idx="0">
                  <c:v>20-24 yrs</c:v>
                </c:pt>
                <c:pt idx="1">
                  <c:v>25-29 yrs</c:v>
                </c:pt>
                <c:pt idx="2">
                  <c:v>30-34 yrs</c:v>
                </c:pt>
                <c:pt idx="3">
                  <c:v>35-39 yrs</c:v>
                </c:pt>
                <c:pt idx="4">
                  <c:v>40-44 yrs</c:v>
                </c:pt>
                <c:pt idx="5">
                  <c:v>45-49 yrs</c:v>
                </c:pt>
                <c:pt idx="6">
                  <c:v>50-54 yrs</c:v>
                </c:pt>
                <c:pt idx="7">
                  <c:v>55-59 yrs</c:v>
                </c:pt>
              </c:strCache>
            </c:strRef>
          </c:cat>
          <c:val>
            <c:numRef>
              <c:f>'Sheet1 (9)'!$M$5:$M$13</c:f>
              <c:numCache>
                <c:formatCode>General</c:formatCode>
                <c:ptCount val="8"/>
                <c:pt idx="0">
                  <c:v>7</c:v>
                </c:pt>
                <c:pt idx="1">
                  <c:v>12</c:v>
                </c:pt>
                <c:pt idx="2">
                  <c:v>13</c:v>
                </c:pt>
                <c:pt idx="3">
                  <c:v>30</c:v>
                </c:pt>
                <c:pt idx="4">
                  <c:v>37</c:v>
                </c:pt>
                <c:pt idx="5">
                  <c:v>34</c:v>
                </c:pt>
                <c:pt idx="6">
                  <c:v>34</c:v>
                </c:pt>
                <c:pt idx="7">
                  <c:v>22</c:v>
                </c:pt>
              </c:numCache>
            </c:numRef>
          </c:val>
          <c:smooth val="0"/>
        </c:ser>
        <c:ser>
          <c:idx val="12"/>
          <c:order val="12"/>
          <c:tx>
            <c:strRef>
              <c:f>'Sheet1 (9)'!$N$3:$N$4</c:f>
              <c:strCache>
                <c:ptCount val="1"/>
                <c:pt idx="0">
                  <c:v>AD  +CHLO</c:v>
                </c:pt>
              </c:strCache>
            </c:strRef>
          </c:tx>
          <c:cat>
            <c:strRef>
              <c:f>'Sheet1 (9)'!$A$5:$A$13</c:f>
              <c:strCache>
                <c:ptCount val="8"/>
                <c:pt idx="0">
                  <c:v>20-24 yrs</c:v>
                </c:pt>
                <c:pt idx="1">
                  <c:v>25-29 yrs</c:v>
                </c:pt>
                <c:pt idx="2">
                  <c:v>30-34 yrs</c:v>
                </c:pt>
                <c:pt idx="3">
                  <c:v>35-39 yrs</c:v>
                </c:pt>
                <c:pt idx="4">
                  <c:v>40-44 yrs</c:v>
                </c:pt>
                <c:pt idx="5">
                  <c:v>45-49 yrs</c:v>
                </c:pt>
                <c:pt idx="6">
                  <c:v>50-54 yrs</c:v>
                </c:pt>
                <c:pt idx="7">
                  <c:v>55-59 yrs</c:v>
                </c:pt>
              </c:strCache>
            </c:strRef>
          </c:cat>
          <c:val>
            <c:numRef>
              <c:f>'Sheet1 (9)'!$N$5:$N$13</c:f>
              <c:numCache>
                <c:formatCode>General</c:formatCode>
                <c:ptCount val="8"/>
                <c:pt idx="0">
                  <c:v>6</c:v>
                </c:pt>
                <c:pt idx="1">
                  <c:v>14</c:v>
                </c:pt>
                <c:pt idx="2">
                  <c:v>10</c:v>
                </c:pt>
                <c:pt idx="3">
                  <c:v>22</c:v>
                </c:pt>
                <c:pt idx="4">
                  <c:v>37</c:v>
                </c:pt>
                <c:pt idx="5">
                  <c:v>30</c:v>
                </c:pt>
                <c:pt idx="6">
                  <c:v>37</c:v>
                </c:pt>
                <c:pt idx="7">
                  <c:v>30</c:v>
                </c:pt>
              </c:numCache>
            </c:numRef>
          </c:val>
          <c:smooth val="0"/>
        </c:ser>
        <c:ser>
          <c:idx val="13"/>
          <c:order val="13"/>
          <c:tx>
            <c:strRef>
              <c:f>'Sheet1 (9)'!$O$3:$O$4</c:f>
              <c:strCache>
                <c:ptCount val="1"/>
                <c:pt idx="0">
                  <c:v>ZUCD</c:v>
                </c:pt>
              </c:strCache>
            </c:strRef>
          </c:tx>
          <c:marker>
            <c:symbol val="none"/>
          </c:marker>
          <c:cat>
            <c:strRef>
              <c:f>'Sheet1 (9)'!$A$5:$A$13</c:f>
              <c:strCache>
                <c:ptCount val="8"/>
                <c:pt idx="0">
                  <c:v>20-24 yrs</c:v>
                </c:pt>
                <c:pt idx="1">
                  <c:v>25-29 yrs</c:v>
                </c:pt>
                <c:pt idx="2">
                  <c:v>30-34 yrs</c:v>
                </c:pt>
                <c:pt idx="3">
                  <c:v>35-39 yrs</c:v>
                </c:pt>
                <c:pt idx="4">
                  <c:v>40-44 yrs</c:v>
                </c:pt>
                <c:pt idx="5">
                  <c:v>45-49 yrs</c:v>
                </c:pt>
                <c:pt idx="6">
                  <c:v>50-54 yrs</c:v>
                </c:pt>
                <c:pt idx="7">
                  <c:v>55-59 yrs</c:v>
                </c:pt>
              </c:strCache>
            </c:strRef>
          </c:cat>
          <c:val>
            <c:numRef>
              <c:f>'Sheet1 (9)'!$O$5:$O$13</c:f>
              <c:numCache>
                <c:formatCode>General</c:formatCode>
                <c:ptCount val="8"/>
                <c:pt idx="0">
                  <c:v>5</c:v>
                </c:pt>
                <c:pt idx="1">
                  <c:v>11</c:v>
                </c:pt>
                <c:pt idx="2">
                  <c:v>33</c:v>
                </c:pt>
                <c:pt idx="3">
                  <c:v>38</c:v>
                </c:pt>
                <c:pt idx="4">
                  <c:v>28</c:v>
                </c:pt>
                <c:pt idx="5">
                  <c:v>27</c:v>
                </c:pt>
                <c:pt idx="6">
                  <c:v>28</c:v>
                </c:pt>
                <c:pt idx="7">
                  <c:v>9</c:v>
                </c:pt>
              </c:numCache>
            </c:numRef>
          </c:val>
          <c:smooth val="0"/>
        </c:ser>
        <c:ser>
          <c:idx val="14"/>
          <c:order val="14"/>
          <c:tx>
            <c:strRef>
              <c:f>'Sheet1 (9)'!$P$3:$P$4</c:f>
              <c:strCache>
                <c:ptCount val="1"/>
                <c:pt idx="0">
                  <c:v>AD  +OLAN+QUET</c:v>
                </c:pt>
              </c:strCache>
            </c:strRef>
          </c:tx>
          <c:cat>
            <c:strRef>
              <c:f>'Sheet1 (9)'!$A$5:$A$13</c:f>
              <c:strCache>
                <c:ptCount val="8"/>
                <c:pt idx="0">
                  <c:v>20-24 yrs</c:v>
                </c:pt>
                <c:pt idx="1">
                  <c:v>25-29 yrs</c:v>
                </c:pt>
                <c:pt idx="2">
                  <c:v>30-34 yrs</c:v>
                </c:pt>
                <c:pt idx="3">
                  <c:v>35-39 yrs</c:v>
                </c:pt>
                <c:pt idx="4">
                  <c:v>40-44 yrs</c:v>
                </c:pt>
                <c:pt idx="5">
                  <c:v>45-49 yrs</c:v>
                </c:pt>
                <c:pt idx="6">
                  <c:v>50-54 yrs</c:v>
                </c:pt>
                <c:pt idx="7">
                  <c:v>55-59 yrs</c:v>
                </c:pt>
              </c:strCache>
            </c:strRef>
          </c:cat>
          <c:val>
            <c:numRef>
              <c:f>'Sheet1 (9)'!$P$5:$P$13</c:f>
              <c:numCache>
                <c:formatCode>General</c:formatCode>
                <c:ptCount val="8"/>
                <c:pt idx="0">
                  <c:v>11</c:v>
                </c:pt>
                <c:pt idx="1">
                  <c:v>18</c:v>
                </c:pt>
                <c:pt idx="2">
                  <c:v>16</c:v>
                </c:pt>
                <c:pt idx="3">
                  <c:v>24</c:v>
                </c:pt>
                <c:pt idx="4">
                  <c:v>18</c:v>
                </c:pt>
                <c:pt idx="5">
                  <c:v>17</c:v>
                </c:pt>
                <c:pt idx="6">
                  <c:v>13</c:v>
                </c:pt>
                <c:pt idx="7">
                  <c:v>14</c:v>
                </c:pt>
              </c:numCache>
            </c:numRef>
          </c:val>
          <c:smooth val="0"/>
        </c:ser>
        <c:ser>
          <c:idx val="15"/>
          <c:order val="15"/>
          <c:tx>
            <c:strRef>
              <c:f>'Sheet1 (9)'!$Q$3:$Q$4</c:f>
              <c:strCache>
                <c:ptCount val="1"/>
                <c:pt idx="0">
                  <c:v>AD  +ZIPR</c:v>
                </c:pt>
              </c:strCache>
            </c:strRef>
          </c:tx>
          <c:cat>
            <c:strRef>
              <c:f>'Sheet1 (9)'!$A$5:$A$13</c:f>
              <c:strCache>
                <c:ptCount val="8"/>
                <c:pt idx="0">
                  <c:v>20-24 yrs</c:v>
                </c:pt>
                <c:pt idx="1">
                  <c:v>25-29 yrs</c:v>
                </c:pt>
                <c:pt idx="2">
                  <c:v>30-34 yrs</c:v>
                </c:pt>
                <c:pt idx="3">
                  <c:v>35-39 yrs</c:v>
                </c:pt>
                <c:pt idx="4">
                  <c:v>40-44 yrs</c:v>
                </c:pt>
                <c:pt idx="5">
                  <c:v>45-49 yrs</c:v>
                </c:pt>
                <c:pt idx="6">
                  <c:v>50-54 yrs</c:v>
                </c:pt>
                <c:pt idx="7">
                  <c:v>55-59 yrs</c:v>
                </c:pt>
              </c:strCache>
            </c:strRef>
          </c:cat>
          <c:val>
            <c:numRef>
              <c:f>'Sheet1 (9)'!$Q$5:$Q$13</c:f>
              <c:numCache>
                <c:formatCode>General</c:formatCode>
                <c:ptCount val="8"/>
                <c:pt idx="0">
                  <c:v>8</c:v>
                </c:pt>
                <c:pt idx="1">
                  <c:v>13</c:v>
                </c:pt>
                <c:pt idx="2">
                  <c:v>16</c:v>
                </c:pt>
                <c:pt idx="3">
                  <c:v>17</c:v>
                </c:pt>
                <c:pt idx="4">
                  <c:v>23</c:v>
                </c:pt>
                <c:pt idx="5">
                  <c:v>17</c:v>
                </c:pt>
                <c:pt idx="6">
                  <c:v>14</c:v>
                </c:pt>
                <c:pt idx="7">
                  <c:v>13</c:v>
                </c:pt>
              </c:numCache>
            </c:numRef>
          </c:val>
          <c:smooth val="0"/>
        </c:ser>
        <c:ser>
          <c:idx val="16"/>
          <c:order val="16"/>
          <c:tx>
            <c:strRef>
              <c:f>'Sheet1 (9)'!$R$3:$R$4</c:f>
              <c:strCache>
                <c:ptCount val="1"/>
                <c:pt idx="0">
                  <c:v>HALO</c:v>
                </c:pt>
              </c:strCache>
            </c:strRef>
          </c:tx>
          <c:cat>
            <c:strRef>
              <c:f>'Sheet1 (9)'!$A$5:$A$13</c:f>
              <c:strCache>
                <c:ptCount val="8"/>
                <c:pt idx="0">
                  <c:v>20-24 yrs</c:v>
                </c:pt>
                <c:pt idx="1">
                  <c:v>25-29 yrs</c:v>
                </c:pt>
                <c:pt idx="2">
                  <c:v>30-34 yrs</c:v>
                </c:pt>
                <c:pt idx="3">
                  <c:v>35-39 yrs</c:v>
                </c:pt>
                <c:pt idx="4">
                  <c:v>40-44 yrs</c:v>
                </c:pt>
                <c:pt idx="5">
                  <c:v>45-49 yrs</c:v>
                </c:pt>
                <c:pt idx="6">
                  <c:v>50-54 yrs</c:v>
                </c:pt>
                <c:pt idx="7">
                  <c:v>55-59 yrs</c:v>
                </c:pt>
              </c:strCache>
            </c:strRef>
          </c:cat>
          <c:val>
            <c:numRef>
              <c:f>'Sheet1 (9)'!$R$5:$R$13</c:f>
              <c:numCache>
                <c:formatCode>General</c:formatCode>
                <c:ptCount val="8"/>
                <c:pt idx="0">
                  <c:v>4</c:v>
                </c:pt>
                <c:pt idx="1">
                  <c:v>4</c:v>
                </c:pt>
                <c:pt idx="2">
                  <c:v>10</c:v>
                </c:pt>
                <c:pt idx="3">
                  <c:v>9</c:v>
                </c:pt>
                <c:pt idx="4">
                  <c:v>16</c:v>
                </c:pt>
                <c:pt idx="5">
                  <c:v>17</c:v>
                </c:pt>
                <c:pt idx="6">
                  <c:v>24</c:v>
                </c:pt>
                <c:pt idx="7">
                  <c:v>31</c:v>
                </c:pt>
              </c:numCache>
            </c:numRef>
          </c:val>
          <c:smooth val="0"/>
        </c:ser>
        <c:dLbls>
          <c:showLegendKey val="0"/>
          <c:showVal val="0"/>
          <c:showCatName val="0"/>
          <c:showSerName val="0"/>
          <c:showPercent val="0"/>
          <c:showBubbleSize val="0"/>
        </c:dLbls>
        <c:marker val="1"/>
        <c:smooth val="0"/>
        <c:axId val="74991104"/>
        <c:axId val="74993024"/>
      </c:lineChart>
      <c:catAx>
        <c:axId val="74991104"/>
        <c:scaling>
          <c:orientation val="minMax"/>
        </c:scaling>
        <c:delete val="0"/>
        <c:axPos val="b"/>
        <c:title>
          <c:tx>
            <c:rich>
              <a:bodyPr/>
              <a:lstStyle/>
              <a:p>
                <a:pPr>
                  <a:defRPr sz="800"/>
                </a:pPr>
                <a:r>
                  <a:rPr lang="en-AU" sz="800"/>
                  <a:t>Age of</a:t>
                </a:r>
                <a:r>
                  <a:rPr lang="en-AU" sz="800" baseline="0"/>
                  <a:t> patients</a:t>
                </a:r>
                <a:endParaRPr lang="en-AU" sz="800"/>
              </a:p>
            </c:rich>
          </c:tx>
          <c:overlay val="0"/>
        </c:title>
        <c:majorTickMark val="none"/>
        <c:minorTickMark val="none"/>
        <c:tickLblPos val="nextTo"/>
        <c:txPr>
          <a:bodyPr/>
          <a:lstStyle/>
          <a:p>
            <a:pPr>
              <a:defRPr sz="800"/>
            </a:pPr>
            <a:endParaRPr lang="en-US"/>
          </a:p>
        </c:txPr>
        <c:crossAx val="74993024"/>
        <c:crosses val="autoZero"/>
        <c:auto val="1"/>
        <c:lblAlgn val="ctr"/>
        <c:lblOffset val="100"/>
        <c:noMultiLvlLbl val="0"/>
      </c:catAx>
      <c:valAx>
        <c:axId val="74993024"/>
        <c:scaling>
          <c:orientation val="minMax"/>
        </c:scaling>
        <c:delete val="0"/>
        <c:axPos val="l"/>
        <c:majorGridlines/>
        <c:title>
          <c:tx>
            <c:rich>
              <a:bodyPr rot="-5400000" vert="horz"/>
              <a:lstStyle/>
              <a:p>
                <a:pPr>
                  <a:defRPr sz="800"/>
                </a:pPr>
                <a:r>
                  <a:rPr lang="en-AU" sz="800"/>
                  <a:t>Number of patients</a:t>
                </a:r>
                <a:r>
                  <a:rPr lang="en-AU" sz="800" baseline="0"/>
                  <a:t> in the 10% sample</a:t>
                </a:r>
                <a:endParaRPr lang="en-AU" sz="800"/>
              </a:p>
            </c:rich>
          </c:tx>
          <c:overlay val="0"/>
        </c:title>
        <c:numFmt formatCode="#,##0" sourceLinked="0"/>
        <c:majorTickMark val="none"/>
        <c:minorTickMark val="none"/>
        <c:tickLblPos val="nextTo"/>
        <c:txPr>
          <a:bodyPr/>
          <a:lstStyle/>
          <a:p>
            <a:pPr>
              <a:defRPr sz="800"/>
            </a:pPr>
            <a:endParaRPr lang="en-US"/>
          </a:p>
        </c:txPr>
        <c:crossAx val="74991104"/>
        <c:crosses val="autoZero"/>
        <c:crossBetween val="between"/>
      </c:valAx>
    </c:plotArea>
    <c:legend>
      <c:legendPos val="r"/>
      <c:layout>
        <c:manualLayout>
          <c:xMode val="edge"/>
          <c:yMode val="edge"/>
          <c:x val="0.84943256545408685"/>
          <c:y val="3.4560983744435267E-2"/>
          <c:w val="0.14234609094532288"/>
          <c:h val="0.88276584584085616"/>
        </c:manualLayout>
      </c:layout>
      <c:overlay val="0"/>
      <c:txPr>
        <a:bodyPr/>
        <a:lstStyle/>
        <a:p>
          <a:pPr>
            <a:defRPr sz="600"/>
          </a:pPr>
          <a:endParaRPr lang="en-US"/>
        </a:p>
      </c:txPr>
    </c:legend>
    <c:plotVisOnly val="1"/>
    <c:dispBlanksAs val="gap"/>
    <c:showDLblsOverMax val="0"/>
  </c:chart>
  <c:spPr>
    <a:ln>
      <a:noFill/>
    </a:ln>
  </c:spPr>
  <c:externalData r:id="rId2">
    <c:autoUpdate val="0"/>
  </c:externalData>
  <c:userShapes r:id="rId3"/>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[QTY_SUM_BY_AGE_ST_SEX Working.xlsx]Sheet1!PivotTable1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s>
    <c:plotArea>
      <c:layout/>
      <c:lineChart>
        <c:grouping val="standard"/>
        <c:varyColors val="0"/>
        <c:ser>
          <c:idx val="0"/>
          <c:order val="0"/>
          <c:tx>
            <c:strRef>
              <c:f>Sheet1!$B$3:$B$4</c:f>
              <c:strCache>
                <c:ptCount val="1"/>
                <c:pt idx="0">
                  <c:v>Max qty</c:v>
                </c:pt>
              </c:strCache>
            </c:strRef>
          </c:tx>
          <c:cat>
            <c:strRef>
              <c:f>Sheet1!$A$5:$A$26</c:f>
              <c:strCache>
                <c:ptCount val="21"/>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pt idx="20">
                  <c:v>100+</c:v>
                </c:pt>
              </c:strCache>
            </c:strRef>
          </c:cat>
          <c:val>
            <c:numRef>
              <c:f>Sheet1!$B$5:$B$26</c:f>
              <c:numCache>
                <c:formatCode>General</c:formatCode>
                <c:ptCount val="21"/>
                <c:pt idx="0">
                  <c:v>708</c:v>
                </c:pt>
                <c:pt idx="1">
                  <c:v>11110</c:v>
                </c:pt>
                <c:pt idx="2">
                  <c:v>22745</c:v>
                </c:pt>
                <c:pt idx="3">
                  <c:v>40684</c:v>
                </c:pt>
                <c:pt idx="4">
                  <c:v>71048</c:v>
                </c:pt>
                <c:pt idx="5">
                  <c:v>103590</c:v>
                </c:pt>
                <c:pt idx="6">
                  <c:v>137655</c:v>
                </c:pt>
                <c:pt idx="7">
                  <c:v>164411</c:v>
                </c:pt>
                <c:pt idx="8">
                  <c:v>177389</c:v>
                </c:pt>
                <c:pt idx="9">
                  <c:v>166647</c:v>
                </c:pt>
                <c:pt idx="10">
                  <c:v>160367</c:v>
                </c:pt>
                <c:pt idx="11">
                  <c:v>137022</c:v>
                </c:pt>
                <c:pt idx="12">
                  <c:v>122542</c:v>
                </c:pt>
                <c:pt idx="13">
                  <c:v>102162</c:v>
                </c:pt>
                <c:pt idx="14">
                  <c:v>87995</c:v>
                </c:pt>
                <c:pt idx="15">
                  <c:v>89673</c:v>
                </c:pt>
                <c:pt idx="16">
                  <c:v>103203</c:v>
                </c:pt>
                <c:pt idx="17">
                  <c:v>91328</c:v>
                </c:pt>
                <c:pt idx="18">
                  <c:v>46644</c:v>
                </c:pt>
                <c:pt idx="19">
                  <c:v>12340</c:v>
                </c:pt>
                <c:pt idx="20">
                  <c:v>1284</c:v>
                </c:pt>
              </c:numCache>
            </c:numRef>
          </c:val>
          <c:smooth val="0"/>
        </c:ser>
        <c:ser>
          <c:idx val="1"/>
          <c:order val="1"/>
          <c:tx>
            <c:strRef>
              <c:f>Sheet1!$C$3:$C$4</c:f>
              <c:strCache>
                <c:ptCount val="1"/>
                <c:pt idx="0">
                  <c:v>2 x max qty</c:v>
                </c:pt>
              </c:strCache>
            </c:strRef>
          </c:tx>
          <c:cat>
            <c:strRef>
              <c:f>Sheet1!$A$5:$A$26</c:f>
              <c:strCache>
                <c:ptCount val="21"/>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pt idx="20">
                  <c:v>100+</c:v>
                </c:pt>
              </c:strCache>
            </c:strRef>
          </c:cat>
          <c:val>
            <c:numRef>
              <c:f>Sheet1!$C$5:$C$26</c:f>
              <c:numCache>
                <c:formatCode>General</c:formatCode>
                <c:ptCount val="21"/>
                <c:pt idx="0">
                  <c:v>17</c:v>
                </c:pt>
                <c:pt idx="1">
                  <c:v>284</c:v>
                </c:pt>
                <c:pt idx="2">
                  <c:v>967</c:v>
                </c:pt>
                <c:pt idx="3">
                  <c:v>1967</c:v>
                </c:pt>
                <c:pt idx="4">
                  <c:v>3519</c:v>
                </c:pt>
                <c:pt idx="5">
                  <c:v>6559</c:v>
                </c:pt>
                <c:pt idx="6">
                  <c:v>10867</c:v>
                </c:pt>
                <c:pt idx="7">
                  <c:v>14265</c:v>
                </c:pt>
                <c:pt idx="8">
                  <c:v>15844</c:v>
                </c:pt>
                <c:pt idx="9">
                  <c:v>15458</c:v>
                </c:pt>
                <c:pt idx="10">
                  <c:v>15066</c:v>
                </c:pt>
                <c:pt idx="11">
                  <c:v>12409</c:v>
                </c:pt>
                <c:pt idx="12">
                  <c:v>9366</c:v>
                </c:pt>
                <c:pt idx="13">
                  <c:v>6727</c:v>
                </c:pt>
                <c:pt idx="14">
                  <c:v>4268</c:v>
                </c:pt>
                <c:pt idx="15">
                  <c:v>3138</c:v>
                </c:pt>
                <c:pt idx="16">
                  <c:v>2354</c:v>
                </c:pt>
                <c:pt idx="17">
                  <c:v>1805</c:v>
                </c:pt>
                <c:pt idx="18">
                  <c:v>798</c:v>
                </c:pt>
                <c:pt idx="19">
                  <c:v>146</c:v>
                </c:pt>
                <c:pt idx="20">
                  <c:v>11</c:v>
                </c:pt>
              </c:numCache>
            </c:numRef>
          </c:val>
          <c:smooth val="0"/>
        </c:ser>
        <c:ser>
          <c:idx val="2"/>
          <c:order val="2"/>
          <c:tx>
            <c:strRef>
              <c:f>Sheet1!$D$3:$D$4</c:f>
              <c:strCache>
                <c:ptCount val="1"/>
                <c:pt idx="0">
                  <c:v>3 x max qty</c:v>
                </c:pt>
              </c:strCache>
            </c:strRef>
          </c:tx>
          <c:cat>
            <c:strRef>
              <c:f>Sheet1!$A$5:$A$26</c:f>
              <c:strCache>
                <c:ptCount val="21"/>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pt idx="20">
                  <c:v>100+</c:v>
                </c:pt>
              </c:strCache>
            </c:strRef>
          </c:cat>
          <c:val>
            <c:numRef>
              <c:f>Sheet1!$D$5:$D$26</c:f>
              <c:numCache>
                <c:formatCode>General</c:formatCode>
                <c:ptCount val="21"/>
                <c:pt idx="0">
                  <c:v>2</c:v>
                </c:pt>
                <c:pt idx="1">
                  <c:v>14</c:v>
                </c:pt>
                <c:pt idx="2">
                  <c:v>140</c:v>
                </c:pt>
                <c:pt idx="3">
                  <c:v>379</c:v>
                </c:pt>
                <c:pt idx="4">
                  <c:v>875</c:v>
                </c:pt>
                <c:pt idx="5">
                  <c:v>1994</c:v>
                </c:pt>
                <c:pt idx="6">
                  <c:v>3293</c:v>
                </c:pt>
                <c:pt idx="7">
                  <c:v>4249</c:v>
                </c:pt>
                <c:pt idx="8">
                  <c:v>4786</c:v>
                </c:pt>
                <c:pt idx="9">
                  <c:v>4392</c:v>
                </c:pt>
                <c:pt idx="10">
                  <c:v>4620</c:v>
                </c:pt>
                <c:pt idx="11">
                  <c:v>3344</c:v>
                </c:pt>
                <c:pt idx="12">
                  <c:v>2794</c:v>
                </c:pt>
                <c:pt idx="13">
                  <c:v>1708</c:v>
                </c:pt>
                <c:pt idx="14">
                  <c:v>952</c:v>
                </c:pt>
                <c:pt idx="15">
                  <c:v>632</c:v>
                </c:pt>
                <c:pt idx="16">
                  <c:v>497</c:v>
                </c:pt>
                <c:pt idx="17">
                  <c:v>369</c:v>
                </c:pt>
                <c:pt idx="18">
                  <c:v>103</c:v>
                </c:pt>
                <c:pt idx="19">
                  <c:v>17</c:v>
                </c:pt>
                <c:pt idx="20">
                  <c:v>6</c:v>
                </c:pt>
              </c:numCache>
            </c:numRef>
          </c:val>
          <c:smooth val="0"/>
        </c:ser>
        <c:dLbls>
          <c:showLegendKey val="0"/>
          <c:showVal val="0"/>
          <c:showCatName val="0"/>
          <c:showSerName val="0"/>
          <c:showPercent val="0"/>
          <c:showBubbleSize val="0"/>
        </c:dLbls>
        <c:marker val="1"/>
        <c:smooth val="0"/>
        <c:axId val="75502336"/>
        <c:axId val="75504256"/>
      </c:lineChart>
      <c:catAx>
        <c:axId val="75502336"/>
        <c:scaling>
          <c:orientation val="minMax"/>
        </c:scaling>
        <c:delete val="0"/>
        <c:axPos val="b"/>
        <c:title>
          <c:tx>
            <c:rich>
              <a:bodyPr/>
              <a:lstStyle/>
              <a:p>
                <a:pPr>
                  <a:defRPr/>
                </a:pPr>
                <a:r>
                  <a:rPr lang="en-AU"/>
                  <a:t>Age</a:t>
                </a:r>
              </a:p>
            </c:rich>
          </c:tx>
          <c:overlay val="0"/>
        </c:title>
        <c:majorTickMark val="out"/>
        <c:minorTickMark val="none"/>
        <c:tickLblPos val="nextTo"/>
        <c:crossAx val="75504256"/>
        <c:crosses val="autoZero"/>
        <c:auto val="1"/>
        <c:lblAlgn val="ctr"/>
        <c:lblOffset val="100"/>
        <c:noMultiLvlLbl val="0"/>
      </c:catAx>
      <c:valAx>
        <c:axId val="75504256"/>
        <c:scaling>
          <c:orientation val="minMax"/>
        </c:scaling>
        <c:delete val="0"/>
        <c:axPos val="l"/>
        <c:majorGridlines/>
        <c:title>
          <c:tx>
            <c:rich>
              <a:bodyPr rot="-5400000" vert="horz"/>
              <a:lstStyle/>
              <a:p>
                <a:pPr>
                  <a:defRPr/>
                </a:pPr>
                <a:r>
                  <a:rPr lang="en-AU"/>
                  <a:t>Number of authorised quantities </a:t>
                </a:r>
              </a:p>
            </c:rich>
          </c:tx>
          <c:overlay val="0"/>
        </c:title>
        <c:numFmt formatCode="General" sourceLinked="1"/>
        <c:majorTickMark val="out"/>
        <c:minorTickMark val="none"/>
        <c:tickLblPos val="nextTo"/>
        <c:crossAx val="75502336"/>
        <c:crosses val="autoZero"/>
        <c:crossBetween val="between"/>
      </c:valAx>
    </c:plotArea>
    <c:legend>
      <c:legendPos val="b"/>
      <c:overlay val="0"/>
    </c:legend>
    <c:plotVisOnly val="1"/>
    <c:dispBlanksAs val="gap"/>
    <c:showDLblsOverMax val="0"/>
  </c:chart>
  <c:externalData r:id="rId2">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[D735_ITEM_ST_SX_AGE_AT_1ST_DRUG age strength.xlsx]quetiapine!PivotTable15</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s>
    <c:plotArea>
      <c:layout/>
      <c:lineChart>
        <c:grouping val="standard"/>
        <c:varyColors val="0"/>
        <c:ser>
          <c:idx val="0"/>
          <c:order val="0"/>
          <c:tx>
            <c:strRef>
              <c:f>quetiapine!$B$3:$B$4</c:f>
              <c:strCache>
                <c:ptCount val="1"/>
                <c:pt idx="0">
                  <c:v>Tablet 25 mg (as fumarate)</c:v>
                </c:pt>
              </c:strCache>
            </c:strRef>
          </c:tx>
          <c:cat>
            <c:strRef>
              <c:f>quetiapine!$A$5:$A$13</c:f>
              <c:strCache>
                <c:ptCount val="8"/>
                <c:pt idx="0">
                  <c:v>20-24</c:v>
                </c:pt>
                <c:pt idx="1">
                  <c:v>25-29</c:v>
                </c:pt>
                <c:pt idx="2">
                  <c:v>30-34</c:v>
                </c:pt>
                <c:pt idx="3">
                  <c:v>35-39</c:v>
                </c:pt>
                <c:pt idx="4">
                  <c:v>40-44</c:v>
                </c:pt>
                <c:pt idx="5">
                  <c:v>45-49</c:v>
                </c:pt>
                <c:pt idx="6">
                  <c:v>50-54</c:v>
                </c:pt>
                <c:pt idx="7">
                  <c:v>55-59</c:v>
                </c:pt>
              </c:strCache>
            </c:strRef>
          </c:cat>
          <c:val>
            <c:numRef>
              <c:f>quetiapine!$B$5:$B$13</c:f>
              <c:numCache>
                <c:formatCode>General</c:formatCode>
                <c:ptCount val="8"/>
                <c:pt idx="0">
                  <c:v>4.8350504626463673</c:v>
                </c:pt>
                <c:pt idx="1">
                  <c:v>5.2396228789402057</c:v>
                </c:pt>
                <c:pt idx="2">
                  <c:v>6.037447854521532</c:v>
                </c:pt>
                <c:pt idx="3">
                  <c:v>6.7271443978376402</c:v>
                </c:pt>
                <c:pt idx="4">
                  <c:v>6.624464187559636</c:v>
                </c:pt>
                <c:pt idx="5">
                  <c:v>6.0438284734459353</c:v>
                </c:pt>
                <c:pt idx="6">
                  <c:v>5.6196995765388449</c:v>
                </c:pt>
                <c:pt idx="7">
                  <c:v>5.1390886519727337</c:v>
                </c:pt>
              </c:numCache>
            </c:numRef>
          </c:val>
          <c:smooth val="0"/>
        </c:ser>
        <c:ser>
          <c:idx val="1"/>
          <c:order val="1"/>
          <c:tx>
            <c:strRef>
              <c:f>quetiapine!$C$3:$C$4</c:f>
              <c:strCache>
                <c:ptCount val="1"/>
                <c:pt idx="0">
                  <c:v>Tablet (modified release) 50 mg (as fumarate)</c:v>
                </c:pt>
              </c:strCache>
            </c:strRef>
          </c:tx>
          <c:cat>
            <c:strRef>
              <c:f>quetiapine!$A$5:$A$13</c:f>
              <c:strCache>
                <c:ptCount val="8"/>
                <c:pt idx="0">
                  <c:v>20-24</c:v>
                </c:pt>
                <c:pt idx="1">
                  <c:v>25-29</c:v>
                </c:pt>
                <c:pt idx="2">
                  <c:v>30-34</c:v>
                </c:pt>
                <c:pt idx="3">
                  <c:v>35-39</c:v>
                </c:pt>
                <c:pt idx="4">
                  <c:v>40-44</c:v>
                </c:pt>
                <c:pt idx="5">
                  <c:v>45-49</c:v>
                </c:pt>
                <c:pt idx="6">
                  <c:v>50-54</c:v>
                </c:pt>
                <c:pt idx="7">
                  <c:v>55-59</c:v>
                </c:pt>
              </c:strCache>
            </c:strRef>
          </c:cat>
          <c:val>
            <c:numRef>
              <c:f>quetiapine!$C$5:$C$13</c:f>
              <c:numCache>
                <c:formatCode>General</c:formatCode>
                <c:ptCount val="8"/>
                <c:pt idx="0">
                  <c:v>2.1187084745579652</c:v>
                </c:pt>
                <c:pt idx="1">
                  <c:v>2.2860483806119722</c:v>
                </c:pt>
                <c:pt idx="2">
                  <c:v>2.6072310403158174</c:v>
                </c:pt>
                <c:pt idx="3">
                  <c:v>2.8454235051755234</c:v>
                </c:pt>
                <c:pt idx="4">
                  <c:v>2.830502598642096</c:v>
                </c:pt>
                <c:pt idx="5">
                  <c:v>2.3439908567072441</c:v>
                </c:pt>
                <c:pt idx="6">
                  <c:v>2.1672183068975697</c:v>
                </c:pt>
                <c:pt idx="7">
                  <c:v>1.8807845816150475</c:v>
                </c:pt>
              </c:numCache>
            </c:numRef>
          </c:val>
          <c:smooth val="0"/>
        </c:ser>
        <c:ser>
          <c:idx val="2"/>
          <c:order val="2"/>
          <c:tx>
            <c:strRef>
              <c:f>quetiapine!$D$3:$D$4</c:f>
              <c:strCache>
                <c:ptCount val="1"/>
                <c:pt idx="0">
                  <c:v>Tablet 100 mg (as fumarate)</c:v>
                </c:pt>
              </c:strCache>
            </c:strRef>
          </c:tx>
          <c:cat>
            <c:strRef>
              <c:f>quetiapine!$A$5:$A$13</c:f>
              <c:strCache>
                <c:ptCount val="8"/>
                <c:pt idx="0">
                  <c:v>20-24</c:v>
                </c:pt>
                <c:pt idx="1">
                  <c:v>25-29</c:v>
                </c:pt>
                <c:pt idx="2">
                  <c:v>30-34</c:v>
                </c:pt>
                <c:pt idx="3">
                  <c:v>35-39</c:v>
                </c:pt>
                <c:pt idx="4">
                  <c:v>40-44</c:v>
                </c:pt>
                <c:pt idx="5">
                  <c:v>45-49</c:v>
                </c:pt>
                <c:pt idx="6">
                  <c:v>50-54</c:v>
                </c:pt>
                <c:pt idx="7">
                  <c:v>55-59</c:v>
                </c:pt>
              </c:strCache>
            </c:strRef>
          </c:cat>
          <c:val>
            <c:numRef>
              <c:f>quetiapine!$D$5:$D$13</c:f>
              <c:numCache>
                <c:formatCode>General</c:formatCode>
                <c:ptCount val="8"/>
                <c:pt idx="0">
                  <c:v>3.4343985099499301</c:v>
                </c:pt>
                <c:pt idx="1">
                  <c:v>4.4109260004572954</c:v>
                </c:pt>
                <c:pt idx="2">
                  <c:v>5.22869247880688</c:v>
                </c:pt>
                <c:pt idx="3">
                  <c:v>5.7093032679116016</c:v>
                </c:pt>
                <c:pt idx="4">
                  <c:v>5.5126314911910939</c:v>
                </c:pt>
                <c:pt idx="5">
                  <c:v>5.0524487757142573</c:v>
                </c:pt>
                <c:pt idx="6">
                  <c:v>4.5034793719151072</c:v>
                </c:pt>
                <c:pt idx="7">
                  <c:v>3.89182841371546</c:v>
                </c:pt>
              </c:numCache>
            </c:numRef>
          </c:val>
          <c:smooth val="0"/>
        </c:ser>
        <c:ser>
          <c:idx val="3"/>
          <c:order val="3"/>
          <c:tx>
            <c:strRef>
              <c:f>quetiapine!$E$3:$E$4</c:f>
              <c:strCache>
                <c:ptCount val="1"/>
                <c:pt idx="0">
                  <c:v>Tablet (modified release) 150 mg (as fumarate)</c:v>
                </c:pt>
              </c:strCache>
            </c:strRef>
          </c:tx>
          <c:cat>
            <c:strRef>
              <c:f>quetiapine!$A$5:$A$13</c:f>
              <c:strCache>
                <c:ptCount val="8"/>
                <c:pt idx="0">
                  <c:v>20-24</c:v>
                </c:pt>
                <c:pt idx="1">
                  <c:v>25-29</c:v>
                </c:pt>
                <c:pt idx="2">
                  <c:v>30-34</c:v>
                </c:pt>
                <c:pt idx="3">
                  <c:v>35-39</c:v>
                </c:pt>
                <c:pt idx="4">
                  <c:v>40-44</c:v>
                </c:pt>
                <c:pt idx="5">
                  <c:v>45-49</c:v>
                </c:pt>
                <c:pt idx="6">
                  <c:v>50-54</c:v>
                </c:pt>
                <c:pt idx="7">
                  <c:v>55-59</c:v>
                </c:pt>
              </c:strCache>
            </c:strRef>
          </c:cat>
          <c:val>
            <c:numRef>
              <c:f>quetiapine!$E$5:$E$13</c:f>
              <c:numCache>
                <c:formatCode>General</c:formatCode>
                <c:ptCount val="8"/>
                <c:pt idx="0">
                  <c:v>0.35738528873993936</c:v>
                </c:pt>
                <c:pt idx="1">
                  <c:v>0.4215594346980136</c:v>
                </c:pt>
                <c:pt idx="2">
                  <c:v>0.48158460906778067</c:v>
                </c:pt>
                <c:pt idx="3">
                  <c:v>0.52312264792101382</c:v>
                </c:pt>
                <c:pt idx="4">
                  <c:v>0.53229717571679325</c:v>
                </c:pt>
                <c:pt idx="5">
                  <c:v>0.42436735185219215</c:v>
                </c:pt>
                <c:pt idx="6">
                  <c:v>0.33522767522019792</c:v>
                </c:pt>
                <c:pt idx="7">
                  <c:v>0.31510833910818364</c:v>
                </c:pt>
              </c:numCache>
            </c:numRef>
          </c:val>
          <c:smooth val="0"/>
        </c:ser>
        <c:ser>
          <c:idx val="4"/>
          <c:order val="4"/>
          <c:tx>
            <c:strRef>
              <c:f>quetiapine!$F$3:$F$4</c:f>
              <c:strCache>
                <c:ptCount val="1"/>
                <c:pt idx="0">
                  <c:v>Tablet 200 mg (as fumarate)</c:v>
                </c:pt>
              </c:strCache>
            </c:strRef>
          </c:tx>
          <c:cat>
            <c:strRef>
              <c:f>quetiapine!$A$5:$A$13</c:f>
              <c:strCache>
                <c:ptCount val="8"/>
                <c:pt idx="0">
                  <c:v>20-24</c:v>
                </c:pt>
                <c:pt idx="1">
                  <c:v>25-29</c:v>
                </c:pt>
                <c:pt idx="2">
                  <c:v>30-34</c:v>
                </c:pt>
                <c:pt idx="3">
                  <c:v>35-39</c:v>
                </c:pt>
                <c:pt idx="4">
                  <c:v>40-44</c:v>
                </c:pt>
                <c:pt idx="5">
                  <c:v>45-49</c:v>
                </c:pt>
                <c:pt idx="6">
                  <c:v>50-54</c:v>
                </c:pt>
                <c:pt idx="7">
                  <c:v>55-59</c:v>
                </c:pt>
              </c:strCache>
            </c:strRef>
          </c:cat>
          <c:val>
            <c:numRef>
              <c:f>quetiapine!$F$5:$F$13</c:f>
              <c:numCache>
                <c:formatCode>General</c:formatCode>
                <c:ptCount val="8"/>
                <c:pt idx="0">
                  <c:v>1.8562230168378384</c:v>
                </c:pt>
                <c:pt idx="1">
                  <c:v>2.5271370690909007</c:v>
                </c:pt>
                <c:pt idx="2">
                  <c:v>3.3007575370677773</c:v>
                </c:pt>
                <c:pt idx="3">
                  <c:v>3.6830187477419871</c:v>
                </c:pt>
                <c:pt idx="4">
                  <c:v>3.4649417098035795</c:v>
                </c:pt>
                <c:pt idx="5">
                  <c:v>3.0469102814681341</c:v>
                </c:pt>
                <c:pt idx="6">
                  <c:v>2.6745073168312024</c:v>
                </c:pt>
                <c:pt idx="7">
                  <c:v>2.2909197247498145</c:v>
                </c:pt>
              </c:numCache>
            </c:numRef>
          </c:val>
          <c:smooth val="0"/>
        </c:ser>
        <c:ser>
          <c:idx val="5"/>
          <c:order val="5"/>
          <c:tx>
            <c:strRef>
              <c:f>quetiapine!$G$3:$G$4</c:f>
              <c:strCache>
                <c:ptCount val="1"/>
                <c:pt idx="0">
                  <c:v>Tablet (modified release) 200 mg (as fumarate)</c:v>
                </c:pt>
              </c:strCache>
            </c:strRef>
          </c:tx>
          <c:cat>
            <c:strRef>
              <c:f>quetiapine!$A$5:$A$13</c:f>
              <c:strCache>
                <c:ptCount val="8"/>
                <c:pt idx="0">
                  <c:v>20-24</c:v>
                </c:pt>
                <c:pt idx="1">
                  <c:v>25-29</c:v>
                </c:pt>
                <c:pt idx="2">
                  <c:v>30-34</c:v>
                </c:pt>
                <c:pt idx="3">
                  <c:v>35-39</c:v>
                </c:pt>
                <c:pt idx="4">
                  <c:v>40-44</c:v>
                </c:pt>
                <c:pt idx="5">
                  <c:v>45-49</c:v>
                </c:pt>
                <c:pt idx="6">
                  <c:v>50-54</c:v>
                </c:pt>
                <c:pt idx="7">
                  <c:v>55-59</c:v>
                </c:pt>
              </c:strCache>
            </c:strRef>
          </c:cat>
          <c:val>
            <c:numRef>
              <c:f>quetiapine!$G$5:$G$13</c:f>
              <c:numCache>
                <c:formatCode>General</c:formatCode>
                <c:ptCount val="8"/>
                <c:pt idx="0">
                  <c:v>0.96688462365778782</c:v>
                </c:pt>
                <c:pt idx="1">
                  <c:v>1.1817448348176181</c:v>
                </c:pt>
                <c:pt idx="2">
                  <c:v>1.4613405717672561</c:v>
                </c:pt>
                <c:pt idx="3">
                  <c:v>1.5776921396027168</c:v>
                </c:pt>
                <c:pt idx="4">
                  <c:v>1.4183759085024867</c:v>
                </c:pt>
                <c:pt idx="5">
                  <c:v>1.2737824593304374</c:v>
                </c:pt>
                <c:pt idx="6">
                  <c:v>1.0715050565098732</c:v>
                </c:pt>
                <c:pt idx="7">
                  <c:v>0.88846378821539707</c:v>
                </c:pt>
              </c:numCache>
            </c:numRef>
          </c:val>
          <c:smooth val="0"/>
        </c:ser>
        <c:ser>
          <c:idx val="6"/>
          <c:order val="6"/>
          <c:tx>
            <c:strRef>
              <c:f>quetiapine!$H$3:$H$4</c:f>
              <c:strCache>
                <c:ptCount val="1"/>
                <c:pt idx="0">
                  <c:v>Tablet 300 mg (as fumarate)</c:v>
                </c:pt>
              </c:strCache>
            </c:strRef>
          </c:tx>
          <c:cat>
            <c:strRef>
              <c:f>quetiapine!$A$5:$A$13</c:f>
              <c:strCache>
                <c:ptCount val="8"/>
                <c:pt idx="0">
                  <c:v>20-24</c:v>
                </c:pt>
                <c:pt idx="1">
                  <c:v>25-29</c:v>
                </c:pt>
                <c:pt idx="2">
                  <c:v>30-34</c:v>
                </c:pt>
                <c:pt idx="3">
                  <c:v>35-39</c:v>
                </c:pt>
                <c:pt idx="4">
                  <c:v>40-44</c:v>
                </c:pt>
                <c:pt idx="5">
                  <c:v>45-49</c:v>
                </c:pt>
                <c:pt idx="6">
                  <c:v>50-54</c:v>
                </c:pt>
                <c:pt idx="7">
                  <c:v>55-59</c:v>
                </c:pt>
              </c:strCache>
            </c:strRef>
          </c:cat>
          <c:val>
            <c:numRef>
              <c:f>quetiapine!$H$5:$H$13</c:f>
              <c:numCache>
                <c:formatCode>General</c:formatCode>
                <c:ptCount val="8"/>
                <c:pt idx="0">
                  <c:v>1.2202951700803313</c:v>
                </c:pt>
                <c:pt idx="1">
                  <c:v>1.8222380230925244</c:v>
                </c:pt>
                <c:pt idx="2">
                  <c:v>2.424938116026877</c:v>
                </c:pt>
                <c:pt idx="3">
                  <c:v>2.6291736816442368</c:v>
                </c:pt>
                <c:pt idx="4">
                  <c:v>2.5063521936875515</c:v>
                </c:pt>
                <c:pt idx="5">
                  <c:v>2.2166708570088995</c:v>
                </c:pt>
                <c:pt idx="6">
                  <c:v>1.8872819114377584</c:v>
                </c:pt>
                <c:pt idx="7">
                  <c:v>1.5553221903030312</c:v>
                </c:pt>
              </c:numCache>
            </c:numRef>
          </c:val>
          <c:smooth val="0"/>
        </c:ser>
        <c:ser>
          <c:idx val="7"/>
          <c:order val="7"/>
          <c:tx>
            <c:strRef>
              <c:f>quetiapine!$I$3:$I$4</c:f>
              <c:strCache>
                <c:ptCount val="1"/>
                <c:pt idx="0">
                  <c:v>Tablet (modified release) 300 mg (as fumarate)</c:v>
                </c:pt>
              </c:strCache>
            </c:strRef>
          </c:tx>
          <c:cat>
            <c:strRef>
              <c:f>quetiapine!$A$5:$A$13</c:f>
              <c:strCache>
                <c:ptCount val="8"/>
                <c:pt idx="0">
                  <c:v>20-24</c:v>
                </c:pt>
                <c:pt idx="1">
                  <c:v>25-29</c:v>
                </c:pt>
                <c:pt idx="2">
                  <c:v>30-34</c:v>
                </c:pt>
                <c:pt idx="3">
                  <c:v>35-39</c:v>
                </c:pt>
                <c:pt idx="4">
                  <c:v>40-44</c:v>
                </c:pt>
                <c:pt idx="5">
                  <c:v>45-49</c:v>
                </c:pt>
                <c:pt idx="6">
                  <c:v>50-54</c:v>
                </c:pt>
                <c:pt idx="7">
                  <c:v>55-59</c:v>
                </c:pt>
              </c:strCache>
            </c:strRef>
          </c:cat>
          <c:val>
            <c:numRef>
              <c:f>quetiapine!$I$5:$I$13</c:f>
              <c:numCache>
                <c:formatCode>General</c:formatCode>
                <c:ptCount val="8"/>
                <c:pt idx="0">
                  <c:v>0.80648545045332531</c:v>
                </c:pt>
                <c:pt idx="1">
                  <c:v>0.99532110295937992</c:v>
                </c:pt>
                <c:pt idx="2">
                  <c:v>1.2408448593700734</c:v>
                </c:pt>
                <c:pt idx="3">
                  <c:v>1.3845724632806675</c:v>
                </c:pt>
                <c:pt idx="4">
                  <c:v>1.3279352242437721</c:v>
                </c:pt>
                <c:pt idx="5">
                  <c:v>1.1203381149627036</c:v>
                </c:pt>
                <c:pt idx="6">
                  <c:v>0.92074632733482142</c:v>
                </c:pt>
                <c:pt idx="7">
                  <c:v>0.76709125898454877</c:v>
                </c:pt>
              </c:numCache>
            </c:numRef>
          </c:val>
          <c:smooth val="0"/>
        </c:ser>
        <c:ser>
          <c:idx val="8"/>
          <c:order val="8"/>
          <c:tx>
            <c:strRef>
              <c:f>quetiapine!$J$3:$J$4</c:f>
              <c:strCache>
                <c:ptCount val="1"/>
                <c:pt idx="0">
                  <c:v>Tablet (modified release) 400 mg (as fumarate)</c:v>
                </c:pt>
              </c:strCache>
            </c:strRef>
          </c:tx>
          <c:cat>
            <c:strRef>
              <c:f>quetiapine!$A$5:$A$13</c:f>
              <c:strCache>
                <c:ptCount val="8"/>
                <c:pt idx="0">
                  <c:v>20-24</c:v>
                </c:pt>
                <c:pt idx="1">
                  <c:v>25-29</c:v>
                </c:pt>
                <c:pt idx="2">
                  <c:v>30-34</c:v>
                </c:pt>
                <c:pt idx="3">
                  <c:v>35-39</c:v>
                </c:pt>
                <c:pt idx="4">
                  <c:v>40-44</c:v>
                </c:pt>
                <c:pt idx="5">
                  <c:v>45-49</c:v>
                </c:pt>
                <c:pt idx="6">
                  <c:v>50-54</c:v>
                </c:pt>
                <c:pt idx="7">
                  <c:v>55-59</c:v>
                </c:pt>
              </c:strCache>
            </c:strRef>
          </c:cat>
          <c:val>
            <c:numRef>
              <c:f>quetiapine!$J$5:$J$13</c:f>
              <c:numCache>
                <c:formatCode>General</c:formatCode>
                <c:ptCount val="8"/>
                <c:pt idx="0">
                  <c:v>0.53686111524769731</c:v>
                </c:pt>
                <c:pt idx="1">
                  <c:v>0.71874382821455085</c:v>
                </c:pt>
                <c:pt idx="2">
                  <c:v>0.95754752866853077</c:v>
                </c:pt>
                <c:pt idx="3">
                  <c:v>1.0426609404295204</c:v>
                </c:pt>
                <c:pt idx="4">
                  <c:v>0.94704195373836653</c:v>
                </c:pt>
                <c:pt idx="5">
                  <c:v>0.82789261988787222</c:v>
                </c:pt>
                <c:pt idx="6">
                  <c:v>0.67226696974889144</c:v>
                </c:pt>
                <c:pt idx="7">
                  <c:v>0.56461207268145819</c:v>
                </c:pt>
              </c:numCache>
            </c:numRef>
          </c:val>
          <c:smooth val="0"/>
        </c:ser>
        <c:dLbls>
          <c:showLegendKey val="0"/>
          <c:showVal val="0"/>
          <c:showCatName val="0"/>
          <c:showSerName val="0"/>
          <c:showPercent val="0"/>
          <c:showBubbleSize val="0"/>
        </c:dLbls>
        <c:marker val="1"/>
        <c:smooth val="0"/>
        <c:axId val="75554176"/>
        <c:axId val="75556352"/>
      </c:lineChart>
      <c:catAx>
        <c:axId val="75554176"/>
        <c:scaling>
          <c:orientation val="minMax"/>
        </c:scaling>
        <c:delete val="0"/>
        <c:axPos val="b"/>
        <c:title>
          <c:tx>
            <c:rich>
              <a:bodyPr/>
              <a:lstStyle/>
              <a:p>
                <a:pPr>
                  <a:defRPr/>
                </a:pPr>
                <a:r>
                  <a:rPr lang="en-AU"/>
                  <a:t>Age (years)</a:t>
                </a:r>
              </a:p>
            </c:rich>
          </c:tx>
          <c:overlay val="0"/>
        </c:title>
        <c:majorTickMark val="out"/>
        <c:minorTickMark val="none"/>
        <c:tickLblPos val="nextTo"/>
        <c:crossAx val="75556352"/>
        <c:crosses val="autoZero"/>
        <c:auto val="1"/>
        <c:lblAlgn val="ctr"/>
        <c:lblOffset val="100"/>
        <c:noMultiLvlLbl val="0"/>
      </c:catAx>
      <c:valAx>
        <c:axId val="75556352"/>
        <c:scaling>
          <c:orientation val="minMax"/>
        </c:scaling>
        <c:delete val="0"/>
        <c:axPos val="l"/>
        <c:majorGridlines/>
        <c:title>
          <c:tx>
            <c:rich>
              <a:bodyPr rot="-5400000" vert="horz"/>
              <a:lstStyle/>
              <a:p>
                <a:pPr>
                  <a:defRPr/>
                </a:pPr>
                <a:r>
                  <a:rPr lang="en-AU" sz="1000" b="1" i="0" u="none" strike="noStrike" baseline="0">
                    <a:effectLst/>
                  </a:rPr>
                  <a:t>Patients standardised by 1000 population  </a:t>
                </a:r>
                <a:endParaRPr lang="en-AU"/>
              </a:p>
            </c:rich>
          </c:tx>
          <c:overlay val="0"/>
        </c:title>
        <c:numFmt formatCode="General" sourceLinked="1"/>
        <c:majorTickMark val="out"/>
        <c:minorTickMark val="none"/>
        <c:tickLblPos val="nextTo"/>
        <c:crossAx val="75554176"/>
        <c:crosses val="autoZero"/>
        <c:crossBetween val="between"/>
      </c:valAx>
    </c:plotArea>
    <c:legend>
      <c:legendPos val="b"/>
      <c:overlay val="0"/>
      <c:txPr>
        <a:bodyPr/>
        <a:lstStyle/>
        <a:p>
          <a:pPr>
            <a:defRPr sz="800"/>
          </a:pPr>
          <a:endParaRPr lang="en-US"/>
        </a:p>
      </c:txPr>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drawings/drawing1.xml><?xml version="1.0" encoding="utf-8"?>
<c:userShapes xmlns:c="http://schemas.openxmlformats.org/drawingml/2006/chart">
  <cdr:relSizeAnchor xmlns:cdr="http://schemas.openxmlformats.org/drawingml/2006/chartDrawing">
    <cdr:from>
      <cdr:x>0.14806</cdr:x>
      <cdr:y>0.00484</cdr:y>
    </cdr:from>
    <cdr:to>
      <cdr:x>0.27474</cdr:x>
      <cdr:y>0.04958</cdr:y>
    </cdr:to>
    <cdr:sp macro="" textlink="">
      <cdr:nvSpPr>
        <cdr:cNvPr id="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0.12095</cdr:x>
      <cdr:y>0.01087</cdr:y>
    </cdr:from>
    <cdr:to>
      <cdr:x>0.2917</cdr:x>
      <cdr:y>0.0471</cdr:y>
    </cdr:to>
    <cdr:sp macro="" textlink="">
      <cdr:nvSpPr>
        <cdr:cNvPr id="6" name="TextBox 5"/>
        <cdr:cNvSpPr txBox="1"/>
      </cdr:nvSpPr>
      <cdr:spPr>
        <a:xfrm xmlns:a="http://schemas.openxmlformats.org/drawingml/2006/main">
          <a:off x="1121019" y="65942"/>
          <a:ext cx="1582616" cy="21980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8848897-422E-4B2A-803D-C79E71D3533F}" type="TxLink">
            <a:rPr lang="en-AU" sz="1100"/>
            <a:pPr/>
            <a:t> </a:t>
          </a:fld>
          <a:endParaRPr lang="en-AU"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1C096-2EF5-41FC-B161-BF97D8B0F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6825</Words>
  <Characters>38903</Characters>
  <Application>Microsoft Office Word</Application>
  <DocSecurity>0</DocSecurity>
  <Lines>324</Lines>
  <Paragraphs>91</Paragraphs>
  <ScaleCrop>false</ScaleCrop>
  <Company/>
  <LinksUpToDate>false</LinksUpToDate>
  <CharactersWithSpaces>45637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2014-05-15T05:25:00Z</dcterms:created>
  <dcterms:modified xsi:type="dcterms:W3CDTF">2014-05-15T05:25:00Z</dcterms:modified>
</cp:coreProperties>
</file>