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1AC789ED" w:rsidR="00832324" w:rsidRPr="007E4A43" w:rsidRDefault="004C12C4" w:rsidP="00F73113">
      <w:pPr>
        <w:pStyle w:val="Title"/>
      </w:pPr>
      <w:r w:rsidRPr="007E4A43">
        <w:t xml:space="preserve">Elexacaftor + tezacaftor + ivacaftor (&amp;) ivacaftor </w:t>
      </w:r>
      <w:r w:rsidR="00BC6D9F" w:rsidRPr="007E4A43">
        <w:t xml:space="preserve">for </w:t>
      </w:r>
      <w:r w:rsidRPr="007E4A43">
        <w:t>c</w:t>
      </w:r>
      <w:r w:rsidR="00BA1D1E" w:rsidRPr="007E4A43">
        <w:t>ystic fibrosis</w:t>
      </w:r>
      <w:r w:rsidR="001C4016" w:rsidRPr="007E4A43">
        <w:t>: a</w:t>
      </w:r>
      <w:r w:rsidR="00935689" w:rsidRPr="007E4A43">
        <w:t xml:space="preserve">nalysis </w:t>
      </w:r>
      <w:r w:rsidR="00BA1D1E" w:rsidRPr="007E4A43">
        <w:t>of utilisation</w:t>
      </w:r>
    </w:p>
    <w:p w14:paraId="68F00614" w14:textId="799F8740" w:rsidR="00736041" w:rsidRPr="007E4A43" w:rsidRDefault="009053D3" w:rsidP="00F73113">
      <w:pPr>
        <w:pStyle w:val="Title2"/>
      </w:pPr>
      <w:r w:rsidRPr="007E4A43">
        <w:t>D</w:t>
      </w:r>
      <w:r w:rsidR="00832324" w:rsidRPr="007E4A43">
        <w:t>rug utilisation sub-committee (DUSC)</w:t>
      </w:r>
    </w:p>
    <w:p w14:paraId="78148839" w14:textId="7D22EA03" w:rsidR="009053D3" w:rsidRPr="007E4A43" w:rsidRDefault="00177E66" w:rsidP="00F73113">
      <w:pPr>
        <w:pStyle w:val="Meetingdate"/>
      </w:pPr>
      <w:r w:rsidRPr="007E4A43">
        <w:t>October</w:t>
      </w:r>
      <w:r w:rsidR="00505189" w:rsidRPr="007E4A43">
        <w:t xml:space="preserve"> </w:t>
      </w:r>
      <w:r w:rsidR="00BA1D1E" w:rsidRPr="007E4A43">
        <w:t>2025</w:t>
      </w:r>
    </w:p>
    <w:p w14:paraId="1494B8AD" w14:textId="77777777" w:rsidR="005C6661" w:rsidRPr="007E4A43" w:rsidRDefault="005C6661" w:rsidP="00CF5E22">
      <w:pPr>
        <w:pStyle w:val="Heading2"/>
      </w:pPr>
      <w:r w:rsidRPr="007E4A43">
        <w:t>Abstract</w:t>
      </w:r>
    </w:p>
    <w:p w14:paraId="287D7939" w14:textId="77777777" w:rsidR="005C6661" w:rsidRPr="007E4A43" w:rsidRDefault="005C6661" w:rsidP="00CF5E22">
      <w:pPr>
        <w:pStyle w:val="Heading3"/>
      </w:pPr>
      <w:r w:rsidRPr="007E4A43">
        <w:t>Purpose</w:t>
      </w:r>
    </w:p>
    <w:p w14:paraId="70A05845" w14:textId="281A3607" w:rsidR="005C6661" w:rsidRPr="007E4A43" w:rsidRDefault="001E4168" w:rsidP="001E4168">
      <w:pPr>
        <w:pStyle w:val="NoSpacing"/>
      </w:pPr>
      <w:r w:rsidRPr="007E4A43">
        <w:t>To review elexacaftor, tezacaftor and ivacaftor for the treatment of cystic fibrosis as requested by DUSC at its October 2024 meeting.</w:t>
      </w:r>
    </w:p>
    <w:p w14:paraId="03538E7F" w14:textId="322BB850" w:rsidR="002D144A" w:rsidRPr="007E4A43" w:rsidRDefault="002D144A" w:rsidP="00CF5E22">
      <w:pPr>
        <w:pStyle w:val="Heading3"/>
      </w:pPr>
      <w:r w:rsidRPr="007E4A43">
        <w:t>Date of listing on the P</w:t>
      </w:r>
      <w:r w:rsidR="00A95FA5" w:rsidRPr="007E4A43">
        <w:t xml:space="preserve">harmaceutical </w:t>
      </w:r>
      <w:r w:rsidRPr="007E4A43">
        <w:t>B</w:t>
      </w:r>
      <w:r w:rsidR="00A95FA5" w:rsidRPr="007E4A43">
        <w:t xml:space="preserve">enefits </w:t>
      </w:r>
      <w:r w:rsidRPr="007E4A43">
        <w:t>S</w:t>
      </w:r>
      <w:r w:rsidR="00A95FA5" w:rsidRPr="007E4A43">
        <w:t>cheme (PBS)</w:t>
      </w:r>
    </w:p>
    <w:p w14:paraId="378E50B7" w14:textId="285F2099" w:rsidR="002D144A" w:rsidRPr="007E4A43" w:rsidRDefault="0086432F" w:rsidP="002D144A">
      <w:r w:rsidRPr="007E4A43">
        <w:t xml:space="preserve">Elexacaftor + tezacaftor + ivacaftor </w:t>
      </w:r>
      <w:r w:rsidR="003A60DD" w:rsidRPr="007E4A43">
        <w:t xml:space="preserve">was PBS listed </w:t>
      </w:r>
      <w:r w:rsidR="00D34EFA" w:rsidRPr="007E4A43">
        <w:t>1 April 2022.</w:t>
      </w:r>
    </w:p>
    <w:p w14:paraId="526743BB" w14:textId="77777777" w:rsidR="005C6661" w:rsidRPr="007E4A43" w:rsidRDefault="005C6661" w:rsidP="00CF5E22">
      <w:pPr>
        <w:pStyle w:val="Heading3"/>
      </w:pPr>
      <w:r w:rsidRPr="007E4A43">
        <w:t>Data Source / methodology</w:t>
      </w:r>
    </w:p>
    <w:p w14:paraId="3C74AB36" w14:textId="3E3779BA" w:rsidR="006804E0" w:rsidRPr="007E4A43" w:rsidRDefault="006804E0" w:rsidP="005C6661">
      <w:pPr>
        <w:pStyle w:val="NoSpacing"/>
      </w:pPr>
      <w:r w:rsidRPr="007E4A43">
        <w:t>Data extracted from the PBS database maintained by Department of Health</w:t>
      </w:r>
      <w:r w:rsidR="00F7252A" w:rsidRPr="007E4A43">
        <w:t>, Disability and Ageing</w:t>
      </w:r>
      <w:r w:rsidRPr="007E4A43">
        <w:t>, processed by Services Australia were used for the analyses.</w:t>
      </w:r>
    </w:p>
    <w:p w14:paraId="7599E7C1" w14:textId="77777777" w:rsidR="005C6661" w:rsidRPr="007E4A43" w:rsidRDefault="005C6661" w:rsidP="00CF5E22">
      <w:pPr>
        <w:pStyle w:val="Heading3"/>
      </w:pPr>
      <w:r w:rsidRPr="007E4A43">
        <w:t>Key Findings</w:t>
      </w:r>
    </w:p>
    <w:p w14:paraId="50F1FD3A" w14:textId="06249B9D" w:rsidR="00921120" w:rsidRPr="007E4A43" w:rsidRDefault="00541E9C" w:rsidP="005C6661">
      <w:pPr>
        <w:pStyle w:val="NoSpacing"/>
        <w:numPr>
          <w:ilvl w:val="0"/>
          <w:numId w:val="1"/>
        </w:numPr>
      </w:pPr>
      <w:r w:rsidRPr="007E4A43">
        <w:t>In 202</w:t>
      </w:r>
      <w:r w:rsidR="00EA18ED" w:rsidRPr="007E4A43">
        <w:t>4</w:t>
      </w:r>
      <w:r w:rsidR="00F54707" w:rsidRPr="007E4A43">
        <w:t>,</w:t>
      </w:r>
      <w:r w:rsidRPr="007E4A43">
        <w:t xml:space="preserve"> there were </w:t>
      </w:r>
      <w:r w:rsidR="007448EA" w:rsidRPr="007E4A43">
        <w:t>3,126</w:t>
      </w:r>
      <w:r w:rsidRPr="007E4A43">
        <w:t xml:space="preserve"> patients supplied </w:t>
      </w:r>
      <w:r w:rsidR="00AC5716" w:rsidRPr="007E4A43">
        <w:t>30,</w:t>
      </w:r>
      <w:r w:rsidR="007448EA" w:rsidRPr="007E4A43">
        <w:t>208</w:t>
      </w:r>
      <w:r w:rsidR="00AC5716" w:rsidRPr="007E4A43">
        <w:t xml:space="preserve"> prescriptions of cystic fibrosis transmembrane conductance regulator (CFTR) modulators</w:t>
      </w:r>
      <w:r w:rsidR="00B52174" w:rsidRPr="007E4A43">
        <w:t xml:space="preserve">, including </w:t>
      </w:r>
      <w:r w:rsidR="007C0C0F" w:rsidRPr="007E4A43">
        <w:t xml:space="preserve">307 </w:t>
      </w:r>
      <w:r w:rsidR="00B52174" w:rsidRPr="007E4A43">
        <w:t>initiating patients</w:t>
      </w:r>
      <w:r w:rsidR="0055658E" w:rsidRPr="007E4A43">
        <w:t>.</w:t>
      </w:r>
      <w:r w:rsidR="001A7699" w:rsidRPr="007E4A43">
        <w:t xml:space="preserve"> </w:t>
      </w:r>
    </w:p>
    <w:p w14:paraId="013B8A7D" w14:textId="61D01906" w:rsidR="005C6661" w:rsidRPr="007E4A43" w:rsidRDefault="00EA18ED" w:rsidP="005C6661">
      <w:pPr>
        <w:pStyle w:val="NoSpacing"/>
        <w:numPr>
          <w:ilvl w:val="0"/>
          <w:numId w:val="1"/>
        </w:numPr>
      </w:pPr>
      <w:r w:rsidRPr="007E4A43">
        <w:t>There were</w:t>
      </w:r>
      <w:r w:rsidR="00637069" w:rsidRPr="007E4A43">
        <w:t xml:space="preserve"> </w:t>
      </w:r>
      <w:r w:rsidR="00F54707" w:rsidRPr="007E4A43">
        <w:t xml:space="preserve">27,089 prescriptions of the combination medicine elexacaftor, tezacaftor and ivacaftor (ELX/TEZ/IVA) supplied to </w:t>
      </w:r>
      <w:r w:rsidR="007448EA" w:rsidRPr="007E4A43">
        <w:t>2,890</w:t>
      </w:r>
      <w:r w:rsidR="00637069" w:rsidRPr="007E4A43">
        <w:t xml:space="preserve"> </w:t>
      </w:r>
      <w:r w:rsidR="00754F94" w:rsidRPr="007E4A43">
        <w:t>patients</w:t>
      </w:r>
      <w:r w:rsidR="007C0C0F" w:rsidRPr="007E4A43">
        <w:t>, including 209 initiating patients</w:t>
      </w:r>
      <w:r w:rsidR="00637069" w:rsidRPr="007E4A43">
        <w:t>.</w:t>
      </w:r>
    </w:p>
    <w:p w14:paraId="61A15E1B" w14:textId="56D45AC9" w:rsidR="00B52174" w:rsidRPr="007E4A43" w:rsidRDefault="0019012E" w:rsidP="005C6661">
      <w:pPr>
        <w:pStyle w:val="NoSpacing"/>
        <w:numPr>
          <w:ilvl w:val="0"/>
          <w:numId w:val="1"/>
        </w:numPr>
      </w:pPr>
      <w:r w:rsidRPr="007E4A43">
        <w:t>Between PBS</w:t>
      </w:r>
      <w:r w:rsidR="008E3A3C" w:rsidRPr="007E4A43">
        <w:t xml:space="preserve"> listing </w:t>
      </w:r>
      <w:r w:rsidRPr="007E4A43">
        <w:t xml:space="preserve">on 1 April 2022 and </w:t>
      </w:r>
      <w:r w:rsidR="00D026CF" w:rsidRPr="007E4A43">
        <w:t>30 June 2025</w:t>
      </w:r>
      <w:r w:rsidRPr="007E4A43">
        <w:t xml:space="preserve">, </w:t>
      </w:r>
      <w:r w:rsidR="00F25CB8" w:rsidRPr="007E4A43">
        <w:t>3,209</w:t>
      </w:r>
      <w:r w:rsidR="004525C1" w:rsidRPr="007E4A43">
        <w:t xml:space="preserve"> patients were supplied ELX/TEZ/IVA, </w:t>
      </w:r>
      <w:r w:rsidR="00A84DAD" w:rsidRPr="007E4A43">
        <w:t>including 1,</w:t>
      </w:r>
      <w:r w:rsidR="00D026CF" w:rsidRPr="007E4A43">
        <w:t>320</w:t>
      </w:r>
      <w:r w:rsidR="00A84DAD" w:rsidRPr="007E4A43">
        <w:t xml:space="preserve"> </w:t>
      </w:r>
      <w:r w:rsidR="00D64325" w:rsidRPr="007E4A43">
        <w:t>(4</w:t>
      </w:r>
      <w:r w:rsidR="00F25CB8" w:rsidRPr="007E4A43">
        <w:t>1</w:t>
      </w:r>
      <w:r w:rsidR="00D64325" w:rsidRPr="007E4A43">
        <w:t xml:space="preserve">%) patients who </w:t>
      </w:r>
      <w:r w:rsidR="00515B2A" w:rsidRPr="007E4A43">
        <w:t xml:space="preserve">initiated on and </w:t>
      </w:r>
      <w:r w:rsidR="00D64325" w:rsidRPr="007E4A43">
        <w:t>have only been supplied ELX/TEZ/IVA</w:t>
      </w:r>
      <w:r w:rsidR="00515B2A" w:rsidRPr="007E4A43">
        <w:t>.</w:t>
      </w:r>
    </w:p>
    <w:p w14:paraId="3A327B1F" w14:textId="4A8965C8" w:rsidR="00637069" w:rsidRPr="007E4A43" w:rsidRDefault="0051564A" w:rsidP="005C6661">
      <w:pPr>
        <w:pStyle w:val="NoSpacing"/>
        <w:numPr>
          <w:ilvl w:val="0"/>
          <w:numId w:val="1"/>
        </w:numPr>
      </w:pPr>
      <w:r w:rsidRPr="007E4A43">
        <w:t>The mean age of patients supplied CFTR modulators in 202</w:t>
      </w:r>
      <w:r w:rsidR="00F25CB8" w:rsidRPr="007E4A43">
        <w:t>4</w:t>
      </w:r>
      <w:r w:rsidRPr="007E4A43">
        <w:t xml:space="preserve"> was 24</w:t>
      </w:r>
      <w:r w:rsidR="004540E7" w:rsidRPr="007E4A43">
        <w:t xml:space="preserve"> years</w:t>
      </w:r>
      <w:r w:rsidRPr="007E4A43">
        <w:t>, and the median age was 2</w:t>
      </w:r>
      <w:r w:rsidR="00774CFE" w:rsidRPr="007E4A43">
        <w:t>1</w:t>
      </w:r>
      <w:r w:rsidR="004540E7" w:rsidRPr="007E4A43">
        <w:t xml:space="preserve"> years</w:t>
      </w:r>
      <w:r w:rsidRPr="007E4A43">
        <w:t>. The mean age of patients supplied ELX/TEZ/IVA in 202</w:t>
      </w:r>
      <w:r w:rsidR="00F25CB8" w:rsidRPr="007E4A43">
        <w:t>4</w:t>
      </w:r>
      <w:r w:rsidRPr="007E4A43">
        <w:t xml:space="preserve"> was 2</w:t>
      </w:r>
      <w:r w:rsidR="00774CFE" w:rsidRPr="007E4A43">
        <w:t>4</w:t>
      </w:r>
      <w:r w:rsidR="004540E7" w:rsidRPr="007E4A43">
        <w:t xml:space="preserve"> years</w:t>
      </w:r>
      <w:r w:rsidRPr="007E4A43">
        <w:t>, and the median age was 2</w:t>
      </w:r>
      <w:r w:rsidR="00774CFE" w:rsidRPr="007E4A43">
        <w:t>1</w:t>
      </w:r>
      <w:r w:rsidR="00402A8C" w:rsidRPr="007E4A43">
        <w:t xml:space="preserve"> years</w:t>
      </w:r>
      <w:r w:rsidRPr="007E4A43">
        <w:t>.</w:t>
      </w:r>
    </w:p>
    <w:p w14:paraId="38B57ECC" w14:textId="77777777" w:rsidR="00BB0D1A" w:rsidRPr="007E4A43" w:rsidRDefault="00BB0D1A">
      <w:pPr>
        <w:spacing w:line="276" w:lineRule="auto"/>
        <w:rPr>
          <w:rFonts w:eastAsiaTheme="majorEastAsia" w:cstheme="majorBidi"/>
          <w:b/>
          <w:bCs/>
          <w:sz w:val="32"/>
          <w:szCs w:val="26"/>
        </w:rPr>
      </w:pPr>
      <w:r w:rsidRPr="007E4A43">
        <w:br w:type="page"/>
      </w:r>
    </w:p>
    <w:p w14:paraId="5B262047" w14:textId="525241DC" w:rsidR="00E677DD" w:rsidRPr="007E4A43" w:rsidRDefault="00E677DD" w:rsidP="00CF5E22">
      <w:pPr>
        <w:pStyle w:val="Heading1"/>
      </w:pPr>
      <w:r w:rsidRPr="007E4A43">
        <w:lastRenderedPageBreak/>
        <w:t xml:space="preserve">Purpose of </w:t>
      </w:r>
      <w:r w:rsidR="00D151EB" w:rsidRPr="007E4A43">
        <w:t>analysis</w:t>
      </w:r>
    </w:p>
    <w:p w14:paraId="15B957F2" w14:textId="0419694E" w:rsidR="00990DCF" w:rsidRPr="007E4A43" w:rsidRDefault="00A9217B" w:rsidP="00737356">
      <w:pPr>
        <w:pStyle w:val="NoSpacing"/>
      </w:pPr>
      <w:r w:rsidRPr="007E4A43">
        <w:t xml:space="preserve">To review </w:t>
      </w:r>
      <w:r w:rsidR="00737356" w:rsidRPr="007E4A43">
        <w:t xml:space="preserve">elexacaftor, tezacaftor and ivacaftor </w:t>
      </w:r>
      <w:r w:rsidRPr="007E4A43">
        <w:t xml:space="preserve">for the treatment of </w:t>
      </w:r>
      <w:r w:rsidR="001E4168" w:rsidRPr="007E4A43">
        <w:t>cystic fibrosis</w:t>
      </w:r>
      <w:r w:rsidRPr="007E4A43">
        <w:t xml:space="preserve"> as requested by DUSC at its </w:t>
      </w:r>
      <w:r w:rsidR="001E4168" w:rsidRPr="007E4A43">
        <w:t>October</w:t>
      </w:r>
      <w:r w:rsidRPr="007E4A43">
        <w:t xml:space="preserve"> 2024 meeting.</w:t>
      </w:r>
    </w:p>
    <w:p w14:paraId="0A7F0B57" w14:textId="034D22D5" w:rsidR="006537D9" w:rsidRPr="007E4A43" w:rsidRDefault="00736041" w:rsidP="00CF5E22">
      <w:pPr>
        <w:pStyle w:val="Heading1"/>
      </w:pPr>
      <w:r w:rsidRPr="007E4A43">
        <w:t>Background</w:t>
      </w:r>
    </w:p>
    <w:p w14:paraId="2C748275" w14:textId="77777777" w:rsidR="00EE2BBB" w:rsidRPr="007E4A43" w:rsidRDefault="00EE2BBB" w:rsidP="00EE2BBB">
      <w:pPr>
        <w:pStyle w:val="Heading2"/>
      </w:pPr>
      <w:r w:rsidRPr="007E4A43">
        <w:t>Clinical situation</w:t>
      </w:r>
    </w:p>
    <w:p w14:paraId="7836F6BD" w14:textId="70108FE9" w:rsidR="0048621C" w:rsidRPr="007E4A43" w:rsidRDefault="00477749" w:rsidP="00EE2BBB">
      <w:r w:rsidRPr="007E4A43">
        <w:t>Cystic fibrosis is a genetic disorder caused by an abnormal gene that is inherited from both biological parents.</w:t>
      </w:r>
      <w:bookmarkStart w:id="0" w:name="_Ref181110419"/>
      <w:r w:rsidR="00A55E81" w:rsidRPr="007E4A43">
        <w:rPr>
          <w:rStyle w:val="FootnoteReference"/>
        </w:rPr>
        <w:footnoteReference w:id="1"/>
      </w:r>
      <w:bookmarkEnd w:id="0"/>
      <w:r w:rsidR="0033123A" w:rsidRPr="007E4A43">
        <w:t xml:space="preserve"> The cystic fibrosis transmembrane conductance regulator (CFTR) gene is responsible for salt transport across different tissues in the body. In </w:t>
      </w:r>
      <w:r w:rsidR="00684B56" w:rsidRPr="007E4A43">
        <w:t>cystic fibrosis</w:t>
      </w:r>
      <w:r w:rsidR="0033123A" w:rsidRPr="007E4A43">
        <w:t xml:space="preserve">, the protein made by the abnormal CFTR gene is absent or dysfunctional, resulting in reduced salt transport and decreased water movement, which causes thick mucus to accumulate in </w:t>
      </w:r>
      <w:r w:rsidR="006F15C3" w:rsidRPr="007E4A43">
        <w:t>the lungs and intestinal tract</w:t>
      </w:r>
      <w:r w:rsidR="0033123A" w:rsidRPr="007E4A43">
        <w:t>.</w:t>
      </w:r>
      <w:r w:rsidR="006F15C3" w:rsidRPr="007E4A43">
        <w:rPr>
          <w:vertAlign w:val="superscript"/>
        </w:rPr>
        <w:fldChar w:fldCharType="begin"/>
      </w:r>
      <w:r w:rsidR="006F15C3" w:rsidRPr="007E4A43">
        <w:rPr>
          <w:vertAlign w:val="superscript"/>
        </w:rPr>
        <w:instrText xml:space="preserve"> NOTEREF _Ref181110419 \h </w:instrText>
      </w:r>
      <w:r w:rsidR="00EE00D3" w:rsidRPr="007E4A43">
        <w:rPr>
          <w:vertAlign w:val="superscript"/>
        </w:rPr>
        <w:instrText xml:space="preserve"> \* MERGEFORMAT </w:instrText>
      </w:r>
      <w:r w:rsidR="006F15C3" w:rsidRPr="007E4A43">
        <w:rPr>
          <w:vertAlign w:val="superscript"/>
        </w:rPr>
      </w:r>
      <w:r w:rsidR="006F15C3" w:rsidRPr="007E4A43">
        <w:rPr>
          <w:vertAlign w:val="superscript"/>
        </w:rPr>
        <w:fldChar w:fldCharType="separate"/>
      </w:r>
      <w:r w:rsidR="0063622F">
        <w:rPr>
          <w:vertAlign w:val="superscript"/>
        </w:rPr>
        <w:t>1</w:t>
      </w:r>
      <w:r w:rsidR="006F15C3" w:rsidRPr="007E4A43">
        <w:rPr>
          <w:vertAlign w:val="superscript"/>
        </w:rPr>
        <w:fldChar w:fldCharType="end"/>
      </w:r>
      <w:r w:rsidR="00EE00D3" w:rsidRPr="007E4A43">
        <w:rPr>
          <w:vertAlign w:val="superscript"/>
        </w:rPr>
        <w:t>,</w:t>
      </w:r>
      <w:r w:rsidR="006F15C3" w:rsidRPr="007E4A43">
        <w:rPr>
          <w:rStyle w:val="FootnoteReference"/>
        </w:rPr>
        <w:footnoteReference w:id="2"/>
      </w:r>
      <w:r w:rsidR="00570D43" w:rsidRPr="007E4A43">
        <w:rPr>
          <w:vertAlign w:val="superscript"/>
        </w:rPr>
        <w:t xml:space="preserve"> </w:t>
      </w:r>
      <w:r w:rsidR="00CA3AB7" w:rsidRPr="007E4A43">
        <w:t xml:space="preserve">This </w:t>
      </w:r>
      <w:r w:rsidR="002A770F" w:rsidRPr="007E4A43">
        <w:t xml:space="preserve">mucus clogs the lungs </w:t>
      </w:r>
      <w:r w:rsidR="008259CA" w:rsidRPr="007E4A43">
        <w:t>causing them to be</w:t>
      </w:r>
      <w:r w:rsidR="00983BBA" w:rsidRPr="007E4A43">
        <w:t xml:space="preserve"> </w:t>
      </w:r>
      <w:r w:rsidR="00AB2B41" w:rsidRPr="007E4A43">
        <w:t>vulnerable</w:t>
      </w:r>
      <w:r w:rsidR="00B10684" w:rsidRPr="007E4A43">
        <w:t xml:space="preserve"> to </w:t>
      </w:r>
      <w:r w:rsidR="00AF185F" w:rsidRPr="007E4A43">
        <w:t xml:space="preserve">bacterial infection, </w:t>
      </w:r>
      <w:r w:rsidR="00894D33" w:rsidRPr="007E4A43">
        <w:t xml:space="preserve">and chronic infection </w:t>
      </w:r>
      <w:r w:rsidR="00657AB6" w:rsidRPr="007E4A43">
        <w:t>leads to bronchiectasis, respiratory failure, and death.</w:t>
      </w:r>
      <w:r w:rsidR="00657AB6" w:rsidRPr="007E4A43">
        <w:rPr>
          <w:rStyle w:val="FootnoteReference"/>
        </w:rPr>
        <w:footnoteReference w:id="3"/>
      </w:r>
    </w:p>
    <w:p w14:paraId="1D2C1A5F" w14:textId="263F6864" w:rsidR="0048621C" w:rsidRPr="007E4A43" w:rsidRDefault="0048621C" w:rsidP="00EE2BBB">
      <w:r w:rsidRPr="007E4A43">
        <w:t>Treatment for cystic fibrosis</w:t>
      </w:r>
      <w:r w:rsidR="003673B1" w:rsidRPr="007E4A43">
        <w:t xml:space="preserve"> </w:t>
      </w:r>
      <w:r w:rsidR="00063D1E" w:rsidRPr="007E4A43">
        <w:t>generally</w:t>
      </w:r>
      <w:r w:rsidR="005907ED" w:rsidRPr="007E4A43">
        <w:t xml:space="preserve"> </w:t>
      </w:r>
      <w:r w:rsidR="00063D1E" w:rsidRPr="007E4A43">
        <w:t>involves</w:t>
      </w:r>
      <w:r w:rsidR="008F1377" w:rsidRPr="007E4A43">
        <w:t>:</w:t>
      </w:r>
    </w:p>
    <w:p w14:paraId="2AEE81CA" w14:textId="77777777" w:rsidR="00343F4A" w:rsidRPr="007E4A43" w:rsidRDefault="00343F4A" w:rsidP="0028191C">
      <w:pPr>
        <w:pStyle w:val="ListParagraph"/>
        <w:numPr>
          <w:ilvl w:val="0"/>
          <w:numId w:val="6"/>
        </w:numPr>
      </w:pPr>
      <w:r w:rsidRPr="007E4A43">
        <w:t>Intensive daily physiotherapy to clear the lungs</w:t>
      </w:r>
    </w:p>
    <w:p w14:paraId="1AF5EA64" w14:textId="77777777" w:rsidR="00343F4A" w:rsidRPr="007E4A43" w:rsidRDefault="00343F4A" w:rsidP="0028191C">
      <w:pPr>
        <w:pStyle w:val="ListParagraph"/>
        <w:numPr>
          <w:ilvl w:val="0"/>
          <w:numId w:val="6"/>
        </w:numPr>
      </w:pPr>
      <w:r w:rsidRPr="007E4A43">
        <w:t>Enzyme replacement capsules with food to aid digestion</w:t>
      </w:r>
    </w:p>
    <w:p w14:paraId="672DC728" w14:textId="77777777" w:rsidR="00343F4A" w:rsidRPr="007E4A43" w:rsidRDefault="00343F4A" w:rsidP="0028191C">
      <w:pPr>
        <w:pStyle w:val="ListParagraph"/>
        <w:numPr>
          <w:ilvl w:val="0"/>
          <w:numId w:val="6"/>
        </w:numPr>
      </w:pPr>
      <w:r w:rsidRPr="007E4A43">
        <w:t>Antibiotic therapy to treat lung infections</w:t>
      </w:r>
    </w:p>
    <w:p w14:paraId="623E38A6" w14:textId="77777777" w:rsidR="00343F4A" w:rsidRPr="007E4A43" w:rsidRDefault="00343F4A" w:rsidP="0028191C">
      <w:pPr>
        <w:pStyle w:val="ListParagraph"/>
        <w:numPr>
          <w:ilvl w:val="0"/>
          <w:numId w:val="6"/>
        </w:numPr>
      </w:pPr>
      <w:r w:rsidRPr="007E4A43">
        <w:t>Aerosol mist inhalations via a nebuliser to help open the airways</w:t>
      </w:r>
    </w:p>
    <w:p w14:paraId="08102075" w14:textId="77777777" w:rsidR="00343F4A" w:rsidRPr="007E4A43" w:rsidRDefault="00343F4A" w:rsidP="0028191C">
      <w:pPr>
        <w:pStyle w:val="ListParagraph"/>
        <w:numPr>
          <w:ilvl w:val="0"/>
          <w:numId w:val="6"/>
        </w:numPr>
      </w:pPr>
      <w:r w:rsidRPr="007E4A43">
        <w:t>Salt and vitamin supplements</w:t>
      </w:r>
    </w:p>
    <w:p w14:paraId="6DB9EE69" w14:textId="5A9ECB5F" w:rsidR="00343F4A" w:rsidRPr="007E4A43" w:rsidRDefault="00343F4A" w:rsidP="0028191C">
      <w:pPr>
        <w:pStyle w:val="ListParagraph"/>
        <w:numPr>
          <w:ilvl w:val="0"/>
          <w:numId w:val="6"/>
        </w:numPr>
      </w:pPr>
      <w:r w:rsidRPr="007E4A43">
        <w:t xml:space="preserve">A nutritious diet that’s also high </w:t>
      </w:r>
      <w:r w:rsidR="00A95E1E" w:rsidRPr="007E4A43">
        <w:t xml:space="preserve">in </w:t>
      </w:r>
      <w:r w:rsidRPr="007E4A43">
        <w:t>calorie</w:t>
      </w:r>
      <w:r w:rsidR="00A95E1E" w:rsidRPr="007E4A43">
        <w:t>s</w:t>
      </w:r>
      <w:r w:rsidRPr="007E4A43">
        <w:t>, high salt and high fat</w:t>
      </w:r>
    </w:p>
    <w:p w14:paraId="5736C3DF" w14:textId="0D885262" w:rsidR="00DE574B" w:rsidRPr="007E4A43" w:rsidRDefault="00343F4A" w:rsidP="0062188C">
      <w:pPr>
        <w:pStyle w:val="ListParagraph"/>
        <w:numPr>
          <w:ilvl w:val="0"/>
          <w:numId w:val="6"/>
        </w:numPr>
      </w:pPr>
      <w:r w:rsidRPr="007E4A43">
        <w:t>Exercise – important to help clear the airways and build core strength.</w:t>
      </w:r>
      <w:r w:rsidR="0067010F" w:rsidRPr="007E4A43">
        <w:rPr>
          <w:rStyle w:val="FootnoteReference"/>
        </w:rPr>
        <w:footnoteReference w:id="4"/>
      </w:r>
    </w:p>
    <w:p w14:paraId="2CAFE3CC" w14:textId="01DD1F40" w:rsidR="003673B1" w:rsidRPr="007E4A43" w:rsidRDefault="0092049C" w:rsidP="00FC2C40">
      <w:r w:rsidRPr="007E4A43">
        <w:t>CFTR</w:t>
      </w:r>
      <w:r w:rsidR="00A4211B" w:rsidRPr="007E4A43">
        <w:t xml:space="preserve"> </w:t>
      </w:r>
      <w:r w:rsidR="005E7FED" w:rsidRPr="007E4A43">
        <w:t xml:space="preserve">modulators </w:t>
      </w:r>
      <w:r w:rsidR="00F77797" w:rsidRPr="007E4A43">
        <w:t>have been listed o</w:t>
      </w:r>
      <w:r w:rsidR="00B00779" w:rsidRPr="007E4A43">
        <w:t>n the PBS since 2014</w:t>
      </w:r>
      <w:r w:rsidR="005F7751" w:rsidRPr="007E4A43">
        <w:t xml:space="preserve">. </w:t>
      </w:r>
      <w:r w:rsidR="00FC2C40" w:rsidRPr="007E4A43">
        <w:t>The CFTR</w:t>
      </w:r>
      <w:r w:rsidRPr="007E4A43">
        <w:t xml:space="preserve"> modulators </w:t>
      </w:r>
      <w:r w:rsidR="00CA19EE" w:rsidRPr="007E4A43">
        <w:t>currently listed on the PBS are:</w:t>
      </w:r>
    </w:p>
    <w:p w14:paraId="47745194" w14:textId="38E6BFF5" w:rsidR="00AD0E69" w:rsidRPr="007E4A43" w:rsidRDefault="003B3472" w:rsidP="00AD0E69">
      <w:pPr>
        <w:pStyle w:val="ListParagraph"/>
        <w:numPr>
          <w:ilvl w:val="0"/>
          <w:numId w:val="7"/>
        </w:numPr>
      </w:pPr>
      <w:r w:rsidRPr="007E4A43">
        <w:t>i</w:t>
      </w:r>
      <w:r w:rsidR="00AD0E69" w:rsidRPr="007E4A43">
        <w:t>vacaftor</w:t>
      </w:r>
      <w:r w:rsidR="00815BF7" w:rsidRPr="007E4A43">
        <w:t>;</w:t>
      </w:r>
      <w:r w:rsidR="00AD0E69" w:rsidRPr="007E4A43">
        <w:t xml:space="preserve"> </w:t>
      </w:r>
    </w:p>
    <w:p w14:paraId="546A6A7D" w14:textId="68F927A6" w:rsidR="00AD0E69" w:rsidRPr="007E4A43" w:rsidRDefault="00815BF7" w:rsidP="00AD0E69">
      <w:pPr>
        <w:pStyle w:val="ListParagraph"/>
        <w:numPr>
          <w:ilvl w:val="0"/>
          <w:numId w:val="7"/>
        </w:numPr>
      </w:pPr>
      <w:r w:rsidRPr="007E4A43">
        <w:t xml:space="preserve">lumacaftor and </w:t>
      </w:r>
      <w:r w:rsidR="00AD0E69" w:rsidRPr="007E4A43">
        <w:t>ivacaftor</w:t>
      </w:r>
      <w:r w:rsidR="009D1BEA" w:rsidRPr="007E4A43">
        <w:t xml:space="preserve"> (LUM/IVA)</w:t>
      </w:r>
      <w:r w:rsidRPr="007E4A43">
        <w:t>;</w:t>
      </w:r>
      <w:r w:rsidR="00AD0E69" w:rsidRPr="007E4A43">
        <w:t xml:space="preserve"> </w:t>
      </w:r>
    </w:p>
    <w:p w14:paraId="11842171" w14:textId="1F0B41CE" w:rsidR="00AD0E69" w:rsidRPr="007E4A43" w:rsidRDefault="00815BF7" w:rsidP="00AD0E69">
      <w:pPr>
        <w:pStyle w:val="ListParagraph"/>
        <w:numPr>
          <w:ilvl w:val="0"/>
          <w:numId w:val="7"/>
        </w:numPr>
      </w:pPr>
      <w:r w:rsidRPr="007E4A43">
        <w:t xml:space="preserve">tezacaftor and </w:t>
      </w:r>
      <w:r w:rsidR="00AD0E69" w:rsidRPr="007E4A43">
        <w:t>ivacaftor</w:t>
      </w:r>
      <w:r w:rsidR="009C29A3" w:rsidRPr="007E4A43">
        <w:t xml:space="preserve"> (</w:t>
      </w:r>
      <w:r w:rsidR="009D1BEA" w:rsidRPr="007E4A43">
        <w:t>TEZ/IVA)</w:t>
      </w:r>
      <w:r w:rsidRPr="007E4A43">
        <w:t>;</w:t>
      </w:r>
      <w:r w:rsidR="00AD0E69" w:rsidRPr="007E4A43">
        <w:t xml:space="preserve"> </w:t>
      </w:r>
      <w:r w:rsidRPr="007E4A43">
        <w:t>and</w:t>
      </w:r>
    </w:p>
    <w:p w14:paraId="20E451DE" w14:textId="23C8F69B" w:rsidR="00AD0E69" w:rsidRPr="007E4A43" w:rsidRDefault="00815BF7" w:rsidP="00AD0E69">
      <w:pPr>
        <w:pStyle w:val="ListParagraph"/>
        <w:numPr>
          <w:ilvl w:val="0"/>
          <w:numId w:val="7"/>
        </w:numPr>
      </w:pPr>
      <w:r w:rsidRPr="007E4A43">
        <w:t xml:space="preserve">elexacaftor, tezacaftor and </w:t>
      </w:r>
      <w:r w:rsidR="00AD0E69" w:rsidRPr="007E4A43">
        <w:t>ivacaftor</w:t>
      </w:r>
      <w:r w:rsidR="009C29A3" w:rsidRPr="007E4A43">
        <w:t xml:space="preserve"> (ELX/TEZ/IVA)</w:t>
      </w:r>
      <w:r w:rsidR="00BA3875" w:rsidRPr="007E4A43">
        <w:t>.</w:t>
      </w:r>
    </w:p>
    <w:p w14:paraId="0183A567" w14:textId="413DF87B" w:rsidR="007247B9" w:rsidRPr="007E4A43" w:rsidRDefault="007247B9" w:rsidP="0068603F">
      <w:pPr>
        <w:pStyle w:val="Heading2"/>
        <w:keepNext/>
      </w:pPr>
      <w:r w:rsidRPr="007E4A43">
        <w:lastRenderedPageBreak/>
        <w:t>Pharmacology</w:t>
      </w:r>
    </w:p>
    <w:p w14:paraId="4B70E167" w14:textId="2E551581" w:rsidR="00CD1A80" w:rsidRPr="007E4A43" w:rsidRDefault="005E7FED" w:rsidP="00CD1A80">
      <w:r w:rsidRPr="007E4A43">
        <w:t>CFTR</w:t>
      </w:r>
      <w:r w:rsidR="00AA1FD0" w:rsidRPr="007E4A43">
        <w:t xml:space="preserve"> </w:t>
      </w:r>
      <w:r w:rsidR="002F04F5" w:rsidRPr="007E4A43">
        <w:t>m</w:t>
      </w:r>
      <w:r w:rsidR="00AA1FD0" w:rsidRPr="007E4A43">
        <w:t>odulators</w:t>
      </w:r>
      <w:r w:rsidRPr="007E4A43">
        <w:t xml:space="preserve"> work to increase the amount of protein at the cell surface.</w:t>
      </w:r>
      <w:r w:rsidR="00815BF7" w:rsidRPr="007E4A43">
        <w:t xml:space="preserve"> </w:t>
      </w:r>
      <w:r w:rsidR="009C29A3" w:rsidRPr="007E4A43">
        <w:t xml:space="preserve">ELX/TEZ/IVA </w:t>
      </w:r>
      <w:r w:rsidR="00CD1A80" w:rsidRPr="007E4A43">
        <w:t>includes two types of tablets or</w:t>
      </w:r>
      <w:r w:rsidR="00BE68F0" w:rsidRPr="007E4A43">
        <w:t xml:space="preserve"> </w:t>
      </w:r>
      <w:r w:rsidR="00CD1A80" w:rsidRPr="007E4A43">
        <w:t>granules, one contains elexacaftor, tezacaftor and ivacaftor</w:t>
      </w:r>
      <w:r w:rsidR="00BE68F0" w:rsidRPr="007E4A43">
        <w:t xml:space="preserve"> </w:t>
      </w:r>
      <w:r w:rsidR="00CD1A80" w:rsidRPr="007E4A43">
        <w:t>(morning dose) and the other contains ivacaftor (evening</w:t>
      </w:r>
      <w:r w:rsidR="00FC5CDA" w:rsidRPr="007E4A43">
        <w:t xml:space="preserve"> </w:t>
      </w:r>
      <w:r w:rsidR="00CD1A80" w:rsidRPr="007E4A43">
        <w:t>dose).</w:t>
      </w:r>
    </w:p>
    <w:p w14:paraId="6AC18C88" w14:textId="7A398934" w:rsidR="001420B3" w:rsidRPr="007E4A43" w:rsidRDefault="00A52918" w:rsidP="00CF5E22">
      <w:pPr>
        <w:pStyle w:val="Heading2"/>
      </w:pPr>
      <w:r w:rsidRPr="007E4A43">
        <w:t>Therapeutic Goods Administration (</w:t>
      </w:r>
      <w:r w:rsidR="001420B3" w:rsidRPr="007E4A43">
        <w:t>TGA</w:t>
      </w:r>
      <w:r w:rsidRPr="007E4A43">
        <w:t>)</w:t>
      </w:r>
      <w:r w:rsidR="001420B3" w:rsidRPr="007E4A43">
        <w:t xml:space="preserve"> approved indications</w:t>
      </w:r>
    </w:p>
    <w:p w14:paraId="14A88286" w14:textId="72EF1E1D" w:rsidR="00883D39" w:rsidRPr="007E4A43"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1</w:t>
      </w:r>
      <w:r w:rsidRPr="007E4A43">
        <w:fldChar w:fldCharType="end"/>
      </w:r>
      <w:r w:rsidRPr="007E4A43">
        <w:t>:</w:t>
      </w:r>
      <w:r w:rsidR="00883D39" w:rsidRPr="007E4A43">
        <w:t xml:space="preserve"> </w:t>
      </w:r>
      <w:r w:rsidR="006D4C82" w:rsidRPr="007E4A43">
        <w:t>TGA indications for CFTR modulators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46"/>
      </w:tblGrid>
      <w:tr w:rsidR="00C31FE3" w:rsidRPr="007E4A43" w14:paraId="1555E0D8" w14:textId="77777777" w:rsidTr="003864A1">
        <w:trPr>
          <w:trHeight w:val="20"/>
        </w:trPr>
        <w:tc>
          <w:tcPr>
            <w:tcW w:w="1843" w:type="dxa"/>
            <w:shd w:val="clear" w:color="auto" w:fill="BFBFBF" w:themeFill="background1" w:themeFillShade="BF"/>
            <w:vAlign w:val="center"/>
          </w:tcPr>
          <w:p w14:paraId="3DC8F236" w14:textId="60B1A2E4" w:rsidR="00C31FE3" w:rsidRPr="007E4A43" w:rsidRDefault="00C31FE3" w:rsidP="00997984">
            <w:pPr>
              <w:spacing w:after="0"/>
              <w:rPr>
                <w:rFonts w:eastAsia="Times New Roman" w:cstheme="minorHAnsi"/>
                <w:b/>
                <w:bCs/>
                <w:color w:val="000000"/>
                <w:sz w:val="20"/>
                <w:szCs w:val="20"/>
              </w:rPr>
            </w:pPr>
            <w:r w:rsidRPr="007E4A43">
              <w:rPr>
                <w:rFonts w:eastAsia="Times New Roman" w:cstheme="minorHAnsi"/>
                <w:b/>
                <w:bCs/>
                <w:color w:val="000000"/>
                <w:sz w:val="20"/>
                <w:szCs w:val="20"/>
              </w:rPr>
              <w:t xml:space="preserve">Drug name </w:t>
            </w:r>
            <w:r w:rsidR="003864A1" w:rsidRPr="007E4A43">
              <w:rPr>
                <w:rFonts w:eastAsia="Times New Roman" w:cstheme="minorHAnsi"/>
                <w:b/>
                <w:bCs/>
                <w:color w:val="000000"/>
                <w:sz w:val="20"/>
                <w:szCs w:val="20"/>
              </w:rPr>
              <w:br/>
            </w:r>
            <w:r w:rsidRPr="007E4A43">
              <w:rPr>
                <w:rFonts w:eastAsia="Times New Roman" w:cstheme="minorHAnsi"/>
                <w:b/>
                <w:bCs/>
                <w:color w:val="000000"/>
                <w:sz w:val="20"/>
                <w:szCs w:val="20"/>
              </w:rPr>
              <w:t>(Brand name)</w:t>
            </w:r>
          </w:p>
        </w:tc>
        <w:tc>
          <w:tcPr>
            <w:tcW w:w="6946" w:type="dxa"/>
            <w:shd w:val="clear" w:color="auto" w:fill="BFBFBF" w:themeFill="background1" w:themeFillShade="BF"/>
            <w:vAlign w:val="bottom"/>
          </w:tcPr>
          <w:p w14:paraId="777D19DB" w14:textId="3105E2AB" w:rsidR="00C31FE3" w:rsidRPr="007E4A43" w:rsidRDefault="003864A1" w:rsidP="00997984">
            <w:pPr>
              <w:spacing w:after="0"/>
              <w:rPr>
                <w:rFonts w:eastAsia="Times New Roman" w:cstheme="minorHAnsi"/>
                <w:b/>
                <w:bCs/>
                <w:color w:val="000000"/>
                <w:sz w:val="20"/>
                <w:szCs w:val="20"/>
              </w:rPr>
            </w:pPr>
            <w:r w:rsidRPr="007E4A43">
              <w:rPr>
                <w:rFonts w:eastAsia="Times New Roman" w:cstheme="minorHAnsi"/>
                <w:b/>
                <w:bCs/>
                <w:color w:val="000000"/>
                <w:sz w:val="20"/>
                <w:szCs w:val="20"/>
              </w:rPr>
              <w:t>TGA indication</w:t>
            </w:r>
          </w:p>
        </w:tc>
      </w:tr>
      <w:tr w:rsidR="00C31FE3" w:rsidRPr="007E4A43" w14:paraId="33120413" w14:textId="77777777" w:rsidTr="00C31FE3">
        <w:trPr>
          <w:trHeight w:val="20"/>
        </w:trPr>
        <w:tc>
          <w:tcPr>
            <w:tcW w:w="1843" w:type="dxa"/>
            <w:shd w:val="clear" w:color="000000" w:fill="FFFFFF"/>
            <w:vAlign w:val="center"/>
            <w:hideMark/>
          </w:tcPr>
          <w:p w14:paraId="135BB84E" w14:textId="19C2EE7B" w:rsidR="00C31FE3" w:rsidRPr="007E4A43" w:rsidRDefault="00C31FE3" w:rsidP="00997984">
            <w:pPr>
              <w:spacing w:after="0"/>
              <w:rPr>
                <w:rFonts w:eastAsia="Times New Roman" w:cstheme="minorHAnsi"/>
                <w:color w:val="000000"/>
                <w:sz w:val="20"/>
                <w:szCs w:val="20"/>
              </w:rPr>
            </w:pPr>
            <w:r w:rsidRPr="007E4A43">
              <w:rPr>
                <w:rFonts w:eastAsia="Times New Roman" w:cstheme="minorHAnsi"/>
                <w:color w:val="000000"/>
                <w:sz w:val="20"/>
                <w:szCs w:val="20"/>
              </w:rPr>
              <w:t xml:space="preserve">Ivacaftor </w:t>
            </w:r>
            <w:r w:rsidR="003864A1" w:rsidRPr="007E4A43">
              <w:rPr>
                <w:rFonts w:eastAsia="Times New Roman" w:cstheme="minorHAnsi"/>
                <w:color w:val="000000"/>
                <w:sz w:val="20"/>
                <w:szCs w:val="20"/>
              </w:rPr>
              <w:br/>
            </w:r>
            <w:r w:rsidRPr="007E4A43">
              <w:rPr>
                <w:rFonts w:eastAsia="Times New Roman" w:cstheme="minorHAnsi"/>
                <w:color w:val="000000"/>
                <w:sz w:val="20"/>
                <w:szCs w:val="20"/>
              </w:rPr>
              <w:t>(Kalydeco)</w:t>
            </w:r>
          </w:p>
        </w:tc>
        <w:tc>
          <w:tcPr>
            <w:tcW w:w="6946" w:type="dxa"/>
            <w:vAlign w:val="bottom"/>
            <w:hideMark/>
          </w:tcPr>
          <w:p w14:paraId="42E05462" w14:textId="16339A19" w:rsidR="00C31FE3" w:rsidRPr="007E4A43" w:rsidRDefault="00162005" w:rsidP="00997984">
            <w:pPr>
              <w:spacing w:after="0"/>
              <w:rPr>
                <w:rFonts w:eastAsia="Times New Roman" w:cstheme="minorHAnsi"/>
                <w:color w:val="000000"/>
                <w:sz w:val="20"/>
                <w:szCs w:val="20"/>
              </w:rPr>
            </w:pPr>
            <w:r w:rsidRPr="007E4A43">
              <w:rPr>
                <w:rFonts w:eastAsia="Times New Roman" w:cstheme="minorHAnsi"/>
                <w:color w:val="000000"/>
                <w:sz w:val="20"/>
                <w:szCs w:val="20"/>
              </w:rPr>
              <w:t>I</w:t>
            </w:r>
            <w:r w:rsidR="00C31FE3" w:rsidRPr="007E4A43">
              <w:rPr>
                <w:rFonts w:eastAsia="Times New Roman" w:cstheme="minorHAnsi"/>
                <w:color w:val="000000"/>
                <w:sz w:val="20"/>
                <w:szCs w:val="20"/>
              </w:rPr>
              <w:t xml:space="preserve">ndicated for the treatment of cystic fibrosis in patients aged </w:t>
            </w:r>
            <w:r w:rsidR="004F46C1" w:rsidRPr="007E4A43">
              <w:rPr>
                <w:rFonts w:eastAsia="Times New Roman" w:cstheme="minorHAnsi"/>
                <w:color w:val="000000"/>
                <w:sz w:val="20"/>
                <w:szCs w:val="20"/>
              </w:rPr>
              <w:t>1 month</w:t>
            </w:r>
            <w:r w:rsidR="00C31FE3" w:rsidRPr="007E4A43">
              <w:rPr>
                <w:rFonts w:eastAsia="Times New Roman" w:cstheme="minorHAnsi"/>
                <w:color w:val="000000"/>
                <w:sz w:val="20"/>
                <w:szCs w:val="20"/>
              </w:rPr>
              <w:t xml:space="preserve"> and older who have at least one mutation in the CFTR gene that is responsive to ivacaftor potentiation based on clinical and/or in vitro assay data</w:t>
            </w:r>
            <w:r w:rsidR="00634661" w:rsidRPr="007E4A43">
              <w:rPr>
                <w:rFonts w:eastAsia="Times New Roman" w:cstheme="minorHAnsi"/>
                <w:color w:val="000000"/>
                <w:sz w:val="20"/>
                <w:szCs w:val="20"/>
              </w:rPr>
              <w:t>.</w:t>
            </w:r>
          </w:p>
        </w:tc>
      </w:tr>
      <w:tr w:rsidR="00C31FE3" w:rsidRPr="007E4A43" w14:paraId="579095D3" w14:textId="77777777" w:rsidTr="00C31FE3">
        <w:trPr>
          <w:trHeight w:val="20"/>
        </w:trPr>
        <w:tc>
          <w:tcPr>
            <w:tcW w:w="1843" w:type="dxa"/>
            <w:shd w:val="clear" w:color="000000" w:fill="FFFFFF"/>
            <w:vAlign w:val="center"/>
            <w:hideMark/>
          </w:tcPr>
          <w:p w14:paraId="553329E3" w14:textId="54FF1C83" w:rsidR="00C31FE3" w:rsidRPr="007E4A43" w:rsidRDefault="006D4C82" w:rsidP="00997984">
            <w:pPr>
              <w:spacing w:after="0"/>
              <w:rPr>
                <w:rFonts w:eastAsia="Times New Roman" w:cstheme="minorHAnsi"/>
                <w:color w:val="000000"/>
                <w:sz w:val="20"/>
                <w:szCs w:val="20"/>
              </w:rPr>
            </w:pPr>
            <w:r w:rsidRPr="007E4A43">
              <w:rPr>
                <w:rFonts w:eastAsia="Times New Roman" w:cstheme="minorHAnsi"/>
                <w:color w:val="000000"/>
                <w:sz w:val="20"/>
                <w:szCs w:val="20"/>
              </w:rPr>
              <w:t>LUM/IVA</w:t>
            </w:r>
            <w:r w:rsidR="00C31FE3" w:rsidRPr="007E4A43">
              <w:rPr>
                <w:rFonts w:eastAsia="Times New Roman" w:cstheme="minorHAnsi"/>
                <w:color w:val="000000"/>
                <w:sz w:val="20"/>
                <w:szCs w:val="20"/>
              </w:rPr>
              <w:t xml:space="preserve"> </w:t>
            </w:r>
            <w:r w:rsidR="003864A1" w:rsidRPr="007E4A43">
              <w:rPr>
                <w:rFonts w:eastAsia="Times New Roman" w:cstheme="minorHAnsi"/>
                <w:color w:val="000000"/>
                <w:sz w:val="20"/>
                <w:szCs w:val="20"/>
              </w:rPr>
              <w:br/>
            </w:r>
            <w:r w:rsidR="00C31FE3" w:rsidRPr="007E4A43">
              <w:rPr>
                <w:rFonts w:eastAsia="Times New Roman" w:cstheme="minorHAnsi"/>
                <w:color w:val="000000"/>
                <w:sz w:val="20"/>
                <w:szCs w:val="20"/>
              </w:rPr>
              <w:t>(Orkambi)</w:t>
            </w:r>
          </w:p>
        </w:tc>
        <w:tc>
          <w:tcPr>
            <w:tcW w:w="6946" w:type="dxa"/>
            <w:vAlign w:val="bottom"/>
            <w:hideMark/>
          </w:tcPr>
          <w:p w14:paraId="33E79D76" w14:textId="7827BB8D" w:rsidR="00C31FE3" w:rsidRPr="007E4A43" w:rsidRDefault="00162005" w:rsidP="00997984">
            <w:pPr>
              <w:spacing w:after="0"/>
              <w:rPr>
                <w:rFonts w:eastAsia="Times New Roman" w:cstheme="minorHAnsi"/>
                <w:color w:val="000000"/>
                <w:sz w:val="20"/>
                <w:szCs w:val="20"/>
              </w:rPr>
            </w:pPr>
            <w:r w:rsidRPr="007E4A43">
              <w:rPr>
                <w:rFonts w:eastAsia="Times New Roman" w:cstheme="minorHAnsi"/>
                <w:color w:val="000000"/>
                <w:sz w:val="20"/>
                <w:szCs w:val="20"/>
              </w:rPr>
              <w:t xml:space="preserve">Indicated </w:t>
            </w:r>
            <w:r w:rsidR="00C31FE3" w:rsidRPr="007E4A43">
              <w:rPr>
                <w:rFonts w:eastAsia="Times New Roman" w:cstheme="minorHAnsi"/>
                <w:color w:val="000000"/>
                <w:sz w:val="20"/>
                <w:szCs w:val="20"/>
              </w:rPr>
              <w:t>for the treatment of cystic fibrosis in patients aged 1 year and older who are homozygous for the F508del mutation in the CFTR gene.</w:t>
            </w:r>
          </w:p>
        </w:tc>
      </w:tr>
      <w:tr w:rsidR="00C31FE3" w:rsidRPr="007E4A43" w14:paraId="3DA95BC3" w14:textId="77777777" w:rsidTr="00C31FE3">
        <w:trPr>
          <w:trHeight w:val="20"/>
        </w:trPr>
        <w:tc>
          <w:tcPr>
            <w:tcW w:w="1843" w:type="dxa"/>
            <w:shd w:val="clear" w:color="000000" w:fill="FFFFFF"/>
            <w:vAlign w:val="center"/>
            <w:hideMark/>
          </w:tcPr>
          <w:p w14:paraId="60D0B750" w14:textId="413F558C" w:rsidR="00C31FE3" w:rsidRPr="007E4A43" w:rsidRDefault="006D4C82" w:rsidP="00997984">
            <w:pPr>
              <w:spacing w:after="0"/>
              <w:rPr>
                <w:rFonts w:eastAsia="Times New Roman" w:cstheme="minorHAnsi"/>
                <w:color w:val="000000"/>
                <w:sz w:val="20"/>
                <w:szCs w:val="20"/>
              </w:rPr>
            </w:pPr>
            <w:r w:rsidRPr="007E4A43">
              <w:rPr>
                <w:rFonts w:eastAsia="Times New Roman" w:cstheme="minorHAnsi"/>
                <w:color w:val="000000"/>
                <w:sz w:val="20"/>
                <w:szCs w:val="20"/>
              </w:rPr>
              <w:t>TEZ/IVA</w:t>
            </w:r>
            <w:r w:rsidR="003864A1" w:rsidRPr="007E4A43">
              <w:rPr>
                <w:rFonts w:eastAsia="Times New Roman" w:cstheme="minorHAnsi"/>
                <w:color w:val="000000"/>
                <w:sz w:val="20"/>
                <w:szCs w:val="20"/>
              </w:rPr>
              <w:br/>
            </w:r>
            <w:r w:rsidR="00C31FE3" w:rsidRPr="007E4A43">
              <w:rPr>
                <w:rFonts w:eastAsia="Times New Roman" w:cstheme="minorHAnsi"/>
                <w:color w:val="000000"/>
                <w:sz w:val="20"/>
                <w:szCs w:val="20"/>
              </w:rPr>
              <w:t>(Symdeko)</w:t>
            </w:r>
          </w:p>
        </w:tc>
        <w:tc>
          <w:tcPr>
            <w:tcW w:w="6946" w:type="dxa"/>
            <w:vAlign w:val="bottom"/>
            <w:hideMark/>
          </w:tcPr>
          <w:p w14:paraId="4769B74A" w14:textId="1E05BDC8" w:rsidR="00C31FE3" w:rsidRPr="007E4A43" w:rsidRDefault="00162005" w:rsidP="00997984">
            <w:pPr>
              <w:spacing w:after="0"/>
              <w:rPr>
                <w:rFonts w:eastAsia="Times New Roman" w:cstheme="minorHAnsi"/>
                <w:color w:val="000000"/>
                <w:sz w:val="20"/>
                <w:szCs w:val="20"/>
              </w:rPr>
            </w:pPr>
            <w:r w:rsidRPr="007E4A43">
              <w:rPr>
                <w:rFonts w:eastAsia="Times New Roman" w:cstheme="minorHAnsi"/>
                <w:color w:val="000000"/>
                <w:sz w:val="20"/>
                <w:szCs w:val="20"/>
              </w:rPr>
              <w:t xml:space="preserve">Indicated </w:t>
            </w:r>
            <w:r w:rsidR="00C31FE3" w:rsidRPr="007E4A43">
              <w:rPr>
                <w:rFonts w:eastAsia="Times New Roman" w:cstheme="minorHAnsi"/>
                <w:color w:val="000000"/>
                <w:sz w:val="20"/>
                <w:szCs w:val="20"/>
              </w:rPr>
              <w:t>for the treatment of patients with cystic fibrosis aged 6 years and older who are homozygous for the F508del mutation or who have at least one mutation in the CFTR gene that is responsive to tezacaftor/ivacaftor based on in vitro data and/or clinical evidence.</w:t>
            </w:r>
          </w:p>
        </w:tc>
      </w:tr>
      <w:tr w:rsidR="00C31FE3" w:rsidRPr="007E4A43" w14:paraId="49C97E23" w14:textId="77777777" w:rsidTr="00C31FE3">
        <w:trPr>
          <w:trHeight w:val="20"/>
        </w:trPr>
        <w:tc>
          <w:tcPr>
            <w:tcW w:w="1843" w:type="dxa"/>
            <w:shd w:val="clear" w:color="000000" w:fill="FFFFFF"/>
            <w:vAlign w:val="center"/>
            <w:hideMark/>
          </w:tcPr>
          <w:p w14:paraId="2532256D" w14:textId="0EC0523C" w:rsidR="00C31FE3" w:rsidRPr="007E4A43" w:rsidRDefault="003B3472" w:rsidP="00997984">
            <w:pPr>
              <w:spacing w:after="0"/>
              <w:rPr>
                <w:rFonts w:eastAsia="Times New Roman" w:cstheme="minorHAnsi"/>
                <w:color w:val="000000"/>
                <w:sz w:val="20"/>
                <w:szCs w:val="20"/>
              </w:rPr>
            </w:pPr>
            <w:r w:rsidRPr="007E4A43">
              <w:rPr>
                <w:rFonts w:eastAsia="Times New Roman" w:cstheme="minorHAnsi"/>
                <w:color w:val="000000"/>
                <w:sz w:val="20"/>
                <w:szCs w:val="20"/>
              </w:rPr>
              <w:t>ELX/TEZ/IVA</w:t>
            </w:r>
            <w:r w:rsidR="00B43B7B" w:rsidRPr="007E4A43">
              <w:rPr>
                <w:rFonts w:eastAsia="Times New Roman" w:cstheme="minorHAnsi"/>
                <w:color w:val="000000"/>
                <w:sz w:val="20"/>
                <w:szCs w:val="20"/>
              </w:rPr>
              <w:t xml:space="preserve"> </w:t>
            </w:r>
            <w:r w:rsidR="00362AE7" w:rsidRPr="007E4A43">
              <w:rPr>
                <w:rFonts w:eastAsia="Times New Roman" w:cstheme="minorHAnsi"/>
                <w:color w:val="000000"/>
                <w:sz w:val="20"/>
                <w:szCs w:val="20"/>
              </w:rPr>
              <w:br/>
            </w:r>
            <w:r w:rsidR="00C31FE3" w:rsidRPr="007E4A43">
              <w:rPr>
                <w:rFonts w:eastAsia="Times New Roman" w:cstheme="minorHAnsi"/>
                <w:color w:val="000000"/>
                <w:sz w:val="20"/>
                <w:szCs w:val="20"/>
              </w:rPr>
              <w:t>(Trikafta)</w:t>
            </w:r>
          </w:p>
        </w:tc>
        <w:tc>
          <w:tcPr>
            <w:tcW w:w="6946" w:type="dxa"/>
            <w:vAlign w:val="bottom"/>
            <w:hideMark/>
          </w:tcPr>
          <w:p w14:paraId="1DA12307" w14:textId="19ACF185" w:rsidR="00C31FE3" w:rsidRPr="007E4A43" w:rsidRDefault="00162005" w:rsidP="004F46C1">
            <w:pPr>
              <w:spacing w:after="0"/>
              <w:rPr>
                <w:rFonts w:eastAsia="Times New Roman" w:cstheme="minorHAnsi"/>
                <w:color w:val="000000"/>
                <w:sz w:val="20"/>
                <w:szCs w:val="20"/>
              </w:rPr>
            </w:pPr>
            <w:r w:rsidRPr="007E4A43">
              <w:rPr>
                <w:rFonts w:eastAsia="Times New Roman" w:cstheme="minorHAnsi"/>
                <w:color w:val="000000"/>
                <w:sz w:val="20"/>
                <w:szCs w:val="20"/>
              </w:rPr>
              <w:t xml:space="preserve">Indicated </w:t>
            </w:r>
            <w:r w:rsidR="00C31FE3" w:rsidRPr="007E4A43">
              <w:rPr>
                <w:rFonts w:eastAsia="Times New Roman" w:cstheme="minorHAnsi"/>
                <w:color w:val="000000"/>
                <w:sz w:val="20"/>
                <w:szCs w:val="20"/>
              </w:rPr>
              <w:t xml:space="preserve">for the treatment of cystic fibrosis in patients aged 2 years and older </w:t>
            </w:r>
            <w:r w:rsidR="004F46C1" w:rsidRPr="007E4A43">
              <w:rPr>
                <w:rFonts w:eastAsia="Times New Roman" w:cstheme="minorHAnsi"/>
                <w:color w:val="000000"/>
                <w:sz w:val="20"/>
                <w:szCs w:val="20"/>
              </w:rPr>
              <w:t>who have at least one mutation in the CFTR gene that is responsive based on clinical</w:t>
            </w:r>
            <w:r w:rsidR="00A4211B" w:rsidRPr="007E4A43">
              <w:rPr>
                <w:rFonts w:eastAsia="Times New Roman" w:cstheme="minorHAnsi"/>
                <w:color w:val="000000"/>
                <w:sz w:val="20"/>
                <w:szCs w:val="20"/>
              </w:rPr>
              <w:t xml:space="preserve"> </w:t>
            </w:r>
            <w:r w:rsidR="004F46C1" w:rsidRPr="007E4A43">
              <w:rPr>
                <w:rFonts w:eastAsia="Times New Roman" w:cstheme="minorHAnsi"/>
                <w:color w:val="000000"/>
                <w:sz w:val="20"/>
                <w:szCs w:val="20"/>
              </w:rPr>
              <w:t>or in vitro evidence</w:t>
            </w:r>
            <w:r w:rsidR="00C31FE3" w:rsidRPr="007E4A43">
              <w:rPr>
                <w:rFonts w:eastAsia="Times New Roman" w:cstheme="minorHAnsi"/>
                <w:color w:val="000000"/>
                <w:sz w:val="20"/>
                <w:szCs w:val="20"/>
              </w:rPr>
              <w:t>.</w:t>
            </w:r>
          </w:p>
        </w:tc>
      </w:tr>
    </w:tbl>
    <w:p w14:paraId="1E393897" w14:textId="58445172" w:rsidR="001420B3" w:rsidRPr="007E4A43" w:rsidRDefault="001420B3" w:rsidP="00A35800"/>
    <w:p w14:paraId="15E919C1" w14:textId="1B3BA560" w:rsidR="006B709B" w:rsidRPr="007E4A43" w:rsidRDefault="006B709B" w:rsidP="00CF5E22">
      <w:pPr>
        <w:pStyle w:val="Heading2"/>
      </w:pPr>
      <w:r w:rsidRPr="007E4A43">
        <w:t>Dosage and administration</w:t>
      </w:r>
    </w:p>
    <w:p w14:paraId="53FFC74F" w14:textId="2BA7A7BC" w:rsidR="00CD621F" w:rsidRPr="007E4A43" w:rsidRDefault="005C44E1" w:rsidP="00A35800">
      <w:r w:rsidRPr="007E4A43">
        <w:t xml:space="preserve">The dosage of all CFTR modulators depends on the weight of the patient. The weight based dosing of </w:t>
      </w:r>
      <w:r w:rsidR="003B3472" w:rsidRPr="007E4A43">
        <w:t xml:space="preserve">ELX/TEZ/IVA </w:t>
      </w:r>
      <w:r w:rsidRPr="007E4A43">
        <w:t>is presented below.</w:t>
      </w:r>
    </w:p>
    <w:p w14:paraId="1CA6184B" w14:textId="7BF5A0CB" w:rsidR="00B410D4" w:rsidRPr="007E4A43"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2</w:t>
      </w:r>
      <w:r w:rsidRPr="007E4A43">
        <w:fldChar w:fldCharType="end"/>
      </w:r>
      <w:r w:rsidR="00B33ADF" w:rsidRPr="007E4A43">
        <w:t>: Dosage and administration of</w:t>
      </w:r>
      <w:r w:rsidR="00605049" w:rsidRPr="007E4A43">
        <w:t xml:space="preserve"> elexacaftor + tezacaftor + ivacaftor</w:t>
      </w:r>
    </w:p>
    <w:tbl>
      <w:tblPr>
        <w:tblStyle w:val="TableGrid"/>
        <w:tblW w:w="0" w:type="auto"/>
        <w:tblLook w:val="04A0" w:firstRow="1" w:lastRow="0" w:firstColumn="1" w:lastColumn="0" w:noHBand="0" w:noVBand="1"/>
      </w:tblPr>
      <w:tblGrid>
        <w:gridCol w:w="1486"/>
        <w:gridCol w:w="1256"/>
        <w:gridCol w:w="3597"/>
        <w:gridCol w:w="2608"/>
      </w:tblGrid>
      <w:tr w:rsidR="00C23356" w:rsidRPr="007E4A43" w14:paraId="580FB41E" w14:textId="77777777" w:rsidTr="00EC3804">
        <w:tc>
          <w:tcPr>
            <w:tcW w:w="1526" w:type="dxa"/>
            <w:shd w:val="clear" w:color="auto" w:fill="BFBFBF" w:themeFill="background1" w:themeFillShade="BF"/>
          </w:tcPr>
          <w:p w14:paraId="586923E7" w14:textId="03D9C9E1" w:rsidR="00C23356" w:rsidRPr="007E4A43" w:rsidRDefault="00C23356" w:rsidP="00A35800">
            <w:pPr>
              <w:rPr>
                <w:b/>
                <w:bCs/>
                <w:sz w:val="20"/>
                <w:szCs w:val="20"/>
              </w:rPr>
            </w:pPr>
            <w:r w:rsidRPr="007E4A43">
              <w:rPr>
                <w:b/>
                <w:bCs/>
                <w:sz w:val="20"/>
                <w:szCs w:val="20"/>
              </w:rPr>
              <w:t xml:space="preserve">Age </w:t>
            </w:r>
          </w:p>
        </w:tc>
        <w:tc>
          <w:tcPr>
            <w:tcW w:w="1276" w:type="dxa"/>
            <w:shd w:val="clear" w:color="auto" w:fill="BFBFBF" w:themeFill="background1" w:themeFillShade="BF"/>
          </w:tcPr>
          <w:p w14:paraId="54932ADC" w14:textId="475166F1" w:rsidR="00C23356" w:rsidRPr="007E4A43" w:rsidRDefault="00004871" w:rsidP="00A35800">
            <w:pPr>
              <w:rPr>
                <w:b/>
                <w:bCs/>
                <w:sz w:val="20"/>
                <w:szCs w:val="20"/>
              </w:rPr>
            </w:pPr>
            <w:r w:rsidRPr="007E4A43">
              <w:rPr>
                <w:b/>
                <w:bCs/>
                <w:sz w:val="20"/>
                <w:szCs w:val="20"/>
              </w:rPr>
              <w:t>Weight</w:t>
            </w:r>
          </w:p>
        </w:tc>
        <w:tc>
          <w:tcPr>
            <w:tcW w:w="3685" w:type="dxa"/>
            <w:shd w:val="clear" w:color="auto" w:fill="BFBFBF" w:themeFill="background1" w:themeFillShade="BF"/>
          </w:tcPr>
          <w:p w14:paraId="2CE02C57" w14:textId="6F2FBAD5" w:rsidR="00C23356" w:rsidRPr="007E4A43" w:rsidRDefault="00004871" w:rsidP="00A35800">
            <w:pPr>
              <w:rPr>
                <w:b/>
                <w:bCs/>
                <w:sz w:val="20"/>
                <w:szCs w:val="20"/>
              </w:rPr>
            </w:pPr>
            <w:r w:rsidRPr="007E4A43">
              <w:rPr>
                <w:b/>
                <w:bCs/>
                <w:sz w:val="20"/>
                <w:szCs w:val="20"/>
              </w:rPr>
              <w:t>Morning dose</w:t>
            </w:r>
          </w:p>
        </w:tc>
        <w:tc>
          <w:tcPr>
            <w:tcW w:w="2686" w:type="dxa"/>
            <w:shd w:val="clear" w:color="auto" w:fill="BFBFBF" w:themeFill="background1" w:themeFillShade="BF"/>
          </w:tcPr>
          <w:p w14:paraId="2F11C718" w14:textId="0EE4EB9F" w:rsidR="00C23356" w:rsidRPr="007E4A43" w:rsidRDefault="00004871" w:rsidP="00A35800">
            <w:pPr>
              <w:rPr>
                <w:b/>
                <w:bCs/>
                <w:sz w:val="20"/>
                <w:szCs w:val="20"/>
              </w:rPr>
            </w:pPr>
            <w:r w:rsidRPr="007E4A43">
              <w:rPr>
                <w:b/>
                <w:bCs/>
                <w:sz w:val="20"/>
                <w:szCs w:val="20"/>
              </w:rPr>
              <w:t>Evening dose</w:t>
            </w:r>
          </w:p>
        </w:tc>
      </w:tr>
      <w:tr w:rsidR="00C23356" w:rsidRPr="007E4A43" w14:paraId="6546F212" w14:textId="77777777" w:rsidTr="00EC3804">
        <w:tc>
          <w:tcPr>
            <w:tcW w:w="1526" w:type="dxa"/>
          </w:tcPr>
          <w:p w14:paraId="6D7DB8EA" w14:textId="23C19D11" w:rsidR="00C23356" w:rsidRPr="007E4A43" w:rsidRDefault="00004871" w:rsidP="00A35800">
            <w:pPr>
              <w:rPr>
                <w:sz w:val="20"/>
                <w:szCs w:val="20"/>
              </w:rPr>
            </w:pPr>
            <w:r w:rsidRPr="007E4A43">
              <w:rPr>
                <w:sz w:val="20"/>
                <w:szCs w:val="20"/>
              </w:rPr>
              <w:t xml:space="preserve">2 </w:t>
            </w:r>
            <w:r w:rsidR="00581866" w:rsidRPr="007E4A43">
              <w:rPr>
                <w:sz w:val="20"/>
                <w:szCs w:val="20"/>
              </w:rPr>
              <w:t>to</w:t>
            </w:r>
            <w:r w:rsidRPr="007E4A43">
              <w:rPr>
                <w:sz w:val="20"/>
                <w:szCs w:val="20"/>
              </w:rPr>
              <w:t xml:space="preserve"> &lt; 6 years</w:t>
            </w:r>
          </w:p>
        </w:tc>
        <w:tc>
          <w:tcPr>
            <w:tcW w:w="1276" w:type="dxa"/>
          </w:tcPr>
          <w:p w14:paraId="0B2BD6EE" w14:textId="5A4A53EA" w:rsidR="00C23356" w:rsidRPr="007E4A43" w:rsidRDefault="0026545F" w:rsidP="00A35800">
            <w:pPr>
              <w:rPr>
                <w:sz w:val="20"/>
                <w:szCs w:val="20"/>
              </w:rPr>
            </w:pPr>
            <w:r w:rsidRPr="007E4A43">
              <w:rPr>
                <w:sz w:val="20"/>
                <w:szCs w:val="20"/>
              </w:rPr>
              <w:t>&lt;14 kg</w:t>
            </w:r>
          </w:p>
        </w:tc>
        <w:tc>
          <w:tcPr>
            <w:tcW w:w="3685" w:type="dxa"/>
          </w:tcPr>
          <w:p w14:paraId="2BE12DEC" w14:textId="1707BAF1" w:rsidR="00C23356" w:rsidRPr="007E4A43" w:rsidRDefault="00BA43C8" w:rsidP="00581866">
            <w:pPr>
              <w:rPr>
                <w:sz w:val="20"/>
                <w:szCs w:val="20"/>
              </w:rPr>
            </w:pPr>
            <w:r w:rsidRPr="007E4A43">
              <w:rPr>
                <w:sz w:val="20"/>
                <w:szCs w:val="20"/>
              </w:rPr>
              <w:t>One sachet of elexacaftor 80</w:t>
            </w:r>
            <w:r w:rsidR="00581866" w:rsidRPr="007E4A43">
              <w:rPr>
                <w:sz w:val="20"/>
                <w:szCs w:val="20"/>
              </w:rPr>
              <w:t> </w:t>
            </w:r>
            <w:r w:rsidRPr="007E4A43">
              <w:rPr>
                <w:sz w:val="20"/>
                <w:szCs w:val="20"/>
              </w:rPr>
              <w:t>mg/tezacaftor</w:t>
            </w:r>
            <w:r w:rsidR="00581866" w:rsidRPr="007E4A43">
              <w:rPr>
                <w:sz w:val="20"/>
                <w:szCs w:val="20"/>
              </w:rPr>
              <w:t xml:space="preserve"> </w:t>
            </w:r>
            <w:r w:rsidRPr="007E4A43">
              <w:rPr>
                <w:sz w:val="20"/>
                <w:szCs w:val="20"/>
              </w:rPr>
              <w:t>40 mg/ivacaftor 60 mg granules</w:t>
            </w:r>
          </w:p>
        </w:tc>
        <w:tc>
          <w:tcPr>
            <w:tcW w:w="2686" w:type="dxa"/>
          </w:tcPr>
          <w:p w14:paraId="174C1B7F" w14:textId="77777777" w:rsidR="00363F15" w:rsidRPr="007E4A43" w:rsidRDefault="00363F15" w:rsidP="00363F15">
            <w:pPr>
              <w:rPr>
                <w:sz w:val="20"/>
                <w:szCs w:val="20"/>
              </w:rPr>
            </w:pPr>
            <w:r w:rsidRPr="007E4A43">
              <w:rPr>
                <w:sz w:val="20"/>
                <w:szCs w:val="20"/>
              </w:rPr>
              <w:t>One sachet of ivacaftor</w:t>
            </w:r>
          </w:p>
          <w:p w14:paraId="78AB78D1" w14:textId="5DC7964D" w:rsidR="00C23356" w:rsidRPr="007E4A43" w:rsidRDefault="00363F15" w:rsidP="00363F15">
            <w:pPr>
              <w:rPr>
                <w:sz w:val="20"/>
                <w:szCs w:val="20"/>
              </w:rPr>
            </w:pPr>
            <w:r w:rsidRPr="007E4A43">
              <w:rPr>
                <w:sz w:val="20"/>
                <w:szCs w:val="20"/>
              </w:rPr>
              <w:t>59.5 mg granules</w:t>
            </w:r>
          </w:p>
        </w:tc>
      </w:tr>
      <w:tr w:rsidR="00004871" w:rsidRPr="007E4A43" w14:paraId="38597D02" w14:textId="77777777" w:rsidTr="00EC3804">
        <w:tc>
          <w:tcPr>
            <w:tcW w:w="1526" w:type="dxa"/>
          </w:tcPr>
          <w:p w14:paraId="6DC17806" w14:textId="45E6599A" w:rsidR="00004871" w:rsidRPr="007E4A43" w:rsidRDefault="00004871" w:rsidP="00004871">
            <w:pPr>
              <w:rPr>
                <w:sz w:val="20"/>
                <w:szCs w:val="20"/>
              </w:rPr>
            </w:pPr>
            <w:r w:rsidRPr="007E4A43">
              <w:rPr>
                <w:sz w:val="20"/>
                <w:szCs w:val="20"/>
              </w:rPr>
              <w:t xml:space="preserve">2 </w:t>
            </w:r>
            <w:r w:rsidR="00581866" w:rsidRPr="007E4A43">
              <w:rPr>
                <w:sz w:val="20"/>
                <w:szCs w:val="20"/>
              </w:rPr>
              <w:t>to</w:t>
            </w:r>
            <w:r w:rsidRPr="007E4A43">
              <w:rPr>
                <w:sz w:val="20"/>
                <w:szCs w:val="20"/>
              </w:rPr>
              <w:t xml:space="preserve"> &lt; 6 years</w:t>
            </w:r>
          </w:p>
        </w:tc>
        <w:tc>
          <w:tcPr>
            <w:tcW w:w="1276" w:type="dxa"/>
          </w:tcPr>
          <w:p w14:paraId="32267611" w14:textId="7FA5426E" w:rsidR="00004871" w:rsidRPr="007E4A43" w:rsidRDefault="0026545F" w:rsidP="00004871">
            <w:pPr>
              <w:rPr>
                <w:sz w:val="20"/>
                <w:szCs w:val="20"/>
              </w:rPr>
            </w:pPr>
            <w:r w:rsidRPr="007E4A43">
              <w:rPr>
                <w:sz w:val="20"/>
                <w:szCs w:val="20"/>
              </w:rPr>
              <w:t>≥14 kg</w:t>
            </w:r>
          </w:p>
        </w:tc>
        <w:tc>
          <w:tcPr>
            <w:tcW w:w="3685" w:type="dxa"/>
          </w:tcPr>
          <w:p w14:paraId="088C35A2" w14:textId="79EEE39E" w:rsidR="00004871" w:rsidRPr="007E4A43" w:rsidRDefault="00BA43C8" w:rsidP="00581866">
            <w:pPr>
              <w:rPr>
                <w:sz w:val="20"/>
                <w:szCs w:val="20"/>
              </w:rPr>
            </w:pPr>
            <w:r w:rsidRPr="007E4A43">
              <w:rPr>
                <w:sz w:val="20"/>
                <w:szCs w:val="20"/>
              </w:rPr>
              <w:t>One sachet of elexacaftor</w:t>
            </w:r>
            <w:r w:rsidR="00581866" w:rsidRPr="007E4A43">
              <w:rPr>
                <w:sz w:val="20"/>
                <w:szCs w:val="20"/>
              </w:rPr>
              <w:t xml:space="preserve"> </w:t>
            </w:r>
            <w:r w:rsidRPr="007E4A43">
              <w:rPr>
                <w:sz w:val="20"/>
                <w:szCs w:val="20"/>
              </w:rPr>
              <w:t>100</w:t>
            </w:r>
            <w:r w:rsidR="00581866" w:rsidRPr="007E4A43">
              <w:rPr>
                <w:sz w:val="20"/>
                <w:szCs w:val="20"/>
              </w:rPr>
              <w:t> </w:t>
            </w:r>
            <w:r w:rsidRPr="007E4A43">
              <w:rPr>
                <w:sz w:val="20"/>
                <w:szCs w:val="20"/>
              </w:rPr>
              <w:t>mg/tezacaftor 50 mg/ivacaftor 75</w:t>
            </w:r>
            <w:r w:rsidR="00581866" w:rsidRPr="007E4A43">
              <w:rPr>
                <w:sz w:val="20"/>
                <w:szCs w:val="20"/>
              </w:rPr>
              <w:t> </w:t>
            </w:r>
            <w:r w:rsidRPr="007E4A43">
              <w:rPr>
                <w:sz w:val="20"/>
                <w:szCs w:val="20"/>
              </w:rPr>
              <w:t>mg</w:t>
            </w:r>
            <w:r w:rsidR="00581866" w:rsidRPr="007E4A43">
              <w:rPr>
                <w:sz w:val="20"/>
                <w:szCs w:val="20"/>
              </w:rPr>
              <w:t xml:space="preserve"> </w:t>
            </w:r>
            <w:r w:rsidRPr="007E4A43">
              <w:rPr>
                <w:sz w:val="20"/>
                <w:szCs w:val="20"/>
              </w:rPr>
              <w:t>granules</w:t>
            </w:r>
          </w:p>
        </w:tc>
        <w:tc>
          <w:tcPr>
            <w:tcW w:w="2686" w:type="dxa"/>
          </w:tcPr>
          <w:p w14:paraId="5CE2145C" w14:textId="77777777" w:rsidR="00363F15" w:rsidRPr="007E4A43" w:rsidRDefault="00363F15" w:rsidP="00363F15">
            <w:pPr>
              <w:rPr>
                <w:sz w:val="20"/>
                <w:szCs w:val="20"/>
              </w:rPr>
            </w:pPr>
            <w:r w:rsidRPr="007E4A43">
              <w:rPr>
                <w:sz w:val="20"/>
                <w:szCs w:val="20"/>
              </w:rPr>
              <w:t>One sachet of ivacaftor</w:t>
            </w:r>
          </w:p>
          <w:p w14:paraId="05F237F6" w14:textId="683407ED" w:rsidR="00004871" w:rsidRPr="007E4A43" w:rsidRDefault="00363F15" w:rsidP="00363F15">
            <w:pPr>
              <w:rPr>
                <w:sz w:val="20"/>
                <w:szCs w:val="20"/>
              </w:rPr>
            </w:pPr>
            <w:r w:rsidRPr="007E4A43">
              <w:rPr>
                <w:sz w:val="20"/>
                <w:szCs w:val="20"/>
              </w:rPr>
              <w:t>75 mg granules</w:t>
            </w:r>
          </w:p>
        </w:tc>
      </w:tr>
      <w:tr w:rsidR="00004871" w:rsidRPr="007E4A43" w14:paraId="30B30C3E" w14:textId="77777777" w:rsidTr="00EC3804">
        <w:tc>
          <w:tcPr>
            <w:tcW w:w="1526" w:type="dxa"/>
          </w:tcPr>
          <w:p w14:paraId="5C1D88BF" w14:textId="5ED03D9C" w:rsidR="00004871" w:rsidRPr="007E4A43" w:rsidRDefault="00004871" w:rsidP="00004871">
            <w:pPr>
              <w:rPr>
                <w:sz w:val="20"/>
                <w:szCs w:val="20"/>
              </w:rPr>
            </w:pPr>
            <w:r w:rsidRPr="007E4A43">
              <w:rPr>
                <w:sz w:val="20"/>
                <w:szCs w:val="20"/>
              </w:rPr>
              <w:t xml:space="preserve">6 </w:t>
            </w:r>
            <w:r w:rsidR="00581866" w:rsidRPr="007E4A43">
              <w:rPr>
                <w:sz w:val="20"/>
                <w:szCs w:val="20"/>
              </w:rPr>
              <w:t>to</w:t>
            </w:r>
            <w:r w:rsidRPr="007E4A43">
              <w:rPr>
                <w:sz w:val="20"/>
                <w:szCs w:val="20"/>
              </w:rPr>
              <w:t xml:space="preserve"> &lt;12 years</w:t>
            </w:r>
          </w:p>
        </w:tc>
        <w:tc>
          <w:tcPr>
            <w:tcW w:w="1276" w:type="dxa"/>
          </w:tcPr>
          <w:p w14:paraId="7413EB1D" w14:textId="203635E5" w:rsidR="00004871" w:rsidRPr="007E4A43" w:rsidRDefault="00BA43C8" w:rsidP="00004871">
            <w:pPr>
              <w:rPr>
                <w:sz w:val="20"/>
                <w:szCs w:val="20"/>
              </w:rPr>
            </w:pPr>
            <w:r w:rsidRPr="007E4A43">
              <w:rPr>
                <w:sz w:val="20"/>
                <w:szCs w:val="20"/>
              </w:rPr>
              <w:t>&lt;30 kg</w:t>
            </w:r>
          </w:p>
        </w:tc>
        <w:tc>
          <w:tcPr>
            <w:tcW w:w="3685" w:type="dxa"/>
          </w:tcPr>
          <w:p w14:paraId="3B2FAEAC" w14:textId="47331EA0" w:rsidR="00004871" w:rsidRPr="007E4A43" w:rsidRDefault="00363F15" w:rsidP="00581866">
            <w:pPr>
              <w:rPr>
                <w:sz w:val="20"/>
                <w:szCs w:val="20"/>
              </w:rPr>
            </w:pPr>
            <w:r w:rsidRPr="007E4A43">
              <w:rPr>
                <w:sz w:val="20"/>
                <w:szCs w:val="20"/>
              </w:rPr>
              <w:t>Two elexacaftor 50 mg/tezacaftor</w:t>
            </w:r>
            <w:r w:rsidR="00581866" w:rsidRPr="007E4A43">
              <w:rPr>
                <w:sz w:val="20"/>
                <w:szCs w:val="20"/>
              </w:rPr>
              <w:t xml:space="preserve"> </w:t>
            </w:r>
            <w:r w:rsidRPr="007E4A43">
              <w:rPr>
                <w:sz w:val="20"/>
                <w:szCs w:val="20"/>
              </w:rPr>
              <w:t>25</w:t>
            </w:r>
            <w:r w:rsidR="00581866" w:rsidRPr="007E4A43">
              <w:rPr>
                <w:sz w:val="20"/>
                <w:szCs w:val="20"/>
              </w:rPr>
              <w:t> </w:t>
            </w:r>
            <w:r w:rsidRPr="007E4A43">
              <w:rPr>
                <w:sz w:val="20"/>
                <w:szCs w:val="20"/>
              </w:rPr>
              <w:t>mg/ivacaftor 37.5 mg tablets</w:t>
            </w:r>
          </w:p>
        </w:tc>
        <w:tc>
          <w:tcPr>
            <w:tcW w:w="2686" w:type="dxa"/>
          </w:tcPr>
          <w:p w14:paraId="5575624F" w14:textId="77777777" w:rsidR="00363F15" w:rsidRPr="007E4A43" w:rsidRDefault="00363F15" w:rsidP="00363F15">
            <w:pPr>
              <w:rPr>
                <w:sz w:val="20"/>
                <w:szCs w:val="20"/>
              </w:rPr>
            </w:pPr>
            <w:r w:rsidRPr="007E4A43">
              <w:rPr>
                <w:sz w:val="20"/>
                <w:szCs w:val="20"/>
              </w:rPr>
              <w:t>One ivacaftor 75 mg</w:t>
            </w:r>
          </w:p>
          <w:p w14:paraId="2F4CCF22" w14:textId="134951A9" w:rsidR="00004871" w:rsidRPr="007E4A43" w:rsidRDefault="00363F15" w:rsidP="00363F15">
            <w:pPr>
              <w:rPr>
                <w:sz w:val="20"/>
                <w:szCs w:val="20"/>
              </w:rPr>
            </w:pPr>
            <w:r w:rsidRPr="007E4A43">
              <w:rPr>
                <w:sz w:val="20"/>
                <w:szCs w:val="20"/>
              </w:rPr>
              <w:t>tablet</w:t>
            </w:r>
          </w:p>
        </w:tc>
      </w:tr>
      <w:tr w:rsidR="00004871" w:rsidRPr="007E4A43" w14:paraId="0DCE5787" w14:textId="77777777" w:rsidTr="00EC3804">
        <w:tc>
          <w:tcPr>
            <w:tcW w:w="1526" w:type="dxa"/>
          </w:tcPr>
          <w:p w14:paraId="5FE96589" w14:textId="20425C76" w:rsidR="00004871" w:rsidRPr="007E4A43" w:rsidRDefault="00004871" w:rsidP="00004871">
            <w:pPr>
              <w:rPr>
                <w:sz w:val="20"/>
                <w:szCs w:val="20"/>
              </w:rPr>
            </w:pPr>
            <w:r w:rsidRPr="007E4A43">
              <w:rPr>
                <w:sz w:val="20"/>
                <w:szCs w:val="20"/>
              </w:rPr>
              <w:t xml:space="preserve">6 </w:t>
            </w:r>
            <w:r w:rsidR="00581866" w:rsidRPr="007E4A43">
              <w:rPr>
                <w:sz w:val="20"/>
                <w:szCs w:val="20"/>
              </w:rPr>
              <w:t>to</w:t>
            </w:r>
            <w:r w:rsidRPr="007E4A43">
              <w:rPr>
                <w:sz w:val="20"/>
                <w:szCs w:val="20"/>
              </w:rPr>
              <w:t xml:space="preserve"> &lt;12 years</w:t>
            </w:r>
          </w:p>
        </w:tc>
        <w:tc>
          <w:tcPr>
            <w:tcW w:w="1276" w:type="dxa"/>
          </w:tcPr>
          <w:p w14:paraId="17E92FC2" w14:textId="0CA0D6F0" w:rsidR="00004871" w:rsidRPr="007E4A43" w:rsidRDefault="00BA43C8" w:rsidP="00004871">
            <w:pPr>
              <w:rPr>
                <w:sz w:val="20"/>
                <w:szCs w:val="20"/>
              </w:rPr>
            </w:pPr>
            <w:r w:rsidRPr="007E4A43">
              <w:rPr>
                <w:sz w:val="20"/>
                <w:szCs w:val="20"/>
              </w:rPr>
              <w:t>≥30 kg</w:t>
            </w:r>
          </w:p>
        </w:tc>
        <w:tc>
          <w:tcPr>
            <w:tcW w:w="3685" w:type="dxa"/>
          </w:tcPr>
          <w:p w14:paraId="67D9EA09" w14:textId="73C32497" w:rsidR="00004871" w:rsidRPr="007E4A43" w:rsidRDefault="00363F15" w:rsidP="00581866">
            <w:pPr>
              <w:rPr>
                <w:sz w:val="20"/>
                <w:szCs w:val="20"/>
              </w:rPr>
            </w:pPr>
            <w:r w:rsidRPr="007E4A43">
              <w:rPr>
                <w:sz w:val="20"/>
                <w:szCs w:val="20"/>
              </w:rPr>
              <w:t>Two elexacaftor 100 mg/tezacaftor</w:t>
            </w:r>
            <w:r w:rsidR="00581866" w:rsidRPr="007E4A43">
              <w:rPr>
                <w:sz w:val="20"/>
                <w:szCs w:val="20"/>
              </w:rPr>
              <w:t xml:space="preserve"> </w:t>
            </w:r>
            <w:r w:rsidRPr="007E4A43">
              <w:rPr>
                <w:sz w:val="20"/>
                <w:szCs w:val="20"/>
              </w:rPr>
              <w:t>50</w:t>
            </w:r>
            <w:r w:rsidR="00581866" w:rsidRPr="007E4A43">
              <w:rPr>
                <w:sz w:val="20"/>
                <w:szCs w:val="20"/>
              </w:rPr>
              <w:t> </w:t>
            </w:r>
            <w:r w:rsidRPr="007E4A43">
              <w:rPr>
                <w:sz w:val="20"/>
                <w:szCs w:val="20"/>
              </w:rPr>
              <w:t>mg/ivacaftor 75 mg tablets</w:t>
            </w:r>
          </w:p>
        </w:tc>
        <w:tc>
          <w:tcPr>
            <w:tcW w:w="2686" w:type="dxa"/>
          </w:tcPr>
          <w:p w14:paraId="73D8B7FB" w14:textId="77777777" w:rsidR="00EC3804" w:rsidRPr="007E4A43" w:rsidRDefault="00EC3804" w:rsidP="00EC3804">
            <w:pPr>
              <w:rPr>
                <w:sz w:val="20"/>
                <w:szCs w:val="20"/>
              </w:rPr>
            </w:pPr>
            <w:r w:rsidRPr="007E4A43">
              <w:rPr>
                <w:sz w:val="20"/>
                <w:szCs w:val="20"/>
              </w:rPr>
              <w:t>One ivacaftor 150 mg</w:t>
            </w:r>
          </w:p>
          <w:p w14:paraId="2DF43CD4" w14:textId="5C171922" w:rsidR="00004871" w:rsidRPr="007E4A43" w:rsidRDefault="00EC3804" w:rsidP="00EC3804">
            <w:pPr>
              <w:rPr>
                <w:sz w:val="20"/>
                <w:szCs w:val="20"/>
              </w:rPr>
            </w:pPr>
            <w:r w:rsidRPr="007E4A43">
              <w:rPr>
                <w:sz w:val="20"/>
                <w:szCs w:val="20"/>
              </w:rPr>
              <w:t>tablet</w:t>
            </w:r>
          </w:p>
        </w:tc>
      </w:tr>
      <w:tr w:rsidR="00004871" w:rsidRPr="007E4A43" w14:paraId="00BE07A2" w14:textId="77777777" w:rsidTr="00EC3804">
        <w:tc>
          <w:tcPr>
            <w:tcW w:w="1526" w:type="dxa"/>
          </w:tcPr>
          <w:p w14:paraId="40008699" w14:textId="430D023B" w:rsidR="0026545F" w:rsidRPr="007E4A43" w:rsidRDefault="0026545F" w:rsidP="00004871">
            <w:pPr>
              <w:rPr>
                <w:sz w:val="20"/>
                <w:szCs w:val="20"/>
              </w:rPr>
            </w:pPr>
            <w:r w:rsidRPr="007E4A43">
              <w:rPr>
                <w:rFonts w:cstheme="minorHAnsi"/>
                <w:sz w:val="20"/>
                <w:szCs w:val="20"/>
              </w:rPr>
              <w:t>≥</w:t>
            </w:r>
            <w:r w:rsidRPr="007E4A43">
              <w:rPr>
                <w:sz w:val="20"/>
                <w:szCs w:val="20"/>
              </w:rPr>
              <w:t>12 years</w:t>
            </w:r>
          </w:p>
        </w:tc>
        <w:tc>
          <w:tcPr>
            <w:tcW w:w="1276" w:type="dxa"/>
          </w:tcPr>
          <w:p w14:paraId="6F386A08" w14:textId="116262F9" w:rsidR="00004871" w:rsidRPr="007E4A43" w:rsidRDefault="00BA43C8" w:rsidP="00004871">
            <w:pPr>
              <w:rPr>
                <w:sz w:val="20"/>
                <w:szCs w:val="20"/>
              </w:rPr>
            </w:pPr>
            <w:r w:rsidRPr="007E4A43">
              <w:rPr>
                <w:sz w:val="20"/>
                <w:szCs w:val="20"/>
              </w:rPr>
              <w:t>-</w:t>
            </w:r>
          </w:p>
        </w:tc>
        <w:tc>
          <w:tcPr>
            <w:tcW w:w="3685" w:type="dxa"/>
          </w:tcPr>
          <w:p w14:paraId="62489590" w14:textId="17913AB9" w:rsidR="00004871" w:rsidRPr="007E4A43" w:rsidRDefault="00363F15" w:rsidP="00581866">
            <w:pPr>
              <w:rPr>
                <w:sz w:val="20"/>
                <w:szCs w:val="20"/>
              </w:rPr>
            </w:pPr>
            <w:r w:rsidRPr="007E4A43">
              <w:rPr>
                <w:sz w:val="20"/>
                <w:szCs w:val="20"/>
              </w:rPr>
              <w:t>Two elexacaftor 100 mg/tezacaftor</w:t>
            </w:r>
            <w:r w:rsidR="00581866" w:rsidRPr="007E4A43">
              <w:rPr>
                <w:sz w:val="20"/>
                <w:szCs w:val="20"/>
              </w:rPr>
              <w:t xml:space="preserve"> </w:t>
            </w:r>
            <w:r w:rsidRPr="007E4A43">
              <w:rPr>
                <w:sz w:val="20"/>
                <w:szCs w:val="20"/>
              </w:rPr>
              <w:t>50</w:t>
            </w:r>
            <w:r w:rsidR="00581866" w:rsidRPr="007E4A43">
              <w:rPr>
                <w:sz w:val="20"/>
                <w:szCs w:val="20"/>
              </w:rPr>
              <w:t> </w:t>
            </w:r>
            <w:r w:rsidRPr="007E4A43">
              <w:rPr>
                <w:sz w:val="20"/>
                <w:szCs w:val="20"/>
              </w:rPr>
              <w:t>mg/ivacaftor 75 mg tablets</w:t>
            </w:r>
          </w:p>
        </w:tc>
        <w:tc>
          <w:tcPr>
            <w:tcW w:w="2686" w:type="dxa"/>
          </w:tcPr>
          <w:p w14:paraId="6FB2C510" w14:textId="77777777" w:rsidR="00EC3804" w:rsidRPr="007E4A43" w:rsidRDefault="00EC3804" w:rsidP="00EC3804">
            <w:pPr>
              <w:rPr>
                <w:sz w:val="20"/>
                <w:szCs w:val="20"/>
              </w:rPr>
            </w:pPr>
            <w:r w:rsidRPr="007E4A43">
              <w:rPr>
                <w:sz w:val="20"/>
                <w:szCs w:val="20"/>
              </w:rPr>
              <w:t>One ivacaftor 150 mg</w:t>
            </w:r>
          </w:p>
          <w:p w14:paraId="159E9B71" w14:textId="383EF8F7" w:rsidR="00004871" w:rsidRPr="007E4A43" w:rsidRDefault="00EC3804" w:rsidP="00EC3804">
            <w:pPr>
              <w:rPr>
                <w:sz w:val="20"/>
                <w:szCs w:val="20"/>
              </w:rPr>
            </w:pPr>
            <w:r w:rsidRPr="007E4A43">
              <w:rPr>
                <w:sz w:val="20"/>
                <w:szCs w:val="20"/>
              </w:rPr>
              <w:t>tablet</w:t>
            </w:r>
          </w:p>
        </w:tc>
      </w:tr>
    </w:tbl>
    <w:p w14:paraId="08559CD9" w14:textId="16DB6099" w:rsidR="00A35800" w:rsidRPr="007E4A43" w:rsidRDefault="003370D0" w:rsidP="00EC498E">
      <w:pPr>
        <w:pStyle w:val="Notes"/>
      </w:pPr>
      <w:r w:rsidRPr="007E4A43">
        <w:t>Source:</w:t>
      </w:r>
      <w:r w:rsidR="0045625A" w:rsidRPr="007E4A43">
        <w:t xml:space="preserve"> </w:t>
      </w:r>
      <w:r w:rsidR="00A17E55" w:rsidRPr="007E4A43">
        <w:t>Trikafta (</w:t>
      </w:r>
      <w:r w:rsidR="0045625A" w:rsidRPr="007E4A43">
        <w:t>elexacaftor + tezacaftor + ivacaftor</w:t>
      </w:r>
      <w:r w:rsidR="00A17E55" w:rsidRPr="007E4A43">
        <w:t>)</w:t>
      </w:r>
      <w:r w:rsidR="0045625A" w:rsidRPr="007E4A43">
        <w:t xml:space="preserve"> </w:t>
      </w:r>
      <w:r w:rsidR="00EC552F" w:rsidRPr="007E4A43">
        <w:t>Australian Approved Product Information.</w:t>
      </w:r>
      <w:r w:rsidR="008D190F" w:rsidRPr="007E4A43">
        <w:rPr>
          <w:rStyle w:val="FootnoteReference"/>
        </w:rPr>
        <w:footnoteReference w:id="5"/>
      </w:r>
      <w:r w:rsidR="00EC552F" w:rsidRPr="007E4A43">
        <w:t xml:space="preserve"> </w:t>
      </w:r>
    </w:p>
    <w:p w14:paraId="52A2A9DB" w14:textId="572A0D6B" w:rsidR="00874D0C" w:rsidRPr="007E4A43" w:rsidRDefault="00874D0C" w:rsidP="00874D0C">
      <w:r w:rsidRPr="007E4A43">
        <w:lastRenderedPageBreak/>
        <w:t xml:space="preserve">The Product Information (PI) includes recommended dosage adjustments for hepatic impairment and for concomitant use of moderate CYP3A inhibitors (e.g., fluconazole, erythromycin, verapamil) or strong CYP3A inhibitors (e.g., ketoconazole, itraconazole, posaconazole, voriconazole, telithromycin, and clarithromycin). </w:t>
      </w:r>
    </w:p>
    <w:p w14:paraId="6682A05C" w14:textId="210B7A39" w:rsidR="00F17D4B" w:rsidRPr="007E4A43" w:rsidRDefault="00F17D4B" w:rsidP="00F17D4B">
      <w:r w:rsidRPr="007E4A43">
        <w:t xml:space="preserve">The current PI and Consumer Medicine Information (CMI) are available from </w:t>
      </w:r>
      <w:hyperlink r:id="rId8" w:history="1">
        <w:r w:rsidRPr="007E4A43">
          <w:rPr>
            <w:rStyle w:val="Hyperlink"/>
          </w:rPr>
          <w:t>the TGA (Product Information)</w:t>
        </w:r>
      </w:hyperlink>
      <w:r w:rsidRPr="007E4A43">
        <w:t xml:space="preserve"> and </w:t>
      </w:r>
      <w:hyperlink r:id="rId9" w:history="1">
        <w:r w:rsidRPr="007E4A43">
          <w:rPr>
            <w:rStyle w:val="Hyperlink"/>
          </w:rPr>
          <w:t>the TGA (Consumer Medicines Information)</w:t>
        </w:r>
      </w:hyperlink>
      <w:r w:rsidRPr="007E4A43">
        <w:t>.</w:t>
      </w:r>
    </w:p>
    <w:p w14:paraId="46E2BB42" w14:textId="7DB3FCB7" w:rsidR="00DF0B13" w:rsidRPr="007E4A43" w:rsidDel="00EE2BBB" w:rsidRDefault="00DF0B13" w:rsidP="00CF5E22">
      <w:pPr>
        <w:pStyle w:val="Heading2"/>
      </w:pPr>
      <w:r w:rsidRPr="007E4A43" w:rsidDel="00EE2BBB">
        <w:t>PBS listing details</w:t>
      </w:r>
      <w:r w:rsidR="00D151EB" w:rsidRPr="007E4A43" w:rsidDel="00EE2BBB">
        <w:t xml:space="preserve"> (as at </w:t>
      </w:r>
      <w:r w:rsidR="00B52EFC" w:rsidRPr="007E4A43">
        <w:t>July 2025</w:t>
      </w:r>
      <w:r w:rsidR="00D151EB" w:rsidRPr="007E4A43" w:rsidDel="00EE2BBB">
        <w:t>)</w:t>
      </w:r>
    </w:p>
    <w:p w14:paraId="1D47784A" w14:textId="0BB105C0" w:rsidR="001420B3" w:rsidRPr="007E4A43" w:rsidDel="00EE2BBB"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3</w:t>
      </w:r>
      <w:r w:rsidRPr="007E4A43">
        <w:fldChar w:fldCharType="end"/>
      </w:r>
      <w:r w:rsidRPr="007E4A43">
        <w:t>:</w:t>
      </w:r>
      <w:r w:rsidR="001420B3" w:rsidRPr="007E4A43" w:rsidDel="00EE2BBB">
        <w:t xml:space="preserve"> </w:t>
      </w:r>
      <w:r w:rsidR="009663B6" w:rsidRPr="007E4A43" w:rsidDel="00EE2BBB">
        <w:t>PB</w:t>
      </w:r>
      <w:r w:rsidR="00D151EB" w:rsidRPr="007E4A43" w:rsidDel="00EE2BBB">
        <w:t xml:space="preserve">S listing of </w:t>
      </w:r>
      <w:r w:rsidR="00EC498E" w:rsidRPr="007E4A43">
        <w:t>ELX/TEZ/IVA</w:t>
      </w:r>
    </w:p>
    <w:tbl>
      <w:tblPr>
        <w:tblStyle w:val="TableGrid"/>
        <w:tblW w:w="9064" w:type="dxa"/>
        <w:tblLayout w:type="fixed"/>
        <w:tblLook w:val="04A0" w:firstRow="1" w:lastRow="0" w:firstColumn="1" w:lastColumn="0" w:noHBand="0" w:noVBand="1"/>
      </w:tblPr>
      <w:tblGrid>
        <w:gridCol w:w="969"/>
        <w:gridCol w:w="3534"/>
        <w:gridCol w:w="850"/>
        <w:gridCol w:w="709"/>
        <w:gridCol w:w="1276"/>
        <w:gridCol w:w="1726"/>
      </w:tblGrid>
      <w:tr w:rsidR="0093111F" w:rsidRPr="007E4A43" w:rsidDel="00EE2BBB" w14:paraId="6AA19A37" w14:textId="77B518AD" w:rsidTr="00821728">
        <w:trPr>
          <w:trHeight w:val="694"/>
          <w:tblHeader/>
        </w:trPr>
        <w:tc>
          <w:tcPr>
            <w:tcW w:w="969" w:type="dxa"/>
            <w:shd w:val="clear" w:color="auto" w:fill="BFBFBF" w:themeFill="background1" w:themeFillShade="BF"/>
          </w:tcPr>
          <w:p w14:paraId="56A3DEA0" w14:textId="1A878237" w:rsidR="0093111F" w:rsidRPr="007E4A43" w:rsidDel="00EE2BBB" w:rsidRDefault="0093111F" w:rsidP="00821728">
            <w:pPr>
              <w:pStyle w:val="Tableheading"/>
              <w:keepNext/>
              <w:rPr>
                <w:rFonts w:cstheme="minorHAnsi"/>
                <w:sz w:val="20"/>
                <w:szCs w:val="20"/>
              </w:rPr>
            </w:pPr>
            <w:r w:rsidRPr="007E4A43" w:rsidDel="00EE2BBB">
              <w:rPr>
                <w:rFonts w:cstheme="minorHAnsi"/>
                <w:sz w:val="20"/>
                <w:szCs w:val="20"/>
              </w:rPr>
              <w:t>Item</w:t>
            </w:r>
          </w:p>
        </w:tc>
        <w:tc>
          <w:tcPr>
            <w:tcW w:w="3534" w:type="dxa"/>
            <w:shd w:val="clear" w:color="auto" w:fill="BFBFBF" w:themeFill="background1" w:themeFillShade="BF"/>
          </w:tcPr>
          <w:p w14:paraId="67A07252" w14:textId="6DE43662" w:rsidR="0093111F" w:rsidRPr="007E4A43" w:rsidDel="00EE2BBB" w:rsidRDefault="0093111F" w:rsidP="00821728">
            <w:pPr>
              <w:pStyle w:val="Tableheading"/>
              <w:keepNext/>
              <w:rPr>
                <w:rFonts w:cstheme="minorHAnsi"/>
                <w:sz w:val="20"/>
                <w:szCs w:val="20"/>
              </w:rPr>
            </w:pPr>
            <w:r w:rsidRPr="007E4A43" w:rsidDel="00EE2BBB">
              <w:rPr>
                <w:rFonts w:cstheme="minorHAnsi"/>
                <w:sz w:val="20"/>
                <w:szCs w:val="20"/>
              </w:rPr>
              <w:t>Name, form &amp; strength, pack size</w:t>
            </w:r>
          </w:p>
        </w:tc>
        <w:tc>
          <w:tcPr>
            <w:tcW w:w="850" w:type="dxa"/>
            <w:shd w:val="clear" w:color="auto" w:fill="BFBFBF" w:themeFill="background1" w:themeFillShade="BF"/>
          </w:tcPr>
          <w:p w14:paraId="114E9799" w14:textId="71E76A27" w:rsidR="0093111F" w:rsidRPr="007E4A43" w:rsidDel="00EE2BBB" w:rsidRDefault="0093111F" w:rsidP="00821728">
            <w:pPr>
              <w:pStyle w:val="Tableheading"/>
              <w:keepNext/>
              <w:rPr>
                <w:rFonts w:cstheme="minorHAnsi"/>
                <w:sz w:val="20"/>
                <w:szCs w:val="20"/>
              </w:rPr>
            </w:pPr>
            <w:r w:rsidRPr="007E4A43" w:rsidDel="00EE2BBB">
              <w:rPr>
                <w:rFonts w:cstheme="minorHAnsi"/>
                <w:sz w:val="20"/>
                <w:szCs w:val="20"/>
              </w:rPr>
              <w:t>Max</w:t>
            </w:r>
            <w:r w:rsidR="00A13C60" w:rsidRPr="007E4A43" w:rsidDel="00EE2BBB">
              <w:rPr>
                <w:rFonts w:cstheme="minorHAnsi"/>
                <w:sz w:val="20"/>
                <w:szCs w:val="20"/>
              </w:rPr>
              <w:t xml:space="preserve">. </w:t>
            </w:r>
            <w:r w:rsidRPr="007E4A43" w:rsidDel="00EE2BBB">
              <w:rPr>
                <w:rFonts w:cstheme="minorHAnsi"/>
                <w:sz w:val="20"/>
                <w:szCs w:val="20"/>
              </w:rPr>
              <w:t xml:space="preserve">quant. </w:t>
            </w:r>
          </w:p>
        </w:tc>
        <w:tc>
          <w:tcPr>
            <w:tcW w:w="709" w:type="dxa"/>
            <w:shd w:val="clear" w:color="auto" w:fill="BFBFBF" w:themeFill="background1" w:themeFillShade="BF"/>
          </w:tcPr>
          <w:p w14:paraId="0F1A79F7" w14:textId="170F6D44" w:rsidR="0093111F" w:rsidRPr="007E4A43" w:rsidDel="00EE2BBB" w:rsidRDefault="0093111F" w:rsidP="00821728">
            <w:pPr>
              <w:pStyle w:val="Tableheading"/>
              <w:keepNext/>
              <w:rPr>
                <w:rFonts w:cstheme="minorHAnsi"/>
                <w:sz w:val="20"/>
                <w:szCs w:val="20"/>
              </w:rPr>
            </w:pPr>
            <w:r w:rsidRPr="007E4A43" w:rsidDel="00EE2BBB">
              <w:rPr>
                <w:rFonts w:cstheme="minorHAnsi"/>
                <w:sz w:val="20"/>
                <w:szCs w:val="20"/>
              </w:rPr>
              <w:t xml:space="preserve">Rpts </w:t>
            </w:r>
          </w:p>
        </w:tc>
        <w:tc>
          <w:tcPr>
            <w:tcW w:w="1276" w:type="dxa"/>
            <w:shd w:val="clear" w:color="auto" w:fill="BFBFBF" w:themeFill="background1" w:themeFillShade="BF"/>
          </w:tcPr>
          <w:p w14:paraId="05C5A0BF" w14:textId="2CFF9AC9" w:rsidR="0093111F" w:rsidRPr="007E4A43" w:rsidDel="00EE2BBB" w:rsidRDefault="0093111F" w:rsidP="00821728">
            <w:pPr>
              <w:pStyle w:val="Tableheading"/>
              <w:keepNext/>
              <w:rPr>
                <w:rFonts w:cstheme="minorHAnsi"/>
                <w:sz w:val="20"/>
                <w:szCs w:val="20"/>
              </w:rPr>
            </w:pPr>
            <w:r w:rsidRPr="007E4A43" w:rsidDel="00EE2BBB">
              <w:rPr>
                <w:rFonts w:cstheme="minorHAnsi"/>
                <w:sz w:val="20"/>
                <w:szCs w:val="20"/>
              </w:rPr>
              <w:t>DPMQ</w:t>
            </w:r>
          </w:p>
        </w:tc>
        <w:tc>
          <w:tcPr>
            <w:tcW w:w="1726" w:type="dxa"/>
            <w:shd w:val="clear" w:color="auto" w:fill="BFBFBF" w:themeFill="background1" w:themeFillShade="BF"/>
          </w:tcPr>
          <w:p w14:paraId="09B472B7" w14:textId="479D46E2" w:rsidR="0093111F" w:rsidRPr="007E4A43" w:rsidDel="00EE2BBB" w:rsidRDefault="0093111F" w:rsidP="00821728">
            <w:pPr>
              <w:pStyle w:val="Tableheading"/>
              <w:keepNext/>
              <w:rPr>
                <w:rFonts w:cstheme="minorHAnsi"/>
                <w:sz w:val="20"/>
                <w:szCs w:val="20"/>
              </w:rPr>
            </w:pPr>
            <w:r w:rsidRPr="007E4A43" w:rsidDel="00EE2BBB">
              <w:rPr>
                <w:rFonts w:cstheme="minorHAnsi"/>
                <w:sz w:val="20"/>
                <w:szCs w:val="20"/>
              </w:rPr>
              <w:t>Brand name and manufacturer</w:t>
            </w:r>
          </w:p>
        </w:tc>
      </w:tr>
      <w:tr w:rsidR="0036103F" w:rsidRPr="007E4A43" w:rsidDel="00EE2BBB" w14:paraId="39E94E51" w14:textId="77777777" w:rsidTr="00E876BB">
        <w:trPr>
          <w:trHeight w:val="340"/>
          <w:tblHeader/>
        </w:trPr>
        <w:tc>
          <w:tcPr>
            <w:tcW w:w="7338" w:type="dxa"/>
            <w:gridSpan w:val="5"/>
            <w:vAlign w:val="center"/>
          </w:tcPr>
          <w:p w14:paraId="354872B3" w14:textId="5CD03C17" w:rsidR="0036103F" w:rsidRPr="007E4A43" w:rsidDel="00EE2BBB" w:rsidRDefault="000F39CE" w:rsidP="000F39CE">
            <w:pPr>
              <w:pStyle w:val="Tableheading"/>
              <w:keepNext/>
              <w:jc w:val="left"/>
              <w:rPr>
                <w:rFonts w:cstheme="minorHAnsi"/>
                <w:b w:val="0"/>
                <w:bCs/>
                <w:sz w:val="20"/>
                <w:szCs w:val="20"/>
              </w:rPr>
            </w:pPr>
            <w:r w:rsidRPr="007E4A43">
              <w:rPr>
                <w:rFonts w:cstheme="minorHAnsi"/>
                <w:b w:val="0"/>
                <w:bCs/>
                <w:sz w:val="20"/>
                <w:szCs w:val="20"/>
              </w:rPr>
              <w:t>S100 HSD Private</w:t>
            </w:r>
          </w:p>
        </w:tc>
        <w:tc>
          <w:tcPr>
            <w:tcW w:w="1726" w:type="dxa"/>
          </w:tcPr>
          <w:p w14:paraId="376507CE" w14:textId="77777777" w:rsidR="0036103F" w:rsidRPr="007E4A43" w:rsidDel="00EE2BBB" w:rsidRDefault="0036103F" w:rsidP="00821728">
            <w:pPr>
              <w:pStyle w:val="Tableheading"/>
              <w:keepNext/>
              <w:rPr>
                <w:rFonts w:cstheme="minorHAnsi"/>
                <w:sz w:val="20"/>
                <w:szCs w:val="20"/>
              </w:rPr>
            </w:pPr>
          </w:p>
        </w:tc>
      </w:tr>
      <w:tr w:rsidR="00041550" w:rsidRPr="007E4A43" w:rsidDel="00EE2BBB" w14:paraId="2AF9D84B" w14:textId="0D323411" w:rsidTr="008E3E9E">
        <w:trPr>
          <w:trHeight w:val="552"/>
          <w:tblHeader/>
        </w:trPr>
        <w:tc>
          <w:tcPr>
            <w:tcW w:w="969" w:type="dxa"/>
            <w:vAlign w:val="center"/>
          </w:tcPr>
          <w:p w14:paraId="0A3E3442" w14:textId="62788DF9" w:rsidR="00041550" w:rsidRPr="007E4A43" w:rsidDel="00EE2BBB" w:rsidRDefault="00041550" w:rsidP="00041550">
            <w:pPr>
              <w:pStyle w:val="Tablewriting"/>
              <w:keepNext/>
              <w:rPr>
                <w:rFonts w:cstheme="minorHAnsi"/>
              </w:rPr>
            </w:pPr>
            <w:r w:rsidRPr="007E4A43">
              <w:rPr>
                <w:rFonts w:ascii="Calibri" w:hAnsi="Calibri" w:cstheme="minorHAnsi"/>
              </w:rPr>
              <w:t>12938Y</w:t>
            </w:r>
          </w:p>
        </w:tc>
        <w:tc>
          <w:tcPr>
            <w:tcW w:w="3534" w:type="dxa"/>
            <w:vAlign w:val="center"/>
          </w:tcPr>
          <w:p w14:paraId="0F676F51" w14:textId="740D981B" w:rsidR="00041550" w:rsidRPr="007E4A43" w:rsidDel="00EE2BBB" w:rsidRDefault="00041550" w:rsidP="00041550">
            <w:pPr>
              <w:pStyle w:val="Tablewriting"/>
              <w:keepNext/>
              <w:rPr>
                <w:rFonts w:cstheme="minorHAnsi"/>
              </w:rPr>
            </w:pPr>
            <w:r w:rsidRPr="007E4A43">
              <w:rPr>
                <w:rFonts w:ascii="Calibri" w:hAnsi="Calibri" w:cstheme="minorHAnsi"/>
              </w:rPr>
              <w:t>elexacaftor 100 mg + tezacaftor 50 mg + ivacaftor 75 mg tablet [56] (&amp;) ivacaftor 150 mg tablet [28], 84 (PI, CMI)</w:t>
            </w:r>
          </w:p>
        </w:tc>
        <w:tc>
          <w:tcPr>
            <w:tcW w:w="850" w:type="dxa"/>
            <w:vAlign w:val="center"/>
          </w:tcPr>
          <w:p w14:paraId="0E2637C4" w14:textId="037E6BCC" w:rsidR="00041550" w:rsidRPr="007E4A43" w:rsidDel="00EE2BBB" w:rsidRDefault="00041550" w:rsidP="00041550">
            <w:pPr>
              <w:pStyle w:val="Tablewriting"/>
              <w:keepNext/>
              <w:rPr>
                <w:rFonts w:cstheme="minorHAnsi"/>
              </w:rPr>
            </w:pPr>
            <w:r w:rsidRPr="007E4A43">
              <w:rPr>
                <w:rFonts w:ascii="Calibri" w:hAnsi="Calibri" w:cstheme="minorHAnsi"/>
              </w:rPr>
              <w:t>1</w:t>
            </w:r>
          </w:p>
        </w:tc>
        <w:tc>
          <w:tcPr>
            <w:tcW w:w="709" w:type="dxa"/>
            <w:vAlign w:val="center"/>
          </w:tcPr>
          <w:p w14:paraId="6B361CAA" w14:textId="4B71E1A9" w:rsidR="00041550" w:rsidRPr="007E4A43" w:rsidDel="00EE2BBB" w:rsidRDefault="00041550" w:rsidP="00041550">
            <w:pPr>
              <w:pStyle w:val="Tablewriting"/>
              <w:keepNext/>
              <w:rPr>
                <w:rFonts w:cstheme="minorHAnsi"/>
              </w:rPr>
            </w:pPr>
            <w:r w:rsidRPr="007E4A43">
              <w:rPr>
                <w:rFonts w:ascii="Calibri" w:hAnsi="Calibri" w:cstheme="minorHAnsi"/>
              </w:rPr>
              <w:t>5</w:t>
            </w:r>
          </w:p>
        </w:tc>
        <w:tc>
          <w:tcPr>
            <w:tcW w:w="1276" w:type="dxa"/>
            <w:vAlign w:val="center"/>
          </w:tcPr>
          <w:p w14:paraId="15F68405" w14:textId="7D8C8A3E" w:rsidR="00041550" w:rsidRPr="007E4A43" w:rsidDel="00EE2BBB" w:rsidRDefault="00041550" w:rsidP="00041550">
            <w:pPr>
              <w:pStyle w:val="Tablewriting"/>
              <w:keepNext/>
              <w:rPr>
                <w:rFonts w:cstheme="minorHAnsi"/>
              </w:rPr>
            </w:pPr>
            <w:r w:rsidRPr="007E4A43">
              <w:rPr>
                <w:rFonts w:ascii="Calibri" w:hAnsi="Calibri" w:cstheme="minorHAnsi"/>
              </w:rPr>
              <w:t>$</w:t>
            </w:r>
            <w:r w:rsidR="00581866" w:rsidRPr="007E4A43">
              <w:rPr>
                <w:rFonts w:ascii="Calibri" w:hAnsi="Calibri" w:cstheme="minorHAnsi"/>
              </w:rPr>
              <w:t>20,355.13</w:t>
            </w:r>
          </w:p>
        </w:tc>
        <w:tc>
          <w:tcPr>
            <w:tcW w:w="1726" w:type="dxa"/>
            <w:vMerge w:val="restart"/>
          </w:tcPr>
          <w:p w14:paraId="2D337AC6" w14:textId="6A66AF29" w:rsidR="00041550" w:rsidRPr="007E4A43" w:rsidDel="00EE2BBB" w:rsidRDefault="00041550" w:rsidP="00041550">
            <w:pPr>
              <w:pStyle w:val="Tablewriting"/>
              <w:keepNext/>
              <w:rPr>
                <w:rFonts w:cstheme="minorHAnsi"/>
              </w:rPr>
            </w:pPr>
            <w:r w:rsidRPr="007E4A43">
              <w:rPr>
                <w:rFonts w:cstheme="minorHAnsi"/>
              </w:rPr>
              <w:t xml:space="preserve">Trikafta, </w:t>
            </w:r>
            <w:r w:rsidRPr="007E4A43">
              <w:rPr>
                <w:rFonts w:cstheme="minorHAnsi"/>
              </w:rPr>
              <w:br/>
              <w:t>Vertex Pharmaceuticals (Australia) Pty. Ltd.</w:t>
            </w:r>
          </w:p>
        </w:tc>
      </w:tr>
      <w:tr w:rsidR="00581866" w:rsidRPr="007E4A43" w:rsidDel="00EE2BBB" w14:paraId="1CDE6BC2" w14:textId="77777777" w:rsidTr="008E3E9E">
        <w:trPr>
          <w:trHeight w:val="552"/>
          <w:tblHeader/>
        </w:trPr>
        <w:tc>
          <w:tcPr>
            <w:tcW w:w="969" w:type="dxa"/>
            <w:vAlign w:val="center"/>
          </w:tcPr>
          <w:p w14:paraId="4942B815" w14:textId="134F2AFA" w:rsidR="00581866" w:rsidRPr="007E4A43" w:rsidDel="00EE2BBB" w:rsidRDefault="00581866" w:rsidP="00581866">
            <w:pPr>
              <w:pStyle w:val="Tablewriting"/>
              <w:keepNext/>
              <w:rPr>
                <w:rFonts w:cstheme="minorHAnsi"/>
              </w:rPr>
            </w:pPr>
            <w:r w:rsidRPr="007E4A43">
              <w:rPr>
                <w:rFonts w:ascii="Calibri" w:hAnsi="Calibri" w:cstheme="minorHAnsi"/>
              </w:rPr>
              <w:t>13266F</w:t>
            </w:r>
          </w:p>
        </w:tc>
        <w:tc>
          <w:tcPr>
            <w:tcW w:w="3534" w:type="dxa"/>
            <w:vAlign w:val="center"/>
          </w:tcPr>
          <w:p w14:paraId="1F9CE3C2" w14:textId="622FD4D4" w:rsidR="00581866" w:rsidRPr="007E4A43" w:rsidDel="00EE2BBB" w:rsidRDefault="00581866" w:rsidP="00581866">
            <w:pPr>
              <w:pStyle w:val="Tablewriting"/>
              <w:keepNext/>
              <w:rPr>
                <w:rFonts w:cstheme="minorHAnsi"/>
              </w:rPr>
            </w:pPr>
            <w:r w:rsidRPr="007E4A43">
              <w:rPr>
                <w:rFonts w:ascii="Calibri" w:hAnsi="Calibri" w:cstheme="minorHAnsi"/>
              </w:rPr>
              <w:t>elexacaftor 50 mg + tezacaftor 25 mg + ivacaftor 37.5 mg tablet [56] (&amp;) ivacaftor 75 mg tablet [28], 84 </w:t>
            </w:r>
          </w:p>
        </w:tc>
        <w:tc>
          <w:tcPr>
            <w:tcW w:w="850" w:type="dxa"/>
            <w:vAlign w:val="center"/>
          </w:tcPr>
          <w:p w14:paraId="60DA530E" w14:textId="2EF3A5B2" w:rsidR="00581866" w:rsidRPr="007E4A43" w:rsidDel="00EE2BBB" w:rsidRDefault="00581866" w:rsidP="00581866">
            <w:pPr>
              <w:pStyle w:val="Tablewriting"/>
              <w:keepNext/>
              <w:rPr>
                <w:rFonts w:cstheme="minorHAnsi"/>
              </w:rPr>
            </w:pPr>
            <w:r w:rsidRPr="007E4A43">
              <w:rPr>
                <w:rFonts w:ascii="Calibri" w:hAnsi="Calibri" w:cstheme="minorHAnsi"/>
              </w:rPr>
              <w:t>1</w:t>
            </w:r>
          </w:p>
        </w:tc>
        <w:tc>
          <w:tcPr>
            <w:tcW w:w="709" w:type="dxa"/>
            <w:vAlign w:val="center"/>
          </w:tcPr>
          <w:p w14:paraId="32B1282A" w14:textId="2C4186C8" w:rsidR="00581866" w:rsidRPr="007E4A43" w:rsidDel="00EE2BBB" w:rsidRDefault="00581866" w:rsidP="00581866">
            <w:pPr>
              <w:pStyle w:val="Tablewriting"/>
              <w:keepNext/>
              <w:rPr>
                <w:rFonts w:cstheme="minorHAnsi"/>
              </w:rPr>
            </w:pPr>
            <w:r w:rsidRPr="007E4A43">
              <w:rPr>
                <w:rFonts w:ascii="Calibri" w:hAnsi="Calibri" w:cstheme="minorHAnsi"/>
              </w:rPr>
              <w:t>5</w:t>
            </w:r>
          </w:p>
        </w:tc>
        <w:tc>
          <w:tcPr>
            <w:tcW w:w="1276" w:type="dxa"/>
            <w:vAlign w:val="center"/>
          </w:tcPr>
          <w:p w14:paraId="515E9232" w14:textId="4C25CDB3" w:rsidR="00581866" w:rsidRPr="007E4A43" w:rsidDel="00EE2BBB" w:rsidRDefault="00581866" w:rsidP="00581866">
            <w:pPr>
              <w:pStyle w:val="Tablewriting"/>
              <w:keepNext/>
              <w:rPr>
                <w:rFonts w:cstheme="minorHAnsi"/>
              </w:rPr>
            </w:pPr>
            <w:r w:rsidRPr="007E4A43">
              <w:rPr>
                <w:rFonts w:ascii="Calibri" w:hAnsi="Calibri" w:cstheme="minorHAnsi"/>
              </w:rPr>
              <w:t>$20,355.13</w:t>
            </w:r>
          </w:p>
        </w:tc>
        <w:tc>
          <w:tcPr>
            <w:tcW w:w="1726" w:type="dxa"/>
            <w:vMerge/>
          </w:tcPr>
          <w:p w14:paraId="341B782F" w14:textId="77777777" w:rsidR="00581866" w:rsidRPr="007E4A43" w:rsidDel="00EE2BBB" w:rsidRDefault="00581866" w:rsidP="00581866">
            <w:pPr>
              <w:pStyle w:val="Tablewriting"/>
              <w:keepNext/>
              <w:rPr>
                <w:rFonts w:cstheme="minorHAnsi"/>
              </w:rPr>
            </w:pPr>
          </w:p>
        </w:tc>
      </w:tr>
      <w:tr w:rsidR="00041550" w:rsidRPr="007E4A43" w:rsidDel="00EE2BBB" w14:paraId="484968E1" w14:textId="77777777" w:rsidTr="008E3E9E">
        <w:trPr>
          <w:trHeight w:val="552"/>
          <w:tblHeader/>
        </w:trPr>
        <w:tc>
          <w:tcPr>
            <w:tcW w:w="969" w:type="dxa"/>
            <w:vAlign w:val="center"/>
          </w:tcPr>
          <w:p w14:paraId="33AF0EFD" w14:textId="06380E74" w:rsidR="00041550" w:rsidRPr="007E4A43" w:rsidDel="00EE2BBB" w:rsidRDefault="00041550" w:rsidP="00041550">
            <w:pPr>
              <w:pStyle w:val="Tablewriting"/>
              <w:keepNext/>
              <w:rPr>
                <w:rFonts w:cstheme="minorHAnsi"/>
              </w:rPr>
            </w:pPr>
            <w:r w:rsidRPr="007E4A43">
              <w:rPr>
                <w:rFonts w:ascii="Calibri" w:hAnsi="Calibri" w:cstheme="minorHAnsi"/>
              </w:rPr>
              <w:t>14279M</w:t>
            </w:r>
          </w:p>
        </w:tc>
        <w:tc>
          <w:tcPr>
            <w:tcW w:w="3534" w:type="dxa"/>
            <w:vAlign w:val="center"/>
          </w:tcPr>
          <w:p w14:paraId="5DDED8D9" w14:textId="244989E6" w:rsidR="00041550" w:rsidRPr="007E4A43" w:rsidDel="00EE2BBB" w:rsidRDefault="00041550" w:rsidP="00041550">
            <w:pPr>
              <w:pStyle w:val="Tablewriting"/>
              <w:keepNext/>
              <w:rPr>
                <w:rFonts w:cstheme="minorHAnsi"/>
              </w:rPr>
            </w:pPr>
            <w:r w:rsidRPr="007E4A43">
              <w:rPr>
                <w:rFonts w:ascii="Calibri" w:hAnsi="Calibri" w:cstheme="minorHAnsi"/>
              </w:rPr>
              <w:t>elexacaftor 80 mg + tezacaftor 40 mg + ivacaftor 60 mg granules [28] (&amp;) ivacaftor 59.5 mg granules [28], 56 </w:t>
            </w:r>
          </w:p>
        </w:tc>
        <w:tc>
          <w:tcPr>
            <w:tcW w:w="850" w:type="dxa"/>
            <w:vAlign w:val="center"/>
          </w:tcPr>
          <w:p w14:paraId="4931EDF9" w14:textId="7BC76550" w:rsidR="00041550" w:rsidRPr="007E4A43" w:rsidDel="00EE2BBB" w:rsidRDefault="00041550" w:rsidP="00041550">
            <w:pPr>
              <w:pStyle w:val="Tablewriting"/>
              <w:keepNext/>
              <w:rPr>
                <w:rFonts w:cstheme="minorHAnsi"/>
              </w:rPr>
            </w:pPr>
            <w:r w:rsidRPr="007E4A43">
              <w:rPr>
                <w:rFonts w:ascii="Calibri" w:hAnsi="Calibri" w:cstheme="minorHAnsi"/>
              </w:rPr>
              <w:t>1</w:t>
            </w:r>
          </w:p>
        </w:tc>
        <w:tc>
          <w:tcPr>
            <w:tcW w:w="709" w:type="dxa"/>
            <w:vAlign w:val="center"/>
          </w:tcPr>
          <w:p w14:paraId="1B834DF0" w14:textId="6AA423C1" w:rsidR="00041550" w:rsidRPr="007E4A43" w:rsidDel="00EE2BBB" w:rsidRDefault="00041550" w:rsidP="00041550">
            <w:pPr>
              <w:pStyle w:val="Tablewriting"/>
              <w:keepNext/>
              <w:rPr>
                <w:rFonts w:cstheme="minorHAnsi"/>
              </w:rPr>
            </w:pPr>
            <w:r w:rsidRPr="007E4A43">
              <w:rPr>
                <w:rFonts w:ascii="Calibri" w:hAnsi="Calibri" w:cstheme="minorHAnsi"/>
              </w:rPr>
              <w:t>5</w:t>
            </w:r>
          </w:p>
        </w:tc>
        <w:tc>
          <w:tcPr>
            <w:tcW w:w="1276" w:type="dxa"/>
            <w:vAlign w:val="center"/>
          </w:tcPr>
          <w:p w14:paraId="1751B9EB" w14:textId="2BD793D8" w:rsidR="00041550" w:rsidRPr="007E4A43" w:rsidDel="00EE2BBB" w:rsidRDefault="00581866" w:rsidP="00041550">
            <w:pPr>
              <w:pStyle w:val="Tablewriting"/>
              <w:keepNext/>
              <w:rPr>
                <w:rFonts w:cstheme="minorHAnsi"/>
              </w:rPr>
            </w:pPr>
            <w:r w:rsidRPr="007E4A43">
              <w:rPr>
                <w:rFonts w:ascii="Calibri" w:hAnsi="Calibri" w:cstheme="minorHAnsi"/>
              </w:rPr>
              <w:t>$20,355.13</w:t>
            </w:r>
          </w:p>
        </w:tc>
        <w:tc>
          <w:tcPr>
            <w:tcW w:w="1726" w:type="dxa"/>
            <w:vMerge/>
          </w:tcPr>
          <w:p w14:paraId="35563C05" w14:textId="77777777" w:rsidR="00041550" w:rsidRPr="007E4A43" w:rsidDel="00EE2BBB" w:rsidRDefault="00041550" w:rsidP="00041550">
            <w:pPr>
              <w:pStyle w:val="Tablewriting"/>
              <w:keepNext/>
              <w:rPr>
                <w:rFonts w:cstheme="minorHAnsi"/>
              </w:rPr>
            </w:pPr>
          </w:p>
        </w:tc>
      </w:tr>
      <w:tr w:rsidR="00041550" w:rsidRPr="007E4A43" w:rsidDel="00EE2BBB" w14:paraId="6E3AAF46" w14:textId="77777777" w:rsidTr="008E3E9E">
        <w:trPr>
          <w:trHeight w:val="552"/>
          <w:tblHeader/>
        </w:trPr>
        <w:tc>
          <w:tcPr>
            <w:tcW w:w="969" w:type="dxa"/>
            <w:vAlign w:val="center"/>
          </w:tcPr>
          <w:p w14:paraId="42F4FA90" w14:textId="0DC7E25C" w:rsidR="00041550" w:rsidRPr="007E4A43" w:rsidDel="00EE2BBB" w:rsidRDefault="00041550" w:rsidP="00041550">
            <w:pPr>
              <w:pStyle w:val="Tablewriting"/>
              <w:keepNext/>
              <w:rPr>
                <w:rFonts w:cstheme="minorHAnsi"/>
              </w:rPr>
            </w:pPr>
            <w:r w:rsidRPr="007E4A43">
              <w:rPr>
                <w:rFonts w:ascii="Calibri" w:hAnsi="Calibri" w:cstheme="minorHAnsi"/>
              </w:rPr>
              <w:t>14280N</w:t>
            </w:r>
          </w:p>
        </w:tc>
        <w:tc>
          <w:tcPr>
            <w:tcW w:w="3534" w:type="dxa"/>
            <w:vAlign w:val="center"/>
          </w:tcPr>
          <w:p w14:paraId="4B3D2BFF" w14:textId="66A448D5" w:rsidR="00041550" w:rsidRPr="007E4A43" w:rsidDel="00EE2BBB" w:rsidRDefault="00041550" w:rsidP="00041550">
            <w:pPr>
              <w:pStyle w:val="Tablewriting"/>
              <w:keepNext/>
              <w:rPr>
                <w:rFonts w:cstheme="minorHAnsi"/>
              </w:rPr>
            </w:pPr>
            <w:r w:rsidRPr="007E4A43">
              <w:rPr>
                <w:rFonts w:ascii="Calibri" w:hAnsi="Calibri" w:cstheme="minorHAnsi"/>
              </w:rPr>
              <w:t>elexacaftor 100 mg + tezacaftor 50 mg + ivacaftor 75 mg granules [28] (&amp;) ivacaftor 75 mg granules [28], 56</w:t>
            </w:r>
          </w:p>
        </w:tc>
        <w:tc>
          <w:tcPr>
            <w:tcW w:w="850" w:type="dxa"/>
            <w:vAlign w:val="center"/>
          </w:tcPr>
          <w:p w14:paraId="04CDACA2" w14:textId="3C027DBE" w:rsidR="00041550" w:rsidRPr="007E4A43" w:rsidDel="00EE2BBB" w:rsidRDefault="00041550" w:rsidP="00041550">
            <w:pPr>
              <w:pStyle w:val="Tablewriting"/>
              <w:keepNext/>
              <w:rPr>
                <w:rFonts w:cstheme="minorHAnsi"/>
              </w:rPr>
            </w:pPr>
            <w:r w:rsidRPr="007E4A43">
              <w:rPr>
                <w:rFonts w:ascii="Calibri" w:hAnsi="Calibri" w:cstheme="minorHAnsi"/>
              </w:rPr>
              <w:t>1</w:t>
            </w:r>
          </w:p>
        </w:tc>
        <w:tc>
          <w:tcPr>
            <w:tcW w:w="709" w:type="dxa"/>
            <w:vAlign w:val="center"/>
          </w:tcPr>
          <w:p w14:paraId="616471E8" w14:textId="52F2FAF2" w:rsidR="00041550" w:rsidRPr="007E4A43" w:rsidDel="00EE2BBB" w:rsidRDefault="00041550" w:rsidP="00041550">
            <w:pPr>
              <w:pStyle w:val="Tablewriting"/>
              <w:keepNext/>
              <w:rPr>
                <w:rFonts w:cstheme="minorHAnsi"/>
              </w:rPr>
            </w:pPr>
            <w:r w:rsidRPr="007E4A43">
              <w:rPr>
                <w:rFonts w:ascii="Calibri" w:hAnsi="Calibri" w:cstheme="minorHAnsi"/>
              </w:rPr>
              <w:t>5</w:t>
            </w:r>
          </w:p>
        </w:tc>
        <w:tc>
          <w:tcPr>
            <w:tcW w:w="1276" w:type="dxa"/>
            <w:vAlign w:val="center"/>
          </w:tcPr>
          <w:p w14:paraId="6572ADD1" w14:textId="74F182FF" w:rsidR="00041550" w:rsidRPr="007E4A43" w:rsidDel="00EE2BBB" w:rsidRDefault="00581866" w:rsidP="00041550">
            <w:pPr>
              <w:pStyle w:val="Tablewriting"/>
              <w:keepNext/>
              <w:rPr>
                <w:rFonts w:cstheme="minorHAnsi"/>
              </w:rPr>
            </w:pPr>
            <w:r w:rsidRPr="007E4A43">
              <w:rPr>
                <w:rFonts w:ascii="Calibri" w:hAnsi="Calibri" w:cstheme="minorHAnsi"/>
              </w:rPr>
              <w:t>$20,355.13</w:t>
            </w:r>
          </w:p>
        </w:tc>
        <w:tc>
          <w:tcPr>
            <w:tcW w:w="1726" w:type="dxa"/>
            <w:vMerge/>
          </w:tcPr>
          <w:p w14:paraId="7B831146" w14:textId="77777777" w:rsidR="00041550" w:rsidRPr="007E4A43" w:rsidDel="00EE2BBB" w:rsidRDefault="00041550" w:rsidP="00041550">
            <w:pPr>
              <w:pStyle w:val="Tablewriting"/>
              <w:keepNext/>
              <w:rPr>
                <w:rFonts w:cstheme="minorHAnsi"/>
              </w:rPr>
            </w:pPr>
          </w:p>
        </w:tc>
      </w:tr>
      <w:tr w:rsidR="000F39CE" w:rsidRPr="007E4A43" w:rsidDel="00EE2BBB" w14:paraId="3E9428A7" w14:textId="77777777" w:rsidTr="00E876BB">
        <w:trPr>
          <w:trHeight w:val="340"/>
          <w:tblHeader/>
        </w:trPr>
        <w:tc>
          <w:tcPr>
            <w:tcW w:w="7338" w:type="dxa"/>
            <w:gridSpan w:val="5"/>
            <w:vAlign w:val="bottom"/>
          </w:tcPr>
          <w:p w14:paraId="5CA84077" w14:textId="57A60555" w:rsidR="000F39CE" w:rsidRPr="007E4A43" w:rsidRDefault="000F39CE" w:rsidP="00821728">
            <w:pPr>
              <w:pStyle w:val="Tablewriting"/>
              <w:keepNext/>
              <w:rPr>
                <w:rFonts w:cstheme="minorHAnsi"/>
              </w:rPr>
            </w:pPr>
            <w:r w:rsidRPr="007E4A43">
              <w:rPr>
                <w:rFonts w:cstheme="minorHAnsi"/>
              </w:rPr>
              <w:t>S100 HSD Public</w:t>
            </w:r>
          </w:p>
        </w:tc>
        <w:tc>
          <w:tcPr>
            <w:tcW w:w="1726" w:type="dxa"/>
            <w:vMerge/>
          </w:tcPr>
          <w:p w14:paraId="3DBE0A0B" w14:textId="77777777" w:rsidR="000F39CE" w:rsidRPr="007E4A43" w:rsidDel="00EE2BBB" w:rsidRDefault="000F39CE" w:rsidP="00821728">
            <w:pPr>
              <w:pStyle w:val="Tablewriting"/>
              <w:keepNext/>
              <w:rPr>
                <w:rFonts w:cstheme="minorHAnsi"/>
              </w:rPr>
            </w:pPr>
          </w:p>
        </w:tc>
      </w:tr>
      <w:tr w:rsidR="009E40D8" w:rsidRPr="007E4A43" w:rsidDel="00EE2BBB" w14:paraId="1DB353FF" w14:textId="77777777" w:rsidTr="009428AD">
        <w:trPr>
          <w:trHeight w:val="552"/>
          <w:tblHeader/>
        </w:trPr>
        <w:tc>
          <w:tcPr>
            <w:tcW w:w="969" w:type="dxa"/>
            <w:vAlign w:val="center"/>
          </w:tcPr>
          <w:p w14:paraId="2DDA90A0" w14:textId="69778EE6" w:rsidR="009E40D8" w:rsidRPr="007E4A43" w:rsidDel="00EE2BBB" w:rsidRDefault="009E40D8" w:rsidP="009E40D8">
            <w:pPr>
              <w:pStyle w:val="Tablewriting"/>
              <w:keepNext/>
              <w:rPr>
                <w:rFonts w:cstheme="minorHAnsi"/>
              </w:rPr>
            </w:pPr>
            <w:r w:rsidRPr="007E4A43">
              <w:rPr>
                <w:rFonts w:ascii="Calibri" w:hAnsi="Calibri" w:cstheme="minorHAnsi"/>
              </w:rPr>
              <w:t>12936W</w:t>
            </w:r>
          </w:p>
        </w:tc>
        <w:tc>
          <w:tcPr>
            <w:tcW w:w="3534" w:type="dxa"/>
            <w:vAlign w:val="center"/>
          </w:tcPr>
          <w:p w14:paraId="34EB0E16" w14:textId="0BCC5CE5" w:rsidR="009E40D8" w:rsidRPr="007E4A43" w:rsidDel="00EE2BBB" w:rsidRDefault="009E40D8" w:rsidP="009E40D8">
            <w:pPr>
              <w:pStyle w:val="Tablewriting"/>
              <w:keepNext/>
              <w:rPr>
                <w:rFonts w:cstheme="minorHAnsi"/>
              </w:rPr>
            </w:pPr>
            <w:r w:rsidRPr="007E4A43">
              <w:rPr>
                <w:rFonts w:ascii="Calibri" w:hAnsi="Calibri" w:cstheme="minorHAnsi"/>
              </w:rPr>
              <w:t>elexacaftor 100 mg + tezacaftor 50 mg + ivacaftor 75 mg tablet [56] (&amp;) ivacaftor 150 mg tablet [28], 84</w:t>
            </w:r>
          </w:p>
        </w:tc>
        <w:tc>
          <w:tcPr>
            <w:tcW w:w="850" w:type="dxa"/>
            <w:vAlign w:val="center"/>
          </w:tcPr>
          <w:p w14:paraId="3888322B" w14:textId="3BE5B0CC" w:rsidR="009E40D8" w:rsidRPr="007E4A43" w:rsidDel="00EE2BBB" w:rsidRDefault="009E40D8" w:rsidP="009E40D8">
            <w:pPr>
              <w:pStyle w:val="Tablewriting"/>
              <w:keepNext/>
              <w:rPr>
                <w:rFonts w:cstheme="minorHAnsi"/>
              </w:rPr>
            </w:pPr>
            <w:r w:rsidRPr="007E4A43">
              <w:rPr>
                <w:rFonts w:ascii="Calibri" w:hAnsi="Calibri" w:cstheme="minorHAnsi"/>
              </w:rPr>
              <w:t>1</w:t>
            </w:r>
          </w:p>
        </w:tc>
        <w:tc>
          <w:tcPr>
            <w:tcW w:w="709" w:type="dxa"/>
            <w:vAlign w:val="center"/>
          </w:tcPr>
          <w:p w14:paraId="5BF95CBB" w14:textId="52F5AF6B" w:rsidR="009E40D8" w:rsidRPr="007E4A43" w:rsidDel="00EE2BBB" w:rsidRDefault="009E40D8" w:rsidP="009E40D8">
            <w:pPr>
              <w:pStyle w:val="Tablewriting"/>
              <w:keepNext/>
              <w:rPr>
                <w:rFonts w:cstheme="minorHAnsi"/>
              </w:rPr>
            </w:pPr>
            <w:r w:rsidRPr="007E4A43">
              <w:rPr>
                <w:rFonts w:ascii="Calibri" w:hAnsi="Calibri" w:cstheme="minorHAnsi"/>
              </w:rPr>
              <w:t>5</w:t>
            </w:r>
          </w:p>
        </w:tc>
        <w:tc>
          <w:tcPr>
            <w:tcW w:w="1276" w:type="dxa"/>
            <w:vAlign w:val="center"/>
          </w:tcPr>
          <w:p w14:paraId="08676C38" w14:textId="4B4B3BB0" w:rsidR="009E40D8" w:rsidRPr="007E4A43" w:rsidDel="00EE2BBB" w:rsidRDefault="00581866" w:rsidP="009E40D8">
            <w:pPr>
              <w:pStyle w:val="Tablewriting"/>
              <w:keepNext/>
              <w:rPr>
                <w:rFonts w:cstheme="minorHAnsi"/>
              </w:rPr>
            </w:pPr>
            <w:r w:rsidRPr="007E4A43">
              <w:rPr>
                <w:rFonts w:ascii="Calibri" w:hAnsi="Calibri" w:cstheme="minorHAnsi"/>
              </w:rPr>
              <w:t>$20,306.25</w:t>
            </w:r>
          </w:p>
        </w:tc>
        <w:tc>
          <w:tcPr>
            <w:tcW w:w="1726" w:type="dxa"/>
            <w:vMerge/>
          </w:tcPr>
          <w:p w14:paraId="02AF649C" w14:textId="77777777" w:rsidR="009E40D8" w:rsidRPr="007E4A43" w:rsidDel="00EE2BBB" w:rsidRDefault="009E40D8" w:rsidP="009E40D8">
            <w:pPr>
              <w:pStyle w:val="Tablewriting"/>
              <w:keepNext/>
              <w:rPr>
                <w:rFonts w:cstheme="minorHAnsi"/>
              </w:rPr>
            </w:pPr>
          </w:p>
        </w:tc>
      </w:tr>
      <w:tr w:rsidR="00581866" w:rsidRPr="007E4A43" w:rsidDel="00EE2BBB" w14:paraId="70E18614" w14:textId="77777777" w:rsidTr="009428AD">
        <w:trPr>
          <w:trHeight w:val="552"/>
          <w:tblHeader/>
        </w:trPr>
        <w:tc>
          <w:tcPr>
            <w:tcW w:w="969" w:type="dxa"/>
            <w:vAlign w:val="center"/>
          </w:tcPr>
          <w:p w14:paraId="452B3F83" w14:textId="21C7D55B" w:rsidR="00581866" w:rsidRPr="007E4A43" w:rsidDel="00EE2BBB" w:rsidRDefault="00581866" w:rsidP="00581866">
            <w:pPr>
              <w:pStyle w:val="Tablewriting"/>
              <w:rPr>
                <w:rFonts w:cstheme="minorHAnsi"/>
              </w:rPr>
            </w:pPr>
            <w:r w:rsidRPr="007E4A43">
              <w:rPr>
                <w:rFonts w:ascii="Calibri" w:hAnsi="Calibri" w:cstheme="minorHAnsi"/>
              </w:rPr>
              <w:t>13276R</w:t>
            </w:r>
          </w:p>
        </w:tc>
        <w:tc>
          <w:tcPr>
            <w:tcW w:w="3534" w:type="dxa"/>
            <w:vAlign w:val="center"/>
          </w:tcPr>
          <w:p w14:paraId="27305A3C" w14:textId="57FF3906" w:rsidR="00581866" w:rsidRPr="007E4A43" w:rsidDel="00EE2BBB" w:rsidRDefault="00581866" w:rsidP="00581866">
            <w:pPr>
              <w:pStyle w:val="Tablewriting"/>
              <w:rPr>
                <w:rFonts w:cstheme="minorHAnsi"/>
              </w:rPr>
            </w:pPr>
            <w:r w:rsidRPr="007E4A43">
              <w:rPr>
                <w:rFonts w:ascii="Calibri" w:hAnsi="Calibri" w:cstheme="minorHAnsi"/>
              </w:rPr>
              <w:t>elexacaftor 50 mg + tezacaftor 25 mg + ivacaftor 37.5 mg tablet [56] (&amp;) ivacaftor 75 mg tablet [28], 84</w:t>
            </w:r>
          </w:p>
        </w:tc>
        <w:tc>
          <w:tcPr>
            <w:tcW w:w="850" w:type="dxa"/>
            <w:vAlign w:val="center"/>
          </w:tcPr>
          <w:p w14:paraId="05027AE1" w14:textId="06414444" w:rsidR="00581866" w:rsidRPr="007E4A43" w:rsidDel="00EE2BBB" w:rsidRDefault="00581866" w:rsidP="00581866">
            <w:pPr>
              <w:pStyle w:val="Tablewriting"/>
              <w:rPr>
                <w:rFonts w:cstheme="minorHAnsi"/>
              </w:rPr>
            </w:pPr>
            <w:r w:rsidRPr="007E4A43">
              <w:rPr>
                <w:rFonts w:ascii="Calibri" w:hAnsi="Calibri" w:cstheme="minorHAnsi"/>
              </w:rPr>
              <w:t>1</w:t>
            </w:r>
          </w:p>
        </w:tc>
        <w:tc>
          <w:tcPr>
            <w:tcW w:w="709" w:type="dxa"/>
            <w:vAlign w:val="center"/>
          </w:tcPr>
          <w:p w14:paraId="4B30BD5D" w14:textId="2DABE301" w:rsidR="00581866" w:rsidRPr="007E4A43" w:rsidDel="00EE2BBB" w:rsidRDefault="00581866" w:rsidP="00581866">
            <w:pPr>
              <w:pStyle w:val="Tablewriting"/>
              <w:rPr>
                <w:rFonts w:cstheme="minorHAnsi"/>
              </w:rPr>
            </w:pPr>
            <w:r w:rsidRPr="007E4A43">
              <w:rPr>
                <w:rFonts w:ascii="Calibri" w:hAnsi="Calibri" w:cstheme="minorHAnsi"/>
              </w:rPr>
              <w:t>5</w:t>
            </w:r>
          </w:p>
        </w:tc>
        <w:tc>
          <w:tcPr>
            <w:tcW w:w="1276" w:type="dxa"/>
            <w:vAlign w:val="center"/>
          </w:tcPr>
          <w:p w14:paraId="27DD7865" w14:textId="5009F997" w:rsidR="00581866" w:rsidRPr="007E4A43" w:rsidDel="00EE2BBB" w:rsidRDefault="00581866" w:rsidP="00581866">
            <w:pPr>
              <w:pStyle w:val="Tablewriting"/>
              <w:rPr>
                <w:rFonts w:cstheme="minorHAnsi"/>
              </w:rPr>
            </w:pPr>
            <w:r w:rsidRPr="007E4A43">
              <w:rPr>
                <w:rFonts w:ascii="Calibri" w:hAnsi="Calibri" w:cstheme="minorHAnsi"/>
              </w:rPr>
              <w:t>$20,306.25</w:t>
            </w:r>
          </w:p>
        </w:tc>
        <w:tc>
          <w:tcPr>
            <w:tcW w:w="1726" w:type="dxa"/>
            <w:vMerge/>
          </w:tcPr>
          <w:p w14:paraId="76608BD6" w14:textId="77777777" w:rsidR="00581866" w:rsidRPr="007E4A43" w:rsidDel="00EE2BBB" w:rsidRDefault="00581866" w:rsidP="00581866">
            <w:pPr>
              <w:pStyle w:val="Tablewriting"/>
              <w:rPr>
                <w:rFonts w:cstheme="minorHAnsi"/>
              </w:rPr>
            </w:pPr>
          </w:p>
        </w:tc>
      </w:tr>
      <w:tr w:rsidR="00581866" w:rsidRPr="007E4A43" w:rsidDel="00EE2BBB" w14:paraId="1AA7A86F" w14:textId="77777777" w:rsidTr="009428AD">
        <w:trPr>
          <w:trHeight w:val="552"/>
          <w:tblHeader/>
        </w:trPr>
        <w:tc>
          <w:tcPr>
            <w:tcW w:w="969" w:type="dxa"/>
            <w:vAlign w:val="center"/>
          </w:tcPr>
          <w:p w14:paraId="40D37149" w14:textId="61299F6E" w:rsidR="00581866" w:rsidRPr="007E4A43" w:rsidDel="00EE2BBB" w:rsidRDefault="00581866" w:rsidP="00581866">
            <w:pPr>
              <w:pStyle w:val="Tablewriting"/>
              <w:rPr>
                <w:rFonts w:cstheme="minorHAnsi"/>
              </w:rPr>
            </w:pPr>
            <w:r w:rsidRPr="007E4A43">
              <w:rPr>
                <w:rFonts w:ascii="Calibri" w:hAnsi="Calibri" w:cstheme="minorHAnsi"/>
              </w:rPr>
              <w:t>14227T</w:t>
            </w:r>
          </w:p>
        </w:tc>
        <w:tc>
          <w:tcPr>
            <w:tcW w:w="3534" w:type="dxa"/>
            <w:vAlign w:val="center"/>
          </w:tcPr>
          <w:p w14:paraId="0AADCD8C" w14:textId="7850B64D" w:rsidR="00581866" w:rsidRPr="007E4A43" w:rsidDel="00EE2BBB" w:rsidRDefault="00581866" w:rsidP="00581866">
            <w:pPr>
              <w:pStyle w:val="Tablewriting"/>
              <w:rPr>
                <w:rFonts w:cstheme="minorHAnsi"/>
              </w:rPr>
            </w:pPr>
            <w:r w:rsidRPr="007E4A43">
              <w:rPr>
                <w:rFonts w:ascii="Calibri" w:hAnsi="Calibri" w:cstheme="minorHAnsi"/>
              </w:rPr>
              <w:t>elexacaftor 80 mg + tezacaftor 40 mg + ivacaftor 60 mg granules [28] (&amp;) ivacaftor 59.5 mg granules [28], 56</w:t>
            </w:r>
          </w:p>
        </w:tc>
        <w:tc>
          <w:tcPr>
            <w:tcW w:w="850" w:type="dxa"/>
            <w:vAlign w:val="center"/>
          </w:tcPr>
          <w:p w14:paraId="48B32709" w14:textId="6CC11457" w:rsidR="00581866" w:rsidRPr="007E4A43" w:rsidDel="00EE2BBB" w:rsidRDefault="00581866" w:rsidP="00581866">
            <w:pPr>
              <w:pStyle w:val="Tablewriting"/>
              <w:rPr>
                <w:rFonts w:cstheme="minorHAnsi"/>
              </w:rPr>
            </w:pPr>
            <w:r w:rsidRPr="007E4A43">
              <w:rPr>
                <w:rFonts w:ascii="Calibri" w:hAnsi="Calibri" w:cstheme="minorHAnsi"/>
              </w:rPr>
              <w:t>1</w:t>
            </w:r>
          </w:p>
        </w:tc>
        <w:tc>
          <w:tcPr>
            <w:tcW w:w="709" w:type="dxa"/>
            <w:vAlign w:val="center"/>
          </w:tcPr>
          <w:p w14:paraId="1BED606F" w14:textId="2988103A" w:rsidR="00581866" w:rsidRPr="007E4A43" w:rsidDel="00EE2BBB" w:rsidRDefault="00581866" w:rsidP="00581866">
            <w:pPr>
              <w:pStyle w:val="Tablewriting"/>
              <w:rPr>
                <w:rFonts w:cstheme="minorHAnsi"/>
              </w:rPr>
            </w:pPr>
            <w:r w:rsidRPr="007E4A43">
              <w:rPr>
                <w:rFonts w:ascii="Calibri" w:hAnsi="Calibri" w:cstheme="minorHAnsi"/>
              </w:rPr>
              <w:t>5</w:t>
            </w:r>
          </w:p>
        </w:tc>
        <w:tc>
          <w:tcPr>
            <w:tcW w:w="1276" w:type="dxa"/>
            <w:vAlign w:val="center"/>
          </w:tcPr>
          <w:p w14:paraId="7C9945D5" w14:textId="1031D8A4" w:rsidR="00581866" w:rsidRPr="007E4A43" w:rsidDel="00EE2BBB" w:rsidRDefault="00581866" w:rsidP="00581866">
            <w:pPr>
              <w:pStyle w:val="Tablewriting"/>
              <w:rPr>
                <w:rFonts w:cstheme="minorHAnsi"/>
              </w:rPr>
            </w:pPr>
            <w:r w:rsidRPr="007E4A43">
              <w:rPr>
                <w:rFonts w:ascii="Calibri" w:hAnsi="Calibri" w:cstheme="minorHAnsi"/>
              </w:rPr>
              <w:t>$20,306.25</w:t>
            </w:r>
          </w:p>
        </w:tc>
        <w:tc>
          <w:tcPr>
            <w:tcW w:w="1726" w:type="dxa"/>
            <w:vMerge/>
          </w:tcPr>
          <w:p w14:paraId="1F18EF79" w14:textId="77777777" w:rsidR="00581866" w:rsidRPr="007E4A43" w:rsidDel="00EE2BBB" w:rsidRDefault="00581866" w:rsidP="00581866">
            <w:pPr>
              <w:pStyle w:val="Tablewriting"/>
              <w:rPr>
                <w:rFonts w:cstheme="minorHAnsi"/>
              </w:rPr>
            </w:pPr>
          </w:p>
        </w:tc>
      </w:tr>
      <w:tr w:rsidR="00581866" w:rsidRPr="007E4A43" w:rsidDel="00EE2BBB" w14:paraId="2CE675A8" w14:textId="77777777" w:rsidTr="009428AD">
        <w:trPr>
          <w:trHeight w:val="552"/>
          <w:tblHeader/>
        </w:trPr>
        <w:tc>
          <w:tcPr>
            <w:tcW w:w="969" w:type="dxa"/>
            <w:vAlign w:val="center"/>
          </w:tcPr>
          <w:p w14:paraId="737312EB" w14:textId="52429CAD" w:rsidR="00581866" w:rsidRPr="007E4A43" w:rsidDel="00EE2BBB" w:rsidRDefault="00581866" w:rsidP="00581866">
            <w:pPr>
              <w:pStyle w:val="Tablewriting"/>
              <w:rPr>
                <w:rFonts w:cstheme="minorHAnsi"/>
              </w:rPr>
            </w:pPr>
            <w:r w:rsidRPr="007E4A43">
              <w:rPr>
                <w:rFonts w:ascii="Calibri" w:hAnsi="Calibri" w:cstheme="minorHAnsi"/>
              </w:rPr>
              <w:t>14228W</w:t>
            </w:r>
          </w:p>
        </w:tc>
        <w:tc>
          <w:tcPr>
            <w:tcW w:w="3534" w:type="dxa"/>
            <w:vAlign w:val="center"/>
          </w:tcPr>
          <w:p w14:paraId="20A9BB35" w14:textId="60D1BED7" w:rsidR="00581866" w:rsidRPr="007E4A43" w:rsidDel="00EE2BBB" w:rsidRDefault="00581866" w:rsidP="00581866">
            <w:pPr>
              <w:pStyle w:val="Tablewriting"/>
              <w:rPr>
                <w:rFonts w:cstheme="minorHAnsi"/>
              </w:rPr>
            </w:pPr>
            <w:r w:rsidRPr="007E4A43">
              <w:rPr>
                <w:rFonts w:ascii="Calibri" w:hAnsi="Calibri" w:cstheme="minorHAnsi"/>
              </w:rPr>
              <w:t>elexacaftor 100 mg + tezacaftor 50 mg + ivacaftor 75 mg granules [28] (&amp;) ivacaftor 75 mg granules [28], 56 </w:t>
            </w:r>
          </w:p>
        </w:tc>
        <w:tc>
          <w:tcPr>
            <w:tcW w:w="850" w:type="dxa"/>
            <w:vAlign w:val="center"/>
          </w:tcPr>
          <w:p w14:paraId="2A7FA138" w14:textId="4EEA23F8" w:rsidR="00581866" w:rsidRPr="007E4A43" w:rsidDel="00EE2BBB" w:rsidRDefault="00581866" w:rsidP="00581866">
            <w:pPr>
              <w:pStyle w:val="Tablewriting"/>
              <w:rPr>
                <w:rFonts w:cstheme="minorHAnsi"/>
              </w:rPr>
            </w:pPr>
            <w:r w:rsidRPr="007E4A43">
              <w:rPr>
                <w:rFonts w:ascii="Calibri" w:hAnsi="Calibri" w:cstheme="minorHAnsi"/>
              </w:rPr>
              <w:t>1</w:t>
            </w:r>
          </w:p>
        </w:tc>
        <w:tc>
          <w:tcPr>
            <w:tcW w:w="709" w:type="dxa"/>
            <w:vAlign w:val="center"/>
          </w:tcPr>
          <w:p w14:paraId="7D58A753" w14:textId="570FD948" w:rsidR="00581866" w:rsidRPr="007E4A43" w:rsidDel="00EE2BBB" w:rsidRDefault="00581866" w:rsidP="00581866">
            <w:pPr>
              <w:pStyle w:val="Tablewriting"/>
              <w:rPr>
                <w:rFonts w:cstheme="minorHAnsi"/>
              </w:rPr>
            </w:pPr>
            <w:r w:rsidRPr="007E4A43">
              <w:rPr>
                <w:rFonts w:ascii="Calibri" w:hAnsi="Calibri" w:cstheme="minorHAnsi"/>
              </w:rPr>
              <w:t>5</w:t>
            </w:r>
          </w:p>
        </w:tc>
        <w:tc>
          <w:tcPr>
            <w:tcW w:w="1276" w:type="dxa"/>
            <w:vAlign w:val="center"/>
          </w:tcPr>
          <w:p w14:paraId="4D180E04" w14:textId="4288EDCE" w:rsidR="00581866" w:rsidRPr="007E4A43" w:rsidDel="00EE2BBB" w:rsidRDefault="00581866" w:rsidP="00581866">
            <w:pPr>
              <w:pStyle w:val="Tablewriting"/>
              <w:rPr>
                <w:rFonts w:cstheme="minorHAnsi"/>
              </w:rPr>
            </w:pPr>
            <w:r w:rsidRPr="007E4A43">
              <w:rPr>
                <w:rFonts w:ascii="Calibri" w:hAnsi="Calibri" w:cstheme="minorHAnsi"/>
              </w:rPr>
              <w:t>$20,306.25</w:t>
            </w:r>
          </w:p>
        </w:tc>
        <w:tc>
          <w:tcPr>
            <w:tcW w:w="1726" w:type="dxa"/>
            <w:vMerge/>
          </w:tcPr>
          <w:p w14:paraId="2EDE9AD4" w14:textId="77777777" w:rsidR="00581866" w:rsidRPr="007E4A43" w:rsidDel="00EE2BBB" w:rsidRDefault="00581866" w:rsidP="00581866">
            <w:pPr>
              <w:pStyle w:val="Tablewriting"/>
              <w:rPr>
                <w:rFonts w:cstheme="minorHAnsi"/>
              </w:rPr>
            </w:pPr>
          </w:p>
        </w:tc>
      </w:tr>
    </w:tbl>
    <w:p w14:paraId="1183F151" w14:textId="26816B13" w:rsidR="007247B9" w:rsidRPr="007E4A43" w:rsidDel="00EE2BBB" w:rsidRDefault="007408C7" w:rsidP="00BB1D3B">
      <w:pPr>
        <w:pStyle w:val="Notes"/>
      </w:pPr>
      <w:r w:rsidRPr="007E4A43" w:rsidDel="00EE2BBB">
        <w:t xml:space="preserve">Source: </w:t>
      </w:r>
      <w:r w:rsidR="001624D7" w:rsidRPr="007E4A43" w:rsidDel="00EE2BBB">
        <w:t xml:space="preserve">the </w:t>
      </w:r>
      <w:hyperlink r:id="rId10" w:history="1">
        <w:r w:rsidR="001624D7" w:rsidRPr="007E4A43" w:rsidDel="00EE2BBB">
          <w:rPr>
            <w:rStyle w:val="Hyperlink"/>
          </w:rPr>
          <w:t>PBS website</w:t>
        </w:r>
      </w:hyperlink>
      <w:r w:rsidR="001624D7" w:rsidRPr="007E4A43" w:rsidDel="00EE2BBB">
        <w:t>.</w:t>
      </w:r>
      <w:r w:rsidR="0080485E" w:rsidRPr="007E4A43" w:rsidDel="00EE2BBB">
        <w:t xml:space="preserve"> Special Pricing Arrangemen</w:t>
      </w:r>
      <w:r w:rsidR="00581866" w:rsidRPr="007E4A43">
        <w:t>ts apply</w:t>
      </w:r>
      <w:r w:rsidR="0080485E" w:rsidRPr="007E4A43" w:rsidDel="00EE2BBB">
        <w:t>.</w:t>
      </w:r>
    </w:p>
    <w:p w14:paraId="1AFA1485" w14:textId="3186A599" w:rsidR="004C3186" w:rsidRPr="007E4A43" w:rsidDel="00EE2BBB" w:rsidRDefault="004C3186" w:rsidP="00CF5E22">
      <w:pPr>
        <w:pStyle w:val="Heading3"/>
      </w:pPr>
      <w:r w:rsidRPr="007E4A43" w:rsidDel="00EE2BBB">
        <w:t>Restriction</w:t>
      </w:r>
    </w:p>
    <w:p w14:paraId="06F1F6BB" w14:textId="7122613F" w:rsidR="004C3186" w:rsidRPr="007E4A43" w:rsidRDefault="00F907CB" w:rsidP="00A35800">
      <w:r w:rsidRPr="007E4A43">
        <w:t xml:space="preserve">The PBS </w:t>
      </w:r>
      <w:r w:rsidR="00681845" w:rsidRPr="007E4A43">
        <w:t xml:space="preserve">restriction for </w:t>
      </w:r>
      <w:r w:rsidR="00E766AB" w:rsidRPr="007E4A43">
        <w:t xml:space="preserve">initial treatment of </w:t>
      </w:r>
      <w:r w:rsidR="003B3472" w:rsidRPr="007E4A43">
        <w:t xml:space="preserve">ELX/TEZ/IVA </w:t>
      </w:r>
      <w:r w:rsidR="00681845" w:rsidRPr="007E4A43">
        <w:t>states:</w:t>
      </w:r>
    </w:p>
    <w:p w14:paraId="0051595F" w14:textId="77777777" w:rsidR="007902A3" w:rsidRPr="007E4A43" w:rsidRDefault="007902A3" w:rsidP="007902A3">
      <w:r w:rsidRPr="007E4A43">
        <w:t>Treatment criteria:</w:t>
      </w:r>
    </w:p>
    <w:p w14:paraId="48BA55E3" w14:textId="4A10DBE2" w:rsidR="007902A3" w:rsidRPr="007E4A43" w:rsidRDefault="007902A3" w:rsidP="00E766AB">
      <w:pPr>
        <w:ind w:left="720"/>
      </w:pPr>
      <w:r w:rsidRPr="007E4A43">
        <w:lastRenderedPageBreak/>
        <w:t>Must be treated by a specialist respiratory physician with expertise in cystic fibrosis or in consultation with a specialist respiratory physician with expertise in cystic fibrosis if attendance is not possible due to geographic isolation, AND</w:t>
      </w:r>
    </w:p>
    <w:p w14:paraId="04B6B54F" w14:textId="77777777" w:rsidR="007902A3" w:rsidRPr="007E4A43" w:rsidRDefault="007902A3" w:rsidP="00E766AB">
      <w:pPr>
        <w:ind w:left="720"/>
      </w:pPr>
      <w:r w:rsidRPr="007E4A43">
        <w:t>Must be treated in a centre with expertise in cystic fibrosis or in consultation with a centre with expertise in cystic fibrosis if attendance is not possible due to geographic isolation.</w:t>
      </w:r>
    </w:p>
    <w:p w14:paraId="36D16E93" w14:textId="77777777" w:rsidR="007902A3" w:rsidRPr="007E4A43" w:rsidRDefault="007902A3" w:rsidP="007902A3">
      <w:r w:rsidRPr="007E4A43">
        <w:t>Clinical criteria:</w:t>
      </w:r>
    </w:p>
    <w:p w14:paraId="472B74E6" w14:textId="6A680A64" w:rsidR="007902A3" w:rsidRPr="007E4A43" w:rsidRDefault="00874D0C" w:rsidP="00E766AB">
      <w:pPr>
        <w:ind w:left="720"/>
      </w:pPr>
      <w:r w:rsidRPr="007E4A43">
        <w:t>Patient must have at least one mutation in the CFTR gene that is considered responsive to elexacaftor/tezacaftor/ivacaftor potentiation based on clinical and/or in vitro assay data</w:t>
      </w:r>
      <w:r w:rsidR="007902A3" w:rsidRPr="007E4A43">
        <w:t>, AND</w:t>
      </w:r>
    </w:p>
    <w:p w14:paraId="4F33377E" w14:textId="22978EEC" w:rsidR="007902A3" w:rsidRPr="007E4A43" w:rsidRDefault="007902A3" w:rsidP="00E766AB">
      <w:pPr>
        <w:ind w:left="720"/>
      </w:pPr>
      <w:r w:rsidRPr="007E4A43">
        <w:t>The treatment must be given concomitantly with standard therapy for this condition, AND</w:t>
      </w:r>
    </w:p>
    <w:p w14:paraId="36A84F65" w14:textId="77777777" w:rsidR="007902A3" w:rsidRPr="007E4A43" w:rsidRDefault="007902A3" w:rsidP="00E766AB">
      <w:pPr>
        <w:ind w:left="720"/>
      </w:pPr>
      <w:r w:rsidRPr="007E4A43">
        <w:t>Patient must have either chronic sinopulmonary disease or gastrointestinal and nutritional abnormalities, prior to initiating treatment with this drug.</w:t>
      </w:r>
    </w:p>
    <w:p w14:paraId="355B720D" w14:textId="4023DBB2" w:rsidR="007902A3" w:rsidRPr="007E4A43" w:rsidRDefault="007902A3" w:rsidP="007902A3">
      <w:r w:rsidRPr="007E4A43">
        <w:t>Population criteria</w:t>
      </w:r>
      <w:r w:rsidR="00F90889" w:rsidRPr="007E4A43">
        <w:t xml:space="preserve"> (</w:t>
      </w:r>
      <w:r w:rsidR="00303342" w:rsidRPr="007E4A43">
        <w:t xml:space="preserve">different strengths are listed as </w:t>
      </w:r>
      <w:r w:rsidR="00F90889" w:rsidRPr="007E4A43">
        <w:t>separate PBS item codes for the following population criteria)</w:t>
      </w:r>
      <w:r w:rsidRPr="007E4A43">
        <w:t>:</w:t>
      </w:r>
    </w:p>
    <w:p w14:paraId="11DE8C08" w14:textId="22499974" w:rsidR="00906678" w:rsidRPr="007E4A43" w:rsidRDefault="00906678" w:rsidP="00E766AB">
      <w:pPr>
        <w:ind w:left="720"/>
      </w:pPr>
      <w:r w:rsidRPr="007E4A43">
        <w:t>Patient must be 2 to 5 years of age.</w:t>
      </w:r>
    </w:p>
    <w:p w14:paraId="39610D55" w14:textId="62613F91" w:rsidR="00906678" w:rsidRPr="007E4A43" w:rsidRDefault="00906678" w:rsidP="00E766AB">
      <w:pPr>
        <w:ind w:left="720"/>
      </w:pPr>
      <w:r w:rsidRPr="007E4A43">
        <w:t xml:space="preserve">Patient must be aged between </w:t>
      </w:r>
      <w:r w:rsidR="00303342" w:rsidRPr="007E4A43">
        <w:t>2</w:t>
      </w:r>
      <w:r w:rsidRPr="007E4A43">
        <w:t xml:space="preserve"> and 11 years inclusive.</w:t>
      </w:r>
    </w:p>
    <w:p w14:paraId="0E65320E" w14:textId="77777777" w:rsidR="002E2CC6" w:rsidRPr="007E4A43" w:rsidRDefault="002E2CC6" w:rsidP="00E766AB">
      <w:pPr>
        <w:ind w:left="720"/>
      </w:pPr>
      <w:r w:rsidRPr="007E4A43">
        <w:t>Patient must be at least 6 years of age.</w:t>
      </w:r>
      <w:r w:rsidRPr="007E4A43" w:rsidDel="00EE2BBB">
        <w:t xml:space="preserve"> </w:t>
      </w:r>
    </w:p>
    <w:p w14:paraId="22433632" w14:textId="5E1C17C4" w:rsidR="006775F1" w:rsidRPr="007E4A43" w:rsidDel="00EE2BBB" w:rsidRDefault="006775F1" w:rsidP="00A35800">
      <w:r w:rsidRPr="007E4A43" w:rsidDel="00EE2BBB">
        <w:t xml:space="preserve">For </w:t>
      </w:r>
      <w:r w:rsidR="00835337" w:rsidRPr="007E4A43" w:rsidDel="00EE2BBB">
        <w:t xml:space="preserve">details of the current PBS listing refer to the </w:t>
      </w:r>
      <w:hyperlink r:id="rId11" w:history="1">
        <w:r w:rsidR="00835337" w:rsidRPr="007E4A43" w:rsidDel="00EE2BBB">
          <w:rPr>
            <w:rStyle w:val="Hyperlink"/>
          </w:rPr>
          <w:t>PBS website</w:t>
        </w:r>
      </w:hyperlink>
      <w:r w:rsidR="00835337" w:rsidRPr="007E4A43" w:rsidDel="00EE2BBB">
        <w:rPr>
          <w:rStyle w:val="Hyperlink"/>
        </w:rPr>
        <w:t>.</w:t>
      </w:r>
    </w:p>
    <w:p w14:paraId="509ADFEB" w14:textId="201634E9" w:rsidR="009C35F2" w:rsidRPr="007E4A43" w:rsidRDefault="009C35F2" w:rsidP="00CF5E22">
      <w:pPr>
        <w:pStyle w:val="Heading3"/>
      </w:pPr>
      <w:r w:rsidRPr="007E4A43" w:rsidDel="00EE2BBB">
        <w:t>Date of listing on PBS</w:t>
      </w:r>
    </w:p>
    <w:p w14:paraId="673DE57A" w14:textId="0790DB0D" w:rsidR="00EC498E" w:rsidRPr="007E4A43"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4</w:t>
      </w:r>
      <w:r w:rsidRPr="007E4A43">
        <w:fldChar w:fldCharType="end"/>
      </w:r>
      <w:r w:rsidR="00EC498E" w:rsidRPr="007E4A43">
        <w:t>: Date of PBS listing of CFTR modulators</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2068"/>
      </w:tblGrid>
      <w:tr w:rsidR="004877A1" w:rsidRPr="007E4A43" w14:paraId="48A83653" w14:textId="77777777" w:rsidTr="00A4189F">
        <w:trPr>
          <w:trHeight w:val="300"/>
        </w:trPr>
        <w:tc>
          <w:tcPr>
            <w:tcW w:w="5020" w:type="dxa"/>
            <w:shd w:val="clear" w:color="auto" w:fill="BFBFBF" w:themeFill="background1" w:themeFillShade="BF"/>
            <w:noWrap/>
            <w:vAlign w:val="bottom"/>
            <w:hideMark/>
          </w:tcPr>
          <w:p w14:paraId="39EE4E0F" w14:textId="77777777" w:rsidR="004877A1" w:rsidRPr="007E4A43" w:rsidRDefault="004877A1" w:rsidP="004877A1">
            <w:pPr>
              <w:spacing w:after="0"/>
              <w:rPr>
                <w:rFonts w:ascii="Calibri" w:eastAsia="Times New Roman" w:hAnsi="Calibri" w:cs="Calibri"/>
                <w:b/>
                <w:bCs/>
                <w:color w:val="000000"/>
                <w:sz w:val="22"/>
                <w:szCs w:val="22"/>
              </w:rPr>
            </w:pPr>
            <w:r w:rsidRPr="007E4A43">
              <w:rPr>
                <w:rFonts w:ascii="Calibri" w:eastAsia="Times New Roman" w:hAnsi="Calibri" w:cs="Calibri"/>
                <w:b/>
                <w:bCs/>
                <w:color w:val="000000"/>
                <w:sz w:val="22"/>
                <w:szCs w:val="22"/>
              </w:rPr>
              <w:t>Medicine</w:t>
            </w:r>
          </w:p>
        </w:tc>
        <w:tc>
          <w:tcPr>
            <w:tcW w:w="2068" w:type="dxa"/>
            <w:shd w:val="clear" w:color="auto" w:fill="BFBFBF" w:themeFill="background1" w:themeFillShade="BF"/>
            <w:noWrap/>
            <w:vAlign w:val="bottom"/>
            <w:hideMark/>
          </w:tcPr>
          <w:p w14:paraId="06355FC8" w14:textId="77777777" w:rsidR="004877A1" w:rsidRPr="007E4A43" w:rsidRDefault="004877A1" w:rsidP="004877A1">
            <w:pPr>
              <w:spacing w:after="0"/>
              <w:rPr>
                <w:rFonts w:ascii="Calibri" w:eastAsia="Times New Roman" w:hAnsi="Calibri" w:cs="Calibri"/>
                <w:b/>
                <w:bCs/>
                <w:color w:val="000000"/>
                <w:sz w:val="22"/>
                <w:szCs w:val="22"/>
              </w:rPr>
            </w:pPr>
            <w:r w:rsidRPr="007E4A43">
              <w:rPr>
                <w:rFonts w:ascii="Calibri" w:eastAsia="Times New Roman" w:hAnsi="Calibri" w:cs="Calibri"/>
                <w:b/>
                <w:bCs/>
                <w:color w:val="000000"/>
                <w:sz w:val="22"/>
                <w:szCs w:val="22"/>
              </w:rPr>
              <w:t>Listed on the PBS</w:t>
            </w:r>
          </w:p>
        </w:tc>
      </w:tr>
      <w:tr w:rsidR="004877A1" w:rsidRPr="007E4A43" w14:paraId="53ECCACE" w14:textId="77777777" w:rsidTr="004877A1">
        <w:trPr>
          <w:trHeight w:val="300"/>
        </w:trPr>
        <w:tc>
          <w:tcPr>
            <w:tcW w:w="5020" w:type="dxa"/>
            <w:noWrap/>
            <w:vAlign w:val="bottom"/>
            <w:hideMark/>
          </w:tcPr>
          <w:p w14:paraId="7838F09B" w14:textId="77777777" w:rsidR="004877A1" w:rsidRPr="007E4A43" w:rsidRDefault="004877A1" w:rsidP="004877A1">
            <w:pPr>
              <w:spacing w:after="0"/>
              <w:rPr>
                <w:rFonts w:ascii="Calibri" w:eastAsia="Times New Roman" w:hAnsi="Calibri" w:cs="Calibri"/>
                <w:color w:val="000000"/>
                <w:sz w:val="22"/>
                <w:szCs w:val="22"/>
              </w:rPr>
            </w:pPr>
            <w:r w:rsidRPr="007E4A43">
              <w:rPr>
                <w:rFonts w:ascii="Calibri" w:eastAsia="Times New Roman" w:hAnsi="Calibri" w:cs="Calibri"/>
                <w:color w:val="000000"/>
                <w:sz w:val="22"/>
                <w:szCs w:val="22"/>
              </w:rPr>
              <w:t>Ivacaftor</w:t>
            </w:r>
          </w:p>
        </w:tc>
        <w:tc>
          <w:tcPr>
            <w:tcW w:w="2068" w:type="dxa"/>
            <w:noWrap/>
            <w:vAlign w:val="bottom"/>
            <w:hideMark/>
          </w:tcPr>
          <w:p w14:paraId="3B735E13" w14:textId="77777777" w:rsidR="004877A1" w:rsidRPr="007E4A43" w:rsidRDefault="004877A1" w:rsidP="004877A1">
            <w:pPr>
              <w:spacing w:after="0"/>
              <w:jc w:val="right"/>
              <w:rPr>
                <w:rFonts w:ascii="Calibri" w:eastAsia="Times New Roman" w:hAnsi="Calibri" w:cs="Calibri"/>
                <w:color w:val="000000"/>
                <w:sz w:val="22"/>
                <w:szCs w:val="22"/>
              </w:rPr>
            </w:pPr>
            <w:r w:rsidRPr="007E4A43">
              <w:rPr>
                <w:rFonts w:ascii="Calibri" w:eastAsia="Times New Roman" w:hAnsi="Calibri" w:cs="Calibri"/>
                <w:color w:val="000000"/>
                <w:sz w:val="22"/>
                <w:szCs w:val="22"/>
              </w:rPr>
              <w:t>1 December 2014</w:t>
            </w:r>
          </w:p>
        </w:tc>
      </w:tr>
      <w:tr w:rsidR="004877A1" w:rsidRPr="007E4A43" w14:paraId="2A49A199" w14:textId="77777777" w:rsidTr="004877A1">
        <w:trPr>
          <w:trHeight w:val="300"/>
        </w:trPr>
        <w:tc>
          <w:tcPr>
            <w:tcW w:w="5020" w:type="dxa"/>
            <w:noWrap/>
            <w:vAlign w:val="bottom"/>
            <w:hideMark/>
          </w:tcPr>
          <w:p w14:paraId="3E2D1AC0" w14:textId="15407FCE" w:rsidR="004877A1" w:rsidRPr="007E4A43" w:rsidRDefault="003B3472" w:rsidP="004877A1">
            <w:pPr>
              <w:spacing w:after="0"/>
              <w:rPr>
                <w:rFonts w:ascii="Calibri" w:eastAsia="Times New Roman" w:hAnsi="Calibri" w:cs="Calibri"/>
                <w:color w:val="000000"/>
                <w:sz w:val="22"/>
                <w:szCs w:val="22"/>
              </w:rPr>
            </w:pPr>
            <w:r w:rsidRPr="007E4A43">
              <w:rPr>
                <w:rFonts w:ascii="Calibri" w:eastAsia="Times New Roman" w:hAnsi="Calibri" w:cs="Calibri"/>
                <w:color w:val="000000"/>
                <w:sz w:val="22"/>
                <w:szCs w:val="22"/>
              </w:rPr>
              <w:t>LUM/IVA</w:t>
            </w:r>
          </w:p>
        </w:tc>
        <w:tc>
          <w:tcPr>
            <w:tcW w:w="2068" w:type="dxa"/>
            <w:noWrap/>
            <w:vAlign w:val="bottom"/>
            <w:hideMark/>
          </w:tcPr>
          <w:p w14:paraId="63681063" w14:textId="77777777" w:rsidR="004877A1" w:rsidRPr="007E4A43" w:rsidRDefault="004877A1" w:rsidP="004877A1">
            <w:pPr>
              <w:spacing w:after="0"/>
              <w:jc w:val="right"/>
              <w:rPr>
                <w:rFonts w:ascii="Calibri" w:eastAsia="Times New Roman" w:hAnsi="Calibri" w:cs="Calibri"/>
                <w:color w:val="000000"/>
                <w:sz w:val="22"/>
                <w:szCs w:val="22"/>
              </w:rPr>
            </w:pPr>
            <w:r w:rsidRPr="007E4A43">
              <w:rPr>
                <w:rFonts w:ascii="Calibri" w:eastAsia="Times New Roman" w:hAnsi="Calibri" w:cs="Calibri"/>
                <w:color w:val="000000"/>
                <w:sz w:val="22"/>
                <w:szCs w:val="22"/>
              </w:rPr>
              <w:t>1 October 2018</w:t>
            </w:r>
          </w:p>
        </w:tc>
      </w:tr>
      <w:tr w:rsidR="004877A1" w:rsidRPr="007E4A43" w14:paraId="63B0F612" w14:textId="77777777" w:rsidTr="004877A1">
        <w:trPr>
          <w:trHeight w:val="300"/>
        </w:trPr>
        <w:tc>
          <w:tcPr>
            <w:tcW w:w="5020" w:type="dxa"/>
            <w:noWrap/>
            <w:vAlign w:val="bottom"/>
            <w:hideMark/>
          </w:tcPr>
          <w:p w14:paraId="65C9392E" w14:textId="17ECE64F" w:rsidR="004877A1" w:rsidRPr="007E4A43" w:rsidRDefault="003B3472" w:rsidP="004877A1">
            <w:pPr>
              <w:spacing w:after="0"/>
              <w:rPr>
                <w:rFonts w:ascii="Calibri" w:eastAsia="Times New Roman" w:hAnsi="Calibri" w:cs="Calibri"/>
                <w:color w:val="000000"/>
                <w:sz w:val="22"/>
                <w:szCs w:val="22"/>
              </w:rPr>
            </w:pPr>
            <w:r w:rsidRPr="007E4A43">
              <w:rPr>
                <w:rFonts w:ascii="Calibri" w:eastAsia="Times New Roman" w:hAnsi="Calibri" w:cs="Calibri"/>
                <w:color w:val="000000"/>
                <w:sz w:val="22"/>
                <w:szCs w:val="22"/>
              </w:rPr>
              <w:t>TEZ/IVA</w:t>
            </w:r>
          </w:p>
        </w:tc>
        <w:tc>
          <w:tcPr>
            <w:tcW w:w="2068" w:type="dxa"/>
            <w:noWrap/>
            <w:vAlign w:val="bottom"/>
            <w:hideMark/>
          </w:tcPr>
          <w:p w14:paraId="73A3884D" w14:textId="77777777" w:rsidR="004877A1" w:rsidRPr="007E4A43" w:rsidRDefault="004877A1" w:rsidP="004877A1">
            <w:pPr>
              <w:spacing w:after="0"/>
              <w:jc w:val="right"/>
              <w:rPr>
                <w:rFonts w:ascii="Calibri" w:eastAsia="Times New Roman" w:hAnsi="Calibri" w:cs="Calibri"/>
                <w:color w:val="000000"/>
                <w:sz w:val="22"/>
                <w:szCs w:val="22"/>
              </w:rPr>
            </w:pPr>
            <w:r w:rsidRPr="007E4A43">
              <w:rPr>
                <w:rFonts w:ascii="Calibri" w:eastAsia="Times New Roman" w:hAnsi="Calibri" w:cs="Calibri"/>
                <w:color w:val="000000"/>
                <w:sz w:val="22"/>
                <w:szCs w:val="22"/>
              </w:rPr>
              <w:t>1 December 2019</w:t>
            </w:r>
          </w:p>
        </w:tc>
      </w:tr>
      <w:tr w:rsidR="004877A1" w:rsidRPr="007E4A43" w14:paraId="56B2D2EA" w14:textId="77777777" w:rsidTr="004877A1">
        <w:trPr>
          <w:trHeight w:val="300"/>
        </w:trPr>
        <w:tc>
          <w:tcPr>
            <w:tcW w:w="5020" w:type="dxa"/>
            <w:noWrap/>
            <w:vAlign w:val="bottom"/>
            <w:hideMark/>
          </w:tcPr>
          <w:p w14:paraId="16DCF35F" w14:textId="221B4142" w:rsidR="004877A1" w:rsidRPr="007E4A43" w:rsidRDefault="003B3472" w:rsidP="004877A1">
            <w:pPr>
              <w:spacing w:after="0"/>
              <w:rPr>
                <w:rFonts w:ascii="Calibri" w:eastAsia="Times New Roman" w:hAnsi="Calibri" w:cs="Calibri"/>
                <w:color w:val="000000"/>
                <w:sz w:val="22"/>
                <w:szCs w:val="22"/>
              </w:rPr>
            </w:pPr>
            <w:r w:rsidRPr="007E4A43">
              <w:rPr>
                <w:rFonts w:ascii="Calibri" w:eastAsia="Times New Roman" w:hAnsi="Calibri" w:cs="Calibri"/>
                <w:color w:val="000000"/>
                <w:sz w:val="22"/>
                <w:szCs w:val="22"/>
              </w:rPr>
              <w:t>ELX/TEZ/IVA</w:t>
            </w:r>
          </w:p>
        </w:tc>
        <w:tc>
          <w:tcPr>
            <w:tcW w:w="2068" w:type="dxa"/>
            <w:noWrap/>
            <w:vAlign w:val="bottom"/>
            <w:hideMark/>
          </w:tcPr>
          <w:p w14:paraId="35714D64" w14:textId="77777777" w:rsidR="004877A1" w:rsidRPr="007E4A43" w:rsidRDefault="004877A1" w:rsidP="004877A1">
            <w:pPr>
              <w:spacing w:after="0"/>
              <w:jc w:val="right"/>
              <w:rPr>
                <w:rFonts w:ascii="Calibri" w:eastAsia="Times New Roman" w:hAnsi="Calibri" w:cs="Calibri"/>
                <w:color w:val="000000"/>
                <w:sz w:val="22"/>
                <w:szCs w:val="22"/>
              </w:rPr>
            </w:pPr>
            <w:r w:rsidRPr="007E4A43">
              <w:rPr>
                <w:rFonts w:ascii="Calibri" w:eastAsia="Times New Roman" w:hAnsi="Calibri" w:cs="Calibri"/>
                <w:color w:val="000000"/>
                <w:sz w:val="22"/>
                <w:szCs w:val="22"/>
              </w:rPr>
              <w:t>1 April 2022</w:t>
            </w:r>
          </w:p>
        </w:tc>
      </w:tr>
    </w:tbl>
    <w:p w14:paraId="02417A46" w14:textId="77777777" w:rsidR="004877A1" w:rsidRPr="007E4A43" w:rsidRDefault="004877A1" w:rsidP="00F52C14"/>
    <w:p w14:paraId="39EF75ED" w14:textId="73256AB5" w:rsidR="00675BB1" w:rsidRPr="007E4A43" w:rsidRDefault="00675BB1" w:rsidP="00CF5E22">
      <w:pPr>
        <w:pStyle w:val="Heading3"/>
      </w:pPr>
      <w:r w:rsidRPr="007E4A43" w:rsidDel="00EE2BBB">
        <w:t>Changes to listing</w:t>
      </w:r>
    </w:p>
    <w:p w14:paraId="1CC78548" w14:textId="208547B3" w:rsidR="00EC498E" w:rsidRPr="007E4A43" w:rsidDel="00EE2BBB"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5</w:t>
      </w:r>
      <w:r w:rsidRPr="007E4A43">
        <w:fldChar w:fldCharType="end"/>
      </w:r>
      <w:r w:rsidR="00EC498E" w:rsidRPr="007E4A43">
        <w:t>: Changes to PBS listings of CFTR modulators</w:t>
      </w:r>
    </w:p>
    <w:tbl>
      <w:tblPr>
        <w:tblW w:w="8926" w:type="dxa"/>
        <w:tblInd w:w="113" w:type="dxa"/>
        <w:tblLook w:val="04A0" w:firstRow="1" w:lastRow="0" w:firstColumn="1" w:lastColumn="0" w:noHBand="0" w:noVBand="1"/>
      </w:tblPr>
      <w:tblGrid>
        <w:gridCol w:w="2405"/>
        <w:gridCol w:w="1701"/>
        <w:gridCol w:w="4820"/>
      </w:tblGrid>
      <w:tr w:rsidR="00A4189F" w:rsidRPr="007E4A43" w14:paraId="5518BE6A" w14:textId="77777777" w:rsidTr="003927BA">
        <w:trPr>
          <w:trHeight w:val="255"/>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A26B66C" w14:textId="77777777" w:rsidR="00935521" w:rsidRPr="007E4A43" w:rsidRDefault="00935521" w:rsidP="00935521">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Drug name</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A310462" w14:textId="77777777" w:rsidR="00935521" w:rsidRPr="007E4A43" w:rsidRDefault="00935521" w:rsidP="00935521">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Date</w:t>
            </w:r>
          </w:p>
        </w:tc>
        <w:tc>
          <w:tcPr>
            <w:tcW w:w="48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581F174" w14:textId="77777777" w:rsidR="00935521" w:rsidRPr="007E4A43" w:rsidRDefault="00935521" w:rsidP="00935521">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Change</w:t>
            </w:r>
          </w:p>
        </w:tc>
      </w:tr>
      <w:tr w:rsidR="00A4189F" w:rsidRPr="007E4A43" w14:paraId="10B6C197" w14:textId="77777777" w:rsidTr="003927BA">
        <w:trPr>
          <w:trHeight w:val="510"/>
        </w:trPr>
        <w:tc>
          <w:tcPr>
            <w:tcW w:w="2405" w:type="dxa"/>
            <w:tcBorders>
              <w:top w:val="nil"/>
              <w:left w:val="single" w:sz="4" w:space="0" w:color="auto"/>
              <w:bottom w:val="single" w:sz="4" w:space="0" w:color="auto"/>
              <w:right w:val="single" w:sz="4" w:space="0" w:color="auto"/>
            </w:tcBorders>
            <w:noWrap/>
            <w:hideMark/>
          </w:tcPr>
          <w:p w14:paraId="314DC917"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Ivacaftor </w:t>
            </w:r>
          </w:p>
        </w:tc>
        <w:tc>
          <w:tcPr>
            <w:tcW w:w="1701" w:type="dxa"/>
            <w:tcBorders>
              <w:top w:val="nil"/>
              <w:left w:val="nil"/>
              <w:bottom w:val="single" w:sz="4" w:space="0" w:color="auto"/>
              <w:right w:val="single" w:sz="4" w:space="0" w:color="auto"/>
            </w:tcBorders>
            <w:noWrap/>
            <w:hideMark/>
          </w:tcPr>
          <w:p w14:paraId="1028565E"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December 2014</w:t>
            </w:r>
          </w:p>
        </w:tc>
        <w:tc>
          <w:tcPr>
            <w:tcW w:w="4820" w:type="dxa"/>
            <w:tcBorders>
              <w:top w:val="nil"/>
              <w:left w:val="nil"/>
              <w:bottom w:val="single" w:sz="4" w:space="0" w:color="auto"/>
              <w:right w:val="single" w:sz="4" w:space="0" w:color="auto"/>
            </w:tcBorders>
            <w:hideMark/>
          </w:tcPr>
          <w:p w14:paraId="768613E9"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PBS listed for patients with G551D mutation in the CFTR gene on at least 1 allele who are 6 years of age or older.</w:t>
            </w:r>
          </w:p>
        </w:tc>
      </w:tr>
      <w:tr w:rsidR="00A4189F" w:rsidRPr="007E4A43" w14:paraId="3BE60131" w14:textId="77777777" w:rsidTr="003927BA">
        <w:trPr>
          <w:trHeight w:val="255"/>
        </w:trPr>
        <w:tc>
          <w:tcPr>
            <w:tcW w:w="2405" w:type="dxa"/>
            <w:tcBorders>
              <w:top w:val="nil"/>
              <w:left w:val="single" w:sz="4" w:space="0" w:color="auto"/>
              <w:bottom w:val="single" w:sz="4" w:space="0" w:color="auto"/>
              <w:right w:val="single" w:sz="4" w:space="0" w:color="auto"/>
            </w:tcBorders>
            <w:noWrap/>
            <w:hideMark/>
          </w:tcPr>
          <w:p w14:paraId="4E2D7FB8"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Ivacaftor </w:t>
            </w:r>
          </w:p>
        </w:tc>
        <w:tc>
          <w:tcPr>
            <w:tcW w:w="1701" w:type="dxa"/>
            <w:tcBorders>
              <w:top w:val="nil"/>
              <w:left w:val="nil"/>
              <w:bottom w:val="single" w:sz="4" w:space="0" w:color="auto"/>
              <w:right w:val="single" w:sz="4" w:space="0" w:color="auto"/>
            </w:tcBorders>
            <w:noWrap/>
            <w:hideMark/>
          </w:tcPr>
          <w:p w14:paraId="428982B8"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May 2017</w:t>
            </w:r>
          </w:p>
        </w:tc>
        <w:tc>
          <w:tcPr>
            <w:tcW w:w="4820" w:type="dxa"/>
            <w:tcBorders>
              <w:top w:val="nil"/>
              <w:left w:val="nil"/>
              <w:bottom w:val="single" w:sz="4" w:space="0" w:color="auto"/>
              <w:right w:val="single" w:sz="4" w:space="0" w:color="auto"/>
            </w:tcBorders>
            <w:hideMark/>
          </w:tcPr>
          <w:p w14:paraId="3068B49F" w14:textId="6551F139"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Restriction </w:t>
            </w:r>
            <w:r w:rsidR="000206B1" w:rsidRPr="007E4A43">
              <w:rPr>
                <w:rFonts w:ascii="Calibri" w:eastAsia="Times New Roman" w:hAnsi="Calibri" w:cs="Calibri"/>
                <w:color w:val="000000"/>
                <w:sz w:val="20"/>
                <w:szCs w:val="20"/>
              </w:rPr>
              <w:t>extended to</w:t>
            </w:r>
            <w:r w:rsidRPr="007E4A43">
              <w:rPr>
                <w:rFonts w:ascii="Calibri" w:eastAsia="Times New Roman" w:hAnsi="Calibri" w:cs="Calibri"/>
                <w:color w:val="000000"/>
                <w:sz w:val="20"/>
                <w:szCs w:val="20"/>
              </w:rPr>
              <w:t xml:space="preserve"> patients 2 years of age or older.</w:t>
            </w:r>
          </w:p>
        </w:tc>
      </w:tr>
      <w:tr w:rsidR="00A4189F" w:rsidRPr="007E4A43" w14:paraId="5CE57C9B" w14:textId="77777777" w:rsidTr="003927BA">
        <w:trPr>
          <w:trHeight w:val="510"/>
        </w:trPr>
        <w:tc>
          <w:tcPr>
            <w:tcW w:w="2405" w:type="dxa"/>
            <w:tcBorders>
              <w:top w:val="nil"/>
              <w:left w:val="single" w:sz="4" w:space="0" w:color="auto"/>
              <w:bottom w:val="single" w:sz="4" w:space="0" w:color="auto"/>
              <w:right w:val="single" w:sz="4" w:space="0" w:color="auto"/>
            </w:tcBorders>
            <w:noWrap/>
            <w:hideMark/>
          </w:tcPr>
          <w:p w14:paraId="01C88EF2" w14:textId="588B0A1C" w:rsidR="00935521" w:rsidRPr="007E4A43" w:rsidRDefault="003B3472"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lastRenderedPageBreak/>
              <w:t>LUM/IVA</w:t>
            </w:r>
          </w:p>
        </w:tc>
        <w:tc>
          <w:tcPr>
            <w:tcW w:w="1701" w:type="dxa"/>
            <w:tcBorders>
              <w:top w:val="nil"/>
              <w:left w:val="nil"/>
              <w:bottom w:val="single" w:sz="4" w:space="0" w:color="auto"/>
              <w:right w:val="single" w:sz="4" w:space="0" w:color="auto"/>
            </w:tcBorders>
            <w:noWrap/>
            <w:hideMark/>
          </w:tcPr>
          <w:p w14:paraId="06207ABD"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October 2018</w:t>
            </w:r>
          </w:p>
        </w:tc>
        <w:tc>
          <w:tcPr>
            <w:tcW w:w="4820" w:type="dxa"/>
            <w:tcBorders>
              <w:top w:val="nil"/>
              <w:left w:val="nil"/>
              <w:bottom w:val="single" w:sz="4" w:space="0" w:color="auto"/>
              <w:right w:val="single" w:sz="4" w:space="0" w:color="auto"/>
            </w:tcBorders>
            <w:hideMark/>
          </w:tcPr>
          <w:p w14:paraId="27114735"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PBS listed for patients homozygous for the F508del mutation in the CFTR gene who are 6 years of age or older.</w:t>
            </w:r>
          </w:p>
        </w:tc>
      </w:tr>
      <w:tr w:rsidR="00A4189F" w:rsidRPr="007E4A43" w14:paraId="3F421AE2" w14:textId="77777777" w:rsidTr="003927BA">
        <w:trPr>
          <w:trHeight w:val="255"/>
        </w:trPr>
        <w:tc>
          <w:tcPr>
            <w:tcW w:w="2405" w:type="dxa"/>
            <w:tcBorders>
              <w:top w:val="nil"/>
              <w:left w:val="single" w:sz="4" w:space="0" w:color="auto"/>
              <w:bottom w:val="single" w:sz="4" w:space="0" w:color="auto"/>
              <w:right w:val="single" w:sz="4" w:space="0" w:color="auto"/>
            </w:tcBorders>
            <w:noWrap/>
            <w:hideMark/>
          </w:tcPr>
          <w:p w14:paraId="6AEA3862"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Ivacaftor </w:t>
            </w:r>
          </w:p>
        </w:tc>
        <w:tc>
          <w:tcPr>
            <w:tcW w:w="1701" w:type="dxa"/>
            <w:tcBorders>
              <w:top w:val="nil"/>
              <w:left w:val="nil"/>
              <w:bottom w:val="single" w:sz="4" w:space="0" w:color="auto"/>
              <w:right w:val="single" w:sz="4" w:space="0" w:color="auto"/>
            </w:tcBorders>
            <w:noWrap/>
            <w:hideMark/>
          </w:tcPr>
          <w:p w14:paraId="368209AE"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August 2019</w:t>
            </w:r>
          </w:p>
        </w:tc>
        <w:tc>
          <w:tcPr>
            <w:tcW w:w="4820" w:type="dxa"/>
            <w:tcBorders>
              <w:top w:val="nil"/>
              <w:left w:val="nil"/>
              <w:bottom w:val="single" w:sz="4" w:space="0" w:color="auto"/>
              <w:right w:val="single" w:sz="4" w:space="0" w:color="auto"/>
            </w:tcBorders>
            <w:hideMark/>
          </w:tcPr>
          <w:p w14:paraId="35BA1847"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Sachets PBS listed for patients aged 12 months of age or older.</w:t>
            </w:r>
          </w:p>
        </w:tc>
      </w:tr>
      <w:tr w:rsidR="00A4189F" w:rsidRPr="007E4A43" w14:paraId="5FE9EF39" w14:textId="77777777" w:rsidTr="003927BA">
        <w:trPr>
          <w:trHeight w:val="255"/>
        </w:trPr>
        <w:tc>
          <w:tcPr>
            <w:tcW w:w="2405" w:type="dxa"/>
            <w:tcBorders>
              <w:top w:val="nil"/>
              <w:left w:val="single" w:sz="4" w:space="0" w:color="auto"/>
              <w:bottom w:val="single" w:sz="4" w:space="0" w:color="auto"/>
              <w:right w:val="single" w:sz="4" w:space="0" w:color="auto"/>
            </w:tcBorders>
            <w:noWrap/>
            <w:hideMark/>
          </w:tcPr>
          <w:p w14:paraId="660E27B1" w14:textId="64C07210" w:rsidR="00935521" w:rsidRPr="007E4A43" w:rsidRDefault="003B3472"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LUM/IVA</w:t>
            </w:r>
          </w:p>
        </w:tc>
        <w:tc>
          <w:tcPr>
            <w:tcW w:w="1701" w:type="dxa"/>
            <w:tcBorders>
              <w:top w:val="nil"/>
              <w:left w:val="nil"/>
              <w:bottom w:val="single" w:sz="4" w:space="0" w:color="auto"/>
              <w:right w:val="single" w:sz="4" w:space="0" w:color="auto"/>
            </w:tcBorders>
            <w:noWrap/>
            <w:hideMark/>
          </w:tcPr>
          <w:p w14:paraId="4815981A"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December 2019</w:t>
            </w:r>
          </w:p>
        </w:tc>
        <w:tc>
          <w:tcPr>
            <w:tcW w:w="4820" w:type="dxa"/>
            <w:tcBorders>
              <w:top w:val="nil"/>
              <w:left w:val="nil"/>
              <w:bottom w:val="single" w:sz="4" w:space="0" w:color="auto"/>
              <w:right w:val="single" w:sz="4" w:space="0" w:color="auto"/>
            </w:tcBorders>
            <w:hideMark/>
          </w:tcPr>
          <w:p w14:paraId="7F78FF5F"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Sachets PBS listed for patients aged 2 years of age or older.</w:t>
            </w:r>
          </w:p>
        </w:tc>
      </w:tr>
      <w:tr w:rsidR="00A4189F" w:rsidRPr="007E4A43" w14:paraId="644D59F6" w14:textId="77777777" w:rsidTr="003927BA">
        <w:trPr>
          <w:trHeight w:val="510"/>
        </w:trPr>
        <w:tc>
          <w:tcPr>
            <w:tcW w:w="2405" w:type="dxa"/>
            <w:tcBorders>
              <w:top w:val="nil"/>
              <w:left w:val="single" w:sz="4" w:space="0" w:color="auto"/>
              <w:bottom w:val="single" w:sz="4" w:space="0" w:color="auto"/>
              <w:right w:val="single" w:sz="4" w:space="0" w:color="auto"/>
            </w:tcBorders>
            <w:noWrap/>
            <w:hideMark/>
          </w:tcPr>
          <w:p w14:paraId="2C8B4689" w14:textId="42744964" w:rsidR="00935521" w:rsidRPr="007E4A43" w:rsidRDefault="003B3472"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TEZ/IVA</w:t>
            </w:r>
          </w:p>
        </w:tc>
        <w:tc>
          <w:tcPr>
            <w:tcW w:w="1701" w:type="dxa"/>
            <w:tcBorders>
              <w:top w:val="nil"/>
              <w:left w:val="nil"/>
              <w:bottom w:val="single" w:sz="4" w:space="0" w:color="auto"/>
              <w:right w:val="single" w:sz="4" w:space="0" w:color="auto"/>
            </w:tcBorders>
            <w:noWrap/>
            <w:hideMark/>
          </w:tcPr>
          <w:p w14:paraId="761DADAA"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December 2019</w:t>
            </w:r>
          </w:p>
        </w:tc>
        <w:tc>
          <w:tcPr>
            <w:tcW w:w="4820" w:type="dxa"/>
            <w:tcBorders>
              <w:top w:val="nil"/>
              <w:left w:val="nil"/>
              <w:bottom w:val="single" w:sz="4" w:space="0" w:color="auto"/>
              <w:right w:val="single" w:sz="4" w:space="0" w:color="auto"/>
            </w:tcBorders>
            <w:hideMark/>
          </w:tcPr>
          <w:p w14:paraId="6B9C3FED"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PBS listed for patients homozygous for the F508del mutation or one residual function (RF) mutation who are 12 years of age or older.</w:t>
            </w:r>
          </w:p>
        </w:tc>
      </w:tr>
      <w:tr w:rsidR="00A4189F" w:rsidRPr="007E4A43" w14:paraId="57AC3015" w14:textId="77777777" w:rsidTr="003927BA">
        <w:trPr>
          <w:trHeight w:val="510"/>
        </w:trPr>
        <w:tc>
          <w:tcPr>
            <w:tcW w:w="2405" w:type="dxa"/>
            <w:tcBorders>
              <w:top w:val="nil"/>
              <w:left w:val="single" w:sz="4" w:space="0" w:color="auto"/>
              <w:bottom w:val="single" w:sz="4" w:space="0" w:color="auto"/>
              <w:right w:val="single" w:sz="4" w:space="0" w:color="auto"/>
            </w:tcBorders>
            <w:noWrap/>
            <w:hideMark/>
          </w:tcPr>
          <w:p w14:paraId="06811DBE" w14:textId="402FFF27" w:rsidR="00935521" w:rsidRPr="007E4A43" w:rsidRDefault="003B3472"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ELX/TEZ/IVA</w:t>
            </w:r>
          </w:p>
        </w:tc>
        <w:tc>
          <w:tcPr>
            <w:tcW w:w="1701" w:type="dxa"/>
            <w:tcBorders>
              <w:top w:val="nil"/>
              <w:left w:val="nil"/>
              <w:bottom w:val="single" w:sz="4" w:space="0" w:color="auto"/>
              <w:right w:val="single" w:sz="4" w:space="0" w:color="auto"/>
            </w:tcBorders>
            <w:noWrap/>
            <w:hideMark/>
          </w:tcPr>
          <w:p w14:paraId="225EC0AA"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April 2022</w:t>
            </w:r>
          </w:p>
        </w:tc>
        <w:tc>
          <w:tcPr>
            <w:tcW w:w="4820" w:type="dxa"/>
            <w:tcBorders>
              <w:top w:val="nil"/>
              <w:left w:val="nil"/>
              <w:bottom w:val="single" w:sz="4" w:space="0" w:color="auto"/>
              <w:right w:val="single" w:sz="4" w:space="0" w:color="auto"/>
            </w:tcBorders>
            <w:hideMark/>
          </w:tcPr>
          <w:p w14:paraId="28120DE7"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PBS listed for patients with at least one F508del mutation in the CFTR gene who are 12 years of age or older.</w:t>
            </w:r>
          </w:p>
        </w:tc>
      </w:tr>
      <w:tr w:rsidR="00A4189F" w:rsidRPr="007E4A43" w14:paraId="691E98C2" w14:textId="77777777" w:rsidTr="003927BA">
        <w:trPr>
          <w:trHeight w:val="255"/>
        </w:trPr>
        <w:tc>
          <w:tcPr>
            <w:tcW w:w="2405" w:type="dxa"/>
            <w:tcBorders>
              <w:top w:val="nil"/>
              <w:left w:val="single" w:sz="4" w:space="0" w:color="auto"/>
              <w:bottom w:val="single" w:sz="4" w:space="0" w:color="auto"/>
              <w:right w:val="single" w:sz="4" w:space="0" w:color="auto"/>
            </w:tcBorders>
            <w:noWrap/>
            <w:hideMark/>
          </w:tcPr>
          <w:p w14:paraId="03BD7551" w14:textId="6A7A16AF" w:rsidR="00935521" w:rsidRPr="007E4A43" w:rsidRDefault="003B3472"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ELX/TEZ/IVA</w:t>
            </w:r>
          </w:p>
        </w:tc>
        <w:tc>
          <w:tcPr>
            <w:tcW w:w="1701" w:type="dxa"/>
            <w:tcBorders>
              <w:top w:val="nil"/>
              <w:left w:val="nil"/>
              <w:bottom w:val="single" w:sz="4" w:space="0" w:color="auto"/>
              <w:right w:val="single" w:sz="4" w:space="0" w:color="auto"/>
            </w:tcBorders>
            <w:noWrap/>
            <w:hideMark/>
          </w:tcPr>
          <w:p w14:paraId="164A562E"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May 2023</w:t>
            </w:r>
          </w:p>
        </w:tc>
        <w:tc>
          <w:tcPr>
            <w:tcW w:w="4820" w:type="dxa"/>
            <w:tcBorders>
              <w:top w:val="nil"/>
              <w:left w:val="nil"/>
              <w:bottom w:val="single" w:sz="4" w:space="0" w:color="auto"/>
              <w:right w:val="single" w:sz="4" w:space="0" w:color="auto"/>
            </w:tcBorders>
            <w:hideMark/>
          </w:tcPr>
          <w:p w14:paraId="3CD8ED91"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Restriction extended to patients aged 6 years of age or older.</w:t>
            </w:r>
          </w:p>
        </w:tc>
      </w:tr>
      <w:tr w:rsidR="00A4189F" w:rsidRPr="007E4A43" w14:paraId="70A70A40" w14:textId="77777777" w:rsidTr="003927BA">
        <w:trPr>
          <w:trHeight w:val="255"/>
        </w:trPr>
        <w:tc>
          <w:tcPr>
            <w:tcW w:w="2405" w:type="dxa"/>
            <w:tcBorders>
              <w:top w:val="nil"/>
              <w:left w:val="single" w:sz="4" w:space="0" w:color="auto"/>
              <w:bottom w:val="single" w:sz="4" w:space="0" w:color="auto"/>
              <w:right w:val="single" w:sz="4" w:space="0" w:color="auto"/>
            </w:tcBorders>
            <w:noWrap/>
            <w:hideMark/>
          </w:tcPr>
          <w:p w14:paraId="55D73672" w14:textId="221F801B" w:rsidR="00935521" w:rsidRPr="007E4A43" w:rsidRDefault="003B3472"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LUM/IVA</w:t>
            </w:r>
          </w:p>
        </w:tc>
        <w:tc>
          <w:tcPr>
            <w:tcW w:w="1701" w:type="dxa"/>
            <w:tcBorders>
              <w:top w:val="nil"/>
              <w:left w:val="nil"/>
              <w:bottom w:val="single" w:sz="4" w:space="0" w:color="auto"/>
              <w:right w:val="single" w:sz="4" w:space="0" w:color="auto"/>
            </w:tcBorders>
            <w:noWrap/>
            <w:hideMark/>
          </w:tcPr>
          <w:p w14:paraId="3C50A9CD"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January 2024</w:t>
            </w:r>
          </w:p>
        </w:tc>
        <w:tc>
          <w:tcPr>
            <w:tcW w:w="4820" w:type="dxa"/>
            <w:tcBorders>
              <w:top w:val="nil"/>
              <w:left w:val="nil"/>
              <w:bottom w:val="single" w:sz="4" w:space="0" w:color="auto"/>
              <w:right w:val="single" w:sz="4" w:space="0" w:color="auto"/>
            </w:tcBorders>
            <w:hideMark/>
          </w:tcPr>
          <w:p w14:paraId="7D8EF702"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Restriction extended to patients aged 1 year of age or older.</w:t>
            </w:r>
          </w:p>
        </w:tc>
      </w:tr>
      <w:tr w:rsidR="00A4189F" w:rsidRPr="007E4A43" w14:paraId="53FBA8BD" w14:textId="77777777" w:rsidTr="003044A4">
        <w:trPr>
          <w:trHeight w:val="510"/>
        </w:trPr>
        <w:tc>
          <w:tcPr>
            <w:tcW w:w="2405" w:type="dxa"/>
            <w:tcBorders>
              <w:top w:val="nil"/>
              <w:left w:val="single" w:sz="4" w:space="0" w:color="auto"/>
              <w:bottom w:val="single" w:sz="4" w:space="0" w:color="auto"/>
              <w:right w:val="single" w:sz="4" w:space="0" w:color="auto"/>
            </w:tcBorders>
            <w:noWrap/>
            <w:hideMark/>
          </w:tcPr>
          <w:p w14:paraId="53412346"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Ivacaftor </w:t>
            </w:r>
          </w:p>
        </w:tc>
        <w:tc>
          <w:tcPr>
            <w:tcW w:w="1701" w:type="dxa"/>
            <w:tcBorders>
              <w:top w:val="nil"/>
              <w:left w:val="nil"/>
              <w:bottom w:val="single" w:sz="4" w:space="0" w:color="auto"/>
              <w:right w:val="single" w:sz="4" w:space="0" w:color="auto"/>
            </w:tcBorders>
            <w:noWrap/>
            <w:hideMark/>
          </w:tcPr>
          <w:p w14:paraId="04F30F2C"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June 2024</w:t>
            </w:r>
          </w:p>
        </w:tc>
        <w:tc>
          <w:tcPr>
            <w:tcW w:w="4820" w:type="dxa"/>
            <w:tcBorders>
              <w:top w:val="nil"/>
              <w:left w:val="nil"/>
              <w:bottom w:val="single" w:sz="4" w:space="0" w:color="auto"/>
              <w:right w:val="single" w:sz="4" w:space="0" w:color="auto"/>
            </w:tcBorders>
            <w:hideMark/>
          </w:tcPr>
          <w:p w14:paraId="7B99BD2F"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Restriction extended to patients with non-gating mutations and patients aged 4 months or older.</w:t>
            </w:r>
          </w:p>
        </w:tc>
      </w:tr>
      <w:tr w:rsidR="00A4189F" w:rsidRPr="007E4A43" w14:paraId="5145CF0A" w14:textId="77777777" w:rsidTr="003044A4">
        <w:trPr>
          <w:trHeight w:val="255"/>
        </w:trPr>
        <w:tc>
          <w:tcPr>
            <w:tcW w:w="2405" w:type="dxa"/>
            <w:tcBorders>
              <w:top w:val="single" w:sz="4" w:space="0" w:color="auto"/>
              <w:left w:val="single" w:sz="4" w:space="0" w:color="auto"/>
              <w:bottom w:val="single" w:sz="4" w:space="0" w:color="auto"/>
              <w:right w:val="single" w:sz="4" w:space="0" w:color="auto"/>
            </w:tcBorders>
            <w:noWrap/>
            <w:hideMark/>
          </w:tcPr>
          <w:p w14:paraId="78852D74" w14:textId="7F85C90A" w:rsidR="00935521" w:rsidRPr="007E4A43" w:rsidRDefault="003B3472"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ELX/TEZ/IVA</w:t>
            </w:r>
          </w:p>
        </w:tc>
        <w:tc>
          <w:tcPr>
            <w:tcW w:w="1701" w:type="dxa"/>
            <w:tcBorders>
              <w:top w:val="single" w:sz="4" w:space="0" w:color="auto"/>
              <w:left w:val="nil"/>
              <w:bottom w:val="single" w:sz="4" w:space="0" w:color="auto"/>
              <w:right w:val="single" w:sz="4" w:space="0" w:color="auto"/>
            </w:tcBorders>
            <w:noWrap/>
            <w:hideMark/>
          </w:tcPr>
          <w:p w14:paraId="282DB055"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August 2024</w:t>
            </w:r>
          </w:p>
        </w:tc>
        <w:tc>
          <w:tcPr>
            <w:tcW w:w="4820" w:type="dxa"/>
            <w:tcBorders>
              <w:top w:val="single" w:sz="4" w:space="0" w:color="auto"/>
              <w:left w:val="nil"/>
              <w:bottom w:val="single" w:sz="4" w:space="0" w:color="auto"/>
              <w:right w:val="single" w:sz="4" w:space="0" w:color="auto"/>
            </w:tcBorders>
            <w:hideMark/>
          </w:tcPr>
          <w:p w14:paraId="7BD263A6" w14:textId="77777777" w:rsidR="00935521" w:rsidRPr="007E4A43" w:rsidRDefault="00935521" w:rsidP="00935521">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Restriction extended to patients aged 2 years of age or older.</w:t>
            </w:r>
          </w:p>
        </w:tc>
      </w:tr>
      <w:tr w:rsidR="003044A4" w:rsidRPr="007E4A43" w14:paraId="03B56CEF" w14:textId="77777777" w:rsidTr="003044A4">
        <w:trPr>
          <w:trHeight w:val="255"/>
        </w:trPr>
        <w:tc>
          <w:tcPr>
            <w:tcW w:w="2405" w:type="dxa"/>
            <w:tcBorders>
              <w:top w:val="single" w:sz="4" w:space="0" w:color="auto"/>
              <w:left w:val="single" w:sz="4" w:space="0" w:color="auto"/>
              <w:bottom w:val="single" w:sz="4" w:space="0" w:color="auto"/>
              <w:right w:val="single" w:sz="4" w:space="0" w:color="auto"/>
            </w:tcBorders>
            <w:noWrap/>
          </w:tcPr>
          <w:p w14:paraId="7E5E89EC" w14:textId="359B12C4" w:rsidR="003044A4" w:rsidRPr="007E4A43" w:rsidRDefault="003044A4" w:rsidP="003044A4">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ELX/TEZ/IVA</w:t>
            </w:r>
          </w:p>
        </w:tc>
        <w:tc>
          <w:tcPr>
            <w:tcW w:w="1701" w:type="dxa"/>
            <w:tcBorders>
              <w:top w:val="single" w:sz="4" w:space="0" w:color="auto"/>
              <w:left w:val="nil"/>
              <w:bottom w:val="single" w:sz="4" w:space="0" w:color="auto"/>
              <w:right w:val="single" w:sz="4" w:space="0" w:color="auto"/>
            </w:tcBorders>
            <w:noWrap/>
          </w:tcPr>
          <w:p w14:paraId="0BDE21BE" w14:textId="7016486C" w:rsidR="003044A4" w:rsidRPr="007E4A43" w:rsidRDefault="003044A4" w:rsidP="003044A4">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1 July 2025</w:t>
            </w:r>
          </w:p>
        </w:tc>
        <w:tc>
          <w:tcPr>
            <w:tcW w:w="4820" w:type="dxa"/>
            <w:tcBorders>
              <w:top w:val="single" w:sz="4" w:space="0" w:color="auto"/>
              <w:left w:val="nil"/>
              <w:bottom w:val="single" w:sz="4" w:space="0" w:color="auto"/>
              <w:right w:val="single" w:sz="4" w:space="0" w:color="auto"/>
            </w:tcBorders>
          </w:tcPr>
          <w:p w14:paraId="63C12500" w14:textId="5A907584" w:rsidR="003044A4" w:rsidRPr="007E4A43" w:rsidRDefault="003044A4" w:rsidP="003044A4">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Restriction extended to patients who have at least one mutation in the CFTR gene that is responsive to ELX/TEZ/IVA based on clinical and/or in vitro assay data. </w:t>
            </w:r>
          </w:p>
        </w:tc>
      </w:tr>
    </w:tbl>
    <w:p w14:paraId="77E005CB" w14:textId="19B7118B" w:rsidR="00502505" w:rsidRPr="007E4A43" w:rsidRDefault="001722D9" w:rsidP="00A4211B">
      <w:pPr>
        <w:pStyle w:val="Figurecaption"/>
      </w:pPr>
      <w:r w:rsidRPr="007E4A43">
        <w:t xml:space="preserve">Note: as data were extracted to the end of June 2025, the extension of </w:t>
      </w:r>
      <w:r w:rsidR="002A536B" w:rsidRPr="007E4A43">
        <w:t>ELX/TEZ/IVA to patients who have at least one mutation in the CFTR gene was not reflected in the data.</w:t>
      </w:r>
    </w:p>
    <w:p w14:paraId="64C94A85" w14:textId="38255721" w:rsidR="00BF544D" w:rsidRPr="007E4A43" w:rsidDel="00EE2BBB" w:rsidRDefault="00BF544D" w:rsidP="00BF544D">
      <w:r w:rsidRPr="007E4A43" w:rsidDel="00EE2BBB">
        <w:t xml:space="preserve">Current PBS listing details are available from the </w:t>
      </w:r>
      <w:hyperlink r:id="rId12" w:history="1">
        <w:r w:rsidRPr="007E4A43" w:rsidDel="00EE2BBB">
          <w:rPr>
            <w:rStyle w:val="Hyperlink"/>
          </w:rPr>
          <w:t>PBS website</w:t>
        </w:r>
      </w:hyperlink>
      <w:r w:rsidRPr="007E4A43" w:rsidDel="00EE2BBB">
        <w:t>.</w:t>
      </w:r>
    </w:p>
    <w:p w14:paraId="462C0DC8" w14:textId="2CAD3EEC" w:rsidR="001C0A5D" w:rsidRPr="007E4A43" w:rsidRDefault="00394AEE" w:rsidP="0062188C">
      <w:pPr>
        <w:pStyle w:val="Heading2"/>
      </w:pPr>
      <w:r w:rsidRPr="007E4A43">
        <w:t>Relevant aspects of</w:t>
      </w:r>
      <w:r w:rsidR="00736041" w:rsidRPr="007E4A43">
        <w:t xml:space="preserve"> consideration</w:t>
      </w:r>
      <w:r w:rsidRPr="007E4A43">
        <w:t xml:space="preserve"> by the Pharmaceutical Benefits Advisory Committee (PBAC)</w:t>
      </w:r>
    </w:p>
    <w:p w14:paraId="7347E340" w14:textId="4F3253E5" w:rsidR="00EC498E" w:rsidRPr="007E4A43"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6</w:t>
      </w:r>
      <w:r w:rsidRPr="007E4A43">
        <w:fldChar w:fldCharType="end"/>
      </w:r>
      <w:r w:rsidR="00EC498E" w:rsidRPr="007E4A43">
        <w:t xml:space="preserve">: PBAC considerations of </w:t>
      </w:r>
      <w:r w:rsidR="00D27DA0" w:rsidRPr="007E4A43">
        <w:t>ELX/TEZ/IVA</w:t>
      </w:r>
    </w:p>
    <w:tbl>
      <w:tblPr>
        <w:tblW w:w="92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705"/>
        <w:gridCol w:w="2822"/>
      </w:tblGrid>
      <w:tr w:rsidR="00CF45A2" w:rsidRPr="007E4A43" w14:paraId="0021F383" w14:textId="77777777" w:rsidTr="00A4211B">
        <w:trPr>
          <w:trHeight w:val="300"/>
          <w:tblHeader/>
        </w:trPr>
        <w:tc>
          <w:tcPr>
            <w:tcW w:w="1701" w:type="dxa"/>
            <w:shd w:val="clear" w:color="auto" w:fill="BFBFBF" w:themeFill="background1" w:themeFillShade="BF"/>
            <w:noWrap/>
            <w:vAlign w:val="bottom"/>
            <w:hideMark/>
          </w:tcPr>
          <w:p w14:paraId="07C68CE3" w14:textId="77777777" w:rsidR="00CF45A2" w:rsidRPr="007E4A43" w:rsidRDefault="00CF45A2" w:rsidP="00CF45A2">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PBAC meeting</w:t>
            </w:r>
          </w:p>
        </w:tc>
        <w:tc>
          <w:tcPr>
            <w:tcW w:w="4705" w:type="dxa"/>
            <w:shd w:val="clear" w:color="auto" w:fill="BFBFBF" w:themeFill="background1" w:themeFillShade="BF"/>
            <w:noWrap/>
            <w:vAlign w:val="bottom"/>
            <w:hideMark/>
          </w:tcPr>
          <w:p w14:paraId="6717A0AD" w14:textId="77777777" w:rsidR="00CF45A2" w:rsidRPr="007E4A43" w:rsidRDefault="00CF45A2" w:rsidP="00CF45A2">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Submission purpose</w:t>
            </w:r>
          </w:p>
        </w:tc>
        <w:tc>
          <w:tcPr>
            <w:tcW w:w="2822" w:type="dxa"/>
            <w:shd w:val="clear" w:color="auto" w:fill="BFBFBF" w:themeFill="background1" w:themeFillShade="BF"/>
            <w:noWrap/>
            <w:vAlign w:val="bottom"/>
            <w:hideMark/>
          </w:tcPr>
          <w:p w14:paraId="107C003E" w14:textId="77777777" w:rsidR="00CF45A2" w:rsidRPr="007E4A43" w:rsidRDefault="00CF45A2" w:rsidP="00CF45A2">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Recommendation</w:t>
            </w:r>
          </w:p>
        </w:tc>
      </w:tr>
      <w:tr w:rsidR="00CF45A2" w:rsidRPr="007E4A43" w14:paraId="0B78CC36" w14:textId="77777777" w:rsidTr="00A4211B">
        <w:trPr>
          <w:trHeight w:val="1447"/>
        </w:trPr>
        <w:tc>
          <w:tcPr>
            <w:tcW w:w="1701" w:type="dxa"/>
            <w:noWrap/>
            <w:hideMark/>
          </w:tcPr>
          <w:p w14:paraId="3187A9C7"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March 2021</w:t>
            </w:r>
          </w:p>
        </w:tc>
        <w:tc>
          <w:tcPr>
            <w:tcW w:w="4705" w:type="dxa"/>
            <w:hideMark/>
          </w:tcPr>
          <w:p w14:paraId="3C89122F" w14:textId="67C8A8C6"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submission requested a Section 100, Authority Required listing for</w:t>
            </w:r>
            <w:r w:rsidR="003B3472"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ELX/TEZ/IVA for the treatment of cystic fibrosis</w:t>
            </w:r>
            <w:r w:rsidR="003B3472"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patients aged 12 years and older who have at least one F508del mutation in the</w:t>
            </w:r>
            <w:r w:rsidR="00062EA0" w:rsidRPr="007E4A43">
              <w:rPr>
                <w:rFonts w:ascii="Calibri" w:eastAsia="Times New Roman" w:hAnsi="Calibri" w:cs="Calibri"/>
                <w:color w:val="000000"/>
                <w:sz w:val="20"/>
                <w:szCs w:val="20"/>
              </w:rPr>
              <w:t xml:space="preserve"> CFTR</w:t>
            </w:r>
            <w:r w:rsidRPr="007E4A43">
              <w:rPr>
                <w:rFonts w:ascii="Calibri" w:eastAsia="Times New Roman" w:hAnsi="Calibri" w:cs="Calibri"/>
                <w:color w:val="000000"/>
                <w:sz w:val="20"/>
                <w:szCs w:val="20"/>
              </w:rPr>
              <w:t xml:space="preserve"> gene (F/any). </w:t>
            </w:r>
          </w:p>
        </w:tc>
        <w:tc>
          <w:tcPr>
            <w:tcW w:w="2822" w:type="dxa"/>
            <w:hideMark/>
          </w:tcPr>
          <w:p w14:paraId="718B6399"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Deferred</w:t>
            </w:r>
          </w:p>
        </w:tc>
      </w:tr>
      <w:tr w:rsidR="00CF45A2" w:rsidRPr="007E4A43" w14:paraId="7CEC550A" w14:textId="77777777" w:rsidTr="00A4211B">
        <w:trPr>
          <w:trHeight w:val="1538"/>
        </w:trPr>
        <w:tc>
          <w:tcPr>
            <w:tcW w:w="1701" w:type="dxa"/>
            <w:noWrap/>
            <w:hideMark/>
          </w:tcPr>
          <w:p w14:paraId="343EEF30"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May 2021</w:t>
            </w:r>
          </w:p>
        </w:tc>
        <w:tc>
          <w:tcPr>
            <w:tcW w:w="4705" w:type="dxa"/>
            <w:hideMark/>
          </w:tcPr>
          <w:p w14:paraId="6D6AC76C" w14:textId="3F25F55E"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submission requested a Section 100, Authority Required listing for</w:t>
            </w:r>
            <w:r w:rsidR="003B3472"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ELX/TEZ/IVA for the treatment of cystic fibrosis</w:t>
            </w:r>
            <w:r w:rsidR="003B3472"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patients aged 12 years and older who have at least one F508del mutation in the</w:t>
            </w:r>
            <w:r w:rsidR="00062EA0" w:rsidRPr="007E4A43">
              <w:rPr>
                <w:rFonts w:ascii="Calibri" w:eastAsia="Times New Roman" w:hAnsi="Calibri" w:cs="Calibri"/>
                <w:color w:val="000000"/>
                <w:sz w:val="20"/>
                <w:szCs w:val="20"/>
              </w:rPr>
              <w:t xml:space="preserve"> CFTR </w:t>
            </w:r>
            <w:r w:rsidRPr="007E4A43">
              <w:rPr>
                <w:rFonts w:ascii="Calibri" w:eastAsia="Times New Roman" w:hAnsi="Calibri" w:cs="Calibri"/>
                <w:color w:val="000000"/>
                <w:sz w:val="20"/>
                <w:szCs w:val="20"/>
              </w:rPr>
              <w:t>gene (F/any)</w:t>
            </w:r>
            <w:r w:rsidR="005E1D51" w:rsidRPr="007E4A43">
              <w:rPr>
                <w:rFonts w:ascii="Calibri" w:eastAsia="Times New Roman" w:hAnsi="Calibri" w:cs="Calibri"/>
                <w:color w:val="000000"/>
                <w:sz w:val="20"/>
                <w:szCs w:val="20"/>
              </w:rPr>
              <w:t>, including a separate subgroup of patients, those with a F/R117H genotype, which had previously been included in the F/not yet characterised subgroup</w:t>
            </w:r>
            <w:r w:rsidRPr="007E4A43">
              <w:rPr>
                <w:rFonts w:ascii="Calibri" w:eastAsia="Times New Roman" w:hAnsi="Calibri" w:cs="Calibri"/>
                <w:color w:val="000000"/>
                <w:sz w:val="20"/>
                <w:szCs w:val="20"/>
              </w:rPr>
              <w:t xml:space="preserve">. </w:t>
            </w:r>
          </w:p>
        </w:tc>
        <w:tc>
          <w:tcPr>
            <w:tcW w:w="2822" w:type="dxa"/>
            <w:hideMark/>
          </w:tcPr>
          <w:p w14:paraId="347162E9"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Deferred</w:t>
            </w:r>
          </w:p>
        </w:tc>
      </w:tr>
      <w:tr w:rsidR="00CF45A2" w:rsidRPr="007E4A43" w14:paraId="21A75571" w14:textId="77777777" w:rsidTr="00A4211B">
        <w:trPr>
          <w:trHeight w:val="1106"/>
        </w:trPr>
        <w:tc>
          <w:tcPr>
            <w:tcW w:w="1701" w:type="dxa"/>
            <w:noWrap/>
            <w:hideMark/>
          </w:tcPr>
          <w:p w14:paraId="11875D04"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July 2021</w:t>
            </w:r>
          </w:p>
        </w:tc>
        <w:tc>
          <w:tcPr>
            <w:tcW w:w="4705" w:type="dxa"/>
            <w:hideMark/>
          </w:tcPr>
          <w:p w14:paraId="11082A03" w14:textId="01F818FD"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submission requested a Section 100, Authority Required listing for</w:t>
            </w:r>
            <w:r w:rsidR="009061C7"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ELX/TEZ/IVA for the treatment of cystic fibrosis patients aged 12 years and older who have at least one F508del mutation in the</w:t>
            </w:r>
            <w:r w:rsidR="009061C7" w:rsidRPr="007E4A43">
              <w:rPr>
                <w:rFonts w:ascii="Calibri" w:eastAsia="Times New Roman" w:hAnsi="Calibri" w:cs="Calibri"/>
                <w:color w:val="000000"/>
                <w:sz w:val="20"/>
                <w:szCs w:val="20"/>
              </w:rPr>
              <w:t xml:space="preserve"> </w:t>
            </w:r>
            <w:r w:rsidR="00062EA0" w:rsidRPr="007E4A43">
              <w:rPr>
                <w:rFonts w:ascii="Calibri" w:eastAsia="Times New Roman" w:hAnsi="Calibri" w:cs="Calibri"/>
                <w:color w:val="000000"/>
                <w:sz w:val="20"/>
                <w:szCs w:val="20"/>
              </w:rPr>
              <w:t xml:space="preserve">CFTR </w:t>
            </w:r>
            <w:r w:rsidRPr="007E4A43">
              <w:rPr>
                <w:rFonts w:ascii="Calibri" w:eastAsia="Times New Roman" w:hAnsi="Calibri" w:cs="Calibri"/>
                <w:color w:val="000000"/>
                <w:sz w:val="20"/>
                <w:szCs w:val="20"/>
              </w:rPr>
              <w:t xml:space="preserve">(F/any). </w:t>
            </w:r>
          </w:p>
        </w:tc>
        <w:tc>
          <w:tcPr>
            <w:tcW w:w="2822" w:type="dxa"/>
            <w:hideMark/>
          </w:tcPr>
          <w:p w14:paraId="01407A7A" w14:textId="26DB2A14"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Recommended </w:t>
            </w:r>
            <w:r w:rsidR="00F54707" w:rsidRPr="007E4A43">
              <w:rPr>
                <w:rFonts w:ascii="Calibri" w:eastAsia="Times New Roman" w:hAnsi="Calibri" w:cs="Calibri"/>
                <w:color w:val="000000"/>
                <w:sz w:val="20"/>
                <w:szCs w:val="20"/>
              </w:rPr>
              <w:t xml:space="preserve">ELX/TEZ/IVA </w:t>
            </w:r>
            <w:r w:rsidRPr="007E4A43">
              <w:rPr>
                <w:rFonts w:ascii="Calibri" w:eastAsia="Times New Roman" w:hAnsi="Calibri" w:cs="Calibri"/>
                <w:color w:val="000000"/>
                <w:sz w:val="20"/>
                <w:szCs w:val="20"/>
              </w:rPr>
              <w:t xml:space="preserve">for the treatment of cystic fibrosis patients aged 12 years and older who have one F508del mutation and one minimal </w:t>
            </w:r>
            <w:r w:rsidRPr="007E4A43">
              <w:rPr>
                <w:rFonts w:ascii="Calibri" w:eastAsia="Times New Roman" w:hAnsi="Calibri" w:cs="Calibri"/>
                <w:color w:val="000000"/>
                <w:sz w:val="20"/>
                <w:szCs w:val="20"/>
              </w:rPr>
              <w:lastRenderedPageBreak/>
              <w:t xml:space="preserve">function mutation in the </w:t>
            </w:r>
            <w:r w:rsidR="00062EA0" w:rsidRPr="007E4A43">
              <w:rPr>
                <w:rFonts w:ascii="Calibri" w:eastAsia="Times New Roman" w:hAnsi="Calibri" w:cs="Calibri"/>
                <w:color w:val="000000"/>
                <w:sz w:val="20"/>
                <w:szCs w:val="20"/>
              </w:rPr>
              <w:t xml:space="preserve">CFTR </w:t>
            </w:r>
            <w:r w:rsidRPr="007E4A43">
              <w:rPr>
                <w:rFonts w:ascii="Calibri" w:eastAsia="Times New Roman" w:hAnsi="Calibri" w:cs="Calibri"/>
                <w:color w:val="000000"/>
                <w:sz w:val="20"/>
                <w:szCs w:val="20"/>
              </w:rPr>
              <w:t xml:space="preserve">gene (F/MF population). Did not make a recommendation for listing for the broader population of </w:t>
            </w:r>
            <w:r w:rsidR="00062EA0" w:rsidRPr="007E4A43">
              <w:rPr>
                <w:rFonts w:ascii="Calibri" w:eastAsia="Times New Roman" w:hAnsi="Calibri" w:cs="Calibri"/>
                <w:color w:val="000000"/>
                <w:sz w:val="20"/>
                <w:szCs w:val="20"/>
              </w:rPr>
              <w:t xml:space="preserve">cystic fibrosis </w:t>
            </w:r>
            <w:r w:rsidRPr="007E4A43">
              <w:rPr>
                <w:rFonts w:ascii="Calibri" w:eastAsia="Times New Roman" w:hAnsi="Calibri" w:cs="Calibri"/>
                <w:color w:val="000000"/>
                <w:sz w:val="20"/>
                <w:szCs w:val="20"/>
              </w:rPr>
              <w:t>patients aged 12 years and older who have at least one F508del mutation in the CFTR gene (F/any population).</w:t>
            </w:r>
          </w:p>
        </w:tc>
      </w:tr>
      <w:tr w:rsidR="00CF45A2" w:rsidRPr="007E4A43" w14:paraId="6D06340F" w14:textId="77777777" w:rsidTr="00A4211B">
        <w:trPr>
          <w:trHeight w:val="1547"/>
        </w:trPr>
        <w:tc>
          <w:tcPr>
            <w:tcW w:w="1701" w:type="dxa"/>
            <w:noWrap/>
            <w:hideMark/>
          </w:tcPr>
          <w:p w14:paraId="2B858F98"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lastRenderedPageBreak/>
              <w:t>December 2021</w:t>
            </w:r>
          </w:p>
        </w:tc>
        <w:tc>
          <w:tcPr>
            <w:tcW w:w="4705" w:type="dxa"/>
            <w:hideMark/>
          </w:tcPr>
          <w:p w14:paraId="3DE27A65" w14:textId="0F6B76C9"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early re-entry resubmission sought listing of ELX/TEZ/IVA for the treatment of cystic fibrosis patients aged 12 years and older</w:t>
            </w:r>
            <w:r w:rsidR="004E5B59"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 xml:space="preserve">who have at least one F508del mutation in the </w:t>
            </w:r>
            <w:r w:rsidR="00062EA0" w:rsidRPr="007E4A43">
              <w:rPr>
                <w:rFonts w:ascii="Calibri" w:eastAsia="Times New Roman" w:hAnsi="Calibri" w:cs="Calibri"/>
                <w:color w:val="000000"/>
                <w:sz w:val="20"/>
                <w:szCs w:val="20"/>
              </w:rPr>
              <w:t>CFTR</w:t>
            </w:r>
            <w:r w:rsidR="00F54707"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F/any population</w:t>
            </w:r>
            <w:r w:rsidR="00F54707" w:rsidRPr="007E4A43">
              <w:rPr>
                <w:rFonts w:ascii="Calibri" w:eastAsia="Times New Roman" w:hAnsi="Calibri" w:cs="Calibri"/>
                <w:color w:val="000000"/>
                <w:sz w:val="20"/>
                <w:szCs w:val="20"/>
              </w:rPr>
              <w:t>)</w:t>
            </w:r>
            <w:r w:rsidRPr="007E4A43">
              <w:rPr>
                <w:rFonts w:ascii="Calibri" w:eastAsia="Times New Roman" w:hAnsi="Calibri" w:cs="Calibri"/>
                <w:color w:val="000000"/>
                <w:sz w:val="20"/>
                <w:szCs w:val="20"/>
              </w:rPr>
              <w:t>.</w:t>
            </w:r>
          </w:p>
        </w:tc>
        <w:tc>
          <w:tcPr>
            <w:tcW w:w="2822" w:type="dxa"/>
            <w:hideMark/>
          </w:tcPr>
          <w:p w14:paraId="347E516B"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Recommended</w:t>
            </w:r>
          </w:p>
        </w:tc>
      </w:tr>
      <w:tr w:rsidR="00CF45A2" w:rsidRPr="007E4A43" w14:paraId="6EBD9703" w14:textId="77777777" w:rsidTr="00A4211B">
        <w:trPr>
          <w:trHeight w:val="1413"/>
        </w:trPr>
        <w:tc>
          <w:tcPr>
            <w:tcW w:w="1701" w:type="dxa"/>
            <w:noWrap/>
            <w:hideMark/>
          </w:tcPr>
          <w:p w14:paraId="22081A83" w14:textId="2D0CE82C"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November 2022 </w:t>
            </w:r>
          </w:p>
        </w:tc>
        <w:tc>
          <w:tcPr>
            <w:tcW w:w="4705" w:type="dxa"/>
            <w:hideMark/>
          </w:tcPr>
          <w:p w14:paraId="2BEDDF32" w14:textId="7A1B17D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submission requested a Section 100 (Highly Specialised Drugs Program) Authority</w:t>
            </w:r>
            <w:r w:rsidR="004E5B59"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Required listing for</w:t>
            </w:r>
            <w:r w:rsidR="004E5B59"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ELX/TEZ/IVA for the treatment</w:t>
            </w:r>
            <w:r w:rsidR="004E5B59" w:rsidRPr="007E4A43">
              <w:rPr>
                <w:rFonts w:ascii="Calibri" w:eastAsia="Times New Roman" w:hAnsi="Calibri" w:cs="Calibri"/>
                <w:color w:val="000000"/>
                <w:sz w:val="20"/>
                <w:szCs w:val="20"/>
              </w:rPr>
              <w:t xml:space="preserve"> </w:t>
            </w:r>
            <w:r w:rsidRPr="007E4A43">
              <w:rPr>
                <w:rFonts w:ascii="Calibri" w:eastAsia="Times New Roman" w:hAnsi="Calibri" w:cs="Calibri"/>
                <w:color w:val="000000"/>
                <w:sz w:val="20"/>
                <w:szCs w:val="20"/>
              </w:rPr>
              <w:t xml:space="preserve">of cystic fibrosis in patients who are aged 6 to 11 years </w:t>
            </w:r>
            <w:r w:rsidR="00062EA0" w:rsidRPr="007E4A43">
              <w:rPr>
                <w:rFonts w:ascii="Calibri" w:eastAsia="Times New Roman" w:hAnsi="Calibri" w:cs="Calibri"/>
                <w:color w:val="000000"/>
                <w:sz w:val="20"/>
                <w:szCs w:val="20"/>
              </w:rPr>
              <w:t xml:space="preserve">CFTR </w:t>
            </w:r>
            <w:r w:rsidRPr="007E4A43">
              <w:rPr>
                <w:rFonts w:ascii="Calibri" w:eastAsia="Times New Roman" w:hAnsi="Calibri" w:cs="Calibri"/>
                <w:color w:val="000000"/>
                <w:sz w:val="20"/>
                <w:szCs w:val="20"/>
              </w:rPr>
              <w:t>gene (F/any).</w:t>
            </w:r>
          </w:p>
        </w:tc>
        <w:tc>
          <w:tcPr>
            <w:tcW w:w="2822" w:type="dxa"/>
            <w:hideMark/>
          </w:tcPr>
          <w:p w14:paraId="5F983F34"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Recommended</w:t>
            </w:r>
          </w:p>
        </w:tc>
      </w:tr>
      <w:tr w:rsidR="005E1D51" w:rsidRPr="007E4A43" w14:paraId="15C5BA05" w14:textId="77777777" w:rsidTr="00A4211B">
        <w:trPr>
          <w:trHeight w:val="1413"/>
        </w:trPr>
        <w:tc>
          <w:tcPr>
            <w:tcW w:w="1701" w:type="dxa"/>
            <w:noWrap/>
          </w:tcPr>
          <w:p w14:paraId="03D7B1E7" w14:textId="7FCD6CA4" w:rsidR="005E1D51" w:rsidRPr="007E4A43" w:rsidRDefault="005E1D51"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March 2023</w:t>
            </w:r>
          </w:p>
        </w:tc>
        <w:tc>
          <w:tcPr>
            <w:tcW w:w="4705" w:type="dxa"/>
          </w:tcPr>
          <w:p w14:paraId="04D09C73" w14:textId="434AAD6B" w:rsidR="005E1D51" w:rsidRPr="007E4A43" w:rsidRDefault="005E1D51"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sponsor requested reconsideration of the financial estimates that were recommen</w:t>
            </w:r>
            <w:r w:rsidR="003232DF" w:rsidRPr="007E4A43">
              <w:rPr>
                <w:rFonts w:ascii="Calibri" w:eastAsia="Times New Roman" w:hAnsi="Calibri" w:cs="Calibri"/>
                <w:color w:val="000000"/>
                <w:sz w:val="20"/>
                <w:szCs w:val="20"/>
              </w:rPr>
              <w:t>d</w:t>
            </w:r>
            <w:r w:rsidRPr="007E4A43">
              <w:rPr>
                <w:rFonts w:ascii="Calibri" w:eastAsia="Times New Roman" w:hAnsi="Calibri" w:cs="Calibri"/>
                <w:color w:val="000000"/>
                <w:sz w:val="20"/>
                <w:szCs w:val="20"/>
              </w:rPr>
              <w:t xml:space="preserve">ed at the November 2022 meeting. </w:t>
            </w:r>
          </w:p>
        </w:tc>
        <w:tc>
          <w:tcPr>
            <w:tcW w:w="2822" w:type="dxa"/>
          </w:tcPr>
          <w:p w14:paraId="520E9DBA" w14:textId="005BBE0C" w:rsidR="005E1D51" w:rsidRPr="007E4A43" w:rsidRDefault="005E1D51"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PBAC revised its previous advice regarding the recommendation of ELZ/TEZ/IVA for the treatment of cystic fibrosis in patients who are aged 6 to 11 years and who have at least one F508del mutation on the CFTR gene.</w:t>
            </w:r>
          </w:p>
        </w:tc>
      </w:tr>
      <w:tr w:rsidR="00CF45A2" w:rsidRPr="007E4A43" w14:paraId="4C47AE4B" w14:textId="77777777" w:rsidTr="00A4211B">
        <w:trPr>
          <w:trHeight w:val="1800"/>
        </w:trPr>
        <w:tc>
          <w:tcPr>
            <w:tcW w:w="1701" w:type="dxa"/>
            <w:noWrap/>
            <w:hideMark/>
          </w:tcPr>
          <w:p w14:paraId="7A574838"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March 2024</w:t>
            </w:r>
          </w:p>
        </w:tc>
        <w:tc>
          <w:tcPr>
            <w:tcW w:w="4705" w:type="dxa"/>
            <w:hideMark/>
          </w:tcPr>
          <w:p w14:paraId="017A8F8C" w14:textId="2A1C3A09"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xml:space="preserve">The Category 2 submission requested </w:t>
            </w:r>
            <w:r w:rsidR="004A1935" w:rsidRPr="007E4A43">
              <w:rPr>
                <w:rFonts w:ascii="Calibri" w:eastAsia="Times New Roman" w:hAnsi="Calibri" w:cs="Calibri"/>
                <w:color w:val="000000"/>
                <w:sz w:val="20"/>
                <w:szCs w:val="20"/>
              </w:rPr>
              <w:t xml:space="preserve">the listing of two granule formulations of </w:t>
            </w:r>
            <w:r w:rsidRPr="007E4A43">
              <w:rPr>
                <w:rFonts w:ascii="Calibri" w:eastAsia="Times New Roman" w:hAnsi="Calibri" w:cs="Calibri"/>
                <w:color w:val="000000"/>
                <w:sz w:val="20"/>
                <w:szCs w:val="20"/>
              </w:rPr>
              <w:t xml:space="preserve">ELX/TEZ/IVA for the treatment of cystic fibrosis in patients who have at least one F508del mutation in the </w:t>
            </w:r>
            <w:r w:rsidR="00062EA0" w:rsidRPr="007E4A43">
              <w:rPr>
                <w:rFonts w:ascii="Calibri" w:eastAsia="Times New Roman" w:hAnsi="Calibri" w:cs="Calibri"/>
                <w:color w:val="000000"/>
                <w:sz w:val="20"/>
                <w:szCs w:val="20"/>
              </w:rPr>
              <w:t xml:space="preserve">CFTR </w:t>
            </w:r>
            <w:r w:rsidRPr="007E4A43">
              <w:rPr>
                <w:rFonts w:ascii="Calibri" w:eastAsia="Times New Roman" w:hAnsi="Calibri" w:cs="Calibri"/>
                <w:color w:val="000000"/>
                <w:sz w:val="20"/>
                <w:szCs w:val="20"/>
              </w:rPr>
              <w:t>gene (referred to as the F/any population) to include patients aged 2 to 5 years.</w:t>
            </w:r>
          </w:p>
        </w:tc>
        <w:tc>
          <w:tcPr>
            <w:tcW w:w="2822" w:type="dxa"/>
            <w:hideMark/>
          </w:tcPr>
          <w:p w14:paraId="55E1A36F" w14:textId="77777777" w:rsidR="00CF45A2" w:rsidRPr="007E4A43" w:rsidRDefault="00CF45A2"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Recommended</w:t>
            </w:r>
          </w:p>
        </w:tc>
      </w:tr>
      <w:tr w:rsidR="003044A4" w:rsidRPr="007E4A43" w14:paraId="191AA28A" w14:textId="77777777" w:rsidTr="00A4211B">
        <w:trPr>
          <w:trHeight w:val="1800"/>
        </w:trPr>
        <w:tc>
          <w:tcPr>
            <w:tcW w:w="1701" w:type="dxa"/>
            <w:noWrap/>
          </w:tcPr>
          <w:p w14:paraId="294C8C71" w14:textId="061F108A" w:rsidR="003044A4" w:rsidRPr="007E4A43" w:rsidRDefault="003044A4"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March 2025</w:t>
            </w:r>
          </w:p>
        </w:tc>
        <w:tc>
          <w:tcPr>
            <w:tcW w:w="4705" w:type="dxa"/>
          </w:tcPr>
          <w:p w14:paraId="78B49DB2" w14:textId="1E0D4174" w:rsidR="003044A4" w:rsidRPr="007E4A43" w:rsidRDefault="003044A4" w:rsidP="003044A4">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The Category 2 submission requested an extension to the current listing of ELX/TEZ/IVA for the treatment of cystic fibrosis in patients who have at least one mutation in the CFTR gene that is responsive to ELX/TEZ/IVA based on clinical and/or in vitro assay data.</w:t>
            </w:r>
          </w:p>
        </w:tc>
        <w:tc>
          <w:tcPr>
            <w:tcW w:w="2822" w:type="dxa"/>
          </w:tcPr>
          <w:p w14:paraId="44129CEA" w14:textId="35AF4B69" w:rsidR="003044A4" w:rsidRPr="007E4A43" w:rsidRDefault="003044A4" w:rsidP="00CF45A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Recommended</w:t>
            </w:r>
          </w:p>
        </w:tc>
      </w:tr>
    </w:tbl>
    <w:p w14:paraId="261A9809" w14:textId="77777777" w:rsidR="001C0A5D" w:rsidRPr="007E4A43" w:rsidRDefault="001C0A5D" w:rsidP="00A35800"/>
    <w:p w14:paraId="1BE72744" w14:textId="599870D5" w:rsidR="00983886" w:rsidRPr="007E4A43" w:rsidRDefault="008533E6" w:rsidP="00A35800">
      <w:pPr>
        <w:rPr>
          <w:u w:val="single"/>
        </w:rPr>
      </w:pPr>
      <w:r w:rsidRPr="007E4A43">
        <w:rPr>
          <w:u w:val="single"/>
        </w:rPr>
        <w:t>March</w:t>
      </w:r>
      <w:r w:rsidR="00F54707" w:rsidRPr="007E4A43">
        <w:rPr>
          <w:u w:val="single"/>
        </w:rPr>
        <w:t xml:space="preserve"> 2021,</w:t>
      </w:r>
      <w:r w:rsidRPr="007E4A43">
        <w:rPr>
          <w:u w:val="single"/>
        </w:rPr>
        <w:t xml:space="preserve"> May</w:t>
      </w:r>
      <w:r w:rsidR="00983886" w:rsidRPr="007E4A43">
        <w:rPr>
          <w:u w:val="single"/>
        </w:rPr>
        <w:t xml:space="preserve"> 2021</w:t>
      </w:r>
      <w:r w:rsidR="00F54707" w:rsidRPr="007E4A43">
        <w:rPr>
          <w:u w:val="single"/>
        </w:rPr>
        <w:t>, and July 2021</w:t>
      </w:r>
    </w:p>
    <w:p w14:paraId="3E9F698B" w14:textId="7C14D2B8" w:rsidR="001141A8" w:rsidRPr="007E4A43" w:rsidRDefault="005E1D51" w:rsidP="001141A8">
      <w:r w:rsidRPr="007E4A43">
        <w:t>At its May 2021 meeting,</w:t>
      </w:r>
      <w:r w:rsidR="00F54707" w:rsidRPr="007E4A43">
        <w:t xml:space="preserve"> the </w:t>
      </w:r>
      <w:r w:rsidR="001141A8" w:rsidRPr="007E4A43">
        <w:t xml:space="preserve">PBAC noted that the submission’s proposed treated patient numbers had not significantly changed compared with the March 2021 submission’s proposed estimates. The PBAC recalled that it had considered the estimated number of treated patients to be overestimated and had advised that a method based on agreed </w:t>
      </w:r>
      <w:r w:rsidR="001141A8" w:rsidRPr="007E4A43">
        <w:lastRenderedPageBreak/>
        <w:t>estimates for the current listings of IVA, LUM/IVA and TEZ/IVA would be an appropriate approach to estimating the size of the total treated population with ELX/TEZ/IVA.</w:t>
      </w:r>
    </w:p>
    <w:p w14:paraId="0FE3B60E" w14:textId="62859981" w:rsidR="00050A5B" w:rsidRPr="007E4A43" w:rsidRDefault="00050A5B" w:rsidP="00050A5B">
      <w:r w:rsidRPr="007E4A43">
        <w:t xml:space="preserve">The PBAC considered the proposal to reallocate 80% of the remaining patients classified as F/not yet characterised in the </w:t>
      </w:r>
      <w:r w:rsidR="00326C3B" w:rsidRPr="007E4A43">
        <w:t>Australian Cystic Fibrosis Data Registry (</w:t>
      </w:r>
      <w:r w:rsidRPr="007E4A43">
        <w:t>ACFDR</w:t>
      </w:r>
      <w:r w:rsidR="00326C3B" w:rsidRPr="007E4A43">
        <w:t>)</w:t>
      </w:r>
      <w:r w:rsidRPr="007E4A43">
        <w:t xml:space="preserve"> registry to the F/MF population and 20% to the F/RF population was reasonable in the absence of any other data to support the likely subsequent characterisation.</w:t>
      </w:r>
    </w:p>
    <w:p w14:paraId="3A0E6249" w14:textId="24DD8F69" w:rsidR="008533E6" w:rsidRPr="007E4A43" w:rsidRDefault="008533E6" w:rsidP="008533E6">
      <w:r w:rsidRPr="007E4A43">
        <w:t>The PBAC maintained that estimates for the F/F, F/RF and F/G groups should be based on previously agreed estimates for the listing of the available CFTR modulators on the PBS. While the PBAC acknowledged that previously agreed estimates for IVA, LUM/IVA and TEZ/IVA were based on full time equivalent patients rather than the total eligible patient pool, the PBAC was not minded to change its advice in relation to the estimated patient numbers for these patient populations noting that the current utilisation of LUM/IVA and TEZ/IVA has been lower than estimated at the time of listing. The PBAC acknowledged the use of non PBS-funded CFTR modulator therapies in clinical trials, but considered it unreasonable to assume that there will be no future participation of Australian CF patients in trials of disease-modifying therapies. The PBAC therefore considered that using an epidemiological approach was likely to overestimate uptake and that increasing the estimated treated population for these groups already eligible for CFTR modulator treatment was not sufficiently justified.</w:t>
      </w:r>
    </w:p>
    <w:p w14:paraId="3294B396" w14:textId="712FC285" w:rsidR="008533E6" w:rsidRPr="007E4A43" w:rsidRDefault="008533E6" w:rsidP="008533E6">
      <w:r w:rsidRPr="007E4A43">
        <w:t>The PBAC considered that it may be reasonable for the eligible patients from those populations that are currently ineligible for PBS-listed CFTR modulator therapy (i.e. F/MF and F/R117H groups), to be estimated using an epidemiological approach with reference to the ACFDR current patient numbers. The PBAC accepted the following proposed eligible patient numbers and uptake rates for these groups, noting however that that the discontinuation rates applied in the submission (0.99% in F/MF and 0.76% for F/R117H) were extremely optimistic and likely to be higher.</w:t>
      </w:r>
    </w:p>
    <w:p w14:paraId="3BB10915" w14:textId="52D416FA" w:rsidR="00E17526" w:rsidRPr="007E4A43" w:rsidRDefault="001141A8" w:rsidP="001141A8">
      <w:r w:rsidRPr="007E4A43">
        <w:t>This submission was deferred. Overall, the PBAC considered that the revised proposal was not aligned with the PBAC’s March 2021 advice as it requested significant deviations with regard to the pricing and financial estimates. However, it deferred completion of its consideration to allow the sponsor to provide further information.</w:t>
      </w:r>
    </w:p>
    <w:p w14:paraId="3153E9ED" w14:textId="31FF2E25" w:rsidR="0097612D" w:rsidRPr="007E4A43" w:rsidRDefault="00983886" w:rsidP="00BC570B">
      <w:r w:rsidRPr="007E4A43">
        <w:t>In July 2021, the PBAC recommended the listing of ELX/TEZ/IVA for the F/MF</w:t>
      </w:r>
      <w:r w:rsidR="007A59D6" w:rsidRPr="007E4A43">
        <w:t xml:space="preserve"> </w:t>
      </w:r>
      <w:r w:rsidR="0097612D" w:rsidRPr="007E4A43">
        <w:t>population only</w:t>
      </w:r>
      <w:r w:rsidR="008533E6" w:rsidRPr="007E4A43">
        <w:t>, who at the time did not have access to a CFTR modulator treatment through the PBS</w:t>
      </w:r>
      <w:r w:rsidR="0097612D" w:rsidRPr="007E4A43">
        <w:t>.</w:t>
      </w:r>
    </w:p>
    <w:p w14:paraId="79B0C5F2" w14:textId="09F01167" w:rsidR="008533E6" w:rsidRPr="007E4A43" w:rsidRDefault="008533E6" w:rsidP="008533E6">
      <w:r w:rsidRPr="007E4A43">
        <w:t xml:space="preserve">For further details refer to the </w:t>
      </w:r>
      <w:hyperlink r:id="rId13" w:history="1">
        <w:r w:rsidRPr="007E4A43">
          <w:rPr>
            <w:rStyle w:val="Hyperlink"/>
          </w:rPr>
          <w:t>Public Summary Document</w:t>
        </w:r>
      </w:hyperlink>
      <w:r w:rsidRPr="007E4A43">
        <w:t xml:space="preserve"> from the March 2021 PBAC Meeting with May 2021 Addendum and July 2021 Addendum.</w:t>
      </w:r>
    </w:p>
    <w:p w14:paraId="77370E4B" w14:textId="71763F20" w:rsidR="008533E6" w:rsidRPr="007E4A43" w:rsidRDefault="008533E6" w:rsidP="00BC570B">
      <w:pPr>
        <w:rPr>
          <w:u w:val="single"/>
        </w:rPr>
      </w:pPr>
      <w:r w:rsidRPr="007E4A43">
        <w:rPr>
          <w:u w:val="single"/>
        </w:rPr>
        <w:t>December 2021</w:t>
      </w:r>
    </w:p>
    <w:p w14:paraId="14621CF3" w14:textId="0C09882A" w:rsidR="00B92125" w:rsidRPr="007E4A43" w:rsidRDefault="00B92125" w:rsidP="00B92125">
      <w:r w:rsidRPr="007E4A43">
        <w:t xml:space="preserve">At its </w:t>
      </w:r>
      <w:r w:rsidR="00050A5B" w:rsidRPr="007E4A43">
        <w:t xml:space="preserve">December 2021 </w:t>
      </w:r>
      <w:r w:rsidRPr="007E4A43">
        <w:t xml:space="preserve">meeting, </w:t>
      </w:r>
      <w:r w:rsidR="00F54707" w:rsidRPr="007E4A43">
        <w:t xml:space="preserve">the </w:t>
      </w:r>
      <w:r w:rsidR="00BC570B" w:rsidRPr="007E4A43">
        <w:t>PBAC noted that the estimated patient numbers proposed in the resubmission</w:t>
      </w:r>
      <w:r w:rsidR="007A59D6" w:rsidRPr="007E4A43">
        <w:t xml:space="preserve"> </w:t>
      </w:r>
      <w:r w:rsidR="00BC570B" w:rsidRPr="007E4A43">
        <w:t>were not aligned with the previous PBAC advice, which was that the F/F, F/RF and F/G</w:t>
      </w:r>
      <w:r w:rsidR="007A59D6" w:rsidRPr="007E4A43">
        <w:t xml:space="preserve"> </w:t>
      </w:r>
      <w:r w:rsidR="00BC570B" w:rsidRPr="007E4A43">
        <w:t>groups should be based on previously agreed estimates for the listing of the available</w:t>
      </w:r>
      <w:r w:rsidR="007A59D6" w:rsidRPr="007E4A43">
        <w:t xml:space="preserve"> </w:t>
      </w:r>
      <w:r w:rsidR="00BC570B" w:rsidRPr="007E4A43">
        <w:t xml:space="preserve">CFTR modulators on the PBS. </w:t>
      </w:r>
    </w:p>
    <w:p w14:paraId="135818F3" w14:textId="77777777" w:rsidR="00B92125" w:rsidRPr="007E4A43" w:rsidRDefault="00BC570B" w:rsidP="00B92125">
      <w:r w:rsidRPr="007E4A43">
        <w:lastRenderedPageBreak/>
        <w:t xml:space="preserve">Instead, the resubmission </w:t>
      </w:r>
      <w:r w:rsidR="00B92125" w:rsidRPr="007E4A43">
        <w:t>proposed patient estimates that were largely unchanged from previous submissions in that the treated population was based on ACFDR data, and inconsistent with previous PBAC advice that for the populations for which there was a PBS-listed CFTR-modulator available, previously agreed patient numbers for these listings would be appropriate to inform the estimated utilisation</w:t>
      </w:r>
      <w:r w:rsidRPr="007E4A43">
        <w:t xml:space="preserve">. </w:t>
      </w:r>
    </w:p>
    <w:p w14:paraId="1361FA7C" w14:textId="08559E4E" w:rsidR="00613D63" w:rsidRPr="007E4A43" w:rsidRDefault="00613D63" w:rsidP="00613D63">
      <w:r w:rsidRPr="007E4A43">
        <w:t>The approach remained similar to the May 2021 proposal, however the resubmission made adjustments to uptake rates to the some of the populations and proposed alternate discontinuation rates for the treatment naïve populations.</w:t>
      </w:r>
    </w:p>
    <w:p w14:paraId="76502BB6" w14:textId="0A356A5C" w:rsidR="00613D63" w:rsidRPr="007E4A43" w:rsidRDefault="00613D63" w:rsidP="00613D63">
      <w:r w:rsidRPr="007E4A43">
        <w:t>In March 2021, and again in May 2021, the PBAC advised that estimates for the F/F, F/RF and F/G groups should be based on previously agreed estimates for the listing of the available CFTR modulators on the PBS. The PBAC has previously considered it may be reasonable for the eligible patients from those populations that are currently ineligible for PBS-listed CFTR modulator therapy (i.e. F/MF and F/R117H groups), to be estimated using an epidemiological approach with reference to the ACFDR current patient numbers.</w:t>
      </w:r>
    </w:p>
    <w:p w14:paraId="78430EB4" w14:textId="6AA947A7" w:rsidR="00613D63" w:rsidRPr="007E4A43" w:rsidRDefault="00613D63" w:rsidP="00613D63">
      <w:r w:rsidRPr="007E4A43">
        <w:t>As per its previous May 2021 proposal, the resubmission maintained that there are F/F, F/RF, F/G and 20% of patients not yet characterised (who would later be characterised as F/RF), who are not captured within the existing Deed calculations. The additional patients were estimated using ACFDR data, participation in Vertex compassionate access scheme and clinical trials.</w:t>
      </w:r>
    </w:p>
    <w:p w14:paraId="602AEF17" w14:textId="2CAD6713" w:rsidR="001C0A5D" w:rsidRPr="007E4A43" w:rsidRDefault="00BC570B" w:rsidP="00B92125">
      <w:r w:rsidRPr="007E4A43">
        <w:t>The PBAC maintained that the</w:t>
      </w:r>
      <w:r w:rsidR="007A59D6" w:rsidRPr="007E4A43">
        <w:t xml:space="preserve"> </w:t>
      </w:r>
      <w:r w:rsidRPr="007E4A43">
        <w:t>proposed discontinuation rates based on the trial data were very optimistic. Taking</w:t>
      </w:r>
      <w:r w:rsidR="007A59D6" w:rsidRPr="007E4A43">
        <w:t xml:space="preserve"> </w:t>
      </w:r>
      <w:r w:rsidRPr="007E4A43">
        <w:t xml:space="preserve">into account that actual rates of discontinuation for LUM/IVA and TEZ/IVA </w:t>
      </w:r>
      <w:r w:rsidR="00B92125" w:rsidRPr="007E4A43">
        <w:t>were</w:t>
      </w:r>
      <w:r w:rsidR="007A59D6" w:rsidRPr="007E4A43">
        <w:t xml:space="preserve"> </w:t>
      </w:r>
      <w:r w:rsidRPr="007E4A43">
        <w:t>higher than estimated at time of listing (based on trial and extension study</w:t>
      </w:r>
      <w:r w:rsidR="007A59D6" w:rsidRPr="007E4A43">
        <w:t xml:space="preserve"> </w:t>
      </w:r>
      <w:r w:rsidRPr="007E4A43">
        <w:t>discontinuation rates), the PBAC considered that discontinuation rates based on</w:t>
      </w:r>
      <w:r w:rsidR="007A59D6" w:rsidRPr="007E4A43">
        <w:t xml:space="preserve"> </w:t>
      </w:r>
      <w:r w:rsidRPr="007E4A43">
        <w:t>applying the same proportional difference between the actual and estimated figures</w:t>
      </w:r>
      <w:r w:rsidR="007A59D6" w:rsidRPr="007E4A43">
        <w:t xml:space="preserve"> </w:t>
      </w:r>
      <w:r w:rsidRPr="007E4A43">
        <w:t>be applied to the ELX/TEZ/IVA studies</w:t>
      </w:r>
      <w:r w:rsidR="007A59D6" w:rsidRPr="007E4A43">
        <w:t xml:space="preserve"> </w:t>
      </w:r>
      <w:r w:rsidRPr="007E4A43">
        <w:t>– this would result in discontinuation rates of 2.6% at Year 1 and 7.3% at Year 2. The</w:t>
      </w:r>
      <w:r w:rsidR="007A59D6" w:rsidRPr="007E4A43">
        <w:t xml:space="preserve"> </w:t>
      </w:r>
      <w:r w:rsidRPr="007E4A43">
        <w:t>PBAC considered that the eligible patient estimates outlined in the resubmission could</w:t>
      </w:r>
      <w:r w:rsidR="007A59D6" w:rsidRPr="007E4A43">
        <w:t xml:space="preserve"> </w:t>
      </w:r>
      <w:r w:rsidRPr="007E4A43">
        <w:t>be accepted, in the context that: they represented the upper range of likely use based</w:t>
      </w:r>
      <w:r w:rsidR="007A59D6" w:rsidRPr="007E4A43">
        <w:t xml:space="preserve"> </w:t>
      </w:r>
      <w:r w:rsidRPr="007E4A43">
        <w:t>on the total eligible patients derived from the ACFDR numbers; and the sponsor had</w:t>
      </w:r>
      <w:r w:rsidR="007A59D6" w:rsidRPr="007E4A43">
        <w:t xml:space="preserve"> </w:t>
      </w:r>
      <w:r w:rsidRPr="007E4A43">
        <w:t>proposed a unit level rebate to achieve the cost-effective price, as opposed to an</w:t>
      </w:r>
      <w:r w:rsidR="007A59D6" w:rsidRPr="007E4A43">
        <w:t xml:space="preserve"> </w:t>
      </w:r>
      <w:r w:rsidRPr="007E4A43">
        <w:t>arrangement that relied on the estimates being realised in order to achieve a cost</w:t>
      </w:r>
      <w:r w:rsidR="00C23A34" w:rsidRPr="007E4A43">
        <w:t>-</w:t>
      </w:r>
      <w:r w:rsidRPr="007E4A43">
        <w:t>effective price per patient (as for LUM/IVA and TEZ/IVA).</w:t>
      </w:r>
    </w:p>
    <w:p w14:paraId="70539E18" w14:textId="5B698B42" w:rsidR="00D94863" w:rsidRPr="007E4A43" w:rsidRDefault="00D94863" w:rsidP="00D94863">
      <w:r w:rsidRPr="007E4A43">
        <w:t xml:space="preserve">For further details refer to the </w:t>
      </w:r>
      <w:hyperlink r:id="rId14" w:history="1">
        <w:r w:rsidRPr="007E4A43">
          <w:rPr>
            <w:rStyle w:val="Hyperlink"/>
          </w:rPr>
          <w:t>Public Summary Document</w:t>
        </w:r>
      </w:hyperlink>
      <w:r w:rsidRPr="007E4A43">
        <w:t xml:space="preserve"> from the </w:t>
      </w:r>
      <w:r w:rsidR="00DA0503" w:rsidRPr="007E4A43">
        <w:t xml:space="preserve">December 2021 </w:t>
      </w:r>
      <w:r w:rsidRPr="007E4A43">
        <w:t>PBAC meeting.</w:t>
      </w:r>
    </w:p>
    <w:p w14:paraId="4059AF7A" w14:textId="4D6D3656" w:rsidR="00BE7069" w:rsidRPr="007E4A43" w:rsidRDefault="00BE7069" w:rsidP="00D94863">
      <w:pPr>
        <w:rPr>
          <w:u w:val="single"/>
        </w:rPr>
      </w:pPr>
      <w:r w:rsidRPr="007E4A43">
        <w:rPr>
          <w:u w:val="single"/>
        </w:rPr>
        <w:t>November 2022</w:t>
      </w:r>
    </w:p>
    <w:p w14:paraId="1F8B9DA6" w14:textId="12FE231B" w:rsidR="00736CC4" w:rsidRPr="007E4A43" w:rsidRDefault="00736CC4" w:rsidP="00736CC4">
      <w:r w:rsidRPr="007E4A43">
        <w:t xml:space="preserve">The </w:t>
      </w:r>
      <w:r w:rsidR="005E1D51" w:rsidRPr="007E4A43">
        <w:t xml:space="preserve">November 2022 </w:t>
      </w:r>
      <w:r w:rsidRPr="007E4A43">
        <w:t>submission used two approaches to estimate the number of eligible patients: (1) the number of patients who are currently eligible for PBS listed CFTR modulators were estimated from the subsidisation caps in existing Deeds and (2) the number of patients who are not currently eligible for PBS listed CFTRs were estimated from epidemiological data.</w:t>
      </w:r>
    </w:p>
    <w:p w14:paraId="4645B66B" w14:textId="4941CDBA" w:rsidR="007D1702" w:rsidRPr="007E4A43" w:rsidRDefault="007D1702" w:rsidP="007D1702">
      <w:r w:rsidRPr="007E4A43">
        <w:lastRenderedPageBreak/>
        <w:t>The PBAC considered the methodology for estimating the number of patients likely to be treated with ELX/TEZ/IVA was reasonable; however, the patient numbers were overestimated due to a number of optimistic assumptions which were not well supported. The PBAC advised a number of assumptions, including the discontinuation rates  and uptake/switch rates, should be amended to be consistent with what was accepted for the ≥12 year population. The PBAC further advised it would be appropriate to assume 90% compliance consistent with that used in the economic model.</w:t>
      </w:r>
    </w:p>
    <w:p w14:paraId="6D440533" w14:textId="2FB72C50" w:rsidR="007D1702" w:rsidRPr="007E4A43" w:rsidRDefault="007D1702" w:rsidP="007D1702">
      <w:r w:rsidRPr="007E4A43">
        <w:t>As part of the post-PBAC process, the sponsor provided a pricing proposal that was not consistent with the PSD as it did not change the assumptions applied to the financial estimates as advised.</w:t>
      </w:r>
      <w:r w:rsidR="005E1D51" w:rsidRPr="007E4A43">
        <w:t xml:space="preserve"> </w:t>
      </w:r>
      <w:r w:rsidRPr="007E4A43">
        <w:t xml:space="preserve">As the listing was unable to be progressed with financial estimates that were not consistent with the PSD, the sponsor requested consideration by the PBAC at its March 2023 meeting. The sponsor stated it did not consider the assumptions applied were overly optimistic and provided additional information to support the assumptions applied in the financial estimates. </w:t>
      </w:r>
    </w:p>
    <w:p w14:paraId="17C19ED8" w14:textId="2099D7CC" w:rsidR="007D1702" w:rsidRPr="007E4A43" w:rsidRDefault="007D1702" w:rsidP="007D1702">
      <w:r w:rsidRPr="007E4A43">
        <w:t>The PBAC noted the financial estimates proposed by the sponsor assumed an overall uptake of 96% in eligible patients in Year 1, compared to approximately 80% in Year 1 if the uptake rates advised by the PBAC in November 2022 were applied.</w:t>
      </w:r>
    </w:p>
    <w:p w14:paraId="19152A42" w14:textId="3C3EDD49" w:rsidR="007D1702" w:rsidRPr="007E4A43" w:rsidRDefault="007D1702" w:rsidP="007D1702">
      <w:r w:rsidRPr="007E4A43">
        <w:t>The PBAC noted the experience in overseas’ markets where ELX/TEZ/IVA is reimbursed in patients aged 6 to 11 years and the high and rapid uptake in the 12 years and older population in Australia since PBS listing in April 2022. The PBAC considered that the experience of CF clinics gained in treating the population of patients 12 years and older would facilitate rapid initiation of patients aged 6 to 11 years.</w:t>
      </w:r>
    </w:p>
    <w:p w14:paraId="6E982AF0" w14:textId="77777777" w:rsidR="007D1702" w:rsidRPr="007E4A43" w:rsidRDefault="007D1702" w:rsidP="007D1702">
      <w:r w:rsidRPr="007E4A43">
        <w:t>The PBAC noted some additional clinical data in patients aged 6 to 11 years was provided to support the use of the discontinuation rates applied in the financial estimates (1.4% in Year 1, 4.2% in Year 2).</w:t>
      </w:r>
    </w:p>
    <w:p w14:paraId="4243AEBE" w14:textId="77777777" w:rsidR="007D1702" w:rsidRPr="007E4A43" w:rsidRDefault="007D1702" w:rsidP="007D1702">
      <w:r w:rsidRPr="007E4A43">
        <w:t>The PBAC considered that, overall, based on the additional information provided by the sponsor, it was reasonable for the assumptions informing the financial estimates for the population aged 6 to 11 years to be different to those informing the population aged 12 years and over as it was likely uptake would be higher and more rapid than initially predicted for the older age group.</w:t>
      </w:r>
    </w:p>
    <w:p w14:paraId="1C1159B1" w14:textId="3A0263B3" w:rsidR="007D1702" w:rsidRPr="007E4A43" w:rsidRDefault="007D1702" w:rsidP="007D1702">
      <w:r w:rsidRPr="007E4A43">
        <w:t xml:space="preserve">For further details refer to the </w:t>
      </w:r>
      <w:hyperlink r:id="rId15" w:history="1">
        <w:r w:rsidRPr="007E4A43">
          <w:rPr>
            <w:rStyle w:val="Hyperlink"/>
          </w:rPr>
          <w:t>Public Summary Document</w:t>
        </w:r>
      </w:hyperlink>
      <w:r w:rsidRPr="007E4A43">
        <w:t xml:space="preserve"> from the November 2022 PBAC Meeting with March 2023 Addendum.</w:t>
      </w:r>
    </w:p>
    <w:p w14:paraId="3804BC8D" w14:textId="46F71C4D" w:rsidR="007D1702" w:rsidRPr="007E4A43" w:rsidRDefault="007D1702" w:rsidP="007D1702">
      <w:pPr>
        <w:rPr>
          <w:u w:val="single"/>
        </w:rPr>
      </w:pPr>
      <w:r w:rsidRPr="007E4A43">
        <w:rPr>
          <w:u w:val="single"/>
        </w:rPr>
        <w:t>March 2024</w:t>
      </w:r>
    </w:p>
    <w:p w14:paraId="7A14B4D6" w14:textId="58A9DCF3" w:rsidR="007D1702" w:rsidRPr="007E4A43" w:rsidRDefault="00736CC4" w:rsidP="007D1702">
      <w:r w:rsidRPr="007E4A43">
        <w:t xml:space="preserve">The submission presented an epidemiological approach to the financial estimates of ELX/TEZ/IVA in F/any patients aged 2 to 5 years who have at least one F508del mutation in the CFTR gene. The approach used in developing the estimates was similar to that presented to the PBAC at the November 2022 meeting for the PBS listing of ELX/TEZ/IVA in the ≥6 years population. Eligible populations were estimated separately according to three groups: those eligible for use under the existing Deeds including F/F and F/G patients; those ineligible for use under the existing Deeds including F/MF, F/RF, and F/R117H patients; and </w:t>
      </w:r>
      <w:r w:rsidRPr="007E4A43">
        <w:lastRenderedPageBreak/>
        <w:t>those eligible for use under the existing Deeds but not currently on treatment i.e., CFTR naïve F/F patients and grandfathering patients.</w:t>
      </w:r>
    </w:p>
    <w:p w14:paraId="41831318" w14:textId="08B74615" w:rsidR="007D1702" w:rsidRPr="007E4A43" w:rsidRDefault="007D1702" w:rsidP="007D1702">
      <w:r w:rsidRPr="007E4A43">
        <w:t xml:space="preserve">For further details refer to the </w:t>
      </w:r>
      <w:hyperlink r:id="rId16" w:history="1">
        <w:r w:rsidRPr="007E4A43">
          <w:rPr>
            <w:rStyle w:val="Hyperlink"/>
          </w:rPr>
          <w:t>Public Summary Document</w:t>
        </w:r>
      </w:hyperlink>
      <w:r w:rsidRPr="007E4A43">
        <w:t xml:space="preserve"> from the March 2024 PBAC Meeting.</w:t>
      </w:r>
    </w:p>
    <w:p w14:paraId="0DEBD50F" w14:textId="69B931E7" w:rsidR="00094DCF" w:rsidRPr="007E4A43" w:rsidRDefault="00ED633B" w:rsidP="00CF5E22">
      <w:pPr>
        <w:pStyle w:val="Heading2"/>
      </w:pPr>
      <w:r w:rsidRPr="007E4A43">
        <w:t xml:space="preserve">Previous reviews by </w:t>
      </w:r>
      <w:r w:rsidR="00177B86" w:rsidRPr="007E4A43">
        <w:t xml:space="preserve">the </w:t>
      </w:r>
      <w:r w:rsidRPr="007E4A43">
        <w:t>DUSC</w:t>
      </w:r>
    </w:p>
    <w:p w14:paraId="2EC8EC7A" w14:textId="1C126985" w:rsidR="00C43F79" w:rsidRPr="007E4A43" w:rsidRDefault="00006255" w:rsidP="00A35800">
      <w:r w:rsidRPr="007E4A43">
        <w:t>Previous DUSC reviews of medicines for cystic fibrosis include:</w:t>
      </w:r>
    </w:p>
    <w:p w14:paraId="42114AB4" w14:textId="487E68CD" w:rsidR="00F037AF" w:rsidRPr="007E4A43" w:rsidRDefault="009748FD" w:rsidP="00F037AF">
      <w:pPr>
        <w:pStyle w:val="ListParagraph"/>
        <w:numPr>
          <w:ilvl w:val="0"/>
          <w:numId w:val="4"/>
        </w:numPr>
      </w:pPr>
      <w:r w:rsidRPr="007E4A43">
        <w:t>Dornase alfa and mannitol October 2014.</w:t>
      </w:r>
    </w:p>
    <w:p w14:paraId="7529A1BF" w14:textId="52E6AA7E" w:rsidR="00F037AF" w:rsidRPr="007E4A43" w:rsidRDefault="00F037AF" w:rsidP="00F037AF">
      <w:pPr>
        <w:pStyle w:val="ListParagraph"/>
        <w:numPr>
          <w:ilvl w:val="0"/>
          <w:numId w:val="4"/>
        </w:numPr>
      </w:pPr>
      <w:r w:rsidRPr="007E4A43">
        <w:t>Tobramycin October 2014</w:t>
      </w:r>
      <w:r w:rsidR="009748FD" w:rsidRPr="007E4A43">
        <w:t>.</w:t>
      </w:r>
    </w:p>
    <w:p w14:paraId="48C815B1" w14:textId="7627882D" w:rsidR="00006255" w:rsidRPr="007E4A43" w:rsidRDefault="00006255" w:rsidP="00006255">
      <w:pPr>
        <w:pStyle w:val="ListParagraph"/>
        <w:numPr>
          <w:ilvl w:val="0"/>
          <w:numId w:val="4"/>
        </w:numPr>
      </w:pPr>
      <w:r w:rsidRPr="007E4A43">
        <w:t xml:space="preserve">Ivacaftor </w:t>
      </w:r>
      <w:r w:rsidR="008D0225" w:rsidRPr="007E4A43">
        <w:t>February 2018</w:t>
      </w:r>
      <w:r w:rsidR="009748FD" w:rsidRPr="007E4A43">
        <w:t>.</w:t>
      </w:r>
    </w:p>
    <w:p w14:paraId="5C143877" w14:textId="2A746A4B" w:rsidR="00E371EA" w:rsidRPr="007E4A43" w:rsidRDefault="009D1ED5" w:rsidP="00A35800">
      <w:r w:rsidRPr="007E4A43">
        <w:t xml:space="preserve">For details of the DUSC consideration of </w:t>
      </w:r>
      <w:r w:rsidR="00097D30" w:rsidRPr="007E4A43">
        <w:t>previous DUSC reviews</w:t>
      </w:r>
      <w:r w:rsidR="00CD75CF" w:rsidRPr="007E4A43">
        <w:t xml:space="preserve"> for cystic fibrosis </w:t>
      </w:r>
      <w:r w:rsidR="00097D30" w:rsidRPr="007E4A43">
        <w:t xml:space="preserve">medicines </w:t>
      </w:r>
      <w:r w:rsidRPr="007E4A43">
        <w:t xml:space="preserve">refer to the </w:t>
      </w:r>
      <w:hyperlink r:id="rId17" w:history="1">
        <w:r w:rsidRPr="007E4A43">
          <w:rPr>
            <w:rStyle w:val="Hyperlink"/>
          </w:rPr>
          <w:t>Public Release Document</w:t>
        </w:r>
      </w:hyperlink>
      <w:r w:rsidRPr="007E4A43">
        <w:t>.</w:t>
      </w:r>
    </w:p>
    <w:p w14:paraId="0312FFEC" w14:textId="5C6A9662" w:rsidR="00E677DD" w:rsidRPr="007E4A43" w:rsidRDefault="00E677DD" w:rsidP="00CF5E22">
      <w:pPr>
        <w:pStyle w:val="Heading1"/>
      </w:pPr>
      <w:r w:rsidRPr="007E4A43">
        <w:t>Method</w:t>
      </w:r>
      <w:r w:rsidR="001B5D37" w:rsidRPr="007E4A43">
        <w:t>s</w:t>
      </w:r>
    </w:p>
    <w:p w14:paraId="6D8C9BF9" w14:textId="7469B625" w:rsidR="006804E0" w:rsidRPr="007E4A43" w:rsidRDefault="006804E0" w:rsidP="00524D13">
      <w:r w:rsidRPr="007E4A43">
        <w:t>Data extracted from the PBS claims database maintained by the Department of Health</w:t>
      </w:r>
      <w:r w:rsidR="00CE2676" w:rsidRPr="007E4A43">
        <w:t>, Disability and Ageing</w:t>
      </w:r>
      <w:r w:rsidRPr="007E4A43">
        <w:t xml:space="preserve"> and processed by Services Australia were used for the analyses. Prescription data were extracted </w:t>
      </w:r>
      <w:r w:rsidR="00A73210" w:rsidRPr="007E4A43">
        <w:t xml:space="preserve">on 7 July 2025 </w:t>
      </w:r>
      <w:r w:rsidRPr="007E4A43">
        <w:t xml:space="preserve">from </w:t>
      </w:r>
      <w:r w:rsidR="00A37BE8" w:rsidRPr="007E4A43">
        <w:t xml:space="preserve">the date the first CFTR was listed on the PBS, </w:t>
      </w:r>
      <w:r w:rsidR="00487B61" w:rsidRPr="007E4A43">
        <w:t>1</w:t>
      </w:r>
      <w:r w:rsidR="009845F3" w:rsidRPr="007E4A43">
        <w:t> </w:t>
      </w:r>
      <w:r w:rsidR="00487B61" w:rsidRPr="007E4A43">
        <w:t>December 2014</w:t>
      </w:r>
      <w:r w:rsidR="00A37BE8" w:rsidRPr="007E4A43">
        <w:t>,</w:t>
      </w:r>
      <w:r w:rsidRPr="007E4A43">
        <w:t xml:space="preserve"> up to and including </w:t>
      </w:r>
      <w:r w:rsidR="00487B61" w:rsidRPr="007E4A43">
        <w:t xml:space="preserve">30 </w:t>
      </w:r>
      <w:r w:rsidR="00162005" w:rsidRPr="007E4A43">
        <w:t>June 2025</w:t>
      </w:r>
      <w:r w:rsidR="000B6149" w:rsidRPr="007E4A43">
        <w:t xml:space="preserve"> for the main analyses, and</w:t>
      </w:r>
      <w:r w:rsidR="00F103E4" w:rsidRPr="007E4A43">
        <w:t xml:space="preserve"> on </w:t>
      </w:r>
      <w:r w:rsidR="008049EC" w:rsidRPr="007E4A43">
        <w:t>6</w:t>
      </w:r>
      <w:r w:rsidR="00F103E4" w:rsidRPr="007E4A43">
        <w:t xml:space="preserve"> August 2025</w:t>
      </w:r>
      <w:r w:rsidR="000B6149" w:rsidRPr="007E4A43">
        <w:t xml:space="preserve"> to 31 July 2025 for one predicted versus actual analysis</w:t>
      </w:r>
      <w:r w:rsidR="00487B61" w:rsidRPr="007E4A43">
        <w:t>.</w:t>
      </w:r>
      <w:r w:rsidR="000B6149" w:rsidRPr="007E4A43">
        <w:t xml:space="preserve"> </w:t>
      </w:r>
    </w:p>
    <w:p w14:paraId="2AC9F4BE" w14:textId="0CB471F3" w:rsidR="002631BB" w:rsidRPr="007E4A43" w:rsidRDefault="002631BB" w:rsidP="0017203D">
      <w:r w:rsidRPr="007E4A43">
        <w:t xml:space="preserve">Date of death data were linked to the PBS claims data using the unique patient identifier. Date of death data were last updated 19 February 2025. </w:t>
      </w:r>
    </w:p>
    <w:p w14:paraId="0BE9D51F" w14:textId="35E4EFA2" w:rsidR="00AC5054" w:rsidRPr="007E4A43" w:rsidRDefault="006804E0" w:rsidP="0017203D">
      <w:r w:rsidRPr="007E4A43">
        <w:t>As this analysis uses date of supply prescription data, there may be small differences compared with publicly available Services Australia Medicare date of processing data.</w:t>
      </w:r>
      <w:r w:rsidR="00576B18" w:rsidRPr="007E4A43">
        <w:rPr>
          <w:rStyle w:val="FootnoteReference"/>
        </w:rPr>
        <w:footnoteReference w:id="6"/>
      </w:r>
      <w:r w:rsidR="00576B18" w:rsidRPr="007E4A43">
        <w:t xml:space="preserve"> </w:t>
      </w:r>
      <w:r w:rsidR="0090691F" w:rsidRPr="007E4A43">
        <w:t xml:space="preserve">The </w:t>
      </w:r>
      <w:r w:rsidR="00AC5054" w:rsidRPr="007E4A43">
        <w:t xml:space="preserve">publicly available </w:t>
      </w:r>
      <w:r w:rsidRPr="007E4A43">
        <w:t xml:space="preserve">Services Australia </w:t>
      </w:r>
      <w:r w:rsidR="0090691F" w:rsidRPr="007E4A43">
        <w:t xml:space="preserve">Medicare data </w:t>
      </w:r>
      <w:r w:rsidR="008E3F8C" w:rsidRPr="007E4A43">
        <w:t xml:space="preserve">only </w:t>
      </w:r>
      <w:r w:rsidR="0090691F" w:rsidRPr="007E4A43">
        <w:t xml:space="preserve">includes </w:t>
      </w:r>
      <w:r w:rsidR="00524D13" w:rsidRPr="007E4A43">
        <w:t xml:space="preserve">subsidised R/PBS prescriptions </w:t>
      </w:r>
      <w:r w:rsidR="008E3F8C" w:rsidRPr="007E4A43">
        <w:t xml:space="preserve">with prescriptions </w:t>
      </w:r>
      <w:r w:rsidR="00524D13" w:rsidRPr="007E4A43">
        <w:t xml:space="preserve">under </w:t>
      </w:r>
      <w:r w:rsidR="00DD29A3" w:rsidRPr="007E4A43">
        <w:t xml:space="preserve">the </w:t>
      </w:r>
      <w:r w:rsidR="00524D13" w:rsidRPr="007E4A43">
        <w:t xml:space="preserve">patient co-payment </w:t>
      </w:r>
      <w:r w:rsidR="008E3F8C" w:rsidRPr="007E4A43">
        <w:t>not included</w:t>
      </w:r>
      <w:r w:rsidR="00524D13" w:rsidRPr="007E4A43">
        <w:t>.</w:t>
      </w:r>
      <w:r w:rsidR="00DD29A3" w:rsidRPr="007E4A43">
        <w:t xml:space="preserve"> </w:t>
      </w:r>
    </w:p>
    <w:p w14:paraId="3292E4B0" w14:textId="0746FEA7" w:rsidR="00A164AC" w:rsidRPr="007E4A43" w:rsidRDefault="00A164AC" w:rsidP="00A164AC">
      <w:r w:rsidRPr="007E4A43">
        <w:t>These data were used to determine the number of initiating and prevalent patients,</w:t>
      </w:r>
      <w:r w:rsidR="006F0DBF" w:rsidRPr="007E4A43">
        <w:t xml:space="preserve"> </w:t>
      </w:r>
      <w:r w:rsidRPr="007E4A43">
        <w:t>number of prescriptions supplied,</w:t>
      </w:r>
      <w:r w:rsidR="006F0DBF" w:rsidRPr="007E4A43">
        <w:t xml:space="preserve"> and to</w:t>
      </w:r>
      <w:r w:rsidRPr="007E4A43">
        <w:t xml:space="preserve"> analyse patient demographics such as age and gender. Initiating and prevalent patients</w:t>
      </w:r>
      <w:r w:rsidR="006F0DBF" w:rsidRPr="007E4A43">
        <w:t xml:space="preserve"> </w:t>
      </w:r>
      <w:r w:rsidRPr="007E4A43">
        <w:t>were counted by calendar year. Prevalent patients were defined as the number of patients</w:t>
      </w:r>
      <w:r w:rsidR="006F0DBF" w:rsidRPr="007E4A43">
        <w:t xml:space="preserve"> </w:t>
      </w:r>
      <w:r w:rsidRPr="007E4A43">
        <w:t xml:space="preserve">who received at least one supply of any </w:t>
      </w:r>
      <w:r w:rsidR="00B81971" w:rsidRPr="007E4A43">
        <w:t>CFTR modulator</w:t>
      </w:r>
      <w:r w:rsidRPr="007E4A43">
        <w:t xml:space="preserve"> in the given calendar year.</w:t>
      </w:r>
      <w:r w:rsidR="006F0DBF" w:rsidRPr="007E4A43">
        <w:t xml:space="preserve"> </w:t>
      </w:r>
      <w:r w:rsidRPr="007E4A43">
        <w:t>Initiating patients were defined as the number of patients who received their first supply of</w:t>
      </w:r>
      <w:r w:rsidR="006F0DBF" w:rsidRPr="007E4A43">
        <w:t xml:space="preserve"> </w:t>
      </w:r>
      <w:r w:rsidR="00B81971" w:rsidRPr="007E4A43">
        <w:t>a CFTR modulator</w:t>
      </w:r>
      <w:r w:rsidRPr="007E4A43">
        <w:t>.</w:t>
      </w:r>
      <w:r w:rsidR="00290AAD" w:rsidRPr="007E4A43">
        <w:t xml:space="preserve"> Patient age </w:t>
      </w:r>
      <w:r w:rsidR="00227E39" w:rsidRPr="007E4A43">
        <w:t xml:space="preserve">at initiation </w:t>
      </w:r>
      <w:r w:rsidR="00290AAD" w:rsidRPr="007E4A43">
        <w:t>was determined by the age of the patient at the first supply</w:t>
      </w:r>
      <w:r w:rsidR="00C851BE" w:rsidRPr="007E4A43">
        <w:t xml:space="preserve"> of a CFTR modulator</w:t>
      </w:r>
      <w:r w:rsidR="004B4C31" w:rsidRPr="007E4A43">
        <w:t xml:space="preserve">. For age and gender </w:t>
      </w:r>
      <w:r w:rsidR="00AD2FBE" w:rsidRPr="007E4A43">
        <w:t xml:space="preserve">analyses of treated patients, the </w:t>
      </w:r>
      <w:r w:rsidR="00AB0AF2" w:rsidRPr="007E4A43">
        <w:t xml:space="preserve">age of the patient at their first supply during the time period was used, to ensure patients were not counted in more than one </w:t>
      </w:r>
      <w:r w:rsidR="00731D23" w:rsidRPr="007E4A43">
        <w:t xml:space="preserve">age </w:t>
      </w:r>
      <w:r w:rsidR="00AB0AF2" w:rsidRPr="007E4A43">
        <w:t>group</w:t>
      </w:r>
      <w:r w:rsidR="00731D23" w:rsidRPr="007E4A43">
        <w:t>.</w:t>
      </w:r>
      <w:r w:rsidR="004B4C31" w:rsidRPr="007E4A43">
        <w:t xml:space="preserve"> </w:t>
      </w:r>
    </w:p>
    <w:p w14:paraId="11F6A220" w14:textId="0DC3471A" w:rsidR="00561FEC" w:rsidRPr="007E4A43" w:rsidRDefault="00561FEC" w:rsidP="00A164AC">
      <w:r w:rsidRPr="007E4A43">
        <w:lastRenderedPageBreak/>
        <w:t xml:space="preserve">An analysis of sequence of medicine use was conducted for </w:t>
      </w:r>
      <w:r w:rsidR="00E90FD7" w:rsidRPr="007E4A43">
        <w:t>ELX/TEZ/IVA patients</w:t>
      </w:r>
      <w:r w:rsidR="002631BB" w:rsidRPr="007E4A43">
        <w:t>, using data from the listing of the first CFTR in 2014</w:t>
      </w:r>
      <w:r w:rsidR="00F67CA8" w:rsidRPr="007E4A43">
        <w:t>.</w:t>
      </w:r>
      <w:r w:rsidR="00E44DF3" w:rsidRPr="007E4A43">
        <w:t xml:space="preserve"> This was presented excluding and including </w:t>
      </w:r>
      <w:r w:rsidR="00360ABE" w:rsidRPr="007E4A43">
        <w:t>‘</w:t>
      </w:r>
      <w:r w:rsidR="00E44DF3" w:rsidRPr="007E4A43">
        <w:t>switchbacks</w:t>
      </w:r>
      <w:r w:rsidR="00360ABE" w:rsidRPr="007E4A43">
        <w:t xml:space="preserve">’ to previous medicines. </w:t>
      </w:r>
    </w:p>
    <w:p w14:paraId="090D24D4" w14:textId="536C476E" w:rsidR="00360ABE" w:rsidRPr="007E4A43" w:rsidRDefault="00E56E96" w:rsidP="00E56E96">
      <w:r w:rsidRPr="007E4A43">
        <w:t xml:space="preserve">Treatment duration was analysed using the Kaplan-Meier method. A patient was censored if they were supplied a prescription within three times the median time to resupply (29 days) prior to </w:t>
      </w:r>
      <w:r w:rsidR="00162005" w:rsidRPr="007E4A43">
        <w:t xml:space="preserve">30 June 2025 </w:t>
      </w:r>
      <w:r w:rsidRPr="007E4A43">
        <w:t>(i.e. 3×29 days).</w:t>
      </w:r>
    </w:p>
    <w:p w14:paraId="0ECB98BE" w14:textId="44B59A1D" w:rsidR="00467CB9" w:rsidRPr="007E4A43" w:rsidRDefault="00564DE5" w:rsidP="00E56E96">
      <w:r w:rsidRPr="007E4A43">
        <w:t>Analyses were undertaken in SAS.</w:t>
      </w:r>
    </w:p>
    <w:p w14:paraId="4F91A98A" w14:textId="00180E30" w:rsidR="00C714D0" w:rsidRPr="007E4A43" w:rsidRDefault="00C714D0" w:rsidP="006640B3">
      <w:pPr>
        <w:pStyle w:val="Heading1"/>
      </w:pPr>
      <w:r w:rsidRPr="007E4A43">
        <w:t>Results</w:t>
      </w:r>
    </w:p>
    <w:p w14:paraId="2221FF19" w14:textId="336CE8B2" w:rsidR="00736041" w:rsidRPr="007E4A43" w:rsidRDefault="001B5D37" w:rsidP="006640B3">
      <w:pPr>
        <w:pStyle w:val="Heading2"/>
        <w:keepNext/>
      </w:pPr>
      <w:r w:rsidRPr="007E4A43">
        <w:t xml:space="preserve">Analysis </w:t>
      </w:r>
      <w:r w:rsidR="00736041" w:rsidRPr="007E4A43">
        <w:t xml:space="preserve">of </w:t>
      </w:r>
      <w:r w:rsidR="0063631C" w:rsidRPr="007E4A43">
        <w:t>d</w:t>
      </w:r>
      <w:r w:rsidR="00E677DD" w:rsidRPr="007E4A43">
        <w:t xml:space="preserve">rug </w:t>
      </w:r>
      <w:r w:rsidR="0063631C" w:rsidRPr="007E4A43">
        <w:t>u</w:t>
      </w:r>
      <w:r w:rsidR="00E677DD" w:rsidRPr="007E4A43">
        <w:t>tilisation</w:t>
      </w:r>
    </w:p>
    <w:p w14:paraId="09F8A9BC" w14:textId="35E50016" w:rsidR="006A44F5" w:rsidRPr="007E4A43" w:rsidRDefault="00736041" w:rsidP="006640B3">
      <w:pPr>
        <w:pStyle w:val="Heading3"/>
        <w:keepNext/>
      </w:pPr>
      <w:r w:rsidRPr="007E4A43">
        <w:t>Overall utilisation</w:t>
      </w:r>
    </w:p>
    <w:p w14:paraId="229D9236" w14:textId="60F5B417" w:rsidR="00B102F5" w:rsidRPr="007E4A43" w:rsidRDefault="00693379" w:rsidP="00A35800">
      <w:r w:rsidRPr="007E4A43">
        <w:rPr>
          <w:noProof/>
        </w:rPr>
        <w:drawing>
          <wp:inline distT="0" distB="0" distL="0" distR="0" wp14:anchorId="4D0AB6B6" wp14:editId="3E2B63D0">
            <wp:extent cx="5687695" cy="4082415"/>
            <wp:effectExtent l="0" t="0" r="8255" b="13335"/>
            <wp:docPr id="2012475268" name="Chart 1" descr="Number of treated patients by drug increased when LUM/IVA and ELX/TEZ/IVA were listed">
              <a:extLst xmlns:a="http://schemas.openxmlformats.org/drawingml/2006/main">
                <a:ext uri="{FF2B5EF4-FFF2-40B4-BE49-F238E27FC236}">
                  <a16:creationId xmlns:a16="http://schemas.microsoft.com/office/drawing/2014/main" id="{B25F50D0-4A4C-7E4C-6E64-EA047EEC26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B074F7" w14:textId="600ECE75" w:rsidR="005A47FF" w:rsidRPr="007E4A43" w:rsidRDefault="00B52EFC" w:rsidP="00B52EFC">
      <w:pPr>
        <w:pStyle w:val="Figuretitle"/>
      </w:pPr>
      <w:bookmarkStart w:id="1" w:name="_Ref204003353"/>
      <w:r w:rsidRPr="007E4A43">
        <w:t xml:space="preserve">Figure </w:t>
      </w:r>
      <w:r w:rsidRPr="007E4A43">
        <w:fldChar w:fldCharType="begin"/>
      </w:r>
      <w:r w:rsidRPr="007E4A43">
        <w:instrText xml:space="preserve"> SEQ Figure \* ARABIC </w:instrText>
      </w:r>
      <w:r w:rsidRPr="007E4A43">
        <w:fldChar w:fldCharType="separate"/>
      </w:r>
      <w:r w:rsidR="0063622F">
        <w:rPr>
          <w:noProof/>
        </w:rPr>
        <w:t>1</w:t>
      </w:r>
      <w:r w:rsidRPr="007E4A43">
        <w:fldChar w:fldCharType="end"/>
      </w:r>
      <w:bookmarkEnd w:id="1"/>
      <w:r w:rsidR="005A47FF" w:rsidRPr="007E4A43">
        <w:t>: Number of treated patients by drug</w:t>
      </w:r>
    </w:p>
    <w:p w14:paraId="4185634F" w14:textId="77777777" w:rsidR="00BD20DE" w:rsidRPr="007E4A43" w:rsidRDefault="00BD20DE" w:rsidP="00BD20DE"/>
    <w:p w14:paraId="1326CB9B" w14:textId="2346A109" w:rsidR="00BD20DE" w:rsidRPr="007E4A43" w:rsidRDefault="00F42A58" w:rsidP="001C612C">
      <w:r w:rsidRPr="007E4A43">
        <w:fldChar w:fldCharType="begin"/>
      </w:r>
      <w:r w:rsidRPr="007E4A43">
        <w:instrText xml:space="preserve"> REF _Ref204003353 \h </w:instrText>
      </w:r>
      <w:r w:rsidR="007E4A43">
        <w:instrText xml:space="preserve"> \* MERGEFORMAT </w:instrText>
      </w:r>
      <w:r w:rsidRPr="007E4A43">
        <w:fldChar w:fldCharType="separate"/>
      </w:r>
      <w:r w:rsidR="0063622F" w:rsidRPr="007E4A43">
        <w:t xml:space="preserve">Figure </w:t>
      </w:r>
      <w:r w:rsidR="0063622F">
        <w:rPr>
          <w:noProof/>
        </w:rPr>
        <w:t>1</w:t>
      </w:r>
      <w:r w:rsidRPr="007E4A43">
        <w:fldChar w:fldCharType="end"/>
      </w:r>
      <w:r w:rsidRPr="007E4A43">
        <w:t xml:space="preserve"> </w:t>
      </w:r>
      <w:r w:rsidR="00BD20DE" w:rsidRPr="007E4A43">
        <w:t>shows the number of treated patients</w:t>
      </w:r>
      <w:r w:rsidR="00F33B63" w:rsidRPr="007E4A43">
        <w:t xml:space="preserve"> by the quarter of supply. The </w:t>
      </w:r>
      <w:r w:rsidR="007D2058" w:rsidRPr="007E4A43">
        <w:t xml:space="preserve">overall </w:t>
      </w:r>
      <w:r w:rsidR="00F33B63" w:rsidRPr="007E4A43">
        <w:t xml:space="preserve">total </w:t>
      </w:r>
      <w:r w:rsidR="007D2058" w:rsidRPr="007E4A43">
        <w:t xml:space="preserve">is lower than suggested by the counts by drug because it </w:t>
      </w:r>
      <w:r w:rsidR="00F33B63" w:rsidRPr="007E4A43">
        <w:t>shows the number of unique patients</w:t>
      </w:r>
      <w:r w:rsidR="007D2058" w:rsidRPr="007E4A43">
        <w:t>. In quarter</w:t>
      </w:r>
      <w:r w:rsidR="008739BC" w:rsidRPr="007E4A43">
        <w:t xml:space="preserve">s when new drugs were listed and patients switched from one therapy to another, these patients were counted </w:t>
      </w:r>
      <w:r w:rsidR="00693379" w:rsidRPr="007E4A43">
        <w:t>twice for</w:t>
      </w:r>
      <w:r w:rsidR="008739BC" w:rsidRPr="007E4A43">
        <w:t xml:space="preserve"> each drug.</w:t>
      </w:r>
    </w:p>
    <w:p w14:paraId="2EAAC54B" w14:textId="77777777" w:rsidR="00345BBC" w:rsidRPr="007E4A43" w:rsidRDefault="00345BBC" w:rsidP="001C612C"/>
    <w:p w14:paraId="38026E33" w14:textId="6B981F91" w:rsidR="00345BBC" w:rsidRPr="007E4A43" w:rsidRDefault="00345BBC" w:rsidP="001C612C">
      <w:r w:rsidRPr="007E4A43">
        <w:rPr>
          <w:noProof/>
        </w:rPr>
        <w:drawing>
          <wp:inline distT="0" distB="0" distL="0" distR="0" wp14:anchorId="45FFFA22" wp14:editId="1C323A4F">
            <wp:extent cx="5581497" cy="3613708"/>
            <wp:effectExtent l="0" t="0" r="635" b="6350"/>
            <wp:docPr id="89382544" name="Chart 1" descr="Number of first time initiating patients was approximately 600 the year that LUM/IVA was listed, and approximately 750 the year ELX/TEZ/IVA was listed">
              <a:extLst xmlns:a="http://schemas.openxmlformats.org/drawingml/2006/main">
                <a:ext uri="{FF2B5EF4-FFF2-40B4-BE49-F238E27FC236}">
                  <a16:creationId xmlns:a16="http://schemas.microsoft.com/office/drawing/2014/main" id="{5548F8F1-1CFA-0163-2880-1B8D372BD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D206A5" w14:textId="5B8C0748" w:rsidR="00345BBC" w:rsidRPr="007E4A43" w:rsidRDefault="00345BBC" w:rsidP="00345BBC">
      <w:pPr>
        <w:pStyle w:val="Figuretitle"/>
      </w:pPr>
      <w:r w:rsidRPr="007E4A43">
        <w:t xml:space="preserve">Figure </w:t>
      </w:r>
      <w:r w:rsidRPr="007E4A43">
        <w:fldChar w:fldCharType="begin"/>
      </w:r>
      <w:r w:rsidRPr="007E4A43">
        <w:instrText xml:space="preserve"> SEQ Figure \* ARABIC </w:instrText>
      </w:r>
      <w:r w:rsidRPr="007E4A43">
        <w:fldChar w:fldCharType="separate"/>
      </w:r>
      <w:r w:rsidR="0063622F">
        <w:rPr>
          <w:noProof/>
        </w:rPr>
        <w:t>2</w:t>
      </w:r>
      <w:r w:rsidRPr="007E4A43">
        <w:fldChar w:fldCharType="end"/>
      </w:r>
      <w:r w:rsidRPr="007E4A43">
        <w:t>: Number of first time initiating patients over time by drug</w:t>
      </w:r>
    </w:p>
    <w:p w14:paraId="6509FBDD" w14:textId="0DBBF6DA" w:rsidR="00345BBC" w:rsidRPr="007E4A43" w:rsidRDefault="00345BBC" w:rsidP="00345BBC">
      <w:pPr>
        <w:pStyle w:val="Notes"/>
      </w:pPr>
      <w:r w:rsidRPr="007E4A43">
        <w:t>Note: Patient counts smaller than 5 are shown as 5</w:t>
      </w:r>
      <w:r w:rsidR="009E68AF" w:rsidRPr="007E4A43">
        <w:t xml:space="preserve"> to reduce the risk of patient re-identification.</w:t>
      </w:r>
    </w:p>
    <w:p w14:paraId="4D493ECF" w14:textId="77777777" w:rsidR="00A20122" w:rsidRPr="007E4A43" w:rsidRDefault="00A67D33" w:rsidP="00A67D33">
      <w:r w:rsidRPr="007E4A43">
        <w:t xml:space="preserve">Since its listing in 2022, the majority of first time initiating patients have commenced CFTR treatment with ELX/TEZ/IVA. There was a small increase in the number of patients initiating on ivacaftor and LUM/IVA in 2024, likely because of the extensions </w:t>
      </w:r>
      <w:r w:rsidR="006F1DA6" w:rsidRPr="007E4A43">
        <w:t>to</w:t>
      </w:r>
      <w:r w:rsidRPr="007E4A43">
        <w:t xml:space="preserve"> </w:t>
      </w:r>
      <w:r w:rsidR="006F1DA6" w:rsidRPr="007E4A43">
        <w:t>listing to</w:t>
      </w:r>
      <w:r w:rsidRPr="007E4A43">
        <w:t xml:space="preserve"> patients aged 1 year of age or older</w:t>
      </w:r>
      <w:r w:rsidR="006F1DA6" w:rsidRPr="007E4A43">
        <w:t xml:space="preserve"> (LUM/IVA) and to patients </w:t>
      </w:r>
      <w:r w:rsidRPr="007E4A43">
        <w:t>with non-gating mutations and patients aged 4 months or older</w:t>
      </w:r>
      <w:r w:rsidR="006F1DA6" w:rsidRPr="007E4A43">
        <w:t xml:space="preserve"> (ivacaftor) o</w:t>
      </w:r>
      <w:r w:rsidRPr="007E4A43">
        <w:t>n 1 January 2024 and 1 June 2024 respectively.</w:t>
      </w:r>
      <w:r w:rsidR="000B57DA" w:rsidRPr="007E4A43">
        <w:t xml:space="preserve"> </w:t>
      </w:r>
    </w:p>
    <w:p w14:paraId="3B2F7F84" w14:textId="740AD495" w:rsidR="006F1DA6" w:rsidRPr="007E4A43" w:rsidRDefault="006F1DA6" w:rsidP="00A67D33">
      <w:r w:rsidRPr="007E4A43">
        <w:t>The majority of supplied prescriptions since the second quarter of 2022 have been for ELX/TEZ/IVA (</w:t>
      </w:r>
      <w:r w:rsidRPr="007E4A43">
        <w:fldChar w:fldCharType="begin"/>
      </w:r>
      <w:r w:rsidRPr="007E4A43">
        <w:instrText xml:space="preserve"> REF _Ref205296587 \h </w:instrText>
      </w:r>
      <w:r w:rsidR="007E4A43">
        <w:instrText xml:space="preserve"> \* MERGEFORMAT </w:instrText>
      </w:r>
      <w:r w:rsidRPr="007E4A43">
        <w:fldChar w:fldCharType="separate"/>
      </w:r>
      <w:r w:rsidR="0063622F" w:rsidRPr="007E4A43">
        <w:t xml:space="preserve">Figure </w:t>
      </w:r>
      <w:r w:rsidR="0063622F">
        <w:rPr>
          <w:noProof/>
        </w:rPr>
        <w:t>3</w:t>
      </w:r>
      <w:r w:rsidRPr="007E4A43">
        <w:fldChar w:fldCharType="end"/>
      </w:r>
      <w:r w:rsidRPr="007E4A43">
        <w:t>).</w:t>
      </w:r>
      <w:r w:rsidR="000B57DA" w:rsidRPr="007E4A43">
        <w:t xml:space="preserve"> In 2024, 27,089 of the 30,208 supplied CFTR prescriptions were for ELX/TEZ/IVA.</w:t>
      </w:r>
      <w:r w:rsidRPr="007E4A43">
        <w:t xml:space="preserve"> It appears that most patients who were supplied ivacaftor or TEZ/IVA prior to the listing of ELX/TEZ/IVA switched immediately, however some patients continued on LUM/IVA after the listing of ELX/TEZ/IVA. </w:t>
      </w:r>
    </w:p>
    <w:p w14:paraId="3823F492" w14:textId="4B49CAAD" w:rsidR="00BA0599" w:rsidRPr="007E4A43" w:rsidRDefault="00693379" w:rsidP="00A35800">
      <w:r w:rsidRPr="007E4A43">
        <w:rPr>
          <w:noProof/>
        </w:rPr>
        <w:lastRenderedPageBreak/>
        <w:drawing>
          <wp:inline distT="0" distB="0" distL="0" distR="0" wp14:anchorId="68F11A99" wp14:editId="74D0219A">
            <wp:extent cx="5347411" cy="3489350"/>
            <wp:effectExtent l="0" t="0" r="5715" b="15875"/>
            <wp:docPr id="1654011336" name="Chart 1" descr="The number of supplied prescriptions over time by drug increased when LUM/IVA and when ELX/TEZ/IVA were listed">
              <a:extLst xmlns:a="http://schemas.openxmlformats.org/drawingml/2006/main">
                <a:ext uri="{FF2B5EF4-FFF2-40B4-BE49-F238E27FC236}">
                  <a16:creationId xmlns:a16="http://schemas.microsoft.com/office/drawing/2014/main" id="{4FB3B8E6-52AC-43F0-47D8-979D2F7FC3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092375" w14:textId="13F2715F" w:rsidR="00BA0599" w:rsidRPr="007E4A43" w:rsidRDefault="00B52EFC" w:rsidP="00B52EFC">
      <w:pPr>
        <w:pStyle w:val="Figuretitle"/>
      </w:pPr>
      <w:bookmarkStart w:id="2" w:name="_Ref205296587"/>
      <w:r w:rsidRPr="007E4A43">
        <w:t xml:space="preserve">Figure </w:t>
      </w:r>
      <w:r w:rsidRPr="007E4A43">
        <w:fldChar w:fldCharType="begin"/>
      </w:r>
      <w:r w:rsidRPr="007E4A43">
        <w:instrText xml:space="preserve"> SEQ Figure \* ARABIC </w:instrText>
      </w:r>
      <w:r w:rsidRPr="007E4A43">
        <w:fldChar w:fldCharType="separate"/>
      </w:r>
      <w:r w:rsidR="0063622F">
        <w:rPr>
          <w:noProof/>
        </w:rPr>
        <w:t>3</w:t>
      </w:r>
      <w:r w:rsidRPr="007E4A43">
        <w:fldChar w:fldCharType="end"/>
      </w:r>
      <w:bookmarkEnd w:id="2"/>
      <w:r w:rsidR="001A02F9" w:rsidRPr="007E4A43">
        <w:t xml:space="preserve">: Number of supplied prescriptions </w:t>
      </w:r>
      <w:r w:rsidR="00345BBC" w:rsidRPr="007E4A43">
        <w:t xml:space="preserve">over time </w:t>
      </w:r>
      <w:r w:rsidR="001A02F9" w:rsidRPr="007E4A43">
        <w:t>by drug</w:t>
      </w:r>
    </w:p>
    <w:p w14:paraId="16D91F04" w14:textId="77777777" w:rsidR="00693379" w:rsidRPr="007E4A43" w:rsidRDefault="00693379" w:rsidP="00A35800"/>
    <w:p w14:paraId="1CA970E2" w14:textId="67C66013" w:rsidR="008A4B84" w:rsidRPr="007E4A43" w:rsidRDefault="0004778D" w:rsidP="00A35800">
      <w:r w:rsidRPr="007E4A43">
        <w:rPr>
          <w:noProof/>
        </w:rPr>
        <w:drawing>
          <wp:inline distT="0" distB="0" distL="0" distR="0" wp14:anchorId="4060A507" wp14:editId="29B08AE3">
            <wp:extent cx="5687695" cy="2967355"/>
            <wp:effectExtent l="0" t="0" r="8255" b="4445"/>
            <wp:docPr id="74773012" name="Chart 1" descr="The number of patients treated in 2024 was highest at 15 to 19 years of age">
              <a:extLst xmlns:a="http://schemas.openxmlformats.org/drawingml/2006/main">
                <a:ext uri="{FF2B5EF4-FFF2-40B4-BE49-F238E27FC236}">
                  <a16:creationId xmlns:a16="http://schemas.microsoft.com/office/drawing/2014/main" id="{BF937C05-8819-AFF8-D1D9-79C4ED52D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D350830" w14:textId="64D2C8CF" w:rsidR="00CE5975" w:rsidRPr="007E4A43" w:rsidRDefault="00B52EFC" w:rsidP="00B52EFC">
      <w:pPr>
        <w:pStyle w:val="Figuretitle"/>
      </w:pPr>
      <w:r w:rsidRPr="007E4A43">
        <w:t xml:space="preserve">Figure </w:t>
      </w:r>
      <w:r w:rsidRPr="007E4A43">
        <w:fldChar w:fldCharType="begin"/>
      </w:r>
      <w:r w:rsidRPr="007E4A43">
        <w:instrText xml:space="preserve"> SEQ Figure \* ARABIC </w:instrText>
      </w:r>
      <w:r w:rsidRPr="007E4A43">
        <w:fldChar w:fldCharType="separate"/>
      </w:r>
      <w:r w:rsidR="0063622F">
        <w:rPr>
          <w:noProof/>
        </w:rPr>
        <w:t>4</w:t>
      </w:r>
      <w:r w:rsidRPr="007E4A43">
        <w:fldChar w:fldCharType="end"/>
      </w:r>
      <w:r w:rsidR="00CE5975" w:rsidRPr="007E4A43">
        <w:t>: Age of patients treated in 202</w:t>
      </w:r>
      <w:r w:rsidR="0004778D" w:rsidRPr="007E4A43">
        <w:t>4</w:t>
      </w:r>
    </w:p>
    <w:p w14:paraId="44DD182E" w14:textId="77777777" w:rsidR="00FA0B4A" w:rsidRPr="007E4A43" w:rsidRDefault="00FA0B4A" w:rsidP="00A35800"/>
    <w:p w14:paraId="0E377701" w14:textId="5E8C3BC0" w:rsidR="00C6288E" w:rsidRPr="007E4A43" w:rsidRDefault="00B32AB5" w:rsidP="00A35800">
      <w:r w:rsidRPr="007E4A43">
        <w:t xml:space="preserve">The mean age of patients supplied </w:t>
      </w:r>
      <w:r w:rsidR="00DC2AFE" w:rsidRPr="007E4A43">
        <w:t>CFTR modulators</w:t>
      </w:r>
      <w:r w:rsidRPr="007E4A43">
        <w:t xml:space="preserve"> in 202</w:t>
      </w:r>
      <w:r w:rsidR="0004778D" w:rsidRPr="007E4A43">
        <w:t>4</w:t>
      </w:r>
      <w:r w:rsidRPr="007E4A43">
        <w:t xml:space="preserve"> was 2</w:t>
      </w:r>
      <w:r w:rsidR="00DC2AFE" w:rsidRPr="007E4A43">
        <w:t>4</w:t>
      </w:r>
      <w:r w:rsidR="00AF059F" w:rsidRPr="007E4A43">
        <w:t xml:space="preserve"> years</w:t>
      </w:r>
      <w:r w:rsidRPr="007E4A43">
        <w:t>, and the median age was 2</w:t>
      </w:r>
      <w:r w:rsidR="0004778D" w:rsidRPr="007E4A43">
        <w:t>1</w:t>
      </w:r>
      <w:r w:rsidR="00AF059F" w:rsidRPr="007E4A43">
        <w:t xml:space="preserve"> years</w:t>
      </w:r>
      <w:r w:rsidRPr="007E4A43">
        <w:t>.</w:t>
      </w:r>
      <w:r w:rsidR="00DC2AFE" w:rsidRPr="007E4A43">
        <w:t xml:space="preserve"> </w:t>
      </w:r>
      <w:r w:rsidR="00425928" w:rsidRPr="007E4A43">
        <w:t>The mean age of patients supplied ELX/TEZ/IVA in 202</w:t>
      </w:r>
      <w:r w:rsidR="0004778D" w:rsidRPr="007E4A43">
        <w:t>4</w:t>
      </w:r>
      <w:r w:rsidR="00425928" w:rsidRPr="007E4A43">
        <w:t xml:space="preserve"> was </w:t>
      </w:r>
      <w:r w:rsidR="0004778D" w:rsidRPr="007E4A43">
        <w:t>also 24</w:t>
      </w:r>
      <w:r w:rsidR="00AF059F" w:rsidRPr="007E4A43">
        <w:t xml:space="preserve"> years</w:t>
      </w:r>
      <w:r w:rsidRPr="007E4A43">
        <w:t>, and the median age was 2</w:t>
      </w:r>
      <w:r w:rsidR="0004778D" w:rsidRPr="007E4A43">
        <w:t>1</w:t>
      </w:r>
      <w:r w:rsidR="00AF059F" w:rsidRPr="007E4A43">
        <w:t xml:space="preserve"> years</w:t>
      </w:r>
      <w:r w:rsidRPr="007E4A43">
        <w:t>.</w:t>
      </w:r>
      <w:r w:rsidR="006F1DA6" w:rsidRPr="007E4A43">
        <w:t xml:space="preserve"> </w:t>
      </w:r>
    </w:p>
    <w:p w14:paraId="6448FBED" w14:textId="5B072813" w:rsidR="00A229E3" w:rsidRPr="007E4A43" w:rsidRDefault="00A229E3" w:rsidP="00A229E3">
      <w:pPr>
        <w:spacing w:before="240" w:after="20"/>
        <w:outlineLvl w:val="3"/>
      </w:pPr>
      <w:r w:rsidRPr="007E4A43">
        <w:lastRenderedPageBreak/>
        <w:t xml:space="preserve">In 2024, 209 (68%) of the 307 initiating patients were supplied ELX/TEZ/IVA on the initiating prescription. Of the remaining patients, 58% (59 of 102) were under the age of 2 and therefore not eligible for ELX/TEZ/IVA. </w:t>
      </w:r>
      <w:r w:rsidR="004756CF" w:rsidRPr="007E4A43">
        <w:t xml:space="preserve">It is likely that the majority of the remaining patients who initiated ivacaftor in 2024 became eligible for it on 1 June 2024 when the PBS restriction was extended to patients with non-gating mutations. </w:t>
      </w:r>
    </w:p>
    <w:p w14:paraId="1857518B" w14:textId="68F4EBC1" w:rsidR="00C41B06" w:rsidRPr="007E4A43" w:rsidRDefault="00C41B06" w:rsidP="00A229E3">
      <w:pPr>
        <w:spacing w:before="240" w:after="20"/>
        <w:outlineLvl w:val="3"/>
        <w:rPr>
          <w:rFonts w:eastAsiaTheme="majorEastAsia" w:cstheme="majorBidi"/>
          <w:b/>
        </w:rPr>
      </w:pPr>
      <w:r w:rsidRPr="007E4A43">
        <w:rPr>
          <w:rFonts w:eastAsiaTheme="majorEastAsia" w:cstheme="majorBidi"/>
          <w:b/>
        </w:rPr>
        <w:t xml:space="preserve">Table </w:t>
      </w:r>
      <w:r w:rsidRPr="007E4A43">
        <w:rPr>
          <w:rFonts w:eastAsiaTheme="majorEastAsia" w:cstheme="majorBidi"/>
          <w:b/>
        </w:rPr>
        <w:fldChar w:fldCharType="begin"/>
      </w:r>
      <w:r w:rsidRPr="007E4A43">
        <w:rPr>
          <w:rFonts w:eastAsiaTheme="majorEastAsia" w:cstheme="majorBidi"/>
          <w:b/>
        </w:rPr>
        <w:instrText xml:space="preserve"> SEQ Table \* ARABIC </w:instrText>
      </w:r>
      <w:r w:rsidRPr="007E4A43">
        <w:rPr>
          <w:rFonts w:eastAsiaTheme="majorEastAsia" w:cstheme="majorBidi"/>
          <w:b/>
        </w:rPr>
        <w:fldChar w:fldCharType="separate"/>
      </w:r>
      <w:r w:rsidR="0063622F">
        <w:rPr>
          <w:rFonts w:eastAsiaTheme="majorEastAsia" w:cstheme="majorBidi"/>
          <w:b/>
          <w:noProof/>
        </w:rPr>
        <w:t>7</w:t>
      </w:r>
      <w:r w:rsidRPr="007E4A43">
        <w:rPr>
          <w:rFonts w:eastAsiaTheme="majorEastAsia" w:cstheme="majorBidi"/>
          <w:b/>
        </w:rPr>
        <w:fldChar w:fldCharType="end"/>
      </w:r>
      <w:r w:rsidRPr="007E4A43">
        <w:rPr>
          <w:rFonts w:eastAsiaTheme="majorEastAsia" w:cstheme="majorBidi"/>
          <w:b/>
        </w:rPr>
        <w:t>: Age of initiating patients in 2024</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304"/>
        <w:gridCol w:w="1304"/>
        <w:gridCol w:w="1304"/>
        <w:gridCol w:w="1304"/>
        <w:gridCol w:w="1304"/>
      </w:tblGrid>
      <w:tr w:rsidR="00A229E3" w:rsidRPr="007E4A43" w14:paraId="5BFB52DB" w14:textId="77777777" w:rsidTr="00531733">
        <w:trPr>
          <w:trHeight w:val="300"/>
        </w:trPr>
        <w:tc>
          <w:tcPr>
            <w:tcW w:w="1980" w:type="dxa"/>
            <w:shd w:val="clear" w:color="auto" w:fill="BFBFBF" w:themeFill="background1" w:themeFillShade="BF"/>
            <w:noWrap/>
            <w:vAlign w:val="bottom"/>
            <w:hideMark/>
          </w:tcPr>
          <w:p w14:paraId="68E01317" w14:textId="77777777" w:rsidR="00A229E3" w:rsidRPr="007E4A43" w:rsidRDefault="00A229E3" w:rsidP="00531733">
            <w:pPr>
              <w:spacing w:after="0"/>
              <w:rPr>
                <w:rFonts w:ascii="Calibri" w:eastAsia="Times New Roman" w:hAnsi="Calibri" w:cs="Calibri"/>
                <w:b/>
                <w:bCs/>
                <w:color w:val="000000"/>
                <w:sz w:val="20"/>
                <w:szCs w:val="20"/>
              </w:rPr>
            </w:pPr>
          </w:p>
        </w:tc>
        <w:tc>
          <w:tcPr>
            <w:tcW w:w="1304" w:type="dxa"/>
            <w:shd w:val="clear" w:color="auto" w:fill="BFBFBF" w:themeFill="background1" w:themeFillShade="BF"/>
            <w:noWrap/>
            <w:vAlign w:val="bottom"/>
            <w:hideMark/>
          </w:tcPr>
          <w:p w14:paraId="77495223" w14:textId="77777777" w:rsidR="00A229E3" w:rsidRPr="007E4A43" w:rsidRDefault="00A229E3" w:rsidP="00531733">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0-1  yrs</w:t>
            </w:r>
          </w:p>
        </w:tc>
        <w:tc>
          <w:tcPr>
            <w:tcW w:w="1304" w:type="dxa"/>
            <w:shd w:val="clear" w:color="auto" w:fill="BFBFBF" w:themeFill="background1" w:themeFillShade="BF"/>
            <w:noWrap/>
            <w:vAlign w:val="bottom"/>
            <w:hideMark/>
          </w:tcPr>
          <w:p w14:paraId="52E1016C" w14:textId="77777777" w:rsidR="00A229E3" w:rsidRPr="007E4A43" w:rsidRDefault="00A229E3" w:rsidP="00531733">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2-5  yrs</w:t>
            </w:r>
          </w:p>
        </w:tc>
        <w:tc>
          <w:tcPr>
            <w:tcW w:w="1304" w:type="dxa"/>
            <w:shd w:val="clear" w:color="auto" w:fill="BFBFBF" w:themeFill="background1" w:themeFillShade="BF"/>
            <w:noWrap/>
            <w:vAlign w:val="bottom"/>
            <w:hideMark/>
          </w:tcPr>
          <w:p w14:paraId="1D007E0E" w14:textId="77777777" w:rsidR="00A229E3" w:rsidRPr="007E4A43" w:rsidRDefault="00A229E3" w:rsidP="00531733">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6-11 yrs</w:t>
            </w:r>
          </w:p>
        </w:tc>
        <w:tc>
          <w:tcPr>
            <w:tcW w:w="1304" w:type="dxa"/>
            <w:shd w:val="clear" w:color="auto" w:fill="BFBFBF" w:themeFill="background1" w:themeFillShade="BF"/>
            <w:noWrap/>
            <w:vAlign w:val="bottom"/>
            <w:hideMark/>
          </w:tcPr>
          <w:p w14:paraId="36F08F31" w14:textId="77777777" w:rsidR="00A229E3" w:rsidRPr="007E4A43" w:rsidRDefault="00A229E3" w:rsidP="00531733">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12+  yrs</w:t>
            </w:r>
          </w:p>
        </w:tc>
        <w:tc>
          <w:tcPr>
            <w:tcW w:w="1304" w:type="dxa"/>
            <w:shd w:val="clear" w:color="auto" w:fill="BFBFBF" w:themeFill="background1" w:themeFillShade="BF"/>
            <w:noWrap/>
            <w:vAlign w:val="bottom"/>
            <w:hideMark/>
          </w:tcPr>
          <w:p w14:paraId="45B215CE" w14:textId="77777777" w:rsidR="00A229E3" w:rsidRPr="007E4A43" w:rsidRDefault="00A229E3" w:rsidP="00531733">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Total</w:t>
            </w:r>
          </w:p>
        </w:tc>
      </w:tr>
      <w:tr w:rsidR="00A229E3" w:rsidRPr="007E4A43" w14:paraId="53287398" w14:textId="77777777" w:rsidTr="00531733">
        <w:trPr>
          <w:trHeight w:val="300"/>
        </w:trPr>
        <w:tc>
          <w:tcPr>
            <w:tcW w:w="1980" w:type="dxa"/>
            <w:noWrap/>
            <w:vAlign w:val="bottom"/>
            <w:hideMark/>
          </w:tcPr>
          <w:p w14:paraId="53A67F4A" w14:textId="77777777" w:rsidR="00A229E3" w:rsidRPr="007E4A43" w:rsidRDefault="00A229E3" w:rsidP="00531733">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ELX/TEZ/IVA</w:t>
            </w:r>
          </w:p>
        </w:tc>
        <w:tc>
          <w:tcPr>
            <w:tcW w:w="1304" w:type="dxa"/>
            <w:noWrap/>
            <w:vAlign w:val="bottom"/>
            <w:hideMark/>
          </w:tcPr>
          <w:p w14:paraId="356E0AA8" w14:textId="77777777" w:rsidR="00A229E3" w:rsidRPr="007E4A43" w:rsidRDefault="00A229E3" w:rsidP="00531733">
            <w:pPr>
              <w:spacing w:after="0"/>
              <w:rPr>
                <w:rFonts w:ascii="Calibri" w:eastAsia="Times New Roman" w:hAnsi="Calibri" w:cs="Calibri"/>
                <w:color w:val="000000"/>
                <w:sz w:val="20"/>
                <w:szCs w:val="20"/>
              </w:rPr>
            </w:pPr>
          </w:p>
        </w:tc>
        <w:tc>
          <w:tcPr>
            <w:tcW w:w="1304" w:type="dxa"/>
            <w:noWrap/>
            <w:vAlign w:val="bottom"/>
            <w:hideMark/>
          </w:tcPr>
          <w:p w14:paraId="599BA187"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104</w:t>
            </w:r>
          </w:p>
        </w:tc>
        <w:tc>
          <w:tcPr>
            <w:tcW w:w="1304" w:type="dxa"/>
            <w:noWrap/>
            <w:vAlign w:val="bottom"/>
            <w:hideMark/>
          </w:tcPr>
          <w:p w14:paraId="4290915C"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29</w:t>
            </w:r>
          </w:p>
        </w:tc>
        <w:tc>
          <w:tcPr>
            <w:tcW w:w="1304" w:type="dxa"/>
            <w:noWrap/>
            <w:vAlign w:val="bottom"/>
            <w:hideMark/>
          </w:tcPr>
          <w:p w14:paraId="3F253DAE"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76</w:t>
            </w:r>
          </w:p>
        </w:tc>
        <w:tc>
          <w:tcPr>
            <w:tcW w:w="1304" w:type="dxa"/>
            <w:noWrap/>
            <w:vAlign w:val="bottom"/>
            <w:hideMark/>
          </w:tcPr>
          <w:p w14:paraId="12BC0C16"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209</w:t>
            </w:r>
          </w:p>
        </w:tc>
      </w:tr>
      <w:tr w:rsidR="00A229E3" w:rsidRPr="007E4A43" w14:paraId="7E314E7D" w14:textId="77777777" w:rsidTr="00531733">
        <w:trPr>
          <w:trHeight w:val="300"/>
        </w:trPr>
        <w:tc>
          <w:tcPr>
            <w:tcW w:w="1980" w:type="dxa"/>
            <w:noWrap/>
            <w:vAlign w:val="bottom"/>
            <w:hideMark/>
          </w:tcPr>
          <w:p w14:paraId="51E7729F" w14:textId="77777777" w:rsidR="00A229E3" w:rsidRPr="007E4A43" w:rsidRDefault="00A229E3" w:rsidP="00531733">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IVACAFTOR</w:t>
            </w:r>
          </w:p>
        </w:tc>
        <w:tc>
          <w:tcPr>
            <w:tcW w:w="1304" w:type="dxa"/>
            <w:noWrap/>
            <w:vAlign w:val="bottom"/>
            <w:hideMark/>
          </w:tcPr>
          <w:p w14:paraId="372526E3"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11</w:t>
            </w:r>
          </w:p>
        </w:tc>
        <w:tc>
          <w:tcPr>
            <w:tcW w:w="1304" w:type="dxa"/>
            <w:noWrap/>
            <w:vAlign w:val="bottom"/>
            <w:hideMark/>
          </w:tcPr>
          <w:p w14:paraId="2751A63D"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&lt;5</w:t>
            </w:r>
          </w:p>
        </w:tc>
        <w:tc>
          <w:tcPr>
            <w:tcW w:w="1304" w:type="dxa"/>
            <w:noWrap/>
            <w:vAlign w:val="bottom"/>
            <w:hideMark/>
          </w:tcPr>
          <w:p w14:paraId="0263287D"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&lt;5</w:t>
            </w:r>
          </w:p>
        </w:tc>
        <w:tc>
          <w:tcPr>
            <w:tcW w:w="1304" w:type="dxa"/>
            <w:noWrap/>
            <w:vAlign w:val="bottom"/>
            <w:hideMark/>
          </w:tcPr>
          <w:p w14:paraId="3114EAF9"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24</w:t>
            </w:r>
          </w:p>
        </w:tc>
        <w:tc>
          <w:tcPr>
            <w:tcW w:w="1304" w:type="dxa"/>
            <w:noWrap/>
            <w:vAlign w:val="bottom"/>
            <w:hideMark/>
          </w:tcPr>
          <w:p w14:paraId="0A8728B5"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40</w:t>
            </w:r>
          </w:p>
        </w:tc>
      </w:tr>
      <w:tr w:rsidR="00A229E3" w:rsidRPr="007E4A43" w14:paraId="273B0952" w14:textId="77777777" w:rsidTr="00531733">
        <w:trPr>
          <w:trHeight w:val="300"/>
        </w:trPr>
        <w:tc>
          <w:tcPr>
            <w:tcW w:w="1980" w:type="dxa"/>
            <w:noWrap/>
            <w:vAlign w:val="bottom"/>
            <w:hideMark/>
          </w:tcPr>
          <w:p w14:paraId="449D0E17" w14:textId="77777777" w:rsidR="00A229E3" w:rsidRPr="007E4A43" w:rsidRDefault="00A229E3" w:rsidP="00531733">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LUM/IVA</w:t>
            </w:r>
          </w:p>
        </w:tc>
        <w:tc>
          <w:tcPr>
            <w:tcW w:w="1304" w:type="dxa"/>
            <w:noWrap/>
            <w:vAlign w:val="bottom"/>
            <w:hideMark/>
          </w:tcPr>
          <w:p w14:paraId="58326BC9"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48</w:t>
            </w:r>
          </w:p>
        </w:tc>
        <w:tc>
          <w:tcPr>
            <w:tcW w:w="1304" w:type="dxa"/>
            <w:noWrap/>
            <w:vAlign w:val="bottom"/>
            <w:hideMark/>
          </w:tcPr>
          <w:p w14:paraId="215DD949"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w:t>
            </w:r>
          </w:p>
        </w:tc>
        <w:tc>
          <w:tcPr>
            <w:tcW w:w="1304" w:type="dxa"/>
            <w:noWrap/>
            <w:vAlign w:val="bottom"/>
            <w:hideMark/>
          </w:tcPr>
          <w:p w14:paraId="28658223" w14:textId="77777777" w:rsidR="00A229E3" w:rsidRPr="007E4A43" w:rsidRDefault="00A229E3" w:rsidP="00531733">
            <w:pPr>
              <w:spacing w:after="0"/>
              <w:jc w:val="right"/>
              <w:rPr>
                <w:rFonts w:ascii="Calibri" w:eastAsia="Times New Roman" w:hAnsi="Calibri" w:cs="Calibri"/>
                <w:color w:val="000000"/>
                <w:sz w:val="20"/>
                <w:szCs w:val="20"/>
              </w:rPr>
            </w:pPr>
          </w:p>
        </w:tc>
        <w:tc>
          <w:tcPr>
            <w:tcW w:w="1304" w:type="dxa"/>
            <w:noWrap/>
            <w:vAlign w:val="bottom"/>
            <w:hideMark/>
          </w:tcPr>
          <w:p w14:paraId="593E5088" w14:textId="77777777" w:rsidR="00A229E3" w:rsidRPr="007E4A43" w:rsidRDefault="00A229E3" w:rsidP="00531733">
            <w:pPr>
              <w:spacing w:after="0"/>
              <w:rPr>
                <w:rFonts w:ascii="Calibri" w:eastAsia="Times New Roman" w:hAnsi="Calibri" w:cs="Calibri"/>
                <w:sz w:val="20"/>
                <w:szCs w:val="20"/>
              </w:rPr>
            </w:pPr>
          </w:p>
        </w:tc>
        <w:tc>
          <w:tcPr>
            <w:tcW w:w="1304" w:type="dxa"/>
            <w:noWrap/>
            <w:vAlign w:val="bottom"/>
            <w:hideMark/>
          </w:tcPr>
          <w:p w14:paraId="46A446C0"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53</w:t>
            </w:r>
          </w:p>
        </w:tc>
      </w:tr>
      <w:tr w:rsidR="00A229E3" w:rsidRPr="007E4A43" w14:paraId="0EFC632E" w14:textId="77777777" w:rsidTr="00531733">
        <w:trPr>
          <w:trHeight w:val="300"/>
        </w:trPr>
        <w:tc>
          <w:tcPr>
            <w:tcW w:w="1980" w:type="dxa"/>
            <w:noWrap/>
            <w:vAlign w:val="bottom"/>
            <w:hideMark/>
          </w:tcPr>
          <w:p w14:paraId="1EE152E7" w14:textId="77777777" w:rsidR="00A229E3" w:rsidRPr="007E4A43" w:rsidRDefault="00A229E3" w:rsidP="00531733">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TEZ/IVA</w:t>
            </w:r>
          </w:p>
        </w:tc>
        <w:tc>
          <w:tcPr>
            <w:tcW w:w="1304" w:type="dxa"/>
            <w:noWrap/>
            <w:vAlign w:val="bottom"/>
            <w:hideMark/>
          </w:tcPr>
          <w:p w14:paraId="45361FAA" w14:textId="77777777" w:rsidR="00A229E3" w:rsidRPr="007E4A43" w:rsidRDefault="00A229E3" w:rsidP="00531733">
            <w:pPr>
              <w:spacing w:after="0"/>
              <w:rPr>
                <w:rFonts w:ascii="Calibri" w:eastAsia="Times New Roman" w:hAnsi="Calibri" w:cs="Calibri"/>
                <w:color w:val="000000"/>
                <w:sz w:val="20"/>
                <w:szCs w:val="20"/>
              </w:rPr>
            </w:pPr>
          </w:p>
        </w:tc>
        <w:tc>
          <w:tcPr>
            <w:tcW w:w="1304" w:type="dxa"/>
            <w:noWrap/>
            <w:vAlign w:val="bottom"/>
            <w:hideMark/>
          </w:tcPr>
          <w:p w14:paraId="48699BFE" w14:textId="77777777" w:rsidR="00A229E3" w:rsidRPr="007E4A43" w:rsidRDefault="00A229E3" w:rsidP="00531733">
            <w:pPr>
              <w:spacing w:after="0"/>
              <w:rPr>
                <w:rFonts w:ascii="Calibri" w:eastAsia="Times New Roman" w:hAnsi="Calibri" w:cs="Calibri"/>
                <w:sz w:val="20"/>
                <w:szCs w:val="20"/>
              </w:rPr>
            </w:pPr>
          </w:p>
        </w:tc>
        <w:tc>
          <w:tcPr>
            <w:tcW w:w="1304" w:type="dxa"/>
            <w:noWrap/>
            <w:vAlign w:val="bottom"/>
            <w:hideMark/>
          </w:tcPr>
          <w:p w14:paraId="169233F2" w14:textId="77777777" w:rsidR="00A229E3" w:rsidRPr="007E4A43" w:rsidRDefault="00A229E3" w:rsidP="00531733">
            <w:pPr>
              <w:spacing w:after="0"/>
              <w:rPr>
                <w:rFonts w:ascii="Calibri" w:eastAsia="Times New Roman" w:hAnsi="Calibri" w:cs="Calibri"/>
                <w:sz w:val="20"/>
                <w:szCs w:val="20"/>
              </w:rPr>
            </w:pPr>
          </w:p>
        </w:tc>
        <w:tc>
          <w:tcPr>
            <w:tcW w:w="1304" w:type="dxa"/>
            <w:noWrap/>
            <w:vAlign w:val="bottom"/>
            <w:hideMark/>
          </w:tcPr>
          <w:p w14:paraId="01DF8822"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w:t>
            </w:r>
          </w:p>
        </w:tc>
        <w:tc>
          <w:tcPr>
            <w:tcW w:w="1304" w:type="dxa"/>
            <w:noWrap/>
            <w:vAlign w:val="bottom"/>
            <w:hideMark/>
          </w:tcPr>
          <w:p w14:paraId="7776432F"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w:t>
            </w:r>
          </w:p>
        </w:tc>
      </w:tr>
      <w:tr w:rsidR="00A229E3" w:rsidRPr="007E4A43" w14:paraId="1816B0BA" w14:textId="77777777" w:rsidTr="00531733">
        <w:trPr>
          <w:trHeight w:val="300"/>
        </w:trPr>
        <w:tc>
          <w:tcPr>
            <w:tcW w:w="1980" w:type="dxa"/>
            <w:noWrap/>
            <w:vAlign w:val="bottom"/>
            <w:hideMark/>
          </w:tcPr>
          <w:p w14:paraId="0375A4EB" w14:textId="77777777" w:rsidR="00A229E3" w:rsidRPr="007E4A43" w:rsidRDefault="00A229E3" w:rsidP="00531733">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Total</w:t>
            </w:r>
          </w:p>
        </w:tc>
        <w:tc>
          <w:tcPr>
            <w:tcW w:w="1304" w:type="dxa"/>
            <w:noWrap/>
            <w:vAlign w:val="bottom"/>
            <w:hideMark/>
          </w:tcPr>
          <w:p w14:paraId="5344909B"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59</w:t>
            </w:r>
          </w:p>
        </w:tc>
        <w:tc>
          <w:tcPr>
            <w:tcW w:w="1304" w:type="dxa"/>
            <w:noWrap/>
            <w:vAlign w:val="bottom"/>
            <w:hideMark/>
          </w:tcPr>
          <w:p w14:paraId="086C5DDB"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110-113</w:t>
            </w:r>
          </w:p>
        </w:tc>
        <w:tc>
          <w:tcPr>
            <w:tcW w:w="1304" w:type="dxa"/>
            <w:noWrap/>
            <w:vAlign w:val="bottom"/>
            <w:hideMark/>
          </w:tcPr>
          <w:p w14:paraId="40596257"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30-33</w:t>
            </w:r>
          </w:p>
        </w:tc>
        <w:tc>
          <w:tcPr>
            <w:tcW w:w="1304" w:type="dxa"/>
            <w:noWrap/>
            <w:vAlign w:val="bottom"/>
            <w:hideMark/>
          </w:tcPr>
          <w:p w14:paraId="401E7DE5"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105</w:t>
            </w:r>
          </w:p>
        </w:tc>
        <w:tc>
          <w:tcPr>
            <w:tcW w:w="1304" w:type="dxa"/>
            <w:noWrap/>
            <w:vAlign w:val="bottom"/>
            <w:hideMark/>
          </w:tcPr>
          <w:p w14:paraId="6CD08F4F" w14:textId="77777777" w:rsidR="00A229E3" w:rsidRPr="007E4A43" w:rsidRDefault="00A229E3" w:rsidP="00531733">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307</w:t>
            </w:r>
          </w:p>
        </w:tc>
      </w:tr>
    </w:tbl>
    <w:p w14:paraId="3986A01E" w14:textId="77777777" w:rsidR="00A229E3" w:rsidRPr="007E4A43" w:rsidRDefault="00A229E3" w:rsidP="00A229E3"/>
    <w:p w14:paraId="1D6D3F10" w14:textId="77777777" w:rsidR="007F6DD2" w:rsidRPr="007E4A43" w:rsidRDefault="006F1DA6" w:rsidP="007F6DD2">
      <w:r w:rsidRPr="007E4A43">
        <w:rPr>
          <w:noProof/>
        </w:rPr>
        <w:drawing>
          <wp:inline distT="0" distB="0" distL="0" distR="0" wp14:anchorId="62AD72F5" wp14:editId="76931C32">
            <wp:extent cx="5133974" cy="4124325"/>
            <wp:effectExtent l="0" t="0" r="10160" b="9525"/>
            <wp:docPr id="1815547280" name="Chart 1" descr="Age of treated patients over time for all CFTRs is split by ages 0 to 1, 2 to 5, 6 to 11 and 12 and older. There were increases in the number of patients aged 12 and older when LUM/IVA and when ELX/TEZ/IVA were listed.">
              <a:extLst xmlns:a="http://schemas.openxmlformats.org/drawingml/2006/main">
                <a:ext uri="{FF2B5EF4-FFF2-40B4-BE49-F238E27FC236}">
                  <a16:creationId xmlns:a16="http://schemas.microsoft.com/office/drawing/2014/main" id="{21DE1ADA-69E3-8292-39C7-BFB9AA3CB5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7E4A43">
        <w:t xml:space="preserve"> </w:t>
      </w:r>
    </w:p>
    <w:p w14:paraId="2B2388CA" w14:textId="60774DF8" w:rsidR="00153529" w:rsidRPr="007E4A43" w:rsidRDefault="00153529" w:rsidP="007F6DD2">
      <w:pPr>
        <w:pStyle w:val="Figuretitle"/>
      </w:pPr>
      <w:bookmarkStart w:id="3" w:name="_Ref205297224"/>
      <w:r w:rsidRPr="007E4A43">
        <w:t xml:space="preserve">Figure </w:t>
      </w:r>
      <w:r w:rsidRPr="007E4A43">
        <w:fldChar w:fldCharType="begin"/>
      </w:r>
      <w:r w:rsidRPr="007E4A43">
        <w:instrText xml:space="preserve"> SEQ Figure \* ARABIC </w:instrText>
      </w:r>
      <w:r w:rsidRPr="007E4A43">
        <w:fldChar w:fldCharType="separate"/>
      </w:r>
      <w:r w:rsidR="0063622F">
        <w:rPr>
          <w:noProof/>
        </w:rPr>
        <w:t>5</w:t>
      </w:r>
      <w:r w:rsidRPr="007E4A43">
        <w:fldChar w:fldCharType="end"/>
      </w:r>
      <w:bookmarkEnd w:id="3"/>
      <w:r w:rsidRPr="007E4A43">
        <w:t>: Age of treated patients over time for all CFTRs</w:t>
      </w:r>
    </w:p>
    <w:p w14:paraId="0D8E8582" w14:textId="77777777" w:rsidR="00153529" w:rsidRPr="007E4A43" w:rsidRDefault="00153529" w:rsidP="002A117C"/>
    <w:p w14:paraId="0B2A41FF" w14:textId="4E06128C" w:rsidR="002A117C" w:rsidRPr="007E4A43" w:rsidRDefault="007F6DD2" w:rsidP="002A117C">
      <w:r w:rsidRPr="007E4A43">
        <w:fldChar w:fldCharType="begin"/>
      </w:r>
      <w:r w:rsidRPr="007E4A43">
        <w:instrText xml:space="preserve"> REF _Ref205297224 \h </w:instrText>
      </w:r>
      <w:r w:rsidR="007E4A43">
        <w:instrText xml:space="preserve"> \* MERGEFORMAT </w:instrText>
      </w:r>
      <w:r w:rsidRPr="007E4A43">
        <w:fldChar w:fldCharType="separate"/>
      </w:r>
      <w:r w:rsidR="0063622F" w:rsidRPr="007E4A43">
        <w:t xml:space="preserve">Figure </w:t>
      </w:r>
      <w:r w:rsidR="0063622F">
        <w:rPr>
          <w:noProof/>
        </w:rPr>
        <w:t>5</w:t>
      </w:r>
      <w:r w:rsidRPr="007E4A43">
        <w:fldChar w:fldCharType="end"/>
      </w:r>
      <w:r w:rsidRPr="007E4A43">
        <w:t xml:space="preserve"> </w:t>
      </w:r>
      <w:r w:rsidR="002A117C" w:rsidRPr="007E4A43">
        <w:t xml:space="preserve">shows the number of patients supplied all CFTRs over time, </w:t>
      </w:r>
      <w:r w:rsidRPr="007E4A43">
        <w:t xml:space="preserve">grouped by </w:t>
      </w:r>
      <w:r w:rsidR="002A117C" w:rsidRPr="007E4A43">
        <w:t>age eligibility. There was a clear increase in the number of patients aged 12 years and older when ELX/TEZ/IVA listed in the second quarter of 2022, and smaller increases in the number of patients in the 6-11 year group and 2-5 year group when it was listed for these age groups</w:t>
      </w:r>
      <w:r w:rsidR="006C3905" w:rsidRPr="007E4A43">
        <w:t xml:space="preserve"> in the second quarter of 2023 and the third quarter of 2024 respectively</w:t>
      </w:r>
      <w:r w:rsidR="002A117C" w:rsidRPr="007E4A43">
        <w:t xml:space="preserve">. </w:t>
      </w:r>
      <w:r w:rsidR="00DA0BA5" w:rsidRPr="007E4A43">
        <w:t xml:space="preserve">These </w:t>
      </w:r>
      <w:r w:rsidR="00DA0BA5" w:rsidRPr="007E4A43">
        <w:lastRenderedPageBreak/>
        <w:t xml:space="preserve">patients may have been supplied ELX/TEZ/IVA through a </w:t>
      </w:r>
      <w:r w:rsidR="004756CF" w:rsidRPr="007E4A43">
        <w:t xml:space="preserve">clinical trial or </w:t>
      </w:r>
      <w:r w:rsidR="00DA0BA5" w:rsidRPr="007E4A43">
        <w:t>compassionate access scheme prior to it</w:t>
      </w:r>
      <w:r w:rsidR="006C3905" w:rsidRPr="007E4A43">
        <w:t>s</w:t>
      </w:r>
      <w:r w:rsidR="00DA0BA5" w:rsidRPr="007E4A43">
        <w:t xml:space="preserve"> listing on the PBS.</w:t>
      </w:r>
      <w:r w:rsidR="00DC169E" w:rsidRPr="007E4A43">
        <w:t xml:space="preserve"> Appropriately, zero prescriptions of ELX/TEZ/IVA were supplied to patients aged 2 </w:t>
      </w:r>
      <w:r w:rsidR="0043417E" w:rsidRPr="007E4A43">
        <w:t xml:space="preserve">to 5 years old </w:t>
      </w:r>
      <w:r w:rsidR="004756CF" w:rsidRPr="007E4A43">
        <w:t xml:space="preserve">or </w:t>
      </w:r>
      <w:r w:rsidR="0043417E" w:rsidRPr="007E4A43">
        <w:t xml:space="preserve">6 </w:t>
      </w:r>
      <w:r w:rsidR="00DC169E" w:rsidRPr="007E4A43">
        <w:t>to 11 years old prior to its PBS listing for these age groups.</w:t>
      </w:r>
    </w:p>
    <w:p w14:paraId="150ED7B1" w14:textId="71BA9E7A" w:rsidR="008E4B98" w:rsidRPr="007E4A43" w:rsidRDefault="00B52EFC" w:rsidP="00B52EFC">
      <w:pPr>
        <w:pStyle w:val="Tabletitle"/>
      </w:pPr>
      <w:bookmarkStart w:id="4" w:name="_Ref204859018"/>
      <w:r w:rsidRPr="007E4A43">
        <w:t xml:space="preserve">Table </w:t>
      </w:r>
      <w:r w:rsidRPr="007E4A43">
        <w:fldChar w:fldCharType="begin"/>
      </w:r>
      <w:r w:rsidRPr="007E4A43">
        <w:instrText xml:space="preserve"> SEQ Table \* ARABIC </w:instrText>
      </w:r>
      <w:r w:rsidRPr="007E4A43">
        <w:fldChar w:fldCharType="separate"/>
      </w:r>
      <w:r w:rsidR="0063622F">
        <w:rPr>
          <w:noProof/>
        </w:rPr>
        <w:t>8</w:t>
      </w:r>
      <w:r w:rsidRPr="007E4A43">
        <w:fldChar w:fldCharType="end"/>
      </w:r>
      <w:bookmarkEnd w:id="4"/>
      <w:r w:rsidR="008E4B98" w:rsidRPr="007E4A43">
        <w:t xml:space="preserve">: </w:t>
      </w:r>
      <w:r w:rsidR="00F20EBF" w:rsidRPr="007E4A43">
        <w:t>M</w:t>
      </w:r>
      <w:r w:rsidR="008E4B98" w:rsidRPr="007E4A43">
        <w:t xml:space="preserve">edicine sequence for </w:t>
      </w:r>
      <w:r w:rsidR="00EB1DD2" w:rsidRPr="007E4A43">
        <w:t xml:space="preserve">ELX/TEZ/IVA patients </w:t>
      </w:r>
      <w:r w:rsidR="0058413D" w:rsidRPr="007E4A43">
        <w:t>excluding</w:t>
      </w:r>
      <w:r w:rsidR="00EB1DD2" w:rsidRPr="007E4A43">
        <w:t xml:space="preserve"> switchbacks</w:t>
      </w:r>
    </w:p>
    <w:tbl>
      <w:tblPr>
        <w:tblW w:w="6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0"/>
        <w:gridCol w:w="1900"/>
      </w:tblGrid>
      <w:tr w:rsidR="001666FF" w:rsidRPr="007E4A43" w14:paraId="77E8F068" w14:textId="77777777" w:rsidTr="001A02F9">
        <w:trPr>
          <w:trHeight w:val="300"/>
        </w:trPr>
        <w:tc>
          <w:tcPr>
            <w:tcW w:w="4740" w:type="dxa"/>
            <w:shd w:val="clear" w:color="auto" w:fill="BFBFBF" w:themeFill="background1" w:themeFillShade="BF"/>
            <w:noWrap/>
            <w:vAlign w:val="bottom"/>
            <w:hideMark/>
          </w:tcPr>
          <w:p w14:paraId="50889CA2" w14:textId="77777777" w:rsidR="001666FF" w:rsidRPr="007E4A43" w:rsidRDefault="001666FF" w:rsidP="001666FF">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Sequence</w:t>
            </w:r>
          </w:p>
        </w:tc>
        <w:tc>
          <w:tcPr>
            <w:tcW w:w="1900" w:type="dxa"/>
            <w:shd w:val="clear" w:color="auto" w:fill="BFBFBF" w:themeFill="background1" w:themeFillShade="BF"/>
            <w:noWrap/>
            <w:vAlign w:val="bottom"/>
            <w:hideMark/>
          </w:tcPr>
          <w:p w14:paraId="23EDE14C" w14:textId="77777777" w:rsidR="001666FF" w:rsidRPr="007E4A43" w:rsidRDefault="001666FF" w:rsidP="001666FF">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Patient count</w:t>
            </w:r>
          </w:p>
        </w:tc>
      </w:tr>
      <w:tr w:rsidR="0004778D" w:rsidRPr="007E4A43" w14:paraId="483AFCAD" w14:textId="77777777" w:rsidTr="001666FF">
        <w:trPr>
          <w:trHeight w:val="300"/>
        </w:trPr>
        <w:tc>
          <w:tcPr>
            <w:tcW w:w="4740" w:type="dxa"/>
            <w:noWrap/>
            <w:vAlign w:val="bottom"/>
            <w:hideMark/>
          </w:tcPr>
          <w:p w14:paraId="3E5BB0C7" w14:textId="12F0A176"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ELX/TEZ/IVA</w:t>
            </w:r>
          </w:p>
        </w:tc>
        <w:tc>
          <w:tcPr>
            <w:tcW w:w="1900" w:type="dxa"/>
            <w:noWrap/>
            <w:vAlign w:val="bottom"/>
            <w:hideMark/>
          </w:tcPr>
          <w:p w14:paraId="5E99AAD1" w14:textId="06FDAAE5"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1,320</w:t>
            </w:r>
          </w:p>
        </w:tc>
      </w:tr>
      <w:tr w:rsidR="0004778D" w:rsidRPr="007E4A43" w14:paraId="01F358C8" w14:textId="77777777" w:rsidTr="001666FF">
        <w:trPr>
          <w:trHeight w:val="300"/>
        </w:trPr>
        <w:tc>
          <w:tcPr>
            <w:tcW w:w="4740" w:type="dxa"/>
            <w:noWrap/>
            <w:vAlign w:val="bottom"/>
            <w:hideMark/>
          </w:tcPr>
          <w:p w14:paraId="19FC5024" w14:textId="22C6E76D"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ELX/TEZ/IVA</w:t>
            </w:r>
          </w:p>
        </w:tc>
        <w:tc>
          <w:tcPr>
            <w:tcW w:w="1900" w:type="dxa"/>
            <w:noWrap/>
            <w:vAlign w:val="bottom"/>
            <w:hideMark/>
          </w:tcPr>
          <w:p w14:paraId="7F9B4001" w14:textId="490650C2"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830</w:t>
            </w:r>
          </w:p>
        </w:tc>
      </w:tr>
      <w:tr w:rsidR="0004778D" w:rsidRPr="007E4A43" w14:paraId="6CFF6017" w14:textId="77777777" w:rsidTr="001666FF">
        <w:trPr>
          <w:trHeight w:val="300"/>
        </w:trPr>
        <w:tc>
          <w:tcPr>
            <w:tcW w:w="4740" w:type="dxa"/>
            <w:noWrap/>
            <w:vAlign w:val="bottom"/>
            <w:hideMark/>
          </w:tcPr>
          <w:p w14:paraId="6FA1B237" w14:textId="5F4F98E4"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TEZ/IVA &gt; ELX/TEZ/IVA</w:t>
            </w:r>
          </w:p>
        </w:tc>
        <w:tc>
          <w:tcPr>
            <w:tcW w:w="1900" w:type="dxa"/>
            <w:noWrap/>
            <w:vAlign w:val="bottom"/>
            <w:hideMark/>
          </w:tcPr>
          <w:p w14:paraId="293EE5B7" w14:textId="7ADECBDF"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448</w:t>
            </w:r>
          </w:p>
        </w:tc>
      </w:tr>
      <w:tr w:rsidR="0004778D" w:rsidRPr="007E4A43" w14:paraId="3E8F8158" w14:textId="77777777" w:rsidTr="001666FF">
        <w:trPr>
          <w:trHeight w:val="300"/>
        </w:trPr>
        <w:tc>
          <w:tcPr>
            <w:tcW w:w="4740" w:type="dxa"/>
            <w:noWrap/>
            <w:vAlign w:val="bottom"/>
            <w:hideMark/>
          </w:tcPr>
          <w:p w14:paraId="1C163E8E" w14:textId="45E2F148"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TEZ/IVA &gt; ELX/TEZ/IVA</w:t>
            </w:r>
          </w:p>
        </w:tc>
        <w:tc>
          <w:tcPr>
            <w:tcW w:w="1900" w:type="dxa"/>
            <w:noWrap/>
            <w:vAlign w:val="bottom"/>
            <w:hideMark/>
          </w:tcPr>
          <w:p w14:paraId="1C6A8C27" w14:textId="3147FF17"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369</w:t>
            </w:r>
          </w:p>
        </w:tc>
      </w:tr>
      <w:tr w:rsidR="0004778D" w:rsidRPr="007E4A43" w14:paraId="2C319F60" w14:textId="77777777" w:rsidTr="001666FF">
        <w:trPr>
          <w:trHeight w:val="300"/>
        </w:trPr>
        <w:tc>
          <w:tcPr>
            <w:tcW w:w="4740" w:type="dxa"/>
            <w:noWrap/>
            <w:vAlign w:val="bottom"/>
            <w:hideMark/>
          </w:tcPr>
          <w:p w14:paraId="2261EA42" w14:textId="754E801E"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IVACAFTOR &gt; ELX/TEZ/IVA</w:t>
            </w:r>
          </w:p>
        </w:tc>
        <w:tc>
          <w:tcPr>
            <w:tcW w:w="1900" w:type="dxa"/>
            <w:noWrap/>
            <w:vAlign w:val="bottom"/>
            <w:hideMark/>
          </w:tcPr>
          <w:p w14:paraId="21649EED" w14:textId="16DE8BFD"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227</w:t>
            </w:r>
          </w:p>
        </w:tc>
      </w:tr>
      <w:tr w:rsidR="0004778D" w:rsidRPr="007E4A43" w14:paraId="0990AC57" w14:textId="77777777" w:rsidTr="001666FF">
        <w:trPr>
          <w:trHeight w:val="300"/>
        </w:trPr>
        <w:tc>
          <w:tcPr>
            <w:tcW w:w="4740" w:type="dxa"/>
            <w:noWrap/>
            <w:vAlign w:val="bottom"/>
            <w:hideMark/>
          </w:tcPr>
          <w:p w14:paraId="06BBDEF9" w14:textId="768B6F1B"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ELX/TEZ/IVA &gt; IVACAFTOR</w:t>
            </w:r>
          </w:p>
        </w:tc>
        <w:tc>
          <w:tcPr>
            <w:tcW w:w="1900" w:type="dxa"/>
            <w:noWrap/>
            <w:vAlign w:val="bottom"/>
            <w:hideMark/>
          </w:tcPr>
          <w:p w14:paraId="7065B9AA" w14:textId="4EC6F893"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7</w:t>
            </w:r>
          </w:p>
        </w:tc>
      </w:tr>
      <w:tr w:rsidR="0004778D" w:rsidRPr="007E4A43" w14:paraId="71AD350E" w14:textId="77777777" w:rsidTr="001666FF">
        <w:trPr>
          <w:trHeight w:val="300"/>
        </w:trPr>
        <w:tc>
          <w:tcPr>
            <w:tcW w:w="4740" w:type="dxa"/>
            <w:noWrap/>
            <w:vAlign w:val="bottom"/>
          </w:tcPr>
          <w:p w14:paraId="659BADC0" w14:textId="423B0C33"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OTHER</w:t>
            </w:r>
          </w:p>
        </w:tc>
        <w:tc>
          <w:tcPr>
            <w:tcW w:w="1900" w:type="dxa"/>
            <w:noWrap/>
            <w:vAlign w:val="bottom"/>
          </w:tcPr>
          <w:p w14:paraId="20658508" w14:textId="6E4FD079"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8</w:t>
            </w:r>
          </w:p>
        </w:tc>
      </w:tr>
    </w:tbl>
    <w:p w14:paraId="077BA718" w14:textId="77777777" w:rsidR="001666FF" w:rsidRPr="007E4A43" w:rsidRDefault="001666FF" w:rsidP="00A35800"/>
    <w:p w14:paraId="50DEEF0F" w14:textId="6CFDE060" w:rsidR="00DA0BA5" w:rsidRPr="007E4A43" w:rsidRDefault="00DA0BA5" w:rsidP="00A35800">
      <w:r w:rsidRPr="007E4A43">
        <w:fldChar w:fldCharType="begin"/>
      </w:r>
      <w:r w:rsidRPr="007E4A43">
        <w:instrText xml:space="preserve"> REF _Ref204859018 \h </w:instrText>
      </w:r>
      <w:r w:rsidR="007E4A43">
        <w:instrText xml:space="preserve"> \* MERGEFORMAT </w:instrText>
      </w:r>
      <w:r w:rsidRPr="007E4A43">
        <w:fldChar w:fldCharType="separate"/>
      </w:r>
      <w:r w:rsidR="0063622F" w:rsidRPr="007E4A43">
        <w:t xml:space="preserve">Table </w:t>
      </w:r>
      <w:r w:rsidR="0063622F">
        <w:rPr>
          <w:noProof/>
        </w:rPr>
        <w:t>8</w:t>
      </w:r>
      <w:r w:rsidRPr="007E4A43">
        <w:fldChar w:fldCharType="end"/>
      </w:r>
      <w:r w:rsidRPr="007E4A43">
        <w:t xml:space="preserve"> shows the CFTR medicine sequence for patients who were supplied ELX/TEZ/IVA, excluding switchbacks to previous medicines. </w:t>
      </w:r>
      <w:r w:rsidRPr="007E4A43">
        <w:fldChar w:fldCharType="begin"/>
      </w:r>
      <w:r w:rsidRPr="007E4A43">
        <w:instrText xml:space="preserve"> REF _Ref204859028 \h </w:instrText>
      </w:r>
      <w:r w:rsidR="007E4A43">
        <w:instrText xml:space="preserve"> \* MERGEFORMAT </w:instrText>
      </w:r>
      <w:r w:rsidRPr="007E4A43">
        <w:fldChar w:fldCharType="separate"/>
      </w:r>
      <w:r w:rsidR="0063622F" w:rsidRPr="007E4A43">
        <w:t xml:space="preserve">Table </w:t>
      </w:r>
      <w:r w:rsidR="0063622F">
        <w:rPr>
          <w:noProof/>
        </w:rPr>
        <w:t>9</w:t>
      </w:r>
      <w:r w:rsidRPr="007E4A43">
        <w:fldChar w:fldCharType="end"/>
      </w:r>
      <w:r w:rsidRPr="007E4A43">
        <w:t xml:space="preserve"> shows the CFTR medicine sequence for patients who were supplied ELX/TEZ/IVA, including switchbacks to previous medicines. Of the patients who were supplied ELX/TEZ/IVA, 41% (1,320/3209) were only supplied ELX/TEZ/IVA. </w:t>
      </w:r>
    </w:p>
    <w:p w14:paraId="20CB3244" w14:textId="22693E0A" w:rsidR="001666FF" w:rsidRPr="007E4A43" w:rsidRDefault="00B52EFC" w:rsidP="00B52EFC">
      <w:pPr>
        <w:pStyle w:val="Tabletitle"/>
      </w:pPr>
      <w:bookmarkStart w:id="5" w:name="_Ref204859028"/>
      <w:r w:rsidRPr="007E4A43">
        <w:t xml:space="preserve">Table </w:t>
      </w:r>
      <w:r w:rsidRPr="007E4A43">
        <w:fldChar w:fldCharType="begin"/>
      </w:r>
      <w:r w:rsidRPr="007E4A43">
        <w:instrText xml:space="preserve"> SEQ Table \* ARABIC </w:instrText>
      </w:r>
      <w:r w:rsidRPr="007E4A43">
        <w:fldChar w:fldCharType="separate"/>
      </w:r>
      <w:r w:rsidR="0063622F">
        <w:rPr>
          <w:noProof/>
        </w:rPr>
        <w:t>9</w:t>
      </w:r>
      <w:r w:rsidRPr="007E4A43">
        <w:fldChar w:fldCharType="end"/>
      </w:r>
      <w:bookmarkEnd w:id="5"/>
      <w:r w:rsidR="00FD5C80" w:rsidRPr="007E4A43">
        <w:t xml:space="preserve">: </w:t>
      </w:r>
      <w:r w:rsidR="00F20EBF" w:rsidRPr="007E4A43">
        <w:t>M</w:t>
      </w:r>
      <w:r w:rsidR="00FD5C80" w:rsidRPr="007E4A43">
        <w:t xml:space="preserve">edicine sequence for ELX/TEZ/IVA patients </w:t>
      </w:r>
      <w:r w:rsidR="00F20EBF" w:rsidRPr="007E4A43">
        <w:t>including</w:t>
      </w:r>
      <w:r w:rsidR="00FD5C80" w:rsidRPr="007E4A43">
        <w:t xml:space="preserve"> switchbacks</w:t>
      </w:r>
    </w:p>
    <w:tbl>
      <w:tblPr>
        <w:tblW w:w="8813" w:type="dxa"/>
        <w:tblInd w:w="113" w:type="dxa"/>
        <w:tblLook w:val="04A0" w:firstRow="1" w:lastRow="0" w:firstColumn="1" w:lastColumn="0" w:noHBand="0" w:noVBand="1"/>
      </w:tblPr>
      <w:tblGrid>
        <w:gridCol w:w="6828"/>
        <w:gridCol w:w="1985"/>
      </w:tblGrid>
      <w:tr w:rsidR="0004778D" w:rsidRPr="007E4A43" w14:paraId="4E952047" w14:textId="77777777" w:rsidTr="00FB12B6">
        <w:trPr>
          <w:trHeight w:val="300"/>
          <w:tblHeader/>
        </w:trPr>
        <w:tc>
          <w:tcPr>
            <w:tcW w:w="6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87AAB92" w14:textId="417F6D60" w:rsidR="0004778D" w:rsidRPr="007E4A43" w:rsidRDefault="0004778D" w:rsidP="0004778D">
            <w:pPr>
              <w:spacing w:after="0"/>
              <w:rPr>
                <w:rFonts w:ascii="Calibri" w:eastAsia="Times New Roman" w:hAnsi="Calibri" w:cs="Calibri"/>
                <w:b/>
                <w:bCs/>
                <w:color w:val="000000"/>
                <w:sz w:val="20"/>
                <w:szCs w:val="20"/>
              </w:rPr>
            </w:pPr>
            <w:r w:rsidRPr="007E4A43">
              <w:rPr>
                <w:rFonts w:ascii="Calibri" w:hAnsi="Calibri" w:cs="Calibri"/>
                <w:b/>
                <w:bCs/>
                <w:color w:val="000000"/>
                <w:sz w:val="20"/>
                <w:szCs w:val="20"/>
              </w:rPr>
              <w:t>Sequence</w:t>
            </w:r>
          </w:p>
        </w:tc>
        <w:tc>
          <w:tcPr>
            <w:tcW w:w="198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514EB56" w14:textId="51F944F9" w:rsidR="0004778D" w:rsidRPr="007E4A43" w:rsidRDefault="0004778D" w:rsidP="0004778D">
            <w:pPr>
              <w:spacing w:after="0"/>
              <w:rPr>
                <w:rFonts w:ascii="Calibri" w:eastAsia="Times New Roman" w:hAnsi="Calibri" w:cs="Calibri"/>
                <w:b/>
                <w:bCs/>
                <w:color w:val="000000"/>
                <w:sz w:val="20"/>
                <w:szCs w:val="20"/>
              </w:rPr>
            </w:pPr>
            <w:r w:rsidRPr="007E4A43">
              <w:rPr>
                <w:rFonts w:ascii="Calibri" w:hAnsi="Calibri" w:cs="Calibri"/>
                <w:b/>
                <w:bCs/>
                <w:color w:val="000000"/>
                <w:sz w:val="20"/>
                <w:szCs w:val="20"/>
              </w:rPr>
              <w:t>Patient count</w:t>
            </w:r>
          </w:p>
        </w:tc>
      </w:tr>
      <w:tr w:rsidR="0004778D" w:rsidRPr="007E4A43" w14:paraId="3707BB5E"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4A041C0F" w14:textId="0D72470E"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ELX/TEZ/IVA</w:t>
            </w:r>
          </w:p>
        </w:tc>
        <w:tc>
          <w:tcPr>
            <w:tcW w:w="1985" w:type="dxa"/>
            <w:tcBorders>
              <w:top w:val="nil"/>
              <w:left w:val="nil"/>
              <w:bottom w:val="single" w:sz="4" w:space="0" w:color="auto"/>
              <w:right w:val="single" w:sz="4" w:space="0" w:color="auto"/>
            </w:tcBorders>
            <w:noWrap/>
            <w:vAlign w:val="bottom"/>
            <w:hideMark/>
          </w:tcPr>
          <w:p w14:paraId="1AB5443E" w14:textId="4B85DC16"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1,320</w:t>
            </w:r>
          </w:p>
        </w:tc>
      </w:tr>
      <w:tr w:rsidR="0004778D" w:rsidRPr="007E4A43" w14:paraId="3EA6DEF2"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3EABCB82" w14:textId="0DC5A8C1"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ELX/TEZ/IVA</w:t>
            </w:r>
          </w:p>
        </w:tc>
        <w:tc>
          <w:tcPr>
            <w:tcW w:w="1985" w:type="dxa"/>
            <w:tcBorders>
              <w:top w:val="nil"/>
              <w:left w:val="nil"/>
              <w:bottom w:val="single" w:sz="4" w:space="0" w:color="auto"/>
              <w:right w:val="single" w:sz="4" w:space="0" w:color="auto"/>
            </w:tcBorders>
            <w:noWrap/>
            <w:vAlign w:val="bottom"/>
            <w:hideMark/>
          </w:tcPr>
          <w:p w14:paraId="5FAB0335" w14:textId="39F8B5D7"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783</w:t>
            </w:r>
          </w:p>
        </w:tc>
      </w:tr>
      <w:tr w:rsidR="0004778D" w:rsidRPr="007E4A43" w14:paraId="5F553D8D"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22C3C9D3" w14:textId="5911532B"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TEZ/IVA &gt; ELX/TEZ/IVA</w:t>
            </w:r>
          </w:p>
        </w:tc>
        <w:tc>
          <w:tcPr>
            <w:tcW w:w="1985" w:type="dxa"/>
            <w:tcBorders>
              <w:top w:val="nil"/>
              <w:left w:val="nil"/>
              <w:bottom w:val="single" w:sz="4" w:space="0" w:color="auto"/>
              <w:right w:val="single" w:sz="4" w:space="0" w:color="auto"/>
            </w:tcBorders>
            <w:noWrap/>
            <w:vAlign w:val="bottom"/>
            <w:hideMark/>
          </w:tcPr>
          <w:p w14:paraId="4C226A4F" w14:textId="78067DCA"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408</w:t>
            </w:r>
          </w:p>
        </w:tc>
      </w:tr>
      <w:tr w:rsidR="0004778D" w:rsidRPr="007E4A43" w14:paraId="46E3161A"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642736CB" w14:textId="2F720E23"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TEZ/IVA &gt; ELX/TEZ/IVA</w:t>
            </w:r>
          </w:p>
        </w:tc>
        <w:tc>
          <w:tcPr>
            <w:tcW w:w="1985" w:type="dxa"/>
            <w:tcBorders>
              <w:top w:val="nil"/>
              <w:left w:val="nil"/>
              <w:bottom w:val="single" w:sz="4" w:space="0" w:color="auto"/>
              <w:right w:val="single" w:sz="4" w:space="0" w:color="auto"/>
            </w:tcBorders>
            <w:noWrap/>
            <w:vAlign w:val="bottom"/>
            <w:hideMark/>
          </w:tcPr>
          <w:p w14:paraId="4F6DEB27" w14:textId="07756BC5"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355</w:t>
            </w:r>
          </w:p>
        </w:tc>
      </w:tr>
      <w:tr w:rsidR="0004778D" w:rsidRPr="007E4A43" w14:paraId="1AD16E6E"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10D3C29C" w14:textId="1E8C89DA"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IVACAFTOR &gt; ELX/TEZ/IVA</w:t>
            </w:r>
          </w:p>
        </w:tc>
        <w:tc>
          <w:tcPr>
            <w:tcW w:w="1985" w:type="dxa"/>
            <w:tcBorders>
              <w:top w:val="nil"/>
              <w:left w:val="nil"/>
              <w:bottom w:val="single" w:sz="4" w:space="0" w:color="auto"/>
              <w:right w:val="single" w:sz="4" w:space="0" w:color="auto"/>
            </w:tcBorders>
            <w:noWrap/>
            <w:vAlign w:val="bottom"/>
            <w:hideMark/>
          </w:tcPr>
          <w:p w14:paraId="26DD8203" w14:textId="2BF564F1"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207</w:t>
            </w:r>
          </w:p>
        </w:tc>
      </w:tr>
      <w:tr w:rsidR="0004778D" w:rsidRPr="007E4A43" w14:paraId="355E5C18"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6F86346B" w14:textId="08320DFB"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ELX/TEZ/IVA &gt; LUM/IVA &gt; ELX/TEZ/IVA</w:t>
            </w:r>
          </w:p>
        </w:tc>
        <w:tc>
          <w:tcPr>
            <w:tcW w:w="1985" w:type="dxa"/>
            <w:tcBorders>
              <w:top w:val="nil"/>
              <w:left w:val="nil"/>
              <w:bottom w:val="single" w:sz="4" w:space="0" w:color="auto"/>
              <w:right w:val="single" w:sz="4" w:space="0" w:color="auto"/>
            </w:tcBorders>
            <w:noWrap/>
            <w:vAlign w:val="bottom"/>
            <w:hideMark/>
          </w:tcPr>
          <w:p w14:paraId="0A95F17F" w14:textId="0C62FF3A"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28</w:t>
            </w:r>
          </w:p>
        </w:tc>
      </w:tr>
      <w:tr w:rsidR="0004778D" w:rsidRPr="007E4A43" w14:paraId="18A7C377"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7FFFDF14" w14:textId="32B74035"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TEZ/IVA &gt; LUM/IVA &gt; ELX/TEZ/IVA</w:t>
            </w:r>
          </w:p>
        </w:tc>
        <w:tc>
          <w:tcPr>
            <w:tcW w:w="1985" w:type="dxa"/>
            <w:tcBorders>
              <w:top w:val="nil"/>
              <w:left w:val="nil"/>
              <w:bottom w:val="single" w:sz="4" w:space="0" w:color="auto"/>
              <w:right w:val="single" w:sz="4" w:space="0" w:color="auto"/>
            </w:tcBorders>
            <w:noWrap/>
            <w:vAlign w:val="bottom"/>
            <w:hideMark/>
          </w:tcPr>
          <w:p w14:paraId="161E04B8" w14:textId="60D94C4F"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16</w:t>
            </w:r>
          </w:p>
        </w:tc>
      </w:tr>
      <w:tr w:rsidR="0004778D" w:rsidRPr="007E4A43" w14:paraId="56F82803"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77025DAE" w14:textId="48E69C52"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ELX/TEZ/IVA &gt; LUM/IVA</w:t>
            </w:r>
          </w:p>
        </w:tc>
        <w:tc>
          <w:tcPr>
            <w:tcW w:w="1985" w:type="dxa"/>
            <w:tcBorders>
              <w:top w:val="nil"/>
              <w:left w:val="nil"/>
              <w:bottom w:val="single" w:sz="4" w:space="0" w:color="auto"/>
              <w:right w:val="single" w:sz="4" w:space="0" w:color="auto"/>
            </w:tcBorders>
            <w:noWrap/>
            <w:vAlign w:val="bottom"/>
            <w:hideMark/>
          </w:tcPr>
          <w:p w14:paraId="30D0D7EB" w14:textId="131C497D"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16</w:t>
            </w:r>
          </w:p>
        </w:tc>
      </w:tr>
      <w:tr w:rsidR="0004778D" w:rsidRPr="007E4A43" w14:paraId="2B60BD4D"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0923EC89" w14:textId="7A081D22"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IVACAFTOR &gt; ELX/TEZ/IVA &gt; IVACAFTOR</w:t>
            </w:r>
          </w:p>
        </w:tc>
        <w:tc>
          <w:tcPr>
            <w:tcW w:w="1985" w:type="dxa"/>
            <w:tcBorders>
              <w:top w:val="nil"/>
              <w:left w:val="nil"/>
              <w:bottom w:val="single" w:sz="4" w:space="0" w:color="auto"/>
              <w:right w:val="single" w:sz="4" w:space="0" w:color="auto"/>
            </w:tcBorders>
            <w:noWrap/>
            <w:vAlign w:val="bottom"/>
            <w:hideMark/>
          </w:tcPr>
          <w:p w14:paraId="4235F765" w14:textId="10FB571D"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10</w:t>
            </w:r>
          </w:p>
        </w:tc>
      </w:tr>
      <w:tr w:rsidR="0004778D" w:rsidRPr="007E4A43" w14:paraId="617F30DE"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394B041F" w14:textId="4487DC0C"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TEZ/IVA &gt; ELX/TEZ/IVA &gt; TEZ/IVA &gt; ELX/TEZ/IVA</w:t>
            </w:r>
          </w:p>
        </w:tc>
        <w:tc>
          <w:tcPr>
            <w:tcW w:w="1985" w:type="dxa"/>
            <w:tcBorders>
              <w:top w:val="nil"/>
              <w:left w:val="nil"/>
              <w:bottom w:val="single" w:sz="4" w:space="0" w:color="auto"/>
              <w:right w:val="single" w:sz="4" w:space="0" w:color="auto"/>
            </w:tcBorders>
            <w:noWrap/>
            <w:vAlign w:val="bottom"/>
            <w:hideMark/>
          </w:tcPr>
          <w:p w14:paraId="0DE9E83D" w14:textId="5D3F1365"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8</w:t>
            </w:r>
          </w:p>
        </w:tc>
      </w:tr>
      <w:tr w:rsidR="0004778D" w:rsidRPr="007E4A43" w14:paraId="3C49406C"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6782A424" w14:textId="1248F2AC"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LUM/IVA &gt; TEZ/IVA &gt; LUM/IVA &gt; TEZ/IVA &gt; ELX/TEZ/IVA</w:t>
            </w:r>
          </w:p>
        </w:tc>
        <w:tc>
          <w:tcPr>
            <w:tcW w:w="1985" w:type="dxa"/>
            <w:tcBorders>
              <w:top w:val="nil"/>
              <w:left w:val="nil"/>
              <w:bottom w:val="single" w:sz="4" w:space="0" w:color="auto"/>
              <w:right w:val="single" w:sz="4" w:space="0" w:color="auto"/>
            </w:tcBorders>
            <w:noWrap/>
            <w:vAlign w:val="bottom"/>
            <w:hideMark/>
          </w:tcPr>
          <w:p w14:paraId="19DFDDB6" w14:textId="7533A1F4"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7</w:t>
            </w:r>
          </w:p>
        </w:tc>
      </w:tr>
      <w:tr w:rsidR="0004778D" w:rsidRPr="007E4A43" w14:paraId="634532B0"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613936A4" w14:textId="1A0EC7FB"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TEZ/IVA &gt; ELX/TEZ/IVA &gt; TEZ/IVA</w:t>
            </w:r>
          </w:p>
        </w:tc>
        <w:tc>
          <w:tcPr>
            <w:tcW w:w="1985" w:type="dxa"/>
            <w:tcBorders>
              <w:top w:val="nil"/>
              <w:left w:val="nil"/>
              <w:bottom w:val="single" w:sz="4" w:space="0" w:color="auto"/>
              <w:right w:val="single" w:sz="4" w:space="0" w:color="auto"/>
            </w:tcBorders>
            <w:noWrap/>
            <w:vAlign w:val="bottom"/>
            <w:hideMark/>
          </w:tcPr>
          <w:p w14:paraId="6AF20F63" w14:textId="4BF212A5"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7</w:t>
            </w:r>
          </w:p>
        </w:tc>
      </w:tr>
      <w:tr w:rsidR="0004778D" w:rsidRPr="007E4A43" w14:paraId="4AFAAEA6"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70B66F2A" w14:textId="50E0C021"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IVACAFTOR &gt; ELX/TEZ/IVA &gt; IVACAFTOR &gt; ELX/TEZ/IVA</w:t>
            </w:r>
          </w:p>
        </w:tc>
        <w:tc>
          <w:tcPr>
            <w:tcW w:w="1985" w:type="dxa"/>
            <w:tcBorders>
              <w:top w:val="nil"/>
              <w:left w:val="nil"/>
              <w:bottom w:val="single" w:sz="4" w:space="0" w:color="auto"/>
              <w:right w:val="single" w:sz="4" w:space="0" w:color="auto"/>
            </w:tcBorders>
            <w:noWrap/>
            <w:vAlign w:val="bottom"/>
            <w:hideMark/>
          </w:tcPr>
          <w:p w14:paraId="21D3874F" w14:textId="46910C6F"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6</w:t>
            </w:r>
          </w:p>
        </w:tc>
      </w:tr>
      <w:tr w:rsidR="0004778D" w:rsidRPr="007E4A43" w14:paraId="030ED26C"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0E0B050D" w14:textId="4554876C"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ELX/TEZ/IVA &gt; IVACAFTOR</w:t>
            </w:r>
          </w:p>
        </w:tc>
        <w:tc>
          <w:tcPr>
            <w:tcW w:w="1985" w:type="dxa"/>
            <w:tcBorders>
              <w:top w:val="nil"/>
              <w:left w:val="nil"/>
              <w:bottom w:val="single" w:sz="4" w:space="0" w:color="auto"/>
              <w:right w:val="single" w:sz="4" w:space="0" w:color="auto"/>
            </w:tcBorders>
            <w:noWrap/>
            <w:vAlign w:val="bottom"/>
            <w:hideMark/>
          </w:tcPr>
          <w:p w14:paraId="57CD8908" w14:textId="55FD776D"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6</w:t>
            </w:r>
          </w:p>
        </w:tc>
      </w:tr>
      <w:tr w:rsidR="0004778D" w:rsidRPr="007E4A43" w14:paraId="6B707528"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6AAB3CE4" w14:textId="362D8C44"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TEZ/IVA &gt; ELX/TEZ/IVA &gt; TEZ/IVA &gt; ELX/TEZ/IVA</w:t>
            </w:r>
          </w:p>
        </w:tc>
        <w:tc>
          <w:tcPr>
            <w:tcW w:w="1985" w:type="dxa"/>
            <w:tcBorders>
              <w:top w:val="nil"/>
              <w:left w:val="nil"/>
              <w:bottom w:val="single" w:sz="4" w:space="0" w:color="auto"/>
              <w:right w:val="single" w:sz="4" w:space="0" w:color="auto"/>
            </w:tcBorders>
            <w:noWrap/>
            <w:vAlign w:val="bottom"/>
            <w:hideMark/>
          </w:tcPr>
          <w:p w14:paraId="464BF7DB" w14:textId="7D4626B7"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6</w:t>
            </w:r>
          </w:p>
        </w:tc>
      </w:tr>
      <w:tr w:rsidR="0004778D" w:rsidRPr="007E4A43" w14:paraId="772D8368" w14:textId="77777777" w:rsidTr="00706C2C">
        <w:trPr>
          <w:trHeight w:val="300"/>
        </w:trPr>
        <w:tc>
          <w:tcPr>
            <w:tcW w:w="6828" w:type="dxa"/>
            <w:tcBorders>
              <w:top w:val="nil"/>
              <w:left w:val="single" w:sz="4" w:space="0" w:color="auto"/>
              <w:bottom w:val="single" w:sz="4" w:space="0" w:color="auto"/>
              <w:right w:val="single" w:sz="4" w:space="0" w:color="auto"/>
            </w:tcBorders>
            <w:noWrap/>
            <w:vAlign w:val="bottom"/>
            <w:hideMark/>
          </w:tcPr>
          <w:p w14:paraId="544B6F40" w14:textId="77F1E979" w:rsidR="0004778D" w:rsidRPr="007E4A43" w:rsidRDefault="0004778D" w:rsidP="0004778D">
            <w:pPr>
              <w:spacing w:after="0"/>
              <w:rPr>
                <w:rFonts w:ascii="Calibri" w:eastAsia="Times New Roman" w:hAnsi="Calibri" w:cs="Calibri"/>
                <w:color w:val="000000"/>
                <w:sz w:val="20"/>
                <w:szCs w:val="20"/>
              </w:rPr>
            </w:pPr>
            <w:r w:rsidRPr="007E4A43">
              <w:rPr>
                <w:rFonts w:ascii="Calibri" w:hAnsi="Calibri" w:cs="Calibri"/>
                <w:color w:val="000000"/>
                <w:sz w:val="20"/>
                <w:szCs w:val="20"/>
              </w:rPr>
              <w:t>OTHER</w:t>
            </w:r>
          </w:p>
        </w:tc>
        <w:tc>
          <w:tcPr>
            <w:tcW w:w="1985" w:type="dxa"/>
            <w:tcBorders>
              <w:top w:val="nil"/>
              <w:left w:val="nil"/>
              <w:bottom w:val="single" w:sz="4" w:space="0" w:color="auto"/>
              <w:right w:val="single" w:sz="4" w:space="0" w:color="auto"/>
            </w:tcBorders>
            <w:noWrap/>
            <w:vAlign w:val="bottom"/>
            <w:hideMark/>
          </w:tcPr>
          <w:p w14:paraId="6CF7BD7E" w14:textId="32ED0FDA" w:rsidR="0004778D" w:rsidRPr="007E4A43" w:rsidRDefault="0004778D" w:rsidP="0004778D">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26</w:t>
            </w:r>
          </w:p>
        </w:tc>
      </w:tr>
    </w:tbl>
    <w:p w14:paraId="44054FC9" w14:textId="77777777" w:rsidR="00FD5C80" w:rsidRPr="007E4A43" w:rsidRDefault="00FD5C80" w:rsidP="00A35800"/>
    <w:p w14:paraId="1F76C454" w14:textId="787FB288" w:rsidR="00FD5C80" w:rsidRPr="007E4A43" w:rsidRDefault="00CF3782" w:rsidP="00FA0B4A">
      <w:pPr>
        <w:pStyle w:val="Heading3"/>
        <w:keepNext/>
      </w:pPr>
      <w:r w:rsidRPr="007E4A43">
        <w:lastRenderedPageBreak/>
        <w:t>Patients not supplied ELX/TEZ/IVA</w:t>
      </w:r>
    </w:p>
    <w:p w14:paraId="34C689B8" w14:textId="0E131242" w:rsidR="007363F8" w:rsidRPr="007E4A43" w:rsidRDefault="00353E3A" w:rsidP="00A35800">
      <w:r w:rsidRPr="007E4A43">
        <w:t xml:space="preserve">Of the </w:t>
      </w:r>
      <w:r w:rsidR="00D91B3D" w:rsidRPr="007E4A43">
        <w:t xml:space="preserve">271 </w:t>
      </w:r>
      <w:r w:rsidRPr="007E4A43">
        <w:t xml:space="preserve">patients who were never supplied ELX/TEZ/IVA, </w:t>
      </w:r>
      <w:r w:rsidR="00D91B3D" w:rsidRPr="007E4A43">
        <w:t>188</w:t>
      </w:r>
      <w:r w:rsidR="00C6729E" w:rsidRPr="007E4A43">
        <w:t xml:space="preserve"> were supplied another CFTR between </w:t>
      </w:r>
      <w:r w:rsidRPr="007E4A43">
        <w:t xml:space="preserve">1 </w:t>
      </w:r>
      <w:r w:rsidR="00D91B3D" w:rsidRPr="007E4A43">
        <w:t>July 2024</w:t>
      </w:r>
      <w:r w:rsidRPr="007E4A43">
        <w:t xml:space="preserve"> and </w:t>
      </w:r>
      <w:r w:rsidR="00D91B3D" w:rsidRPr="007E4A43">
        <w:t>30 June 2025</w:t>
      </w:r>
      <w:r w:rsidRPr="007E4A43">
        <w:t xml:space="preserve"> </w:t>
      </w:r>
      <w:r w:rsidR="00C6729E" w:rsidRPr="007E4A43">
        <w:t>inclusive.</w:t>
      </w:r>
      <w:r w:rsidR="00F42A58" w:rsidRPr="007E4A43">
        <w:t xml:space="preserve"> </w:t>
      </w:r>
      <w:r w:rsidR="00F42A58" w:rsidRPr="007E4A43">
        <w:fldChar w:fldCharType="begin"/>
      </w:r>
      <w:r w:rsidR="00F42A58" w:rsidRPr="007E4A43">
        <w:instrText xml:space="preserve"> REF _Ref204003435 \h </w:instrText>
      </w:r>
      <w:r w:rsidR="007E4A43">
        <w:instrText xml:space="preserve"> \* MERGEFORMAT </w:instrText>
      </w:r>
      <w:r w:rsidR="00F42A58" w:rsidRPr="007E4A43">
        <w:fldChar w:fldCharType="separate"/>
      </w:r>
      <w:r w:rsidR="0063622F" w:rsidRPr="007E4A43">
        <w:t xml:space="preserve">Figure </w:t>
      </w:r>
      <w:r w:rsidR="0063622F">
        <w:rPr>
          <w:noProof/>
        </w:rPr>
        <w:t>6</w:t>
      </w:r>
      <w:r w:rsidR="00F42A58" w:rsidRPr="007E4A43">
        <w:fldChar w:fldCharType="end"/>
      </w:r>
      <w:r w:rsidR="00C6729E" w:rsidRPr="007E4A43">
        <w:t xml:space="preserve"> below shows the age and gender breakdown for these patients</w:t>
      </w:r>
      <w:r w:rsidR="003E4DD5" w:rsidRPr="007E4A43">
        <w:t xml:space="preserve"> using the patient’s age at the first supplied prescription during this </w:t>
      </w:r>
      <w:r w:rsidR="00385817" w:rsidRPr="007E4A43">
        <w:t>12 month period</w:t>
      </w:r>
      <w:r w:rsidR="00C6729E" w:rsidRPr="007E4A43">
        <w:t>.</w:t>
      </w:r>
      <w:r w:rsidR="00502389" w:rsidRPr="007E4A43">
        <w:t xml:space="preserve"> </w:t>
      </w:r>
      <w:r w:rsidR="003E4DD5" w:rsidRPr="007E4A43">
        <w:t xml:space="preserve">Of these patients, </w:t>
      </w:r>
      <w:r w:rsidR="001722D9" w:rsidRPr="007E4A43">
        <w:t>20% (38</w:t>
      </w:r>
      <w:r w:rsidR="003E4DD5" w:rsidRPr="007E4A43">
        <w:t xml:space="preserve">) were younger than </w:t>
      </w:r>
      <w:r w:rsidR="001722D9" w:rsidRPr="007E4A43">
        <w:t>2</w:t>
      </w:r>
      <w:r w:rsidR="001948E8" w:rsidRPr="007E4A43">
        <w:t>.</w:t>
      </w:r>
      <w:r w:rsidR="003479D1" w:rsidRPr="007E4A43">
        <w:t xml:space="preserve"> </w:t>
      </w:r>
      <w:r w:rsidR="000C2DEB" w:rsidRPr="007E4A43">
        <w:t xml:space="preserve">The mean age of these patients was </w:t>
      </w:r>
      <w:r w:rsidR="00793CDF" w:rsidRPr="007E4A43">
        <w:t>25.3</w:t>
      </w:r>
      <w:r w:rsidR="000C2DEB" w:rsidRPr="007E4A43">
        <w:t xml:space="preserve"> and the median age was </w:t>
      </w:r>
      <w:r w:rsidR="00793CDF" w:rsidRPr="007E4A43">
        <w:t>24</w:t>
      </w:r>
      <w:r w:rsidR="000C2DEB" w:rsidRPr="007E4A43">
        <w:t xml:space="preserve"> years old.</w:t>
      </w:r>
      <w:r w:rsidR="00650D1E" w:rsidRPr="007E4A43">
        <w:t xml:space="preserve"> As the </w:t>
      </w:r>
      <w:r w:rsidR="000206B1" w:rsidRPr="007E4A43">
        <w:t>PBS r</w:t>
      </w:r>
      <w:r w:rsidR="00650D1E" w:rsidRPr="007E4A43">
        <w:t xml:space="preserve">estriction </w:t>
      </w:r>
      <w:r w:rsidR="000206B1" w:rsidRPr="007E4A43">
        <w:t xml:space="preserve">for ELX/TEZ/IVA was </w:t>
      </w:r>
      <w:r w:rsidR="00650D1E" w:rsidRPr="007E4A43">
        <w:t>extended to patients who have at least one mutation in the CFTR gene that is responsive to ELX/TEZ/IVA based on clinical and/or in vitro assay data</w:t>
      </w:r>
      <w:r w:rsidR="000206B1" w:rsidRPr="007E4A43">
        <w:t xml:space="preserve"> on 1 July 2025, the number of older patients supplied CFTRs other than ELX/TEZ/IVA may decrease in the future.</w:t>
      </w:r>
    </w:p>
    <w:p w14:paraId="32551EB7" w14:textId="72862344" w:rsidR="007363F8" w:rsidRPr="007E4A43" w:rsidRDefault="001722D9" w:rsidP="00A35800">
      <w:r w:rsidRPr="007E4A43">
        <w:rPr>
          <w:noProof/>
        </w:rPr>
        <w:drawing>
          <wp:inline distT="0" distB="0" distL="0" distR="0" wp14:anchorId="1F03E8CF" wp14:editId="22A91805">
            <wp:extent cx="5518205" cy="3093057"/>
            <wp:effectExtent l="0" t="0" r="6350" b="12700"/>
            <wp:docPr id="851287040" name="Chart 1" descr="Age and gender of patients not supplied ELX/TEZ/IVA July 2024 to June 2025 was fairly evenly split between the age groups shown. The age groups shown are patients aged 0 to 1, 2 to 11, 12 to 21, 22 to 31, 32 to 41, 42 to 51 and 52 years and older.">
              <a:extLst xmlns:a="http://schemas.openxmlformats.org/drawingml/2006/main">
                <a:ext uri="{FF2B5EF4-FFF2-40B4-BE49-F238E27FC236}">
                  <a16:creationId xmlns:a16="http://schemas.microsoft.com/office/drawing/2014/main" id="{6EC16503-0385-24A5-A26B-B5591A06D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E9983C" w14:textId="2624BC8F" w:rsidR="00E25722" w:rsidRPr="007E4A43" w:rsidRDefault="00B52EFC" w:rsidP="00B52EFC">
      <w:pPr>
        <w:pStyle w:val="Figuretitle"/>
      </w:pPr>
      <w:bookmarkStart w:id="6" w:name="_Ref204003435"/>
      <w:r w:rsidRPr="007E4A43">
        <w:t xml:space="preserve">Figure </w:t>
      </w:r>
      <w:r w:rsidRPr="007E4A43">
        <w:fldChar w:fldCharType="begin"/>
      </w:r>
      <w:r w:rsidRPr="007E4A43">
        <w:instrText xml:space="preserve"> SEQ Figure \* ARABIC </w:instrText>
      </w:r>
      <w:r w:rsidRPr="007E4A43">
        <w:fldChar w:fldCharType="separate"/>
      </w:r>
      <w:r w:rsidR="0063622F">
        <w:rPr>
          <w:noProof/>
        </w:rPr>
        <w:t>6</w:t>
      </w:r>
      <w:r w:rsidRPr="007E4A43">
        <w:fldChar w:fldCharType="end"/>
      </w:r>
      <w:bookmarkEnd w:id="6"/>
      <w:r w:rsidR="00E25722" w:rsidRPr="007E4A43">
        <w:t xml:space="preserve">: Age and gender of patients not supplied ELX/TEZ/IVA </w:t>
      </w:r>
      <w:r w:rsidR="001722D9" w:rsidRPr="007E4A43">
        <w:t>July 2024</w:t>
      </w:r>
      <w:r w:rsidR="00E25722" w:rsidRPr="007E4A43">
        <w:t xml:space="preserve"> to </w:t>
      </w:r>
      <w:r w:rsidR="001722D9" w:rsidRPr="007E4A43">
        <w:t>June 2025</w:t>
      </w:r>
    </w:p>
    <w:p w14:paraId="14E482CA" w14:textId="77777777" w:rsidR="00B5782F" w:rsidRPr="007E4A43" w:rsidRDefault="00B5782F" w:rsidP="00A35800"/>
    <w:p w14:paraId="32D29F7D" w14:textId="48D108F3" w:rsidR="00DF7478" w:rsidRPr="007E4A43" w:rsidRDefault="00DF7478" w:rsidP="00DF7478">
      <w:r w:rsidRPr="007E4A43">
        <w:t xml:space="preserve">Of the 188 patients who were supplied a CFTR </w:t>
      </w:r>
      <w:r w:rsidR="0043417E" w:rsidRPr="007E4A43">
        <w:t xml:space="preserve">other than ELX/TEZ/IVA </w:t>
      </w:r>
      <w:r w:rsidRPr="007E4A43">
        <w:t>between 1 July 2024 and 30 June 2025, all 188 patients were only supplied one drug. The mean number of supplies in this 12 month period was 8.2, and the median was 9. Approximately 35% of these patients were supplied a CFTR for the first time during this time period</w:t>
      </w:r>
      <w:r w:rsidR="006903DF" w:rsidRPr="007E4A43">
        <w:t xml:space="preserve"> (</w:t>
      </w:r>
      <w:r w:rsidR="006903DF" w:rsidRPr="007E4A43">
        <w:fldChar w:fldCharType="begin"/>
      </w:r>
      <w:r w:rsidR="006903DF" w:rsidRPr="007E4A43">
        <w:instrText xml:space="preserve"> REF _Ref205298381 \h </w:instrText>
      </w:r>
      <w:r w:rsidR="007E4A43">
        <w:instrText xml:space="preserve"> \* MERGEFORMAT </w:instrText>
      </w:r>
      <w:r w:rsidR="006903DF" w:rsidRPr="007E4A43">
        <w:fldChar w:fldCharType="separate"/>
      </w:r>
      <w:r w:rsidR="0063622F" w:rsidRPr="007E4A43">
        <w:t xml:space="preserve">Table </w:t>
      </w:r>
      <w:r w:rsidR="0063622F">
        <w:rPr>
          <w:noProof/>
        </w:rPr>
        <w:t>10</w:t>
      </w:r>
      <w:r w:rsidR="006903DF" w:rsidRPr="007E4A43">
        <w:fldChar w:fldCharType="end"/>
      </w:r>
      <w:r w:rsidR="006903DF" w:rsidRPr="007E4A43">
        <w:t>)</w:t>
      </w:r>
      <w:r w:rsidRPr="007E4A43">
        <w:t>.</w:t>
      </w:r>
    </w:p>
    <w:p w14:paraId="09CCA184" w14:textId="2D85EB0A" w:rsidR="00DF7478" w:rsidRPr="007E4A43" w:rsidRDefault="00DF7478" w:rsidP="00FA0B4A">
      <w:pPr>
        <w:pStyle w:val="Tabletitle"/>
        <w:keepNext/>
      </w:pPr>
      <w:bookmarkStart w:id="7" w:name="_Ref205298381"/>
      <w:r w:rsidRPr="007E4A43">
        <w:t xml:space="preserve">Table </w:t>
      </w:r>
      <w:r w:rsidRPr="007E4A43">
        <w:fldChar w:fldCharType="begin"/>
      </w:r>
      <w:r w:rsidRPr="007E4A43">
        <w:instrText xml:space="preserve"> SEQ Table \* ARABIC </w:instrText>
      </w:r>
      <w:r w:rsidRPr="007E4A43">
        <w:fldChar w:fldCharType="separate"/>
      </w:r>
      <w:r w:rsidR="0063622F">
        <w:rPr>
          <w:noProof/>
        </w:rPr>
        <w:t>10</w:t>
      </w:r>
      <w:r w:rsidRPr="007E4A43">
        <w:fldChar w:fldCharType="end"/>
      </w:r>
      <w:bookmarkEnd w:id="7"/>
      <w:r w:rsidRPr="007E4A43">
        <w:t xml:space="preserve">: </w:t>
      </w:r>
      <w:r w:rsidR="006903DF" w:rsidRPr="007E4A43">
        <w:t>CFTR p</w:t>
      </w:r>
      <w:r w:rsidRPr="007E4A43">
        <w:t>atients not supplied ELX/TEZ/IVA July 2024 to June 2025</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7"/>
        <w:gridCol w:w="1696"/>
        <w:gridCol w:w="1696"/>
        <w:gridCol w:w="1697"/>
      </w:tblGrid>
      <w:tr w:rsidR="00DF7478" w:rsidRPr="007E4A43" w14:paraId="622176AC" w14:textId="77777777" w:rsidTr="00DF7478">
        <w:trPr>
          <w:trHeight w:val="300"/>
        </w:trPr>
        <w:tc>
          <w:tcPr>
            <w:tcW w:w="3837" w:type="dxa"/>
            <w:shd w:val="clear" w:color="auto" w:fill="BFBFBF" w:themeFill="background1" w:themeFillShade="BF"/>
            <w:noWrap/>
            <w:vAlign w:val="bottom"/>
            <w:hideMark/>
          </w:tcPr>
          <w:p w14:paraId="2AA76734" w14:textId="77777777" w:rsidR="00DF7478" w:rsidRPr="007E4A43" w:rsidRDefault="00DF7478" w:rsidP="00FA0B4A">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Drug name</w:t>
            </w:r>
          </w:p>
        </w:tc>
        <w:tc>
          <w:tcPr>
            <w:tcW w:w="1696" w:type="dxa"/>
            <w:shd w:val="clear" w:color="auto" w:fill="BFBFBF" w:themeFill="background1" w:themeFillShade="BF"/>
            <w:noWrap/>
            <w:vAlign w:val="bottom"/>
            <w:hideMark/>
          </w:tcPr>
          <w:p w14:paraId="732F0A3F" w14:textId="77777777" w:rsidR="00DF7478" w:rsidRPr="007E4A43" w:rsidRDefault="00DF7478" w:rsidP="00FA0B4A">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Patient count</w:t>
            </w:r>
          </w:p>
        </w:tc>
        <w:tc>
          <w:tcPr>
            <w:tcW w:w="1696" w:type="dxa"/>
            <w:shd w:val="clear" w:color="auto" w:fill="BFBFBF" w:themeFill="background1" w:themeFillShade="BF"/>
            <w:noWrap/>
            <w:vAlign w:val="bottom"/>
            <w:hideMark/>
          </w:tcPr>
          <w:p w14:paraId="6EA91812" w14:textId="780B8656" w:rsidR="00DF7478" w:rsidRPr="007E4A43" w:rsidRDefault="00DF7478" w:rsidP="00FA0B4A">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Patients whose first initiation was between July 2024 to June 2025</w:t>
            </w:r>
          </w:p>
        </w:tc>
        <w:tc>
          <w:tcPr>
            <w:tcW w:w="1697" w:type="dxa"/>
            <w:shd w:val="clear" w:color="auto" w:fill="BFBFBF" w:themeFill="background1" w:themeFillShade="BF"/>
            <w:noWrap/>
            <w:vAlign w:val="bottom"/>
            <w:hideMark/>
          </w:tcPr>
          <w:p w14:paraId="680D5276" w14:textId="77777777" w:rsidR="00DF7478" w:rsidRPr="007E4A43" w:rsidRDefault="00DF7478" w:rsidP="00FA0B4A">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Percent of treated</w:t>
            </w:r>
          </w:p>
        </w:tc>
      </w:tr>
      <w:tr w:rsidR="00DF7478" w:rsidRPr="007E4A43" w14:paraId="1AB5E5AA" w14:textId="77777777" w:rsidTr="00DF7478">
        <w:trPr>
          <w:trHeight w:val="300"/>
        </w:trPr>
        <w:tc>
          <w:tcPr>
            <w:tcW w:w="3837" w:type="dxa"/>
            <w:noWrap/>
            <w:vAlign w:val="bottom"/>
            <w:hideMark/>
          </w:tcPr>
          <w:p w14:paraId="38D27D5A" w14:textId="77777777" w:rsidR="00DF7478" w:rsidRPr="007E4A43" w:rsidRDefault="00DF7478" w:rsidP="00FA0B4A">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IVACAFTOR</w:t>
            </w:r>
          </w:p>
        </w:tc>
        <w:tc>
          <w:tcPr>
            <w:tcW w:w="1696" w:type="dxa"/>
            <w:noWrap/>
            <w:vAlign w:val="bottom"/>
            <w:hideMark/>
          </w:tcPr>
          <w:p w14:paraId="7E1FA981"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131</w:t>
            </w:r>
          </w:p>
        </w:tc>
        <w:tc>
          <w:tcPr>
            <w:tcW w:w="1696" w:type="dxa"/>
            <w:noWrap/>
            <w:vAlign w:val="bottom"/>
            <w:hideMark/>
          </w:tcPr>
          <w:p w14:paraId="1FB6A277"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41</w:t>
            </w:r>
          </w:p>
        </w:tc>
        <w:tc>
          <w:tcPr>
            <w:tcW w:w="1697" w:type="dxa"/>
            <w:noWrap/>
            <w:vAlign w:val="bottom"/>
            <w:hideMark/>
          </w:tcPr>
          <w:p w14:paraId="3C837896"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31%</w:t>
            </w:r>
          </w:p>
        </w:tc>
      </w:tr>
      <w:tr w:rsidR="00DF7478" w:rsidRPr="007E4A43" w14:paraId="3C8EE906" w14:textId="77777777" w:rsidTr="00DF7478">
        <w:trPr>
          <w:trHeight w:val="300"/>
        </w:trPr>
        <w:tc>
          <w:tcPr>
            <w:tcW w:w="3837" w:type="dxa"/>
            <w:noWrap/>
            <w:vAlign w:val="bottom"/>
            <w:hideMark/>
          </w:tcPr>
          <w:p w14:paraId="4F38760F" w14:textId="77777777" w:rsidR="00DF7478" w:rsidRPr="007E4A43" w:rsidRDefault="00DF7478" w:rsidP="00FA0B4A">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LUMACAFTOR + IVACAFTOR</w:t>
            </w:r>
          </w:p>
        </w:tc>
        <w:tc>
          <w:tcPr>
            <w:tcW w:w="1696" w:type="dxa"/>
            <w:noWrap/>
            <w:vAlign w:val="bottom"/>
            <w:hideMark/>
          </w:tcPr>
          <w:p w14:paraId="44160C58"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29</w:t>
            </w:r>
          </w:p>
        </w:tc>
        <w:tc>
          <w:tcPr>
            <w:tcW w:w="1696" w:type="dxa"/>
            <w:noWrap/>
            <w:vAlign w:val="bottom"/>
            <w:hideMark/>
          </w:tcPr>
          <w:p w14:paraId="1CE45F37"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24</w:t>
            </w:r>
          </w:p>
        </w:tc>
        <w:tc>
          <w:tcPr>
            <w:tcW w:w="1697" w:type="dxa"/>
            <w:noWrap/>
            <w:vAlign w:val="bottom"/>
            <w:hideMark/>
          </w:tcPr>
          <w:p w14:paraId="00259342"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83%</w:t>
            </w:r>
          </w:p>
        </w:tc>
      </w:tr>
      <w:tr w:rsidR="00DF7478" w:rsidRPr="007E4A43" w14:paraId="6E701E15" w14:textId="77777777" w:rsidTr="00DF7478">
        <w:trPr>
          <w:trHeight w:val="300"/>
        </w:trPr>
        <w:tc>
          <w:tcPr>
            <w:tcW w:w="3837" w:type="dxa"/>
            <w:noWrap/>
            <w:vAlign w:val="bottom"/>
            <w:hideMark/>
          </w:tcPr>
          <w:p w14:paraId="518E5ECD" w14:textId="77777777" w:rsidR="00DF7478" w:rsidRPr="007E4A43" w:rsidRDefault="00DF7478" w:rsidP="00FA0B4A">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TEZACAFTOR + IVACAFTOR (&amp;) IVACAFTOR</w:t>
            </w:r>
          </w:p>
        </w:tc>
        <w:tc>
          <w:tcPr>
            <w:tcW w:w="1696" w:type="dxa"/>
            <w:noWrap/>
            <w:vAlign w:val="bottom"/>
            <w:hideMark/>
          </w:tcPr>
          <w:p w14:paraId="5DD7BB9B"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28</w:t>
            </w:r>
          </w:p>
        </w:tc>
        <w:tc>
          <w:tcPr>
            <w:tcW w:w="1696" w:type="dxa"/>
            <w:noWrap/>
            <w:vAlign w:val="bottom"/>
            <w:hideMark/>
          </w:tcPr>
          <w:p w14:paraId="3845210B"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&lt;5</w:t>
            </w:r>
          </w:p>
        </w:tc>
        <w:tc>
          <w:tcPr>
            <w:tcW w:w="1697" w:type="dxa"/>
            <w:noWrap/>
            <w:vAlign w:val="bottom"/>
            <w:hideMark/>
          </w:tcPr>
          <w:p w14:paraId="4F1186E0" w14:textId="77777777" w:rsidR="00DF7478" w:rsidRPr="007E4A43" w:rsidRDefault="00DF7478" w:rsidP="00FA0B4A">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 - 14%</w:t>
            </w:r>
          </w:p>
        </w:tc>
      </w:tr>
      <w:tr w:rsidR="00DF7478" w:rsidRPr="007E4A43" w14:paraId="4B6F94F3" w14:textId="77777777" w:rsidTr="00DF7478">
        <w:trPr>
          <w:trHeight w:val="300"/>
        </w:trPr>
        <w:tc>
          <w:tcPr>
            <w:tcW w:w="3837" w:type="dxa"/>
            <w:noWrap/>
            <w:vAlign w:val="bottom"/>
          </w:tcPr>
          <w:p w14:paraId="0D0D7EC2" w14:textId="5381A4B3" w:rsidR="00DF7478" w:rsidRPr="007E4A43" w:rsidRDefault="00DF7478" w:rsidP="00DF7478">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Total</w:t>
            </w:r>
          </w:p>
        </w:tc>
        <w:tc>
          <w:tcPr>
            <w:tcW w:w="1696" w:type="dxa"/>
            <w:noWrap/>
            <w:vAlign w:val="bottom"/>
          </w:tcPr>
          <w:p w14:paraId="59C490F9" w14:textId="40E74983" w:rsidR="00DF7478" w:rsidRPr="007E4A43" w:rsidRDefault="00DF7478" w:rsidP="00DF7478">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188</w:t>
            </w:r>
          </w:p>
        </w:tc>
        <w:tc>
          <w:tcPr>
            <w:tcW w:w="1696" w:type="dxa"/>
            <w:noWrap/>
            <w:vAlign w:val="bottom"/>
          </w:tcPr>
          <w:p w14:paraId="64FA78A5" w14:textId="40D62BF4" w:rsidR="00DF7478" w:rsidRPr="007E4A43" w:rsidRDefault="00DF7478" w:rsidP="00DF7478">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66-69</w:t>
            </w:r>
          </w:p>
        </w:tc>
        <w:tc>
          <w:tcPr>
            <w:tcW w:w="1697" w:type="dxa"/>
            <w:noWrap/>
            <w:vAlign w:val="bottom"/>
          </w:tcPr>
          <w:p w14:paraId="77F34A20" w14:textId="258FB0AA" w:rsidR="00DF7478" w:rsidRPr="007E4A43" w:rsidRDefault="00DF7478" w:rsidP="00DF7478">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35% - 37%</w:t>
            </w:r>
          </w:p>
        </w:tc>
      </w:tr>
    </w:tbl>
    <w:p w14:paraId="51D970AB" w14:textId="77777777" w:rsidR="00DF7478" w:rsidRPr="007E4A43" w:rsidRDefault="00DF7478" w:rsidP="00A35800"/>
    <w:p w14:paraId="178FCB46" w14:textId="2C71F5D5" w:rsidR="00B5782F" w:rsidRPr="007E4A43" w:rsidRDefault="00D8303E" w:rsidP="007F11BD">
      <w:pPr>
        <w:pStyle w:val="Heading3"/>
        <w:keepNext/>
      </w:pPr>
      <w:r w:rsidRPr="007E4A43">
        <w:t>Length of treatment</w:t>
      </w:r>
    </w:p>
    <w:p w14:paraId="226E2DA9" w14:textId="1E1466C7" w:rsidR="00BC0FFA" w:rsidRPr="007E4A43" w:rsidRDefault="00BC0FFA" w:rsidP="00B52EFC">
      <w:pPr>
        <w:pStyle w:val="Figuretitle"/>
      </w:pPr>
      <w:r w:rsidRPr="007E4A43">
        <w:rPr>
          <w:noProof/>
        </w:rPr>
        <w:drawing>
          <wp:inline distT="0" distB="0" distL="0" distR="0" wp14:anchorId="0FB7A681" wp14:editId="7A997788">
            <wp:extent cx="5311274" cy="3983603"/>
            <wp:effectExtent l="0" t="0" r="3810" b="0"/>
            <wp:docPr id="2071831964" name="Graphic 1" descr="Kaplan Meier estimate of length of treatment with the median not re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31964" name="Graphic 1" descr="Kaplan Meier estimate of length of treatment with the median not reached."/>
                    <pic:cNvPicPr/>
                  </pic:nvPicPr>
                  <pic:blipFill>
                    <a:blip r:embed="rId24">
                      <a:extLst>
                        <a:ext uri="{96DAC541-7B7A-43D3-8B79-37D633B846F1}">
                          <asvg:svgBlip xmlns:asvg="http://schemas.microsoft.com/office/drawing/2016/SVG/main" r:embed="rId25"/>
                        </a:ext>
                      </a:extLst>
                    </a:blip>
                    <a:stretch>
                      <a:fillRect/>
                    </a:stretch>
                  </pic:blipFill>
                  <pic:spPr>
                    <a:xfrm>
                      <a:off x="0" y="0"/>
                      <a:ext cx="5315183" cy="3986535"/>
                    </a:xfrm>
                    <a:prstGeom prst="rect">
                      <a:avLst/>
                    </a:prstGeom>
                  </pic:spPr>
                </pic:pic>
              </a:graphicData>
            </a:graphic>
          </wp:inline>
        </w:drawing>
      </w:r>
    </w:p>
    <w:p w14:paraId="55A4D58E" w14:textId="6CAF3A95" w:rsidR="00B5782F" w:rsidRPr="007E4A43" w:rsidRDefault="00B52EFC" w:rsidP="00B52EFC">
      <w:pPr>
        <w:pStyle w:val="Figuretitle"/>
      </w:pPr>
      <w:r w:rsidRPr="007E4A43">
        <w:t xml:space="preserve">Figure </w:t>
      </w:r>
      <w:r w:rsidRPr="007E4A43">
        <w:fldChar w:fldCharType="begin"/>
      </w:r>
      <w:r w:rsidRPr="007E4A43">
        <w:instrText xml:space="preserve"> SEQ Figure \* ARABIC </w:instrText>
      </w:r>
      <w:r w:rsidRPr="007E4A43">
        <w:fldChar w:fldCharType="separate"/>
      </w:r>
      <w:r w:rsidR="0063622F">
        <w:rPr>
          <w:noProof/>
        </w:rPr>
        <w:t>7</w:t>
      </w:r>
      <w:r w:rsidRPr="007E4A43">
        <w:fldChar w:fldCharType="end"/>
      </w:r>
      <w:r w:rsidR="00DB1EC8" w:rsidRPr="007E4A43">
        <w:t>: Kaplan Meier estimate of length of treatment</w:t>
      </w:r>
    </w:p>
    <w:p w14:paraId="7331BD9C" w14:textId="5248CC57" w:rsidR="00B12E8F" w:rsidRPr="007E4A43"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11</w:t>
      </w:r>
      <w:r w:rsidRPr="007E4A43">
        <w:fldChar w:fldCharType="end"/>
      </w:r>
      <w:r w:rsidR="00B12E8F" w:rsidRPr="007E4A43">
        <w:t>: Kaplan Meier length of treatment quartile estimates</w:t>
      </w:r>
      <w:r w:rsidR="00AC40F2" w:rsidRPr="007E4A43">
        <w:t xml:space="preserve"> in years</w:t>
      </w:r>
      <w:r w:rsidR="00B12E8F" w:rsidRPr="007E4A43">
        <w:t xml:space="preserve"> for all CFTR</w:t>
      </w:r>
      <w:r w:rsidR="000B5B11" w:rsidRPr="007E4A43">
        <w:t xml:space="preserve"> modulator</w:t>
      </w:r>
      <w:r w:rsidR="00B12E8F" w:rsidRPr="007E4A43">
        <w:t>s</w:t>
      </w:r>
    </w:p>
    <w:tbl>
      <w:tblPr>
        <w:tblW w:w="4918" w:type="dxa"/>
        <w:tblInd w:w="-5" w:type="dxa"/>
        <w:tblLook w:val="04A0" w:firstRow="1" w:lastRow="0" w:firstColumn="1" w:lastColumn="0" w:noHBand="0" w:noVBand="1"/>
      </w:tblPr>
      <w:tblGrid>
        <w:gridCol w:w="1037"/>
        <w:gridCol w:w="954"/>
        <w:gridCol w:w="1077"/>
        <w:gridCol w:w="925"/>
        <w:gridCol w:w="925"/>
      </w:tblGrid>
      <w:tr w:rsidR="007548C7" w:rsidRPr="007E4A43" w14:paraId="0863ABFA" w14:textId="77777777" w:rsidTr="007548C7">
        <w:trPr>
          <w:trHeight w:val="300"/>
        </w:trPr>
        <w:tc>
          <w:tcPr>
            <w:tcW w:w="103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BAF45C" w14:textId="77777777" w:rsidR="007548C7" w:rsidRPr="007E4A43" w:rsidRDefault="007548C7"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Percent</w:t>
            </w:r>
          </w:p>
        </w:tc>
        <w:tc>
          <w:tcPr>
            <w:tcW w:w="954" w:type="dxa"/>
            <w:vMerge w:val="restart"/>
            <w:tcBorders>
              <w:top w:val="single" w:sz="4" w:space="0" w:color="auto"/>
              <w:left w:val="nil"/>
              <w:right w:val="single" w:sz="4" w:space="0" w:color="auto"/>
            </w:tcBorders>
            <w:shd w:val="clear" w:color="auto" w:fill="BFBFBF" w:themeFill="background1" w:themeFillShade="BF"/>
            <w:hideMark/>
          </w:tcPr>
          <w:p w14:paraId="403D1F2D" w14:textId="70824D95" w:rsidR="007548C7" w:rsidRPr="007E4A43" w:rsidRDefault="007548C7"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 xml:space="preserve">Point estimate </w:t>
            </w:r>
          </w:p>
        </w:tc>
        <w:tc>
          <w:tcPr>
            <w:tcW w:w="2927"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03E1CC34" w14:textId="77777777" w:rsidR="007548C7" w:rsidRPr="007E4A43" w:rsidRDefault="007548C7"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95% Confidence Interval</w:t>
            </w:r>
          </w:p>
        </w:tc>
      </w:tr>
      <w:tr w:rsidR="007548C7" w:rsidRPr="007E4A43" w14:paraId="01E19F8B" w14:textId="77777777" w:rsidTr="00B90556">
        <w:trPr>
          <w:trHeight w:val="600"/>
        </w:trPr>
        <w:tc>
          <w:tcPr>
            <w:tcW w:w="1037" w:type="dxa"/>
            <w:vMerge/>
            <w:tcBorders>
              <w:top w:val="single" w:sz="4" w:space="0" w:color="auto"/>
              <w:left w:val="single" w:sz="4" w:space="0" w:color="auto"/>
              <w:bottom w:val="single" w:sz="4" w:space="0" w:color="auto"/>
              <w:right w:val="single" w:sz="4" w:space="0" w:color="auto"/>
            </w:tcBorders>
            <w:vAlign w:val="center"/>
            <w:hideMark/>
          </w:tcPr>
          <w:p w14:paraId="72C95B6D" w14:textId="77777777" w:rsidR="007548C7" w:rsidRPr="007E4A43" w:rsidRDefault="007548C7" w:rsidP="00330A28">
            <w:pPr>
              <w:keepNext/>
              <w:spacing w:after="0"/>
              <w:rPr>
                <w:rFonts w:eastAsia="Times New Roman" w:cstheme="minorHAnsi"/>
                <w:b/>
                <w:bCs/>
                <w:color w:val="000000"/>
                <w:sz w:val="20"/>
                <w:szCs w:val="20"/>
              </w:rPr>
            </w:pPr>
          </w:p>
        </w:tc>
        <w:tc>
          <w:tcPr>
            <w:tcW w:w="954" w:type="dxa"/>
            <w:vMerge/>
            <w:tcBorders>
              <w:left w:val="nil"/>
              <w:bottom w:val="single" w:sz="4" w:space="0" w:color="auto"/>
              <w:right w:val="single" w:sz="4" w:space="0" w:color="auto"/>
            </w:tcBorders>
            <w:hideMark/>
          </w:tcPr>
          <w:p w14:paraId="31C55AFC" w14:textId="51E749F5" w:rsidR="007548C7" w:rsidRPr="007E4A43" w:rsidRDefault="007548C7" w:rsidP="00330A28">
            <w:pPr>
              <w:keepNext/>
              <w:spacing w:after="0"/>
              <w:rPr>
                <w:rFonts w:eastAsia="Times New Roman" w:cstheme="minorHAnsi"/>
                <w:b/>
                <w:bCs/>
                <w:color w:val="000000"/>
                <w:sz w:val="20"/>
                <w:szCs w:val="20"/>
              </w:rPr>
            </w:pPr>
          </w:p>
        </w:tc>
        <w:tc>
          <w:tcPr>
            <w:tcW w:w="1077" w:type="dxa"/>
            <w:tcBorders>
              <w:top w:val="nil"/>
              <w:left w:val="nil"/>
              <w:bottom w:val="single" w:sz="4" w:space="0" w:color="auto"/>
              <w:right w:val="single" w:sz="4" w:space="0" w:color="auto"/>
            </w:tcBorders>
            <w:hideMark/>
          </w:tcPr>
          <w:p w14:paraId="7B404F15" w14:textId="77777777" w:rsidR="007548C7" w:rsidRPr="007E4A43" w:rsidRDefault="007548C7"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Transform</w:t>
            </w:r>
          </w:p>
        </w:tc>
        <w:tc>
          <w:tcPr>
            <w:tcW w:w="925" w:type="dxa"/>
            <w:tcBorders>
              <w:top w:val="nil"/>
              <w:left w:val="nil"/>
              <w:bottom w:val="single" w:sz="4" w:space="0" w:color="auto"/>
              <w:right w:val="single" w:sz="4" w:space="0" w:color="auto"/>
            </w:tcBorders>
            <w:hideMark/>
          </w:tcPr>
          <w:p w14:paraId="6D26DB27" w14:textId="6628A207" w:rsidR="007548C7" w:rsidRPr="007E4A43" w:rsidRDefault="007548C7"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Lower</w:t>
            </w:r>
          </w:p>
        </w:tc>
        <w:tc>
          <w:tcPr>
            <w:tcW w:w="925" w:type="dxa"/>
            <w:tcBorders>
              <w:top w:val="nil"/>
              <w:left w:val="nil"/>
              <w:bottom w:val="single" w:sz="4" w:space="0" w:color="auto"/>
              <w:right w:val="single" w:sz="4" w:space="0" w:color="auto"/>
            </w:tcBorders>
            <w:hideMark/>
          </w:tcPr>
          <w:p w14:paraId="06B25132" w14:textId="2DDF2F5C" w:rsidR="007548C7" w:rsidRPr="007E4A43" w:rsidRDefault="007548C7"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Upper</w:t>
            </w:r>
          </w:p>
        </w:tc>
      </w:tr>
      <w:tr w:rsidR="00213763" w:rsidRPr="007E4A43" w14:paraId="0071F65E" w14:textId="77777777" w:rsidTr="007548C7">
        <w:trPr>
          <w:trHeight w:val="300"/>
        </w:trPr>
        <w:tc>
          <w:tcPr>
            <w:tcW w:w="1037" w:type="dxa"/>
            <w:tcBorders>
              <w:top w:val="nil"/>
              <w:left w:val="single" w:sz="4" w:space="0" w:color="auto"/>
              <w:bottom w:val="single" w:sz="4" w:space="0" w:color="auto"/>
              <w:right w:val="single" w:sz="4" w:space="0" w:color="auto"/>
            </w:tcBorders>
            <w:hideMark/>
          </w:tcPr>
          <w:p w14:paraId="47B249B3" w14:textId="77777777" w:rsidR="00213763" w:rsidRPr="007E4A43" w:rsidRDefault="00213763"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75</w:t>
            </w:r>
          </w:p>
        </w:tc>
        <w:tc>
          <w:tcPr>
            <w:tcW w:w="954" w:type="dxa"/>
            <w:tcBorders>
              <w:top w:val="nil"/>
              <w:left w:val="nil"/>
              <w:bottom w:val="single" w:sz="4" w:space="0" w:color="auto"/>
              <w:right w:val="single" w:sz="4" w:space="0" w:color="auto"/>
            </w:tcBorders>
            <w:hideMark/>
          </w:tcPr>
          <w:p w14:paraId="1DC22655" w14:textId="6BEE1591" w:rsidR="00213763" w:rsidRPr="007E4A43" w:rsidRDefault="0056469B"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w:t>
            </w:r>
          </w:p>
        </w:tc>
        <w:tc>
          <w:tcPr>
            <w:tcW w:w="1077" w:type="dxa"/>
            <w:tcBorders>
              <w:top w:val="nil"/>
              <w:left w:val="nil"/>
              <w:bottom w:val="single" w:sz="4" w:space="0" w:color="auto"/>
              <w:right w:val="single" w:sz="4" w:space="0" w:color="auto"/>
            </w:tcBorders>
            <w:hideMark/>
          </w:tcPr>
          <w:p w14:paraId="3C454E3D" w14:textId="77777777" w:rsidR="00213763" w:rsidRPr="007E4A43" w:rsidRDefault="00213763"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LOGLOG</w:t>
            </w:r>
          </w:p>
        </w:tc>
        <w:tc>
          <w:tcPr>
            <w:tcW w:w="925" w:type="dxa"/>
            <w:tcBorders>
              <w:top w:val="nil"/>
              <w:left w:val="nil"/>
              <w:bottom w:val="single" w:sz="4" w:space="0" w:color="auto"/>
              <w:right w:val="single" w:sz="4" w:space="0" w:color="auto"/>
            </w:tcBorders>
            <w:hideMark/>
          </w:tcPr>
          <w:p w14:paraId="49D75F50" w14:textId="48A488DA" w:rsidR="00213763" w:rsidRPr="007E4A43" w:rsidRDefault="0056469B"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w:t>
            </w:r>
          </w:p>
        </w:tc>
        <w:tc>
          <w:tcPr>
            <w:tcW w:w="925" w:type="dxa"/>
            <w:tcBorders>
              <w:top w:val="nil"/>
              <w:left w:val="nil"/>
              <w:bottom w:val="single" w:sz="4" w:space="0" w:color="auto"/>
              <w:right w:val="single" w:sz="4" w:space="0" w:color="auto"/>
            </w:tcBorders>
            <w:hideMark/>
          </w:tcPr>
          <w:p w14:paraId="66706224" w14:textId="37E90D0D" w:rsidR="00213763" w:rsidRPr="007E4A43" w:rsidRDefault="0056469B"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w:t>
            </w:r>
          </w:p>
        </w:tc>
      </w:tr>
      <w:tr w:rsidR="00330A28" w:rsidRPr="007E4A43" w14:paraId="7FCDD9DA" w14:textId="77777777" w:rsidTr="007548C7">
        <w:trPr>
          <w:trHeight w:val="300"/>
        </w:trPr>
        <w:tc>
          <w:tcPr>
            <w:tcW w:w="1037" w:type="dxa"/>
            <w:tcBorders>
              <w:top w:val="nil"/>
              <w:left w:val="single" w:sz="4" w:space="0" w:color="auto"/>
              <w:bottom w:val="single" w:sz="4" w:space="0" w:color="auto"/>
              <w:right w:val="single" w:sz="4" w:space="0" w:color="auto"/>
            </w:tcBorders>
            <w:hideMark/>
          </w:tcPr>
          <w:p w14:paraId="2F052E38" w14:textId="77777777" w:rsidR="00330A28" w:rsidRPr="007E4A43" w:rsidRDefault="00330A28" w:rsidP="00330A28">
            <w:pPr>
              <w:keepNext/>
              <w:spacing w:after="0"/>
              <w:rPr>
                <w:rFonts w:eastAsia="Times New Roman" w:cstheme="minorHAnsi"/>
                <w:b/>
                <w:bCs/>
                <w:color w:val="000000"/>
                <w:sz w:val="20"/>
                <w:szCs w:val="20"/>
              </w:rPr>
            </w:pPr>
            <w:r w:rsidRPr="007E4A43">
              <w:rPr>
                <w:rFonts w:eastAsia="Times New Roman" w:cstheme="minorHAnsi"/>
                <w:b/>
                <w:bCs/>
                <w:color w:val="000000"/>
                <w:sz w:val="20"/>
                <w:szCs w:val="20"/>
              </w:rPr>
              <w:t>50</w:t>
            </w:r>
          </w:p>
        </w:tc>
        <w:tc>
          <w:tcPr>
            <w:tcW w:w="954" w:type="dxa"/>
            <w:tcBorders>
              <w:top w:val="nil"/>
              <w:left w:val="nil"/>
              <w:bottom w:val="single" w:sz="4" w:space="0" w:color="auto"/>
              <w:right w:val="single" w:sz="4" w:space="0" w:color="auto"/>
            </w:tcBorders>
            <w:hideMark/>
          </w:tcPr>
          <w:p w14:paraId="74CAEB6A" w14:textId="2BC6C7D3" w:rsidR="00330A28" w:rsidRPr="007E4A43" w:rsidRDefault="00330A28"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w:t>
            </w:r>
          </w:p>
        </w:tc>
        <w:tc>
          <w:tcPr>
            <w:tcW w:w="1077" w:type="dxa"/>
            <w:tcBorders>
              <w:top w:val="nil"/>
              <w:left w:val="nil"/>
              <w:bottom w:val="single" w:sz="4" w:space="0" w:color="auto"/>
              <w:right w:val="single" w:sz="4" w:space="0" w:color="auto"/>
            </w:tcBorders>
            <w:hideMark/>
          </w:tcPr>
          <w:p w14:paraId="27B63B61" w14:textId="2D148A72" w:rsidR="00330A28" w:rsidRPr="007E4A43" w:rsidRDefault="00330A28"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LOGLOG</w:t>
            </w:r>
          </w:p>
        </w:tc>
        <w:tc>
          <w:tcPr>
            <w:tcW w:w="925" w:type="dxa"/>
            <w:tcBorders>
              <w:top w:val="nil"/>
              <w:left w:val="nil"/>
              <w:bottom w:val="single" w:sz="4" w:space="0" w:color="auto"/>
              <w:right w:val="single" w:sz="4" w:space="0" w:color="auto"/>
            </w:tcBorders>
            <w:hideMark/>
          </w:tcPr>
          <w:p w14:paraId="1510CFD5" w14:textId="6B617D0F" w:rsidR="00330A28" w:rsidRPr="007E4A43" w:rsidRDefault="00330A28"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w:t>
            </w:r>
          </w:p>
        </w:tc>
        <w:tc>
          <w:tcPr>
            <w:tcW w:w="925" w:type="dxa"/>
            <w:tcBorders>
              <w:top w:val="nil"/>
              <w:left w:val="nil"/>
              <w:bottom w:val="single" w:sz="4" w:space="0" w:color="auto"/>
              <w:right w:val="single" w:sz="4" w:space="0" w:color="auto"/>
            </w:tcBorders>
            <w:hideMark/>
          </w:tcPr>
          <w:p w14:paraId="4101DED1" w14:textId="3CC178BB" w:rsidR="00330A28" w:rsidRPr="007E4A43" w:rsidRDefault="00330A28" w:rsidP="00330A28">
            <w:pPr>
              <w:keepNext/>
              <w:spacing w:after="0"/>
              <w:rPr>
                <w:rFonts w:eastAsia="Times New Roman" w:cstheme="minorHAnsi"/>
                <w:color w:val="000000"/>
                <w:sz w:val="20"/>
                <w:szCs w:val="20"/>
              </w:rPr>
            </w:pPr>
            <w:r w:rsidRPr="007E4A43">
              <w:rPr>
                <w:rFonts w:eastAsia="Times New Roman" w:cstheme="minorHAnsi"/>
                <w:color w:val="000000"/>
                <w:sz w:val="20"/>
                <w:szCs w:val="20"/>
              </w:rPr>
              <w:t>.</w:t>
            </w:r>
          </w:p>
        </w:tc>
      </w:tr>
      <w:tr w:rsidR="00330A28" w:rsidRPr="007E4A43" w14:paraId="62BF5796" w14:textId="77777777" w:rsidTr="007548C7">
        <w:trPr>
          <w:trHeight w:val="300"/>
        </w:trPr>
        <w:tc>
          <w:tcPr>
            <w:tcW w:w="1037" w:type="dxa"/>
            <w:tcBorders>
              <w:top w:val="nil"/>
              <w:left w:val="single" w:sz="4" w:space="0" w:color="auto"/>
              <w:bottom w:val="single" w:sz="4" w:space="0" w:color="auto"/>
              <w:right w:val="single" w:sz="4" w:space="0" w:color="auto"/>
            </w:tcBorders>
            <w:hideMark/>
          </w:tcPr>
          <w:p w14:paraId="172B8FE9" w14:textId="77777777" w:rsidR="00330A28" w:rsidRPr="007E4A43" w:rsidRDefault="00330A28" w:rsidP="00330A28">
            <w:pPr>
              <w:spacing w:after="0"/>
              <w:rPr>
                <w:rFonts w:eastAsia="Times New Roman" w:cstheme="minorHAnsi"/>
                <w:b/>
                <w:bCs/>
                <w:color w:val="000000"/>
                <w:sz w:val="20"/>
                <w:szCs w:val="20"/>
              </w:rPr>
            </w:pPr>
            <w:r w:rsidRPr="007E4A43">
              <w:rPr>
                <w:rFonts w:eastAsia="Times New Roman" w:cstheme="minorHAnsi"/>
                <w:b/>
                <w:bCs/>
                <w:color w:val="000000"/>
                <w:sz w:val="20"/>
                <w:szCs w:val="20"/>
              </w:rPr>
              <w:t>25</w:t>
            </w:r>
          </w:p>
        </w:tc>
        <w:tc>
          <w:tcPr>
            <w:tcW w:w="954" w:type="dxa"/>
            <w:tcBorders>
              <w:top w:val="nil"/>
              <w:left w:val="nil"/>
              <w:bottom w:val="single" w:sz="4" w:space="0" w:color="auto"/>
              <w:right w:val="single" w:sz="4" w:space="0" w:color="auto"/>
            </w:tcBorders>
            <w:hideMark/>
          </w:tcPr>
          <w:p w14:paraId="7D3CA01A" w14:textId="2AC40186" w:rsidR="00330A28" w:rsidRPr="007E4A43" w:rsidRDefault="00330A28" w:rsidP="00330A28">
            <w:pPr>
              <w:spacing w:after="0"/>
              <w:rPr>
                <w:rFonts w:eastAsia="Times New Roman" w:cstheme="minorHAnsi"/>
                <w:color w:val="000000"/>
                <w:sz w:val="20"/>
                <w:szCs w:val="20"/>
              </w:rPr>
            </w:pPr>
            <w:r w:rsidRPr="007E4A43">
              <w:rPr>
                <w:rFonts w:cstheme="minorHAnsi"/>
                <w:sz w:val="20"/>
                <w:szCs w:val="20"/>
              </w:rPr>
              <w:t>6.4000</w:t>
            </w:r>
          </w:p>
        </w:tc>
        <w:tc>
          <w:tcPr>
            <w:tcW w:w="1077" w:type="dxa"/>
            <w:tcBorders>
              <w:top w:val="nil"/>
              <w:left w:val="nil"/>
              <w:bottom w:val="single" w:sz="4" w:space="0" w:color="auto"/>
              <w:right w:val="single" w:sz="4" w:space="0" w:color="auto"/>
            </w:tcBorders>
            <w:hideMark/>
          </w:tcPr>
          <w:p w14:paraId="19D70A12" w14:textId="5C6134C9" w:rsidR="00330A28" w:rsidRPr="007E4A43" w:rsidRDefault="00330A28" w:rsidP="00330A28">
            <w:pPr>
              <w:spacing w:after="0"/>
              <w:rPr>
                <w:rFonts w:eastAsia="Times New Roman" w:cstheme="minorHAnsi"/>
                <w:color w:val="000000"/>
                <w:sz w:val="20"/>
                <w:szCs w:val="20"/>
              </w:rPr>
            </w:pPr>
            <w:r w:rsidRPr="007E4A43">
              <w:rPr>
                <w:rFonts w:cstheme="minorHAnsi"/>
                <w:sz w:val="20"/>
                <w:szCs w:val="20"/>
              </w:rPr>
              <w:t>LOGLOG</w:t>
            </w:r>
          </w:p>
        </w:tc>
        <w:tc>
          <w:tcPr>
            <w:tcW w:w="925" w:type="dxa"/>
            <w:tcBorders>
              <w:top w:val="nil"/>
              <w:left w:val="nil"/>
              <w:bottom w:val="single" w:sz="4" w:space="0" w:color="auto"/>
              <w:right w:val="single" w:sz="4" w:space="0" w:color="auto"/>
            </w:tcBorders>
            <w:hideMark/>
          </w:tcPr>
          <w:p w14:paraId="69AA1B7E" w14:textId="763248D8" w:rsidR="00330A28" w:rsidRPr="007E4A43" w:rsidRDefault="00330A28" w:rsidP="00330A28">
            <w:pPr>
              <w:spacing w:after="0"/>
              <w:rPr>
                <w:rFonts w:eastAsia="Times New Roman" w:cstheme="minorHAnsi"/>
                <w:color w:val="000000"/>
                <w:sz w:val="20"/>
                <w:szCs w:val="20"/>
              </w:rPr>
            </w:pPr>
            <w:r w:rsidRPr="007E4A43">
              <w:rPr>
                <w:rFonts w:cstheme="minorHAnsi"/>
                <w:sz w:val="20"/>
                <w:szCs w:val="20"/>
              </w:rPr>
              <w:t>6.1890</w:t>
            </w:r>
          </w:p>
        </w:tc>
        <w:tc>
          <w:tcPr>
            <w:tcW w:w="925" w:type="dxa"/>
            <w:tcBorders>
              <w:top w:val="nil"/>
              <w:left w:val="nil"/>
              <w:bottom w:val="single" w:sz="4" w:space="0" w:color="auto"/>
              <w:right w:val="single" w:sz="4" w:space="0" w:color="auto"/>
            </w:tcBorders>
            <w:hideMark/>
          </w:tcPr>
          <w:p w14:paraId="3DEDB180" w14:textId="5A2FD221" w:rsidR="00330A28" w:rsidRPr="007E4A43" w:rsidRDefault="00330A28" w:rsidP="00330A28">
            <w:pPr>
              <w:spacing w:after="0"/>
              <w:rPr>
                <w:rFonts w:eastAsia="Times New Roman" w:cstheme="minorHAnsi"/>
                <w:color w:val="000000"/>
                <w:sz w:val="20"/>
                <w:szCs w:val="20"/>
              </w:rPr>
            </w:pPr>
            <w:r w:rsidRPr="007E4A43">
              <w:rPr>
                <w:rFonts w:cstheme="minorHAnsi"/>
                <w:sz w:val="20"/>
                <w:szCs w:val="20"/>
              </w:rPr>
              <w:t>6.5123</w:t>
            </w:r>
          </w:p>
        </w:tc>
      </w:tr>
    </w:tbl>
    <w:p w14:paraId="7983EA10" w14:textId="6E55D9D7" w:rsidR="00B12E8F" w:rsidRPr="007E4A43" w:rsidRDefault="00B52EFC" w:rsidP="00B52EFC">
      <w:pPr>
        <w:pStyle w:val="Tabletitle"/>
      </w:pPr>
      <w:r w:rsidRPr="007E4A43">
        <w:t xml:space="preserve">Table </w:t>
      </w:r>
      <w:r w:rsidRPr="007E4A43">
        <w:fldChar w:fldCharType="begin"/>
      </w:r>
      <w:r w:rsidRPr="007E4A43">
        <w:instrText xml:space="preserve"> SEQ Table \* ARABIC </w:instrText>
      </w:r>
      <w:r w:rsidRPr="007E4A43">
        <w:fldChar w:fldCharType="separate"/>
      </w:r>
      <w:r w:rsidR="0063622F">
        <w:rPr>
          <w:noProof/>
        </w:rPr>
        <w:t>12</w:t>
      </w:r>
      <w:r w:rsidRPr="007E4A43">
        <w:fldChar w:fldCharType="end"/>
      </w:r>
      <w:r w:rsidR="00B12E8F" w:rsidRPr="007E4A43">
        <w:t xml:space="preserve">: Kaplan Meier mean length of treatment estimate </w:t>
      </w:r>
      <w:r w:rsidR="00AB255B" w:rsidRPr="007E4A43">
        <w:t xml:space="preserve">in years </w:t>
      </w:r>
      <w:r w:rsidR="00B12E8F" w:rsidRPr="007E4A43">
        <w:t xml:space="preserve">for all </w:t>
      </w:r>
      <w:r w:rsidR="000B5B11" w:rsidRPr="007E4A43">
        <w:t>CFTR modulators</w:t>
      </w:r>
    </w:p>
    <w:tbl>
      <w:tblPr>
        <w:tblW w:w="1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971"/>
      </w:tblGrid>
      <w:tr w:rsidR="00F27B35" w:rsidRPr="007E4A43" w14:paraId="536D9771" w14:textId="77777777" w:rsidTr="006311E4">
        <w:trPr>
          <w:trHeight w:val="300"/>
        </w:trPr>
        <w:tc>
          <w:tcPr>
            <w:tcW w:w="949" w:type="dxa"/>
            <w:shd w:val="clear" w:color="auto" w:fill="BFBFBF" w:themeFill="background1" w:themeFillShade="BF"/>
          </w:tcPr>
          <w:p w14:paraId="58DA8360" w14:textId="68E7E881" w:rsidR="00F27B35" w:rsidRPr="007E4A43" w:rsidRDefault="006311E4" w:rsidP="00000401">
            <w:pPr>
              <w:spacing w:after="0"/>
              <w:rPr>
                <w:rFonts w:eastAsia="Times New Roman" w:cstheme="minorHAnsi"/>
                <w:b/>
                <w:bCs/>
                <w:color w:val="000000"/>
                <w:sz w:val="20"/>
                <w:szCs w:val="20"/>
              </w:rPr>
            </w:pPr>
            <w:r w:rsidRPr="007E4A43">
              <w:rPr>
                <w:rFonts w:eastAsia="Times New Roman" w:cstheme="minorHAnsi"/>
                <w:b/>
                <w:bCs/>
                <w:color w:val="000000"/>
                <w:sz w:val="20"/>
                <w:szCs w:val="20"/>
              </w:rPr>
              <w:t>Mean</w:t>
            </w:r>
          </w:p>
        </w:tc>
        <w:tc>
          <w:tcPr>
            <w:tcW w:w="971" w:type="dxa"/>
            <w:shd w:val="clear" w:color="auto" w:fill="BFBFBF" w:themeFill="background1" w:themeFillShade="BF"/>
          </w:tcPr>
          <w:p w14:paraId="51EEDBA8" w14:textId="562606CC" w:rsidR="00F27B35" w:rsidRPr="007E4A43" w:rsidRDefault="006311E4" w:rsidP="00000401">
            <w:pPr>
              <w:spacing w:after="0"/>
              <w:rPr>
                <w:rFonts w:eastAsia="Times New Roman" w:cstheme="minorHAnsi"/>
                <w:b/>
                <w:bCs/>
                <w:color w:val="000000"/>
                <w:sz w:val="20"/>
                <w:szCs w:val="20"/>
              </w:rPr>
            </w:pPr>
            <w:r w:rsidRPr="007E4A43">
              <w:rPr>
                <w:rFonts w:eastAsia="Times New Roman" w:cstheme="minorHAnsi"/>
                <w:b/>
                <w:bCs/>
                <w:color w:val="000000"/>
                <w:sz w:val="20"/>
                <w:szCs w:val="20"/>
              </w:rPr>
              <w:t>Standard error</w:t>
            </w:r>
          </w:p>
        </w:tc>
      </w:tr>
      <w:tr w:rsidR="00330A28" w:rsidRPr="007E4A43" w14:paraId="32A43CFC" w14:textId="77777777" w:rsidTr="006311E4">
        <w:trPr>
          <w:trHeight w:val="300"/>
        </w:trPr>
        <w:tc>
          <w:tcPr>
            <w:tcW w:w="949" w:type="dxa"/>
            <w:hideMark/>
          </w:tcPr>
          <w:p w14:paraId="24C015E0" w14:textId="694A9E00" w:rsidR="00330A28" w:rsidRPr="007E4A43" w:rsidRDefault="00330A28" w:rsidP="00330A28">
            <w:pPr>
              <w:spacing w:after="0"/>
              <w:rPr>
                <w:rFonts w:eastAsia="Times New Roman" w:cstheme="minorHAnsi"/>
                <w:color w:val="000000"/>
                <w:sz w:val="20"/>
                <w:szCs w:val="20"/>
              </w:rPr>
            </w:pPr>
            <w:r w:rsidRPr="007E4A43">
              <w:rPr>
                <w:sz w:val="20"/>
                <w:szCs w:val="20"/>
              </w:rPr>
              <w:t>8.3868</w:t>
            </w:r>
          </w:p>
        </w:tc>
        <w:tc>
          <w:tcPr>
            <w:tcW w:w="971" w:type="dxa"/>
            <w:hideMark/>
          </w:tcPr>
          <w:p w14:paraId="7814022C" w14:textId="7FF896D8" w:rsidR="00330A28" w:rsidRPr="007E4A43" w:rsidRDefault="00330A28" w:rsidP="00330A28">
            <w:pPr>
              <w:spacing w:after="0"/>
              <w:rPr>
                <w:rFonts w:eastAsia="Times New Roman" w:cstheme="minorHAnsi"/>
                <w:color w:val="000000"/>
                <w:sz w:val="20"/>
                <w:szCs w:val="20"/>
              </w:rPr>
            </w:pPr>
            <w:r w:rsidRPr="007E4A43">
              <w:rPr>
                <w:sz w:val="20"/>
                <w:szCs w:val="20"/>
              </w:rPr>
              <w:t>0.0700</w:t>
            </w:r>
          </w:p>
        </w:tc>
      </w:tr>
    </w:tbl>
    <w:p w14:paraId="78610FB9" w14:textId="77777777" w:rsidR="006903DF" w:rsidRPr="007E4A43" w:rsidRDefault="006903DF" w:rsidP="00A35800"/>
    <w:p w14:paraId="2CAF4316" w14:textId="64E00CD0" w:rsidR="006903DF" w:rsidRPr="007E4A43" w:rsidRDefault="006903DF" w:rsidP="00A35800">
      <w:r w:rsidRPr="007E4A43">
        <w:t xml:space="preserve">For the estimates of length of </w:t>
      </w:r>
      <w:r w:rsidR="00AB255B" w:rsidRPr="007E4A43">
        <w:t xml:space="preserve">overall </w:t>
      </w:r>
      <w:r w:rsidRPr="007E4A43">
        <w:t xml:space="preserve">treatment by initial drug, the mean survival time and its standard error were underestimated because the largest observation was censored (the patient had not stopped treatment at the end of the data collection period) and the </w:t>
      </w:r>
      <w:r w:rsidRPr="007E4A43">
        <w:lastRenderedPageBreak/>
        <w:t xml:space="preserve">estimation was restricted to the largest event time. </w:t>
      </w:r>
      <w:r w:rsidR="009A274E" w:rsidRPr="007E4A43">
        <w:t>A</w:t>
      </w:r>
      <w:r w:rsidRPr="007E4A43">
        <w:t xml:space="preserve"> median length of treatment </w:t>
      </w:r>
      <w:r w:rsidR="00B817D7" w:rsidRPr="007E4A43">
        <w:t>was not reached</w:t>
      </w:r>
      <w:r w:rsidR="00E83356" w:rsidRPr="007E4A43">
        <w:t xml:space="preserve"> for any drug</w:t>
      </w:r>
      <w:r w:rsidRPr="007E4A43">
        <w:t>.</w:t>
      </w:r>
      <w:r w:rsidR="003B0065" w:rsidRPr="007E4A43">
        <w:t xml:space="preserve"> </w:t>
      </w:r>
    </w:p>
    <w:p w14:paraId="2FC7042E" w14:textId="00D58742" w:rsidR="002631BB" w:rsidRPr="007E4A43" w:rsidRDefault="002631BB" w:rsidP="00A35800">
      <w:r w:rsidRPr="007E4A43">
        <w:t xml:space="preserve">Of the 3,486 patients who had initiated CFTR modulators, 40 patients </w:t>
      </w:r>
      <w:r w:rsidR="00555DF3" w:rsidRPr="007E4A43">
        <w:t xml:space="preserve">(1.15%) </w:t>
      </w:r>
      <w:r w:rsidRPr="007E4A43">
        <w:t>had a date of death recorded in the date of death data</w:t>
      </w:r>
      <w:r w:rsidR="00555DF3" w:rsidRPr="007E4A43">
        <w:t>, including 6 patients who died in 2024</w:t>
      </w:r>
      <w:r w:rsidRPr="007E4A43">
        <w:t>.</w:t>
      </w:r>
    </w:p>
    <w:p w14:paraId="41B63322" w14:textId="3686CB30" w:rsidR="000704CF" w:rsidRPr="007E4A43" w:rsidRDefault="00330A28" w:rsidP="00A35800">
      <w:r w:rsidRPr="007E4A43">
        <w:rPr>
          <w:noProof/>
        </w:rPr>
        <w:drawing>
          <wp:inline distT="0" distB="0" distL="0" distR="0" wp14:anchorId="6C2DBC30" wp14:editId="79667CF9">
            <wp:extent cx="5687695" cy="4265930"/>
            <wp:effectExtent l="0" t="0" r="8255" b="1270"/>
            <wp:docPr id="1255825442" name="Graphic 1" descr="Kaplan Meier estimate of length of treatment by initial drug, the median was not reached by any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25442" name="Graphic 1" descr="Kaplan Meier estimate of length of treatment by initial drug, the median was not reached by any group."/>
                    <pic:cNvPicPr/>
                  </pic:nvPicPr>
                  <pic:blipFill>
                    <a:blip r:embed="rId26">
                      <a:extLst>
                        <a:ext uri="{96DAC541-7B7A-43D3-8B79-37D633B846F1}">
                          <asvg:svgBlip xmlns:asvg="http://schemas.microsoft.com/office/drawing/2016/SVG/main" r:embed="rId27"/>
                        </a:ext>
                      </a:extLst>
                    </a:blip>
                    <a:stretch>
                      <a:fillRect/>
                    </a:stretch>
                  </pic:blipFill>
                  <pic:spPr>
                    <a:xfrm>
                      <a:off x="0" y="0"/>
                      <a:ext cx="5687695" cy="4265930"/>
                    </a:xfrm>
                    <a:prstGeom prst="rect">
                      <a:avLst/>
                    </a:prstGeom>
                  </pic:spPr>
                </pic:pic>
              </a:graphicData>
            </a:graphic>
          </wp:inline>
        </w:drawing>
      </w:r>
    </w:p>
    <w:p w14:paraId="4481CFBB" w14:textId="0C0C4A57" w:rsidR="000704CF" w:rsidRPr="007E4A43" w:rsidRDefault="00B52EFC" w:rsidP="00B52EFC">
      <w:pPr>
        <w:pStyle w:val="Figuretitle"/>
      </w:pPr>
      <w:r w:rsidRPr="007E4A43">
        <w:t xml:space="preserve">Figure </w:t>
      </w:r>
      <w:r w:rsidRPr="007E4A43">
        <w:fldChar w:fldCharType="begin"/>
      </w:r>
      <w:r w:rsidRPr="007E4A43">
        <w:instrText xml:space="preserve"> SEQ Figure \* ARABIC </w:instrText>
      </w:r>
      <w:r w:rsidRPr="007E4A43">
        <w:fldChar w:fldCharType="separate"/>
      </w:r>
      <w:r w:rsidR="0063622F">
        <w:rPr>
          <w:noProof/>
        </w:rPr>
        <w:t>8</w:t>
      </w:r>
      <w:r w:rsidRPr="007E4A43">
        <w:fldChar w:fldCharType="end"/>
      </w:r>
      <w:r w:rsidR="00C13EE2" w:rsidRPr="007E4A43">
        <w:t>: Kaplan Meier estimate of length of treatment by initial drug</w:t>
      </w:r>
    </w:p>
    <w:p w14:paraId="742DFF71" w14:textId="77777777" w:rsidR="00817DAA" w:rsidRPr="007E4A43" w:rsidRDefault="00817DAA" w:rsidP="00817DAA"/>
    <w:p w14:paraId="365A630B" w14:textId="233F9B66" w:rsidR="001A2000" w:rsidRPr="007E4A43" w:rsidRDefault="00B52EFC" w:rsidP="00FA0B4A">
      <w:pPr>
        <w:pStyle w:val="Tabletitle"/>
        <w:keepNext/>
      </w:pPr>
      <w:r w:rsidRPr="007E4A43">
        <w:t xml:space="preserve">Table </w:t>
      </w:r>
      <w:r w:rsidRPr="007E4A43">
        <w:fldChar w:fldCharType="begin"/>
      </w:r>
      <w:r w:rsidRPr="007E4A43">
        <w:instrText xml:space="preserve"> SEQ Table \* ARABIC </w:instrText>
      </w:r>
      <w:r w:rsidRPr="007E4A43">
        <w:fldChar w:fldCharType="separate"/>
      </w:r>
      <w:r w:rsidR="0063622F">
        <w:rPr>
          <w:noProof/>
        </w:rPr>
        <w:t>13</w:t>
      </w:r>
      <w:r w:rsidRPr="007E4A43">
        <w:fldChar w:fldCharType="end"/>
      </w:r>
      <w:r w:rsidR="001A2000" w:rsidRPr="007E4A43">
        <w:t xml:space="preserve">: Kaplan Meier median and mean length of treatment estimate </w:t>
      </w:r>
      <w:r w:rsidR="00B33E87" w:rsidRPr="007E4A43">
        <w:t xml:space="preserve">in years </w:t>
      </w:r>
      <w:r w:rsidR="0094062B" w:rsidRPr="007E4A43">
        <w:t>by drug</w:t>
      </w:r>
    </w:p>
    <w:tbl>
      <w:tblPr>
        <w:tblW w:w="4860" w:type="dxa"/>
        <w:tblLook w:val="04A0" w:firstRow="1" w:lastRow="0" w:firstColumn="1" w:lastColumn="0" w:noHBand="0" w:noVBand="1"/>
      </w:tblPr>
      <w:tblGrid>
        <w:gridCol w:w="2100"/>
        <w:gridCol w:w="1240"/>
        <w:gridCol w:w="1520"/>
      </w:tblGrid>
      <w:tr w:rsidR="00C44018" w:rsidRPr="007E4A43" w14:paraId="0E9793C7" w14:textId="77777777" w:rsidTr="005641C9">
        <w:trPr>
          <w:trHeight w:val="540"/>
        </w:trPr>
        <w:tc>
          <w:tcPr>
            <w:tcW w:w="21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6E93303" w14:textId="77777777" w:rsidR="00C44018" w:rsidRPr="007E4A43" w:rsidRDefault="00C44018" w:rsidP="00FA0B4A">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 </w:t>
            </w:r>
          </w:p>
        </w:tc>
        <w:tc>
          <w:tcPr>
            <w:tcW w:w="1240" w:type="dxa"/>
            <w:tcBorders>
              <w:top w:val="single" w:sz="4" w:space="0" w:color="auto"/>
              <w:left w:val="nil"/>
              <w:bottom w:val="single" w:sz="4" w:space="0" w:color="auto"/>
              <w:right w:val="single" w:sz="4" w:space="0" w:color="auto"/>
            </w:tcBorders>
            <w:shd w:val="clear" w:color="000000" w:fill="BFBFBF"/>
            <w:vAlign w:val="bottom"/>
            <w:hideMark/>
          </w:tcPr>
          <w:p w14:paraId="2B56DA13" w14:textId="77777777" w:rsidR="00C44018" w:rsidRPr="007E4A43" w:rsidRDefault="00C44018" w:rsidP="00FA0B4A">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Estimated mean</w:t>
            </w:r>
          </w:p>
        </w:tc>
        <w:tc>
          <w:tcPr>
            <w:tcW w:w="1520" w:type="dxa"/>
            <w:tcBorders>
              <w:top w:val="single" w:sz="4" w:space="0" w:color="auto"/>
              <w:left w:val="nil"/>
              <w:bottom w:val="single" w:sz="4" w:space="0" w:color="auto"/>
              <w:right w:val="single" w:sz="4" w:space="0" w:color="auto"/>
            </w:tcBorders>
            <w:shd w:val="clear" w:color="000000" w:fill="BFBFBF"/>
            <w:vAlign w:val="bottom"/>
            <w:hideMark/>
          </w:tcPr>
          <w:p w14:paraId="3DF8D887" w14:textId="77777777" w:rsidR="00C44018" w:rsidRPr="007E4A43" w:rsidRDefault="00C44018" w:rsidP="00FA0B4A">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Standard error</w:t>
            </w:r>
          </w:p>
        </w:tc>
      </w:tr>
      <w:tr w:rsidR="005641C9" w:rsidRPr="007E4A43" w14:paraId="22CAA728" w14:textId="77777777" w:rsidTr="005641C9">
        <w:trPr>
          <w:trHeight w:val="315"/>
        </w:trPr>
        <w:tc>
          <w:tcPr>
            <w:tcW w:w="2100" w:type="dxa"/>
            <w:tcBorders>
              <w:top w:val="nil"/>
              <w:left w:val="single" w:sz="4" w:space="0" w:color="auto"/>
              <w:bottom w:val="single" w:sz="4" w:space="0" w:color="auto"/>
              <w:right w:val="single" w:sz="4" w:space="0" w:color="auto"/>
            </w:tcBorders>
            <w:noWrap/>
            <w:vAlign w:val="center"/>
            <w:hideMark/>
          </w:tcPr>
          <w:p w14:paraId="680CFFE0" w14:textId="77777777" w:rsidR="005641C9" w:rsidRPr="007E4A43" w:rsidRDefault="005641C9" w:rsidP="00FA0B4A">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ELX/TEZ/IVA</w:t>
            </w:r>
          </w:p>
        </w:tc>
        <w:tc>
          <w:tcPr>
            <w:tcW w:w="1240" w:type="dxa"/>
            <w:tcBorders>
              <w:top w:val="nil"/>
              <w:left w:val="nil"/>
              <w:bottom w:val="single" w:sz="4" w:space="0" w:color="auto"/>
              <w:right w:val="single" w:sz="4" w:space="0" w:color="auto"/>
            </w:tcBorders>
            <w:noWrap/>
            <w:vAlign w:val="center"/>
            <w:hideMark/>
          </w:tcPr>
          <w:p w14:paraId="55C11242" w14:textId="5F1922C7" w:rsidR="005641C9" w:rsidRPr="007E4A43" w:rsidRDefault="005641C9" w:rsidP="00FA0B4A">
            <w:pPr>
              <w:keepNext/>
              <w:spacing w:after="0"/>
              <w:jc w:val="right"/>
              <w:rPr>
                <w:rFonts w:ascii="Calibri" w:eastAsia="Times New Roman" w:hAnsi="Calibri" w:cs="Calibri"/>
                <w:color w:val="000000"/>
                <w:sz w:val="20"/>
                <w:szCs w:val="20"/>
              </w:rPr>
            </w:pPr>
            <w:r w:rsidRPr="007E4A43">
              <w:rPr>
                <w:sz w:val="20"/>
                <w:szCs w:val="20"/>
              </w:rPr>
              <w:t>2.6929</w:t>
            </w:r>
          </w:p>
        </w:tc>
        <w:tc>
          <w:tcPr>
            <w:tcW w:w="1520" w:type="dxa"/>
            <w:tcBorders>
              <w:top w:val="nil"/>
              <w:left w:val="nil"/>
              <w:bottom w:val="single" w:sz="4" w:space="0" w:color="auto"/>
              <w:right w:val="single" w:sz="4" w:space="0" w:color="auto"/>
            </w:tcBorders>
            <w:noWrap/>
            <w:vAlign w:val="center"/>
            <w:hideMark/>
          </w:tcPr>
          <w:p w14:paraId="6AE65EAB" w14:textId="6AE3BEFD" w:rsidR="005641C9" w:rsidRPr="007E4A43" w:rsidRDefault="005641C9" w:rsidP="00FA0B4A">
            <w:pPr>
              <w:keepNext/>
              <w:spacing w:after="0"/>
              <w:jc w:val="right"/>
              <w:rPr>
                <w:rFonts w:ascii="Calibri" w:eastAsia="Times New Roman" w:hAnsi="Calibri" w:cs="Calibri"/>
                <w:color w:val="000000"/>
                <w:sz w:val="20"/>
                <w:szCs w:val="20"/>
              </w:rPr>
            </w:pPr>
            <w:r w:rsidRPr="007E4A43">
              <w:rPr>
                <w:sz w:val="20"/>
                <w:szCs w:val="20"/>
              </w:rPr>
              <w:t>0.0241</w:t>
            </w:r>
          </w:p>
        </w:tc>
      </w:tr>
      <w:tr w:rsidR="005641C9" w:rsidRPr="007E4A43" w14:paraId="1779F42A" w14:textId="77777777" w:rsidTr="005641C9">
        <w:trPr>
          <w:trHeight w:val="315"/>
        </w:trPr>
        <w:tc>
          <w:tcPr>
            <w:tcW w:w="2100" w:type="dxa"/>
            <w:tcBorders>
              <w:top w:val="nil"/>
              <w:left w:val="single" w:sz="4" w:space="0" w:color="auto"/>
              <w:bottom w:val="single" w:sz="4" w:space="0" w:color="auto"/>
              <w:right w:val="single" w:sz="4" w:space="0" w:color="auto"/>
            </w:tcBorders>
            <w:noWrap/>
            <w:vAlign w:val="center"/>
            <w:hideMark/>
          </w:tcPr>
          <w:p w14:paraId="537B65B3" w14:textId="77777777" w:rsidR="005641C9" w:rsidRPr="007E4A43" w:rsidRDefault="005641C9" w:rsidP="005641C9">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IVACAFTOR</w:t>
            </w:r>
          </w:p>
        </w:tc>
        <w:tc>
          <w:tcPr>
            <w:tcW w:w="1240" w:type="dxa"/>
            <w:tcBorders>
              <w:top w:val="nil"/>
              <w:left w:val="nil"/>
              <w:bottom w:val="single" w:sz="4" w:space="0" w:color="auto"/>
              <w:right w:val="single" w:sz="4" w:space="0" w:color="auto"/>
            </w:tcBorders>
            <w:noWrap/>
            <w:vAlign w:val="center"/>
            <w:hideMark/>
          </w:tcPr>
          <w:p w14:paraId="3FF95866" w14:textId="6CF0B3F9" w:rsidR="005641C9" w:rsidRPr="007E4A43" w:rsidRDefault="005641C9" w:rsidP="005641C9">
            <w:pPr>
              <w:spacing w:after="0"/>
              <w:jc w:val="right"/>
              <w:rPr>
                <w:rFonts w:ascii="Calibri" w:eastAsia="Times New Roman" w:hAnsi="Calibri" w:cs="Calibri"/>
                <w:color w:val="000000"/>
                <w:sz w:val="20"/>
                <w:szCs w:val="20"/>
              </w:rPr>
            </w:pPr>
            <w:r w:rsidRPr="007E4A43">
              <w:rPr>
                <w:sz w:val="20"/>
                <w:szCs w:val="20"/>
              </w:rPr>
              <w:t>9.4327</w:t>
            </w:r>
          </w:p>
        </w:tc>
        <w:tc>
          <w:tcPr>
            <w:tcW w:w="1520" w:type="dxa"/>
            <w:tcBorders>
              <w:top w:val="nil"/>
              <w:left w:val="nil"/>
              <w:bottom w:val="single" w:sz="4" w:space="0" w:color="auto"/>
              <w:right w:val="single" w:sz="4" w:space="0" w:color="auto"/>
            </w:tcBorders>
            <w:noWrap/>
            <w:vAlign w:val="center"/>
            <w:hideMark/>
          </w:tcPr>
          <w:p w14:paraId="5BC108C2" w14:textId="3EBB7CC7" w:rsidR="005641C9" w:rsidRPr="007E4A43" w:rsidRDefault="005641C9" w:rsidP="005641C9">
            <w:pPr>
              <w:spacing w:after="0"/>
              <w:jc w:val="right"/>
              <w:rPr>
                <w:rFonts w:ascii="Calibri" w:eastAsia="Times New Roman" w:hAnsi="Calibri" w:cs="Calibri"/>
                <w:color w:val="000000"/>
                <w:sz w:val="20"/>
                <w:szCs w:val="20"/>
              </w:rPr>
            </w:pPr>
            <w:r w:rsidRPr="007E4A43">
              <w:rPr>
                <w:sz w:val="20"/>
                <w:szCs w:val="20"/>
              </w:rPr>
              <w:t>0.1352</w:t>
            </w:r>
          </w:p>
        </w:tc>
      </w:tr>
      <w:tr w:rsidR="005641C9" w:rsidRPr="007E4A43" w14:paraId="1ADCC7A7" w14:textId="77777777" w:rsidTr="005641C9">
        <w:trPr>
          <w:trHeight w:val="315"/>
        </w:trPr>
        <w:tc>
          <w:tcPr>
            <w:tcW w:w="2100" w:type="dxa"/>
            <w:tcBorders>
              <w:top w:val="nil"/>
              <w:left w:val="single" w:sz="4" w:space="0" w:color="auto"/>
              <w:bottom w:val="single" w:sz="4" w:space="0" w:color="auto"/>
              <w:right w:val="single" w:sz="4" w:space="0" w:color="auto"/>
            </w:tcBorders>
            <w:noWrap/>
            <w:vAlign w:val="center"/>
            <w:hideMark/>
          </w:tcPr>
          <w:p w14:paraId="3C98A222" w14:textId="77777777" w:rsidR="005641C9" w:rsidRPr="007E4A43" w:rsidRDefault="005641C9" w:rsidP="005641C9">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LUM/IVA</w:t>
            </w:r>
          </w:p>
        </w:tc>
        <w:tc>
          <w:tcPr>
            <w:tcW w:w="1240" w:type="dxa"/>
            <w:tcBorders>
              <w:top w:val="nil"/>
              <w:left w:val="nil"/>
              <w:bottom w:val="single" w:sz="4" w:space="0" w:color="auto"/>
              <w:right w:val="single" w:sz="4" w:space="0" w:color="auto"/>
            </w:tcBorders>
            <w:noWrap/>
            <w:vAlign w:val="center"/>
            <w:hideMark/>
          </w:tcPr>
          <w:p w14:paraId="4690D901" w14:textId="103AA261" w:rsidR="005641C9" w:rsidRPr="007E4A43" w:rsidRDefault="005641C9" w:rsidP="005641C9">
            <w:pPr>
              <w:spacing w:after="0"/>
              <w:jc w:val="right"/>
              <w:rPr>
                <w:rFonts w:ascii="Calibri" w:eastAsia="Times New Roman" w:hAnsi="Calibri" w:cs="Calibri"/>
                <w:color w:val="000000"/>
                <w:sz w:val="20"/>
                <w:szCs w:val="20"/>
              </w:rPr>
            </w:pPr>
            <w:r w:rsidRPr="007E4A43">
              <w:rPr>
                <w:sz w:val="20"/>
                <w:szCs w:val="20"/>
              </w:rPr>
              <w:t>6.1681</w:t>
            </w:r>
          </w:p>
        </w:tc>
        <w:tc>
          <w:tcPr>
            <w:tcW w:w="1520" w:type="dxa"/>
            <w:tcBorders>
              <w:top w:val="nil"/>
              <w:left w:val="nil"/>
              <w:bottom w:val="single" w:sz="4" w:space="0" w:color="auto"/>
              <w:right w:val="single" w:sz="4" w:space="0" w:color="auto"/>
            </w:tcBorders>
            <w:noWrap/>
            <w:vAlign w:val="center"/>
            <w:hideMark/>
          </w:tcPr>
          <w:p w14:paraId="3DE1CF5C" w14:textId="684151FD" w:rsidR="005641C9" w:rsidRPr="007E4A43" w:rsidRDefault="005641C9" w:rsidP="005641C9">
            <w:pPr>
              <w:spacing w:after="0"/>
              <w:jc w:val="right"/>
              <w:rPr>
                <w:rFonts w:ascii="Calibri" w:eastAsia="Times New Roman" w:hAnsi="Calibri" w:cs="Calibri"/>
                <w:color w:val="000000"/>
                <w:sz w:val="20"/>
                <w:szCs w:val="20"/>
              </w:rPr>
            </w:pPr>
            <w:r w:rsidRPr="007E4A43">
              <w:rPr>
                <w:sz w:val="20"/>
                <w:szCs w:val="20"/>
              </w:rPr>
              <w:t>0.0318</w:t>
            </w:r>
          </w:p>
        </w:tc>
      </w:tr>
      <w:tr w:rsidR="005641C9" w:rsidRPr="007E4A43" w14:paraId="0E302372" w14:textId="77777777" w:rsidTr="005641C9">
        <w:trPr>
          <w:trHeight w:val="300"/>
        </w:trPr>
        <w:tc>
          <w:tcPr>
            <w:tcW w:w="2100" w:type="dxa"/>
            <w:tcBorders>
              <w:top w:val="nil"/>
              <w:left w:val="single" w:sz="4" w:space="0" w:color="auto"/>
              <w:bottom w:val="single" w:sz="4" w:space="0" w:color="auto"/>
              <w:right w:val="single" w:sz="4" w:space="0" w:color="auto"/>
            </w:tcBorders>
            <w:noWrap/>
            <w:vAlign w:val="center"/>
            <w:hideMark/>
          </w:tcPr>
          <w:p w14:paraId="22E4133B" w14:textId="77777777" w:rsidR="005641C9" w:rsidRPr="007E4A43" w:rsidRDefault="005641C9" w:rsidP="005641C9">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TEZ/IVA</w:t>
            </w:r>
          </w:p>
        </w:tc>
        <w:tc>
          <w:tcPr>
            <w:tcW w:w="1240" w:type="dxa"/>
            <w:tcBorders>
              <w:top w:val="nil"/>
              <w:left w:val="nil"/>
              <w:bottom w:val="single" w:sz="4" w:space="0" w:color="auto"/>
              <w:right w:val="single" w:sz="4" w:space="0" w:color="auto"/>
            </w:tcBorders>
            <w:noWrap/>
            <w:vAlign w:val="center"/>
            <w:hideMark/>
          </w:tcPr>
          <w:p w14:paraId="22C295CD" w14:textId="2974EE39" w:rsidR="005641C9" w:rsidRPr="007E4A43" w:rsidRDefault="005641C9" w:rsidP="005641C9">
            <w:pPr>
              <w:spacing w:after="0"/>
              <w:jc w:val="right"/>
              <w:rPr>
                <w:rFonts w:ascii="Calibri" w:eastAsia="Times New Roman" w:hAnsi="Calibri" w:cs="Calibri"/>
                <w:color w:val="000000"/>
                <w:sz w:val="20"/>
                <w:szCs w:val="20"/>
              </w:rPr>
            </w:pPr>
            <w:r w:rsidRPr="007E4A43">
              <w:rPr>
                <w:sz w:val="20"/>
                <w:szCs w:val="20"/>
              </w:rPr>
              <w:t>4.8938</w:t>
            </w:r>
          </w:p>
        </w:tc>
        <w:tc>
          <w:tcPr>
            <w:tcW w:w="1520" w:type="dxa"/>
            <w:tcBorders>
              <w:top w:val="nil"/>
              <w:left w:val="nil"/>
              <w:bottom w:val="single" w:sz="4" w:space="0" w:color="auto"/>
              <w:right w:val="single" w:sz="4" w:space="0" w:color="auto"/>
            </w:tcBorders>
            <w:noWrap/>
            <w:vAlign w:val="center"/>
            <w:hideMark/>
          </w:tcPr>
          <w:p w14:paraId="1DF9AB5F" w14:textId="0E3341D7" w:rsidR="005641C9" w:rsidRPr="007E4A43" w:rsidRDefault="005641C9" w:rsidP="005641C9">
            <w:pPr>
              <w:spacing w:after="0"/>
              <w:jc w:val="right"/>
              <w:rPr>
                <w:rFonts w:ascii="Calibri" w:eastAsia="Times New Roman" w:hAnsi="Calibri" w:cs="Calibri"/>
                <w:color w:val="000000"/>
                <w:sz w:val="20"/>
                <w:szCs w:val="20"/>
              </w:rPr>
            </w:pPr>
            <w:r w:rsidRPr="007E4A43">
              <w:rPr>
                <w:sz w:val="20"/>
                <w:szCs w:val="20"/>
              </w:rPr>
              <w:t>0.0554</w:t>
            </w:r>
          </w:p>
        </w:tc>
      </w:tr>
    </w:tbl>
    <w:p w14:paraId="32D03AA6" w14:textId="287A5886" w:rsidR="000763A5" w:rsidRPr="007E4A43" w:rsidRDefault="000763A5" w:rsidP="00C1122B">
      <w:pPr>
        <w:pStyle w:val="Heading1"/>
      </w:pPr>
      <w:r w:rsidRPr="007E4A43">
        <w:lastRenderedPageBreak/>
        <w:t>Analysis of actual versus predicted utilisation</w:t>
      </w:r>
    </w:p>
    <w:p w14:paraId="48971C58" w14:textId="48133A11" w:rsidR="000763A5" w:rsidRPr="007E4A43" w:rsidRDefault="000763A5" w:rsidP="00113079">
      <w:pPr>
        <w:pStyle w:val="Heading2"/>
        <w:keepNext/>
      </w:pPr>
      <w:r w:rsidRPr="007E4A43">
        <w:t>Patients aged 12 years and older</w:t>
      </w:r>
    </w:p>
    <w:p w14:paraId="4D1AE5EC" w14:textId="041F8753" w:rsidR="00113079" w:rsidRPr="007E4A43" w:rsidRDefault="00113079" w:rsidP="00C1122B">
      <w:pPr>
        <w:pStyle w:val="Heading3"/>
        <w:keepNext/>
      </w:pPr>
      <w:r w:rsidRPr="007E4A43">
        <w:t>Approach taken to estimate utilisation</w:t>
      </w:r>
    </w:p>
    <w:p w14:paraId="51056BC4" w14:textId="569FA314" w:rsidR="00050A5B" w:rsidRPr="007E4A43" w:rsidRDefault="00050A5B" w:rsidP="002D0F62">
      <w:r w:rsidRPr="007E4A43">
        <w:t>In May 2021, the PBAC considered that it may be reasonable for the eligible F/MF patients, who do not currently have access to a CFTR-modulator treatment through the PBS, to be estimated using an epidemiological approach with reference to the ACFDR current patient numbers. The PBAC previously accepted the following proposed eligible patient numbers and uptake rates for these groups, however recommended that discontinuation rates consistent with those applied to the PBS listing of LUM/IVA should apply.</w:t>
      </w:r>
      <w:r w:rsidR="002D0F62" w:rsidRPr="007E4A43">
        <w:t xml:space="preserve"> Departmental analysis of the discontinuation rate of LUM/IVA and TEZ/IVA over the first two years of listing of each product indicated higher rates of discontinuation at Year 1 and 2 than estimated at time of listing (13.4% and 11.8% in Year 1 and 25.4% and 26.4% in Year 2 for LUM/IVA and TEZ/IVA respectively).</w:t>
      </w:r>
    </w:p>
    <w:p w14:paraId="71B322C3" w14:textId="77777777" w:rsidR="00050A5B" w:rsidRPr="007E4A43" w:rsidRDefault="00050A5B" w:rsidP="00050A5B">
      <w:pPr>
        <w:pStyle w:val="3-BodyText"/>
        <w:numPr>
          <w:ilvl w:val="0"/>
          <w:numId w:val="8"/>
        </w:numPr>
      </w:pPr>
      <w:r w:rsidRPr="007E4A43">
        <w:t>F/MF: 630 patients in Year 1 increasing to 684 patients in Year 6, before uptake (90% in Year 1 increasing to 95% from Year 2 onwards) and discontinuation rates (6.8% at Year 1 and 14.9% at Year 2) are applied.</w:t>
      </w:r>
    </w:p>
    <w:p w14:paraId="0049978B" w14:textId="77777777" w:rsidR="00050A5B" w:rsidRPr="007E4A43" w:rsidRDefault="00050A5B" w:rsidP="00050A5B">
      <w:pPr>
        <w:pStyle w:val="3-BodyText"/>
        <w:numPr>
          <w:ilvl w:val="0"/>
          <w:numId w:val="8"/>
        </w:numPr>
      </w:pPr>
      <w:r w:rsidRPr="007E4A43">
        <w:t>The Department’s modelling of the impact of the uptake and discontinuation rates resulted in treated patient numbers of approximately 472 patients in Year 1 increasing to 485 in Year 6.</w:t>
      </w:r>
    </w:p>
    <w:p w14:paraId="33AA66AC" w14:textId="4C0CC536" w:rsidR="00050A5B" w:rsidRPr="007E4A43" w:rsidRDefault="00050A5B" w:rsidP="002B0DF2">
      <w:r w:rsidRPr="007E4A43">
        <w:t xml:space="preserve">The PBAC </w:t>
      </w:r>
      <w:r w:rsidR="002D0F62" w:rsidRPr="007E4A43">
        <w:t xml:space="preserve">(July 2021) </w:t>
      </w:r>
      <w:r w:rsidRPr="007E4A43">
        <w:t>noted that the above patient numbers included reallocation of 80% of patients classified as F/not yet characterised in the ACFDR registry to the F/MF population.</w:t>
      </w:r>
    </w:p>
    <w:p w14:paraId="21942A76" w14:textId="58F52E7E" w:rsidR="00D03AFD" w:rsidRPr="007E4A43" w:rsidRDefault="00113079" w:rsidP="002B0DF2">
      <w:r w:rsidRPr="007E4A43">
        <w:t xml:space="preserve">The December 2021 </w:t>
      </w:r>
      <w:r w:rsidR="002B0DF2" w:rsidRPr="007E4A43">
        <w:t>re</w:t>
      </w:r>
      <w:r w:rsidRPr="007E4A43">
        <w:t xml:space="preserve">submission </w:t>
      </w:r>
      <w:r w:rsidR="002B0DF2" w:rsidRPr="007E4A43">
        <w:t>proposed patient estimates based on ACFDR data</w:t>
      </w:r>
      <w:r w:rsidR="00D03AFD" w:rsidRPr="007E4A43">
        <w:t>, which was inconsistent with previous PBAC advice that for the populations for which there was a PBS-listed CFTR-modulator available, previously agreed patient numbers for these listings would be appropriate to inform the estimated utilisation.</w:t>
      </w:r>
    </w:p>
    <w:p w14:paraId="2CC7FCDD" w14:textId="24A3465D" w:rsidR="00447789" w:rsidRPr="007E4A43" w:rsidRDefault="00447789" w:rsidP="00872383">
      <w:pPr>
        <w:pStyle w:val="Tabletitle"/>
        <w:keepNext/>
      </w:pPr>
      <w:r w:rsidRPr="007E4A43">
        <w:t xml:space="preserve">Table </w:t>
      </w:r>
      <w:r w:rsidRPr="007E4A43">
        <w:fldChar w:fldCharType="begin"/>
      </w:r>
      <w:r w:rsidRPr="007E4A43">
        <w:instrText xml:space="preserve"> SEQ Table \* ARABIC </w:instrText>
      </w:r>
      <w:r w:rsidRPr="007E4A43">
        <w:fldChar w:fldCharType="separate"/>
      </w:r>
      <w:r w:rsidR="0063622F">
        <w:rPr>
          <w:noProof/>
        </w:rPr>
        <w:t>14</w:t>
      </w:r>
      <w:r w:rsidRPr="007E4A43">
        <w:fldChar w:fldCharType="end"/>
      </w:r>
      <w:r w:rsidRPr="007E4A43">
        <w:t>: Financial implications of listing ELX/TEZ/IVA on the PBS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992"/>
        <w:gridCol w:w="992"/>
        <w:gridCol w:w="992"/>
        <w:gridCol w:w="992"/>
        <w:gridCol w:w="993"/>
      </w:tblGrid>
      <w:tr w:rsidR="00D24F54" w:rsidRPr="007E4A43" w14:paraId="18095D21" w14:textId="77777777" w:rsidTr="00447789">
        <w:trPr>
          <w:trHeight w:val="20"/>
        </w:trPr>
        <w:tc>
          <w:tcPr>
            <w:tcW w:w="2689" w:type="dxa"/>
            <w:vAlign w:val="center"/>
            <w:hideMark/>
          </w:tcPr>
          <w:p w14:paraId="7892E55B" w14:textId="77777777" w:rsidR="00613D63" w:rsidRPr="007E4A43" w:rsidRDefault="00613D63" w:rsidP="00FA0B4A">
            <w:pPr>
              <w:keepNext/>
              <w:spacing w:after="0"/>
              <w:rPr>
                <w:rFonts w:eastAsia="Times New Roman" w:cstheme="minorHAnsi"/>
                <w:b/>
                <w:bCs/>
                <w:color w:val="000000"/>
                <w:sz w:val="20"/>
                <w:szCs w:val="20"/>
              </w:rPr>
            </w:pPr>
            <w:r w:rsidRPr="007E4A43">
              <w:rPr>
                <w:rFonts w:eastAsia="Times New Roman" w:cstheme="minorHAnsi"/>
                <w:b/>
                <w:bCs/>
                <w:color w:val="000000"/>
                <w:sz w:val="20"/>
                <w:szCs w:val="20"/>
                <w:lang w:val="de-DE"/>
              </w:rPr>
              <w:t> </w:t>
            </w:r>
          </w:p>
        </w:tc>
        <w:tc>
          <w:tcPr>
            <w:tcW w:w="992" w:type="dxa"/>
            <w:vAlign w:val="center"/>
            <w:hideMark/>
          </w:tcPr>
          <w:p w14:paraId="3675BD2F" w14:textId="77777777" w:rsidR="00613D63" w:rsidRPr="007E4A43" w:rsidRDefault="00613D63" w:rsidP="00FA0B4A">
            <w:pPr>
              <w:keepNext/>
              <w:spacing w:after="0"/>
              <w:jc w:val="center"/>
              <w:rPr>
                <w:rFonts w:eastAsia="Times New Roman" w:cstheme="minorHAnsi"/>
                <w:b/>
                <w:bCs/>
                <w:color w:val="000000"/>
                <w:sz w:val="20"/>
                <w:szCs w:val="20"/>
              </w:rPr>
            </w:pPr>
            <w:r w:rsidRPr="007E4A43">
              <w:rPr>
                <w:rFonts w:eastAsia="Times New Roman" w:cstheme="minorHAnsi"/>
                <w:b/>
                <w:bCs/>
                <w:color w:val="000000"/>
                <w:sz w:val="20"/>
                <w:szCs w:val="20"/>
              </w:rPr>
              <w:t>Year 1</w:t>
            </w:r>
          </w:p>
        </w:tc>
        <w:tc>
          <w:tcPr>
            <w:tcW w:w="992" w:type="dxa"/>
            <w:vAlign w:val="center"/>
            <w:hideMark/>
          </w:tcPr>
          <w:p w14:paraId="5DE787EB" w14:textId="77777777" w:rsidR="00613D63" w:rsidRPr="007E4A43" w:rsidRDefault="00613D63" w:rsidP="00FA0B4A">
            <w:pPr>
              <w:keepNext/>
              <w:spacing w:after="0"/>
              <w:jc w:val="center"/>
              <w:rPr>
                <w:rFonts w:eastAsia="Times New Roman" w:cstheme="minorHAnsi"/>
                <w:b/>
                <w:bCs/>
                <w:color w:val="000000"/>
                <w:sz w:val="20"/>
                <w:szCs w:val="20"/>
              </w:rPr>
            </w:pPr>
            <w:r w:rsidRPr="007E4A43">
              <w:rPr>
                <w:rFonts w:eastAsia="Times New Roman" w:cstheme="minorHAnsi"/>
                <w:b/>
                <w:bCs/>
                <w:color w:val="000000"/>
                <w:sz w:val="20"/>
                <w:szCs w:val="20"/>
              </w:rPr>
              <w:t>Year 2</w:t>
            </w:r>
          </w:p>
        </w:tc>
        <w:tc>
          <w:tcPr>
            <w:tcW w:w="992" w:type="dxa"/>
            <w:vAlign w:val="center"/>
            <w:hideMark/>
          </w:tcPr>
          <w:p w14:paraId="16562607" w14:textId="77777777" w:rsidR="00613D63" w:rsidRPr="007E4A43" w:rsidRDefault="00613D63" w:rsidP="00FA0B4A">
            <w:pPr>
              <w:keepNext/>
              <w:spacing w:after="0"/>
              <w:jc w:val="center"/>
              <w:rPr>
                <w:rFonts w:eastAsia="Times New Roman" w:cstheme="minorHAnsi"/>
                <w:b/>
                <w:bCs/>
                <w:color w:val="000000"/>
                <w:sz w:val="20"/>
                <w:szCs w:val="20"/>
              </w:rPr>
            </w:pPr>
            <w:r w:rsidRPr="007E4A43">
              <w:rPr>
                <w:rFonts w:eastAsia="Times New Roman" w:cstheme="minorHAnsi"/>
                <w:b/>
                <w:bCs/>
                <w:color w:val="000000"/>
                <w:sz w:val="20"/>
                <w:szCs w:val="20"/>
              </w:rPr>
              <w:t>Year 3</w:t>
            </w:r>
          </w:p>
        </w:tc>
        <w:tc>
          <w:tcPr>
            <w:tcW w:w="992" w:type="dxa"/>
            <w:vAlign w:val="center"/>
            <w:hideMark/>
          </w:tcPr>
          <w:p w14:paraId="01FDA45A" w14:textId="77777777" w:rsidR="00613D63" w:rsidRPr="007E4A43" w:rsidRDefault="00613D63" w:rsidP="00FA0B4A">
            <w:pPr>
              <w:keepNext/>
              <w:spacing w:after="0"/>
              <w:jc w:val="center"/>
              <w:rPr>
                <w:rFonts w:eastAsia="Times New Roman" w:cstheme="minorHAnsi"/>
                <w:b/>
                <w:bCs/>
                <w:color w:val="000000"/>
                <w:sz w:val="20"/>
                <w:szCs w:val="20"/>
              </w:rPr>
            </w:pPr>
            <w:r w:rsidRPr="007E4A43">
              <w:rPr>
                <w:rFonts w:eastAsia="Times New Roman" w:cstheme="minorHAnsi"/>
                <w:b/>
                <w:bCs/>
                <w:color w:val="000000"/>
                <w:sz w:val="20"/>
                <w:szCs w:val="20"/>
              </w:rPr>
              <w:t>Year 4</w:t>
            </w:r>
          </w:p>
        </w:tc>
        <w:tc>
          <w:tcPr>
            <w:tcW w:w="992" w:type="dxa"/>
            <w:vAlign w:val="center"/>
            <w:hideMark/>
          </w:tcPr>
          <w:p w14:paraId="7A96C0F2" w14:textId="77777777" w:rsidR="00613D63" w:rsidRPr="007E4A43" w:rsidRDefault="00613D63" w:rsidP="00FA0B4A">
            <w:pPr>
              <w:keepNext/>
              <w:spacing w:after="0"/>
              <w:jc w:val="center"/>
              <w:rPr>
                <w:rFonts w:eastAsia="Times New Roman" w:cstheme="minorHAnsi"/>
                <w:b/>
                <w:bCs/>
                <w:color w:val="000000"/>
                <w:sz w:val="20"/>
                <w:szCs w:val="20"/>
              </w:rPr>
            </w:pPr>
            <w:r w:rsidRPr="007E4A43">
              <w:rPr>
                <w:rFonts w:eastAsia="Times New Roman" w:cstheme="minorHAnsi"/>
                <w:b/>
                <w:bCs/>
                <w:color w:val="000000"/>
                <w:sz w:val="20"/>
                <w:szCs w:val="20"/>
              </w:rPr>
              <w:t>Year 5</w:t>
            </w:r>
          </w:p>
        </w:tc>
        <w:tc>
          <w:tcPr>
            <w:tcW w:w="993" w:type="dxa"/>
            <w:vAlign w:val="center"/>
            <w:hideMark/>
          </w:tcPr>
          <w:p w14:paraId="04750339" w14:textId="77777777" w:rsidR="00613D63" w:rsidRPr="007E4A43" w:rsidRDefault="00613D63" w:rsidP="00FA0B4A">
            <w:pPr>
              <w:keepNext/>
              <w:spacing w:after="0"/>
              <w:jc w:val="center"/>
              <w:rPr>
                <w:rFonts w:eastAsia="Times New Roman" w:cstheme="minorHAnsi"/>
                <w:b/>
                <w:bCs/>
                <w:color w:val="000000"/>
                <w:sz w:val="20"/>
                <w:szCs w:val="20"/>
              </w:rPr>
            </w:pPr>
            <w:r w:rsidRPr="007E4A43">
              <w:rPr>
                <w:rFonts w:eastAsia="Times New Roman" w:cstheme="minorHAnsi"/>
                <w:b/>
                <w:bCs/>
                <w:color w:val="000000"/>
                <w:sz w:val="20"/>
                <w:szCs w:val="20"/>
              </w:rPr>
              <w:t>Year 6</w:t>
            </w:r>
          </w:p>
        </w:tc>
      </w:tr>
      <w:tr w:rsidR="00613D63" w:rsidRPr="007E4A43" w14:paraId="3B44FA30" w14:textId="77777777" w:rsidTr="00D24F54">
        <w:trPr>
          <w:trHeight w:val="20"/>
        </w:trPr>
        <w:tc>
          <w:tcPr>
            <w:tcW w:w="8642" w:type="dxa"/>
            <w:gridSpan w:val="7"/>
            <w:shd w:val="clear" w:color="000000" w:fill="D9D9D9"/>
            <w:vAlign w:val="center"/>
            <w:hideMark/>
          </w:tcPr>
          <w:p w14:paraId="3A46700A" w14:textId="77777777" w:rsidR="00613D63" w:rsidRPr="007E4A43" w:rsidRDefault="00613D63" w:rsidP="00FA0B4A">
            <w:pPr>
              <w:keepNext/>
              <w:spacing w:after="0"/>
              <w:rPr>
                <w:rFonts w:eastAsia="Times New Roman" w:cstheme="minorHAnsi"/>
                <w:b/>
                <w:bCs/>
                <w:color w:val="000000"/>
                <w:sz w:val="20"/>
                <w:szCs w:val="20"/>
              </w:rPr>
            </w:pPr>
            <w:r w:rsidRPr="007E4A43">
              <w:rPr>
                <w:rFonts w:eastAsia="Times New Roman" w:cstheme="minorHAnsi"/>
                <w:b/>
                <w:bCs/>
                <w:color w:val="000000"/>
                <w:sz w:val="20"/>
                <w:szCs w:val="20"/>
                <w:lang w:val="de-DE"/>
              </w:rPr>
              <w:t xml:space="preserve">December 2021 resubmission </w:t>
            </w:r>
          </w:p>
        </w:tc>
      </w:tr>
      <w:tr w:rsidR="00D24F54" w:rsidRPr="007E4A43" w14:paraId="7C7DB2C3" w14:textId="77777777" w:rsidTr="00447789">
        <w:trPr>
          <w:trHeight w:val="20"/>
        </w:trPr>
        <w:tc>
          <w:tcPr>
            <w:tcW w:w="2689" w:type="dxa"/>
            <w:vAlign w:val="center"/>
            <w:hideMark/>
          </w:tcPr>
          <w:p w14:paraId="603ED302" w14:textId="77777777" w:rsidR="00613D63" w:rsidRPr="007E4A43" w:rsidRDefault="00613D63" w:rsidP="00FA0B4A">
            <w:pPr>
              <w:keepNext/>
              <w:spacing w:after="0"/>
              <w:rPr>
                <w:rFonts w:eastAsia="Times New Roman" w:cstheme="minorHAnsi"/>
                <w:color w:val="000000"/>
                <w:sz w:val="20"/>
                <w:szCs w:val="20"/>
              </w:rPr>
            </w:pPr>
            <w:r w:rsidRPr="007E4A43">
              <w:rPr>
                <w:rFonts w:eastAsia="Times New Roman" w:cstheme="minorHAnsi"/>
                <w:color w:val="000000"/>
                <w:sz w:val="20"/>
                <w:szCs w:val="20"/>
                <w:lang w:val="de-DE"/>
              </w:rPr>
              <w:t>Total FTE patients receiving ELX/TEZ/IVA</w:t>
            </w:r>
          </w:p>
        </w:tc>
        <w:tc>
          <w:tcPr>
            <w:tcW w:w="992" w:type="dxa"/>
            <w:vAlign w:val="center"/>
            <w:hideMark/>
          </w:tcPr>
          <w:p w14:paraId="6531F02E"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1,732</w:t>
            </w:r>
          </w:p>
        </w:tc>
        <w:tc>
          <w:tcPr>
            <w:tcW w:w="992" w:type="dxa"/>
            <w:vAlign w:val="center"/>
            <w:hideMark/>
          </w:tcPr>
          <w:p w14:paraId="47D80999"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1,888</w:t>
            </w:r>
          </w:p>
        </w:tc>
        <w:tc>
          <w:tcPr>
            <w:tcW w:w="992" w:type="dxa"/>
            <w:vAlign w:val="center"/>
            <w:hideMark/>
          </w:tcPr>
          <w:p w14:paraId="45F51A35"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1,903</w:t>
            </w:r>
          </w:p>
        </w:tc>
        <w:tc>
          <w:tcPr>
            <w:tcW w:w="992" w:type="dxa"/>
            <w:vAlign w:val="center"/>
            <w:hideMark/>
          </w:tcPr>
          <w:p w14:paraId="66FB451C"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1,937</w:t>
            </w:r>
          </w:p>
        </w:tc>
        <w:tc>
          <w:tcPr>
            <w:tcW w:w="992" w:type="dxa"/>
            <w:vAlign w:val="center"/>
            <w:hideMark/>
          </w:tcPr>
          <w:p w14:paraId="5097258D"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1,971</w:t>
            </w:r>
          </w:p>
        </w:tc>
        <w:tc>
          <w:tcPr>
            <w:tcW w:w="993" w:type="dxa"/>
            <w:vAlign w:val="center"/>
            <w:hideMark/>
          </w:tcPr>
          <w:p w14:paraId="51887F05"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2,006</w:t>
            </w:r>
          </w:p>
        </w:tc>
      </w:tr>
      <w:tr w:rsidR="00D24F54" w:rsidRPr="007E4A43" w14:paraId="5BA6B9D1" w14:textId="77777777" w:rsidTr="00447789">
        <w:trPr>
          <w:trHeight w:val="20"/>
        </w:trPr>
        <w:tc>
          <w:tcPr>
            <w:tcW w:w="2689" w:type="dxa"/>
            <w:vAlign w:val="center"/>
            <w:hideMark/>
          </w:tcPr>
          <w:p w14:paraId="7D3FDBC5" w14:textId="77777777" w:rsidR="00613D63" w:rsidRPr="007E4A43" w:rsidRDefault="00613D63" w:rsidP="00FA0B4A">
            <w:pPr>
              <w:keepNext/>
              <w:spacing w:after="0"/>
              <w:rPr>
                <w:rFonts w:eastAsia="Times New Roman" w:cstheme="minorHAnsi"/>
                <w:color w:val="000000"/>
                <w:sz w:val="20"/>
                <w:szCs w:val="20"/>
              </w:rPr>
            </w:pPr>
            <w:r w:rsidRPr="007E4A43">
              <w:rPr>
                <w:rFonts w:eastAsia="Times New Roman" w:cstheme="minorHAnsi"/>
                <w:color w:val="000000"/>
                <w:sz w:val="20"/>
                <w:szCs w:val="20"/>
                <w:lang w:val="de-DE"/>
              </w:rPr>
              <w:t>Total number of ELX/TEZ/IVA packs dispensed</w:t>
            </w:r>
          </w:p>
        </w:tc>
        <w:tc>
          <w:tcPr>
            <w:tcW w:w="992" w:type="dxa"/>
            <w:vAlign w:val="center"/>
            <w:hideMark/>
          </w:tcPr>
          <w:p w14:paraId="15DF1B5E"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20,324</w:t>
            </w:r>
          </w:p>
        </w:tc>
        <w:tc>
          <w:tcPr>
            <w:tcW w:w="992" w:type="dxa"/>
            <w:vAlign w:val="center"/>
            <w:hideMark/>
          </w:tcPr>
          <w:p w14:paraId="2B298FEF"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22,161</w:t>
            </w:r>
          </w:p>
        </w:tc>
        <w:tc>
          <w:tcPr>
            <w:tcW w:w="992" w:type="dxa"/>
            <w:vAlign w:val="center"/>
            <w:hideMark/>
          </w:tcPr>
          <w:p w14:paraId="748392CC"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22,332</w:t>
            </w:r>
          </w:p>
        </w:tc>
        <w:tc>
          <w:tcPr>
            <w:tcW w:w="992" w:type="dxa"/>
            <w:vAlign w:val="center"/>
            <w:hideMark/>
          </w:tcPr>
          <w:p w14:paraId="76A3872E"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22,736</w:t>
            </w:r>
          </w:p>
        </w:tc>
        <w:tc>
          <w:tcPr>
            <w:tcW w:w="992" w:type="dxa"/>
            <w:vAlign w:val="center"/>
            <w:hideMark/>
          </w:tcPr>
          <w:p w14:paraId="7A85DF47"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23,145</w:t>
            </w:r>
          </w:p>
        </w:tc>
        <w:tc>
          <w:tcPr>
            <w:tcW w:w="993" w:type="dxa"/>
            <w:vAlign w:val="center"/>
            <w:hideMark/>
          </w:tcPr>
          <w:p w14:paraId="7CD39276"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23,559</w:t>
            </w:r>
          </w:p>
        </w:tc>
      </w:tr>
      <w:tr w:rsidR="00613D63" w:rsidRPr="007E4A43" w14:paraId="1F8F28C9" w14:textId="77777777" w:rsidTr="00D24F54">
        <w:trPr>
          <w:trHeight w:val="20"/>
        </w:trPr>
        <w:tc>
          <w:tcPr>
            <w:tcW w:w="8642" w:type="dxa"/>
            <w:gridSpan w:val="7"/>
            <w:shd w:val="clear" w:color="000000" w:fill="D9D9D9"/>
            <w:vAlign w:val="center"/>
            <w:hideMark/>
          </w:tcPr>
          <w:p w14:paraId="263377FF" w14:textId="77777777" w:rsidR="00613D63" w:rsidRPr="007E4A43" w:rsidRDefault="00613D63" w:rsidP="00FA0B4A">
            <w:pPr>
              <w:keepNext/>
              <w:spacing w:after="0"/>
              <w:rPr>
                <w:rFonts w:eastAsia="Times New Roman" w:cstheme="minorHAnsi"/>
                <w:b/>
                <w:bCs/>
                <w:color w:val="000000"/>
                <w:sz w:val="20"/>
                <w:szCs w:val="20"/>
              </w:rPr>
            </w:pPr>
            <w:r w:rsidRPr="007E4A43">
              <w:rPr>
                <w:rFonts w:eastAsia="Times New Roman" w:cstheme="minorHAnsi"/>
                <w:b/>
                <w:bCs/>
                <w:color w:val="000000"/>
                <w:sz w:val="20"/>
                <w:szCs w:val="20"/>
                <w:lang w:val="de-DE"/>
              </w:rPr>
              <w:t>March 2021 pre-PBAC response</w:t>
            </w:r>
          </w:p>
        </w:tc>
      </w:tr>
      <w:tr w:rsidR="00D24F54" w:rsidRPr="007E4A43" w14:paraId="223E8FC3" w14:textId="77777777" w:rsidTr="00447789">
        <w:trPr>
          <w:trHeight w:val="20"/>
        </w:trPr>
        <w:tc>
          <w:tcPr>
            <w:tcW w:w="2689" w:type="dxa"/>
            <w:vAlign w:val="center"/>
            <w:hideMark/>
          </w:tcPr>
          <w:p w14:paraId="521C74DF" w14:textId="77777777" w:rsidR="00613D63" w:rsidRPr="007E4A43" w:rsidRDefault="00613D63" w:rsidP="00FA0B4A">
            <w:pPr>
              <w:keepNext/>
              <w:spacing w:after="0"/>
              <w:rPr>
                <w:rFonts w:eastAsia="Times New Roman" w:cstheme="minorHAnsi"/>
                <w:color w:val="000000"/>
                <w:sz w:val="20"/>
                <w:szCs w:val="20"/>
              </w:rPr>
            </w:pPr>
            <w:r w:rsidRPr="007E4A43">
              <w:rPr>
                <w:rFonts w:eastAsia="Times New Roman" w:cstheme="minorHAnsi"/>
                <w:color w:val="000000"/>
                <w:sz w:val="20"/>
                <w:szCs w:val="20"/>
                <w:lang w:val="de-DE"/>
              </w:rPr>
              <w:t>Total FTE patients receiving ELX/TEZ/IVA</w:t>
            </w:r>
          </w:p>
        </w:tc>
        <w:tc>
          <w:tcPr>
            <w:tcW w:w="992" w:type="dxa"/>
            <w:vAlign w:val="center"/>
            <w:hideMark/>
          </w:tcPr>
          <w:p w14:paraId="28BC5E4A"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1,980</w:t>
            </w:r>
          </w:p>
        </w:tc>
        <w:tc>
          <w:tcPr>
            <w:tcW w:w="992" w:type="dxa"/>
            <w:vAlign w:val="center"/>
            <w:hideMark/>
          </w:tcPr>
          <w:p w14:paraId="5D79F71A"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2,034</w:t>
            </w:r>
          </w:p>
        </w:tc>
        <w:tc>
          <w:tcPr>
            <w:tcW w:w="992" w:type="dxa"/>
            <w:vAlign w:val="center"/>
            <w:hideMark/>
          </w:tcPr>
          <w:p w14:paraId="2B097F75"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2,067</w:t>
            </w:r>
          </w:p>
        </w:tc>
        <w:tc>
          <w:tcPr>
            <w:tcW w:w="992" w:type="dxa"/>
            <w:vAlign w:val="center"/>
            <w:hideMark/>
          </w:tcPr>
          <w:p w14:paraId="266B6B45"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2,101</w:t>
            </w:r>
          </w:p>
        </w:tc>
        <w:tc>
          <w:tcPr>
            <w:tcW w:w="992" w:type="dxa"/>
            <w:vAlign w:val="center"/>
            <w:hideMark/>
          </w:tcPr>
          <w:p w14:paraId="01FEFFA6"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2,134</w:t>
            </w:r>
          </w:p>
        </w:tc>
        <w:tc>
          <w:tcPr>
            <w:tcW w:w="993" w:type="dxa"/>
            <w:vAlign w:val="center"/>
            <w:hideMark/>
          </w:tcPr>
          <w:p w14:paraId="2EA24505"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2,167</w:t>
            </w:r>
          </w:p>
        </w:tc>
      </w:tr>
      <w:tr w:rsidR="00613D63" w:rsidRPr="007E4A43" w14:paraId="77128C53" w14:textId="77777777" w:rsidTr="00D24F54">
        <w:trPr>
          <w:trHeight w:val="20"/>
        </w:trPr>
        <w:tc>
          <w:tcPr>
            <w:tcW w:w="8642" w:type="dxa"/>
            <w:gridSpan w:val="7"/>
            <w:shd w:val="clear" w:color="000000" w:fill="D9D9D9"/>
            <w:vAlign w:val="center"/>
            <w:hideMark/>
          </w:tcPr>
          <w:p w14:paraId="551DE622" w14:textId="77777777" w:rsidR="00613D63" w:rsidRPr="007E4A43" w:rsidRDefault="00613D63" w:rsidP="00FA0B4A">
            <w:pPr>
              <w:keepNext/>
              <w:spacing w:after="0"/>
              <w:rPr>
                <w:rFonts w:eastAsia="Times New Roman" w:cstheme="minorHAnsi"/>
                <w:b/>
                <w:bCs/>
                <w:color w:val="000000"/>
                <w:sz w:val="20"/>
                <w:szCs w:val="20"/>
              </w:rPr>
            </w:pPr>
            <w:r w:rsidRPr="007E4A43">
              <w:rPr>
                <w:rFonts w:eastAsia="Times New Roman" w:cstheme="minorHAnsi"/>
                <w:b/>
                <w:bCs/>
                <w:color w:val="000000"/>
                <w:sz w:val="20"/>
                <w:szCs w:val="20"/>
                <w:lang w:val="de-DE"/>
              </w:rPr>
              <w:t>May 2021 proposal</w:t>
            </w:r>
          </w:p>
        </w:tc>
      </w:tr>
      <w:tr w:rsidR="00D24F54" w:rsidRPr="007E4A43" w14:paraId="57A9267D" w14:textId="77777777" w:rsidTr="00447789">
        <w:trPr>
          <w:trHeight w:val="20"/>
        </w:trPr>
        <w:tc>
          <w:tcPr>
            <w:tcW w:w="2689" w:type="dxa"/>
            <w:vAlign w:val="center"/>
            <w:hideMark/>
          </w:tcPr>
          <w:p w14:paraId="1D9E5486" w14:textId="77777777" w:rsidR="00613D63" w:rsidRPr="007E4A43" w:rsidRDefault="00613D63" w:rsidP="00FA0B4A">
            <w:pPr>
              <w:keepNext/>
              <w:spacing w:after="0"/>
              <w:rPr>
                <w:rFonts w:eastAsia="Times New Roman" w:cstheme="minorHAnsi"/>
                <w:color w:val="000000"/>
                <w:sz w:val="20"/>
                <w:szCs w:val="20"/>
              </w:rPr>
            </w:pPr>
            <w:r w:rsidRPr="007E4A43">
              <w:rPr>
                <w:rFonts w:eastAsia="Times New Roman" w:cstheme="minorHAnsi"/>
                <w:color w:val="000000"/>
                <w:sz w:val="20"/>
                <w:szCs w:val="20"/>
                <w:lang w:val="de-DE"/>
              </w:rPr>
              <w:t>Total FTE patients receiving ELX/TEZ/IVA</w:t>
            </w:r>
          </w:p>
        </w:tc>
        <w:tc>
          <w:tcPr>
            <w:tcW w:w="992" w:type="dxa"/>
            <w:vAlign w:val="center"/>
            <w:hideMark/>
          </w:tcPr>
          <w:p w14:paraId="5E1D62A2"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1,896</w:t>
            </w:r>
          </w:p>
        </w:tc>
        <w:tc>
          <w:tcPr>
            <w:tcW w:w="992" w:type="dxa"/>
            <w:vAlign w:val="center"/>
            <w:hideMark/>
          </w:tcPr>
          <w:p w14:paraId="285DC568"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2,017</w:t>
            </w:r>
          </w:p>
        </w:tc>
        <w:tc>
          <w:tcPr>
            <w:tcW w:w="992" w:type="dxa"/>
            <w:vAlign w:val="center"/>
            <w:hideMark/>
          </w:tcPr>
          <w:p w14:paraId="306AF77B"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2,076</w:t>
            </w:r>
          </w:p>
        </w:tc>
        <w:tc>
          <w:tcPr>
            <w:tcW w:w="992" w:type="dxa"/>
            <w:vAlign w:val="center"/>
            <w:hideMark/>
          </w:tcPr>
          <w:p w14:paraId="12A4F537"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2,116</w:t>
            </w:r>
          </w:p>
        </w:tc>
        <w:tc>
          <w:tcPr>
            <w:tcW w:w="992" w:type="dxa"/>
            <w:vAlign w:val="center"/>
            <w:hideMark/>
          </w:tcPr>
          <w:p w14:paraId="5D5FF60D"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2,153</w:t>
            </w:r>
          </w:p>
        </w:tc>
        <w:tc>
          <w:tcPr>
            <w:tcW w:w="993" w:type="dxa"/>
            <w:vAlign w:val="center"/>
            <w:hideMark/>
          </w:tcPr>
          <w:p w14:paraId="456F3DF8" w14:textId="77777777" w:rsidR="00613D63" w:rsidRPr="007E4A43" w:rsidRDefault="00613D63" w:rsidP="00FA0B4A">
            <w:pPr>
              <w:keepNext/>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2,189</w:t>
            </w:r>
          </w:p>
        </w:tc>
      </w:tr>
      <w:tr w:rsidR="00613D63" w:rsidRPr="007E4A43" w14:paraId="357EB4EE" w14:textId="77777777" w:rsidTr="00D24F54">
        <w:trPr>
          <w:trHeight w:val="20"/>
        </w:trPr>
        <w:tc>
          <w:tcPr>
            <w:tcW w:w="8642" w:type="dxa"/>
            <w:gridSpan w:val="7"/>
            <w:shd w:val="clear" w:color="000000" w:fill="D9D9D9"/>
            <w:vAlign w:val="center"/>
            <w:hideMark/>
          </w:tcPr>
          <w:p w14:paraId="0F36699F" w14:textId="77777777" w:rsidR="00613D63" w:rsidRPr="007E4A43" w:rsidRDefault="00613D63" w:rsidP="00FA0B4A">
            <w:pPr>
              <w:keepNext/>
              <w:spacing w:after="0"/>
              <w:rPr>
                <w:rFonts w:eastAsia="Times New Roman" w:cstheme="minorHAnsi"/>
                <w:b/>
                <w:bCs/>
                <w:color w:val="000000"/>
                <w:sz w:val="20"/>
                <w:szCs w:val="20"/>
              </w:rPr>
            </w:pPr>
            <w:r w:rsidRPr="007E4A43">
              <w:rPr>
                <w:rFonts w:eastAsia="Times New Roman" w:cstheme="minorHAnsi"/>
                <w:b/>
                <w:bCs/>
                <w:color w:val="000000"/>
                <w:sz w:val="20"/>
                <w:szCs w:val="20"/>
                <w:lang w:val="de-DE"/>
              </w:rPr>
              <w:t>Department estimates based on May 2021 PBAC advice</w:t>
            </w:r>
          </w:p>
        </w:tc>
      </w:tr>
      <w:tr w:rsidR="00D24F54" w:rsidRPr="007E4A43" w14:paraId="4255AF56" w14:textId="77777777" w:rsidTr="00447789">
        <w:trPr>
          <w:trHeight w:val="20"/>
        </w:trPr>
        <w:tc>
          <w:tcPr>
            <w:tcW w:w="2689" w:type="dxa"/>
            <w:vAlign w:val="center"/>
            <w:hideMark/>
          </w:tcPr>
          <w:p w14:paraId="58EFE2D4" w14:textId="77777777" w:rsidR="00613D63" w:rsidRPr="007E4A43" w:rsidRDefault="00613D63" w:rsidP="00613D63">
            <w:pPr>
              <w:spacing w:after="0"/>
              <w:rPr>
                <w:rFonts w:eastAsia="Times New Roman" w:cstheme="minorHAnsi"/>
                <w:color w:val="000000"/>
                <w:sz w:val="20"/>
                <w:szCs w:val="20"/>
              </w:rPr>
            </w:pPr>
            <w:r w:rsidRPr="007E4A43">
              <w:rPr>
                <w:rFonts w:eastAsia="Times New Roman" w:cstheme="minorHAnsi"/>
                <w:color w:val="000000"/>
                <w:sz w:val="20"/>
                <w:szCs w:val="20"/>
                <w:lang w:val="de-DE"/>
              </w:rPr>
              <w:t>Total FTE patients receiving ELX/TEZ/IVA</w:t>
            </w:r>
          </w:p>
        </w:tc>
        <w:tc>
          <w:tcPr>
            <w:tcW w:w="992" w:type="dxa"/>
            <w:vAlign w:val="center"/>
            <w:hideMark/>
          </w:tcPr>
          <w:p w14:paraId="05DDCD17" w14:textId="77777777" w:rsidR="00613D63" w:rsidRPr="007E4A43" w:rsidRDefault="00613D63" w:rsidP="00613D63">
            <w:pPr>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1,217</w:t>
            </w:r>
          </w:p>
        </w:tc>
        <w:tc>
          <w:tcPr>
            <w:tcW w:w="992" w:type="dxa"/>
            <w:vAlign w:val="center"/>
            <w:hideMark/>
          </w:tcPr>
          <w:p w14:paraId="29119850" w14:textId="77777777" w:rsidR="00613D63" w:rsidRPr="007E4A43" w:rsidRDefault="00613D63" w:rsidP="00613D63">
            <w:pPr>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1,286</w:t>
            </w:r>
          </w:p>
        </w:tc>
        <w:tc>
          <w:tcPr>
            <w:tcW w:w="992" w:type="dxa"/>
            <w:vAlign w:val="center"/>
            <w:hideMark/>
          </w:tcPr>
          <w:p w14:paraId="230D0E4E" w14:textId="77777777" w:rsidR="00613D63" w:rsidRPr="007E4A43" w:rsidRDefault="00613D63" w:rsidP="00613D63">
            <w:pPr>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1,268</w:t>
            </w:r>
          </w:p>
        </w:tc>
        <w:tc>
          <w:tcPr>
            <w:tcW w:w="992" w:type="dxa"/>
            <w:vAlign w:val="center"/>
            <w:hideMark/>
          </w:tcPr>
          <w:p w14:paraId="46EA86A0" w14:textId="77777777" w:rsidR="00613D63" w:rsidRPr="007E4A43" w:rsidRDefault="00613D63" w:rsidP="00613D63">
            <w:pPr>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1,258</w:t>
            </w:r>
          </w:p>
        </w:tc>
        <w:tc>
          <w:tcPr>
            <w:tcW w:w="992" w:type="dxa"/>
            <w:vAlign w:val="center"/>
            <w:hideMark/>
          </w:tcPr>
          <w:p w14:paraId="2E3B7C1F" w14:textId="77777777" w:rsidR="00613D63" w:rsidRPr="007E4A43" w:rsidRDefault="00613D63" w:rsidP="00613D63">
            <w:pPr>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1,250</w:t>
            </w:r>
          </w:p>
        </w:tc>
        <w:tc>
          <w:tcPr>
            <w:tcW w:w="993" w:type="dxa"/>
            <w:vAlign w:val="center"/>
            <w:hideMark/>
          </w:tcPr>
          <w:p w14:paraId="3B157C7E" w14:textId="77777777" w:rsidR="00613D63" w:rsidRPr="007E4A43" w:rsidRDefault="00613D63" w:rsidP="00613D63">
            <w:pPr>
              <w:spacing w:after="0"/>
              <w:jc w:val="center"/>
              <w:rPr>
                <w:rFonts w:eastAsia="Times New Roman" w:cstheme="minorHAnsi"/>
                <w:color w:val="000000"/>
                <w:sz w:val="20"/>
                <w:szCs w:val="20"/>
              </w:rPr>
            </w:pPr>
            <w:r w:rsidRPr="007E4A43">
              <w:rPr>
                <w:rFonts w:eastAsia="Times New Roman" w:cstheme="minorHAnsi"/>
                <w:color w:val="000000"/>
                <w:sz w:val="20"/>
                <w:szCs w:val="20"/>
                <w:lang w:val="de-DE"/>
              </w:rPr>
              <w:t>1,242</w:t>
            </w:r>
          </w:p>
        </w:tc>
      </w:tr>
    </w:tbl>
    <w:p w14:paraId="15B2A050" w14:textId="77777777" w:rsidR="00B92125" w:rsidRPr="007E4A43" w:rsidRDefault="00B92125" w:rsidP="002B0DF2"/>
    <w:p w14:paraId="7A668FDE" w14:textId="2551F43A" w:rsidR="00113079" w:rsidRPr="007E4A43" w:rsidRDefault="00613D63" w:rsidP="00113079">
      <w:r w:rsidRPr="007E4A43">
        <w:lastRenderedPageBreak/>
        <w:t>The PBAC considered that the eligible patient estimates outlined in the resubmission could be accepted, in the context that: they represented the upper range of likely use based on the total eligible patients derived from the ACFDR numbers; and the sponsor had proposed a unit level rebate to achieve the cost-effective price, as opposed to an arrangement that relied on the estimates being realised in order to achieve a cost-effective price per patient (as for LUM/IVA and TEZ/IVA).</w:t>
      </w:r>
    </w:p>
    <w:p w14:paraId="36622888" w14:textId="223587EC" w:rsidR="000763A5" w:rsidRPr="007E4A43" w:rsidRDefault="000763A5" w:rsidP="00D24F54">
      <w:pPr>
        <w:pStyle w:val="Heading3"/>
        <w:keepNext/>
      </w:pPr>
      <w:r w:rsidRPr="007E4A43">
        <w:t>Predicted versus actual utilisation</w:t>
      </w:r>
    </w:p>
    <w:p w14:paraId="5253B4AD" w14:textId="437088E1" w:rsidR="00016DD3" w:rsidRPr="007E4A43" w:rsidRDefault="00B52EFC" w:rsidP="00B52EFC">
      <w:pPr>
        <w:pStyle w:val="Tabletitle"/>
        <w:keepNext/>
      </w:pPr>
      <w:bookmarkStart w:id="8" w:name="_Ref204784403"/>
      <w:r w:rsidRPr="007E4A43">
        <w:t xml:space="preserve">Table </w:t>
      </w:r>
      <w:r w:rsidRPr="007E4A43">
        <w:fldChar w:fldCharType="begin"/>
      </w:r>
      <w:r w:rsidRPr="007E4A43">
        <w:instrText xml:space="preserve"> SEQ Table \* ARABIC </w:instrText>
      </w:r>
      <w:r w:rsidRPr="007E4A43">
        <w:fldChar w:fldCharType="separate"/>
      </w:r>
      <w:r w:rsidR="0063622F">
        <w:rPr>
          <w:noProof/>
        </w:rPr>
        <w:t>15</w:t>
      </w:r>
      <w:r w:rsidRPr="007E4A43">
        <w:fldChar w:fldCharType="end"/>
      </w:r>
      <w:r w:rsidR="00907DF4" w:rsidRPr="007E4A43">
        <w:t>: Predicted ve</w:t>
      </w:r>
      <w:r w:rsidR="00234417" w:rsidRPr="007E4A43">
        <w:t xml:space="preserve">rsus actual utilisation of </w:t>
      </w:r>
      <w:r w:rsidR="00BA0B62" w:rsidRPr="007E4A43">
        <w:t>ELX/TEZ/IVA</w:t>
      </w:r>
      <w:bookmarkEnd w:id="8"/>
      <w:r w:rsidR="003B0DCA" w:rsidRPr="007E4A43">
        <w:t xml:space="preserve"> for patients aged 12+</w:t>
      </w:r>
    </w:p>
    <w:tbl>
      <w:tblPr>
        <w:tblW w:w="8671" w:type="dxa"/>
        <w:tblInd w:w="113" w:type="dxa"/>
        <w:tblLayout w:type="fixed"/>
        <w:tblLook w:val="04A0" w:firstRow="1" w:lastRow="0" w:firstColumn="1" w:lastColumn="0" w:noHBand="0" w:noVBand="1"/>
      </w:tblPr>
      <w:tblGrid>
        <w:gridCol w:w="1700"/>
        <w:gridCol w:w="1301"/>
        <w:gridCol w:w="1417"/>
        <w:gridCol w:w="1418"/>
        <w:gridCol w:w="1417"/>
        <w:gridCol w:w="1418"/>
      </w:tblGrid>
      <w:tr w:rsidR="004D6C0A" w:rsidRPr="007E4A43" w14:paraId="292BD87E" w14:textId="2D6305BC" w:rsidTr="000164D8">
        <w:trPr>
          <w:trHeight w:val="1035"/>
        </w:trPr>
        <w:tc>
          <w:tcPr>
            <w:tcW w:w="1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56AC979" w14:textId="77777777" w:rsidR="004D6C0A" w:rsidRPr="007E4A43" w:rsidRDefault="004D6C0A" w:rsidP="00016DD3">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 </w:t>
            </w:r>
          </w:p>
        </w:tc>
        <w:tc>
          <w:tcPr>
            <w:tcW w:w="13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CC029C9" w14:textId="77777777" w:rsidR="004D6C0A" w:rsidRPr="007E4A43" w:rsidRDefault="004D6C0A" w:rsidP="00016DD3">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 </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9A8EE7B" w14:textId="77777777" w:rsidR="004D6C0A" w:rsidRPr="007E4A43" w:rsidRDefault="004D6C0A"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1</w:t>
            </w:r>
          </w:p>
          <w:p w14:paraId="130FBD31" w14:textId="0E082610" w:rsidR="004D6C0A" w:rsidRPr="007E4A43" w:rsidRDefault="004D6C0A"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April 2022 to March 2023</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FAD68E" w14:textId="77777777" w:rsidR="004D6C0A" w:rsidRPr="007E4A43" w:rsidRDefault="004D6C0A"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2</w:t>
            </w:r>
          </w:p>
          <w:p w14:paraId="5DD9CAFA" w14:textId="490BD518" w:rsidR="004D6C0A" w:rsidRPr="007E4A43" w:rsidRDefault="004D6C0A"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April 2023 to March 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67F6BD0" w14:textId="77777777" w:rsidR="004D6C0A" w:rsidRPr="007E4A43" w:rsidRDefault="004D6C0A"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3</w:t>
            </w:r>
          </w:p>
          <w:p w14:paraId="074CD248" w14:textId="24F42D6D" w:rsidR="004D6C0A" w:rsidRPr="007E4A43" w:rsidRDefault="004D6C0A"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April 2024 to March 2025</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EEDF31" w14:textId="77777777" w:rsidR="00C31D1D" w:rsidRPr="007E4A43" w:rsidRDefault="00C31D1D"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4</w:t>
            </w:r>
          </w:p>
          <w:p w14:paraId="4ADFBB90" w14:textId="17BAF8FE" w:rsidR="004D6C0A" w:rsidRPr="007E4A43" w:rsidRDefault="00C31D1D" w:rsidP="00C31D1D">
            <w:pPr>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April 2025 to March 2026</w:t>
            </w:r>
          </w:p>
        </w:tc>
      </w:tr>
      <w:tr w:rsidR="003B0DCA" w:rsidRPr="007E4A43" w14:paraId="3FB409D2" w14:textId="042B5AFC" w:rsidTr="008049EC">
        <w:trPr>
          <w:trHeight w:val="20"/>
        </w:trPr>
        <w:tc>
          <w:tcPr>
            <w:tcW w:w="1700" w:type="dxa"/>
            <w:vMerge w:val="restart"/>
            <w:tcBorders>
              <w:top w:val="nil"/>
              <w:left w:val="single" w:sz="4" w:space="0" w:color="auto"/>
              <w:right w:val="single" w:sz="4" w:space="0" w:color="auto"/>
            </w:tcBorders>
            <w:vAlign w:val="center"/>
            <w:hideMark/>
          </w:tcPr>
          <w:p w14:paraId="121D266E" w14:textId="1ECF3034" w:rsidR="003B0DCA" w:rsidRPr="007E4A43" w:rsidRDefault="003B0DCA"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Patients switching from other CFTR modulators</w:t>
            </w:r>
          </w:p>
        </w:tc>
        <w:tc>
          <w:tcPr>
            <w:tcW w:w="1301" w:type="dxa"/>
            <w:tcBorders>
              <w:top w:val="nil"/>
              <w:left w:val="nil"/>
              <w:bottom w:val="single" w:sz="4" w:space="0" w:color="auto"/>
              <w:right w:val="single" w:sz="4" w:space="0" w:color="auto"/>
            </w:tcBorders>
            <w:noWrap/>
            <w:vAlign w:val="bottom"/>
            <w:hideMark/>
          </w:tcPr>
          <w:p w14:paraId="0357F679"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60972F63" w14:textId="6407932C"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951</w:t>
            </w:r>
          </w:p>
        </w:tc>
        <w:tc>
          <w:tcPr>
            <w:tcW w:w="1418" w:type="dxa"/>
            <w:tcBorders>
              <w:top w:val="nil"/>
              <w:left w:val="nil"/>
              <w:bottom w:val="single" w:sz="4" w:space="0" w:color="auto"/>
              <w:right w:val="single" w:sz="4" w:space="0" w:color="auto"/>
            </w:tcBorders>
            <w:shd w:val="clear" w:color="auto" w:fill="F2F2F2" w:themeFill="background1" w:themeFillShade="F2"/>
            <w:noWrap/>
            <w:hideMark/>
          </w:tcPr>
          <w:p w14:paraId="2301C1FB" w14:textId="281647CB"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996</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157B8BEF" w14:textId="3BD33796"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1,015</w:t>
            </w:r>
          </w:p>
        </w:tc>
        <w:tc>
          <w:tcPr>
            <w:tcW w:w="1418" w:type="dxa"/>
            <w:tcBorders>
              <w:top w:val="nil"/>
              <w:left w:val="nil"/>
              <w:bottom w:val="single" w:sz="4" w:space="0" w:color="auto"/>
              <w:right w:val="single" w:sz="4" w:space="0" w:color="auto"/>
            </w:tcBorders>
            <w:shd w:val="clear" w:color="auto" w:fill="F2F2F2" w:themeFill="background1" w:themeFillShade="F2"/>
          </w:tcPr>
          <w:p w14:paraId="0E4E1698" w14:textId="37A4FC34"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1,034</w:t>
            </w:r>
          </w:p>
        </w:tc>
      </w:tr>
      <w:tr w:rsidR="003B0DCA" w:rsidRPr="007E4A43" w14:paraId="0E243835" w14:textId="64C57CAA" w:rsidTr="00A033B2">
        <w:trPr>
          <w:trHeight w:val="20"/>
        </w:trPr>
        <w:tc>
          <w:tcPr>
            <w:tcW w:w="1700" w:type="dxa"/>
            <w:vMerge/>
            <w:tcBorders>
              <w:left w:val="single" w:sz="4" w:space="0" w:color="auto"/>
              <w:right w:val="single" w:sz="4" w:space="0" w:color="auto"/>
            </w:tcBorders>
            <w:vAlign w:val="center"/>
            <w:hideMark/>
          </w:tcPr>
          <w:p w14:paraId="78E98764" w14:textId="2D087761" w:rsidR="003B0DCA" w:rsidRPr="007E4A43" w:rsidRDefault="003B0DCA" w:rsidP="00A033B2">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31FBF9D2"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7" w:type="dxa"/>
            <w:tcBorders>
              <w:top w:val="nil"/>
              <w:left w:val="nil"/>
              <w:bottom w:val="single" w:sz="4" w:space="0" w:color="auto"/>
              <w:right w:val="single" w:sz="4" w:space="0" w:color="auto"/>
            </w:tcBorders>
            <w:noWrap/>
            <w:hideMark/>
          </w:tcPr>
          <w:p w14:paraId="2AABB5BF" w14:textId="1DCD3C29"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1,351</w:t>
            </w:r>
          </w:p>
        </w:tc>
        <w:tc>
          <w:tcPr>
            <w:tcW w:w="1418" w:type="dxa"/>
            <w:tcBorders>
              <w:top w:val="nil"/>
              <w:left w:val="nil"/>
              <w:bottom w:val="single" w:sz="4" w:space="0" w:color="auto"/>
              <w:right w:val="single" w:sz="4" w:space="0" w:color="auto"/>
            </w:tcBorders>
            <w:noWrap/>
            <w:hideMark/>
          </w:tcPr>
          <w:p w14:paraId="18682CAB" w14:textId="6B9533AC"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1,382</w:t>
            </w:r>
          </w:p>
        </w:tc>
        <w:tc>
          <w:tcPr>
            <w:tcW w:w="1417" w:type="dxa"/>
            <w:tcBorders>
              <w:top w:val="nil"/>
              <w:left w:val="nil"/>
              <w:bottom w:val="single" w:sz="4" w:space="0" w:color="auto"/>
              <w:right w:val="single" w:sz="4" w:space="0" w:color="auto"/>
            </w:tcBorders>
            <w:noWrap/>
            <w:hideMark/>
          </w:tcPr>
          <w:p w14:paraId="6F864C26" w14:textId="3108394E"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1,388</w:t>
            </w:r>
          </w:p>
        </w:tc>
        <w:tc>
          <w:tcPr>
            <w:tcW w:w="1418" w:type="dxa"/>
            <w:tcBorders>
              <w:top w:val="nil"/>
              <w:left w:val="nil"/>
              <w:bottom w:val="single" w:sz="4" w:space="0" w:color="auto"/>
              <w:right w:val="single" w:sz="4" w:space="0" w:color="auto"/>
            </w:tcBorders>
          </w:tcPr>
          <w:p w14:paraId="074C6F7C" w14:textId="4F6C2A23"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1,247</w:t>
            </w:r>
          </w:p>
        </w:tc>
      </w:tr>
      <w:tr w:rsidR="003B0DCA" w:rsidRPr="007E4A43" w14:paraId="4333D97E" w14:textId="1A5DA6D7" w:rsidTr="00A033B2">
        <w:trPr>
          <w:trHeight w:val="20"/>
        </w:trPr>
        <w:tc>
          <w:tcPr>
            <w:tcW w:w="1700" w:type="dxa"/>
            <w:vMerge/>
            <w:tcBorders>
              <w:left w:val="single" w:sz="4" w:space="0" w:color="auto"/>
              <w:bottom w:val="single" w:sz="4" w:space="0" w:color="auto"/>
              <w:right w:val="single" w:sz="4" w:space="0" w:color="auto"/>
            </w:tcBorders>
            <w:vAlign w:val="center"/>
            <w:hideMark/>
          </w:tcPr>
          <w:p w14:paraId="1E8CFA09" w14:textId="1FEC8FB7" w:rsidR="003B0DCA" w:rsidRPr="007E4A43" w:rsidRDefault="003B0DCA" w:rsidP="00A033B2">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2160E843"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7" w:type="dxa"/>
            <w:tcBorders>
              <w:top w:val="nil"/>
              <w:left w:val="nil"/>
              <w:bottom w:val="single" w:sz="4" w:space="0" w:color="auto"/>
              <w:right w:val="single" w:sz="4" w:space="0" w:color="auto"/>
            </w:tcBorders>
            <w:noWrap/>
            <w:hideMark/>
          </w:tcPr>
          <w:p w14:paraId="1DBB26A3" w14:textId="70808F56"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42%</w:t>
            </w:r>
          </w:p>
        </w:tc>
        <w:tc>
          <w:tcPr>
            <w:tcW w:w="1418" w:type="dxa"/>
            <w:tcBorders>
              <w:top w:val="nil"/>
              <w:left w:val="nil"/>
              <w:bottom w:val="single" w:sz="4" w:space="0" w:color="auto"/>
              <w:right w:val="single" w:sz="4" w:space="0" w:color="auto"/>
            </w:tcBorders>
            <w:noWrap/>
            <w:hideMark/>
          </w:tcPr>
          <w:p w14:paraId="2FC5FBF4" w14:textId="0F07C9DC"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39%</w:t>
            </w:r>
          </w:p>
        </w:tc>
        <w:tc>
          <w:tcPr>
            <w:tcW w:w="1417" w:type="dxa"/>
            <w:tcBorders>
              <w:top w:val="nil"/>
              <w:left w:val="nil"/>
              <w:bottom w:val="single" w:sz="4" w:space="0" w:color="auto"/>
              <w:right w:val="single" w:sz="4" w:space="0" w:color="auto"/>
            </w:tcBorders>
            <w:noWrap/>
            <w:hideMark/>
          </w:tcPr>
          <w:p w14:paraId="595F9715" w14:textId="38D7BAE3"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37%</w:t>
            </w:r>
          </w:p>
        </w:tc>
        <w:tc>
          <w:tcPr>
            <w:tcW w:w="1418" w:type="dxa"/>
            <w:tcBorders>
              <w:top w:val="nil"/>
              <w:left w:val="nil"/>
              <w:bottom w:val="single" w:sz="4" w:space="0" w:color="auto"/>
              <w:right w:val="single" w:sz="4" w:space="0" w:color="auto"/>
            </w:tcBorders>
          </w:tcPr>
          <w:p w14:paraId="15D641D4" w14:textId="4729789F"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21%</w:t>
            </w:r>
          </w:p>
        </w:tc>
      </w:tr>
      <w:tr w:rsidR="003B0DCA" w:rsidRPr="007E4A43" w14:paraId="3DAF1BF5" w14:textId="57A80C93" w:rsidTr="00A033B2">
        <w:trPr>
          <w:trHeight w:val="20"/>
        </w:trPr>
        <w:tc>
          <w:tcPr>
            <w:tcW w:w="1700" w:type="dxa"/>
            <w:vMerge w:val="restart"/>
            <w:tcBorders>
              <w:top w:val="nil"/>
              <w:left w:val="single" w:sz="4" w:space="0" w:color="auto"/>
              <w:right w:val="single" w:sz="4" w:space="0" w:color="auto"/>
            </w:tcBorders>
            <w:vAlign w:val="center"/>
            <w:hideMark/>
          </w:tcPr>
          <w:p w14:paraId="372BA0F3" w14:textId="73CD7278" w:rsidR="003B0DCA" w:rsidRPr="007E4A43" w:rsidRDefault="003B0DCA"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Patients new to CFTR modulators</w:t>
            </w:r>
          </w:p>
        </w:tc>
        <w:tc>
          <w:tcPr>
            <w:tcW w:w="1301" w:type="dxa"/>
            <w:tcBorders>
              <w:top w:val="nil"/>
              <w:left w:val="nil"/>
              <w:bottom w:val="single" w:sz="4" w:space="0" w:color="auto"/>
              <w:right w:val="single" w:sz="4" w:space="0" w:color="auto"/>
            </w:tcBorders>
            <w:noWrap/>
            <w:vAlign w:val="bottom"/>
            <w:hideMark/>
          </w:tcPr>
          <w:p w14:paraId="1FCA4C84"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7" w:type="dxa"/>
            <w:tcBorders>
              <w:top w:val="nil"/>
              <w:left w:val="nil"/>
              <w:bottom w:val="single" w:sz="4" w:space="0" w:color="auto"/>
              <w:right w:val="single" w:sz="4" w:space="0" w:color="auto"/>
            </w:tcBorders>
            <w:noWrap/>
            <w:hideMark/>
          </w:tcPr>
          <w:p w14:paraId="2EE62D4F" w14:textId="3840C4B2"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779</w:t>
            </w:r>
          </w:p>
        </w:tc>
        <w:tc>
          <w:tcPr>
            <w:tcW w:w="1418" w:type="dxa"/>
            <w:tcBorders>
              <w:top w:val="nil"/>
              <w:left w:val="nil"/>
              <w:bottom w:val="single" w:sz="4" w:space="0" w:color="auto"/>
              <w:right w:val="single" w:sz="4" w:space="0" w:color="auto"/>
            </w:tcBorders>
            <w:noWrap/>
            <w:hideMark/>
          </w:tcPr>
          <w:p w14:paraId="4F6502DE" w14:textId="0CE54470"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962</w:t>
            </w:r>
          </w:p>
        </w:tc>
        <w:tc>
          <w:tcPr>
            <w:tcW w:w="1417" w:type="dxa"/>
            <w:tcBorders>
              <w:top w:val="nil"/>
              <w:left w:val="nil"/>
              <w:bottom w:val="single" w:sz="4" w:space="0" w:color="auto"/>
              <w:right w:val="single" w:sz="4" w:space="0" w:color="auto"/>
            </w:tcBorders>
            <w:noWrap/>
            <w:hideMark/>
          </w:tcPr>
          <w:p w14:paraId="712BF050" w14:textId="73A9D576"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951</w:t>
            </w:r>
          </w:p>
        </w:tc>
        <w:tc>
          <w:tcPr>
            <w:tcW w:w="1418" w:type="dxa"/>
            <w:tcBorders>
              <w:top w:val="nil"/>
              <w:left w:val="nil"/>
              <w:bottom w:val="single" w:sz="4" w:space="0" w:color="auto"/>
              <w:right w:val="single" w:sz="4" w:space="0" w:color="auto"/>
            </w:tcBorders>
          </w:tcPr>
          <w:p w14:paraId="64F743D5" w14:textId="213B4F1D"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965</w:t>
            </w:r>
          </w:p>
        </w:tc>
      </w:tr>
      <w:tr w:rsidR="003B0DCA" w:rsidRPr="007E4A43" w14:paraId="69C42C82" w14:textId="7CF239D0" w:rsidTr="00A033B2">
        <w:trPr>
          <w:trHeight w:val="20"/>
        </w:trPr>
        <w:tc>
          <w:tcPr>
            <w:tcW w:w="1700" w:type="dxa"/>
            <w:vMerge/>
            <w:tcBorders>
              <w:left w:val="single" w:sz="4" w:space="0" w:color="auto"/>
              <w:right w:val="single" w:sz="4" w:space="0" w:color="auto"/>
            </w:tcBorders>
            <w:vAlign w:val="center"/>
            <w:hideMark/>
          </w:tcPr>
          <w:p w14:paraId="01D05941" w14:textId="290A3405" w:rsidR="003B0DCA" w:rsidRPr="007E4A43" w:rsidRDefault="003B0DCA" w:rsidP="00A033B2">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30FCBE86"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7" w:type="dxa"/>
            <w:tcBorders>
              <w:top w:val="nil"/>
              <w:left w:val="nil"/>
              <w:bottom w:val="single" w:sz="4" w:space="0" w:color="auto"/>
              <w:right w:val="single" w:sz="4" w:space="0" w:color="auto"/>
            </w:tcBorders>
            <w:noWrap/>
            <w:hideMark/>
          </w:tcPr>
          <w:p w14:paraId="6B25DF17" w14:textId="4EEF8DF4"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808</w:t>
            </w:r>
          </w:p>
        </w:tc>
        <w:tc>
          <w:tcPr>
            <w:tcW w:w="1418" w:type="dxa"/>
            <w:tcBorders>
              <w:top w:val="nil"/>
              <w:left w:val="nil"/>
              <w:bottom w:val="single" w:sz="4" w:space="0" w:color="auto"/>
              <w:right w:val="single" w:sz="4" w:space="0" w:color="auto"/>
            </w:tcBorders>
            <w:noWrap/>
            <w:hideMark/>
          </w:tcPr>
          <w:p w14:paraId="26EC5FFB" w14:textId="59D5392A"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851</w:t>
            </w:r>
          </w:p>
        </w:tc>
        <w:tc>
          <w:tcPr>
            <w:tcW w:w="1417" w:type="dxa"/>
            <w:tcBorders>
              <w:top w:val="nil"/>
              <w:left w:val="nil"/>
              <w:bottom w:val="single" w:sz="4" w:space="0" w:color="auto"/>
              <w:right w:val="single" w:sz="4" w:space="0" w:color="auto"/>
            </w:tcBorders>
            <w:noWrap/>
            <w:hideMark/>
          </w:tcPr>
          <w:p w14:paraId="552AE5F1" w14:textId="45D6222A"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921</w:t>
            </w:r>
          </w:p>
        </w:tc>
        <w:tc>
          <w:tcPr>
            <w:tcW w:w="1418" w:type="dxa"/>
            <w:tcBorders>
              <w:top w:val="nil"/>
              <w:left w:val="nil"/>
              <w:bottom w:val="single" w:sz="4" w:space="0" w:color="auto"/>
              <w:right w:val="single" w:sz="4" w:space="0" w:color="auto"/>
            </w:tcBorders>
          </w:tcPr>
          <w:p w14:paraId="73A0CEEE" w14:textId="1244F930"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824</w:t>
            </w:r>
          </w:p>
        </w:tc>
      </w:tr>
      <w:tr w:rsidR="003B0DCA" w:rsidRPr="007E4A43" w14:paraId="6C7BEC8B" w14:textId="7B2F6FBA" w:rsidTr="00A033B2">
        <w:trPr>
          <w:trHeight w:val="20"/>
        </w:trPr>
        <w:tc>
          <w:tcPr>
            <w:tcW w:w="1700" w:type="dxa"/>
            <w:vMerge/>
            <w:tcBorders>
              <w:left w:val="single" w:sz="4" w:space="0" w:color="auto"/>
              <w:bottom w:val="single" w:sz="4" w:space="0" w:color="auto"/>
              <w:right w:val="single" w:sz="4" w:space="0" w:color="auto"/>
            </w:tcBorders>
            <w:vAlign w:val="center"/>
            <w:hideMark/>
          </w:tcPr>
          <w:p w14:paraId="25EC6EE4" w14:textId="6DA216C3" w:rsidR="003B0DCA" w:rsidRPr="007E4A43" w:rsidRDefault="003B0DCA" w:rsidP="00A033B2">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7A66D75F"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7" w:type="dxa"/>
            <w:tcBorders>
              <w:top w:val="nil"/>
              <w:left w:val="nil"/>
              <w:bottom w:val="single" w:sz="4" w:space="0" w:color="auto"/>
              <w:right w:val="single" w:sz="4" w:space="0" w:color="auto"/>
            </w:tcBorders>
            <w:noWrap/>
            <w:hideMark/>
          </w:tcPr>
          <w:p w14:paraId="566160B4" w14:textId="16EA1AE7"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4%</w:t>
            </w:r>
          </w:p>
        </w:tc>
        <w:tc>
          <w:tcPr>
            <w:tcW w:w="1418" w:type="dxa"/>
            <w:tcBorders>
              <w:top w:val="nil"/>
              <w:left w:val="nil"/>
              <w:bottom w:val="single" w:sz="4" w:space="0" w:color="auto"/>
              <w:right w:val="single" w:sz="4" w:space="0" w:color="auto"/>
            </w:tcBorders>
            <w:noWrap/>
            <w:hideMark/>
          </w:tcPr>
          <w:p w14:paraId="70C7C9B5" w14:textId="2419C0E6"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-12%</w:t>
            </w:r>
          </w:p>
        </w:tc>
        <w:tc>
          <w:tcPr>
            <w:tcW w:w="1417" w:type="dxa"/>
            <w:tcBorders>
              <w:top w:val="nil"/>
              <w:left w:val="nil"/>
              <w:bottom w:val="single" w:sz="4" w:space="0" w:color="auto"/>
              <w:right w:val="single" w:sz="4" w:space="0" w:color="auto"/>
            </w:tcBorders>
            <w:noWrap/>
            <w:hideMark/>
          </w:tcPr>
          <w:p w14:paraId="3B92094F" w14:textId="171CFCFC"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-3%</w:t>
            </w:r>
          </w:p>
        </w:tc>
        <w:tc>
          <w:tcPr>
            <w:tcW w:w="1418" w:type="dxa"/>
            <w:tcBorders>
              <w:top w:val="nil"/>
              <w:left w:val="nil"/>
              <w:bottom w:val="single" w:sz="4" w:space="0" w:color="auto"/>
              <w:right w:val="single" w:sz="4" w:space="0" w:color="auto"/>
            </w:tcBorders>
          </w:tcPr>
          <w:p w14:paraId="65DE28BB" w14:textId="0CC90D1A"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-15%</w:t>
            </w:r>
          </w:p>
        </w:tc>
      </w:tr>
      <w:tr w:rsidR="003B0DCA" w:rsidRPr="007E4A43" w14:paraId="5FA7BEEC" w14:textId="16CD7902" w:rsidTr="00A033B2">
        <w:trPr>
          <w:trHeight w:val="20"/>
        </w:trPr>
        <w:tc>
          <w:tcPr>
            <w:tcW w:w="1700" w:type="dxa"/>
            <w:vMerge w:val="restart"/>
            <w:tcBorders>
              <w:top w:val="nil"/>
              <w:left w:val="single" w:sz="4" w:space="0" w:color="auto"/>
              <w:right w:val="single" w:sz="4" w:space="0" w:color="auto"/>
            </w:tcBorders>
            <w:vAlign w:val="center"/>
            <w:hideMark/>
          </w:tcPr>
          <w:p w14:paraId="692E9052" w14:textId="308CA429" w:rsidR="003B0DCA" w:rsidRPr="007E4A43" w:rsidRDefault="003B0DCA"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Total patients</w:t>
            </w:r>
          </w:p>
        </w:tc>
        <w:tc>
          <w:tcPr>
            <w:tcW w:w="1301" w:type="dxa"/>
            <w:tcBorders>
              <w:top w:val="nil"/>
              <w:left w:val="nil"/>
              <w:bottom w:val="single" w:sz="4" w:space="0" w:color="auto"/>
              <w:right w:val="single" w:sz="4" w:space="0" w:color="auto"/>
            </w:tcBorders>
            <w:noWrap/>
            <w:vAlign w:val="bottom"/>
            <w:hideMark/>
          </w:tcPr>
          <w:p w14:paraId="3A63957F"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7" w:type="dxa"/>
            <w:tcBorders>
              <w:top w:val="nil"/>
              <w:left w:val="nil"/>
              <w:bottom w:val="single" w:sz="4" w:space="0" w:color="auto"/>
              <w:right w:val="single" w:sz="4" w:space="0" w:color="auto"/>
            </w:tcBorders>
            <w:noWrap/>
            <w:hideMark/>
          </w:tcPr>
          <w:p w14:paraId="196AFEB5" w14:textId="6589A6EA"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1,730</w:t>
            </w:r>
          </w:p>
        </w:tc>
        <w:tc>
          <w:tcPr>
            <w:tcW w:w="1418" w:type="dxa"/>
            <w:tcBorders>
              <w:top w:val="nil"/>
              <w:left w:val="nil"/>
              <w:bottom w:val="single" w:sz="4" w:space="0" w:color="auto"/>
              <w:right w:val="single" w:sz="4" w:space="0" w:color="auto"/>
            </w:tcBorders>
            <w:noWrap/>
            <w:hideMark/>
          </w:tcPr>
          <w:p w14:paraId="38BA29DD" w14:textId="55EC31AA"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1,959</w:t>
            </w:r>
          </w:p>
        </w:tc>
        <w:tc>
          <w:tcPr>
            <w:tcW w:w="1417" w:type="dxa"/>
            <w:tcBorders>
              <w:top w:val="nil"/>
              <w:left w:val="nil"/>
              <w:bottom w:val="single" w:sz="4" w:space="0" w:color="auto"/>
              <w:right w:val="single" w:sz="4" w:space="0" w:color="auto"/>
            </w:tcBorders>
            <w:noWrap/>
            <w:hideMark/>
          </w:tcPr>
          <w:p w14:paraId="58E4E165" w14:textId="238B2793"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1,966</w:t>
            </w:r>
          </w:p>
        </w:tc>
        <w:tc>
          <w:tcPr>
            <w:tcW w:w="1418" w:type="dxa"/>
            <w:tcBorders>
              <w:top w:val="nil"/>
              <w:left w:val="nil"/>
              <w:bottom w:val="single" w:sz="4" w:space="0" w:color="auto"/>
              <w:right w:val="single" w:sz="4" w:space="0" w:color="auto"/>
            </w:tcBorders>
          </w:tcPr>
          <w:p w14:paraId="63A80ADB" w14:textId="039952FD"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1,999</w:t>
            </w:r>
          </w:p>
        </w:tc>
      </w:tr>
      <w:tr w:rsidR="003B0DCA" w:rsidRPr="007E4A43" w14:paraId="2B739185" w14:textId="40B55830" w:rsidTr="00A033B2">
        <w:trPr>
          <w:trHeight w:val="20"/>
        </w:trPr>
        <w:tc>
          <w:tcPr>
            <w:tcW w:w="1700" w:type="dxa"/>
            <w:vMerge/>
            <w:tcBorders>
              <w:left w:val="single" w:sz="4" w:space="0" w:color="auto"/>
              <w:right w:val="single" w:sz="4" w:space="0" w:color="auto"/>
            </w:tcBorders>
            <w:vAlign w:val="center"/>
            <w:hideMark/>
          </w:tcPr>
          <w:p w14:paraId="41545EC4" w14:textId="41C72552" w:rsidR="003B0DCA" w:rsidRPr="007E4A43" w:rsidRDefault="003B0DCA" w:rsidP="00A033B2">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5CC468C8"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7" w:type="dxa"/>
            <w:tcBorders>
              <w:top w:val="nil"/>
              <w:left w:val="nil"/>
              <w:bottom w:val="single" w:sz="4" w:space="0" w:color="auto"/>
              <w:right w:val="single" w:sz="4" w:space="0" w:color="auto"/>
            </w:tcBorders>
            <w:noWrap/>
            <w:hideMark/>
          </w:tcPr>
          <w:p w14:paraId="75F4A9DA" w14:textId="6CD55DC9"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2,159</w:t>
            </w:r>
          </w:p>
        </w:tc>
        <w:tc>
          <w:tcPr>
            <w:tcW w:w="1418" w:type="dxa"/>
            <w:tcBorders>
              <w:top w:val="nil"/>
              <w:left w:val="nil"/>
              <w:bottom w:val="single" w:sz="4" w:space="0" w:color="auto"/>
              <w:right w:val="single" w:sz="4" w:space="0" w:color="auto"/>
            </w:tcBorders>
            <w:noWrap/>
            <w:hideMark/>
          </w:tcPr>
          <w:p w14:paraId="4625114C" w14:textId="613A1B0D"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2,233</w:t>
            </w:r>
          </w:p>
        </w:tc>
        <w:tc>
          <w:tcPr>
            <w:tcW w:w="1417" w:type="dxa"/>
            <w:tcBorders>
              <w:top w:val="nil"/>
              <w:left w:val="nil"/>
              <w:bottom w:val="single" w:sz="4" w:space="0" w:color="auto"/>
              <w:right w:val="single" w:sz="4" w:space="0" w:color="auto"/>
            </w:tcBorders>
            <w:noWrap/>
            <w:hideMark/>
          </w:tcPr>
          <w:p w14:paraId="17156941" w14:textId="2C79FBC2"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2,309</w:t>
            </w:r>
          </w:p>
        </w:tc>
        <w:tc>
          <w:tcPr>
            <w:tcW w:w="1418" w:type="dxa"/>
            <w:tcBorders>
              <w:top w:val="nil"/>
              <w:left w:val="nil"/>
              <w:bottom w:val="single" w:sz="4" w:space="0" w:color="auto"/>
              <w:right w:val="single" w:sz="4" w:space="0" w:color="auto"/>
            </w:tcBorders>
          </w:tcPr>
          <w:p w14:paraId="0805011B" w14:textId="2C117852"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2,071</w:t>
            </w:r>
          </w:p>
        </w:tc>
      </w:tr>
      <w:tr w:rsidR="003B0DCA" w:rsidRPr="007E4A43" w14:paraId="3C59E0E8" w14:textId="43083037" w:rsidTr="00A033B2">
        <w:trPr>
          <w:trHeight w:val="20"/>
        </w:trPr>
        <w:tc>
          <w:tcPr>
            <w:tcW w:w="1700" w:type="dxa"/>
            <w:vMerge/>
            <w:tcBorders>
              <w:left w:val="single" w:sz="4" w:space="0" w:color="auto"/>
              <w:bottom w:val="single" w:sz="4" w:space="0" w:color="auto"/>
              <w:right w:val="single" w:sz="4" w:space="0" w:color="auto"/>
            </w:tcBorders>
            <w:vAlign w:val="center"/>
            <w:hideMark/>
          </w:tcPr>
          <w:p w14:paraId="0BA269EB" w14:textId="75002557" w:rsidR="003B0DCA" w:rsidRPr="007E4A43" w:rsidRDefault="003B0DCA" w:rsidP="00A033B2">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70C62499"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7" w:type="dxa"/>
            <w:tcBorders>
              <w:top w:val="nil"/>
              <w:left w:val="nil"/>
              <w:bottom w:val="single" w:sz="4" w:space="0" w:color="auto"/>
              <w:right w:val="single" w:sz="4" w:space="0" w:color="auto"/>
            </w:tcBorders>
            <w:noWrap/>
            <w:hideMark/>
          </w:tcPr>
          <w:p w14:paraId="7C7705AD" w14:textId="45D5C269"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25%</w:t>
            </w:r>
          </w:p>
        </w:tc>
        <w:tc>
          <w:tcPr>
            <w:tcW w:w="1418" w:type="dxa"/>
            <w:tcBorders>
              <w:top w:val="nil"/>
              <w:left w:val="nil"/>
              <w:bottom w:val="single" w:sz="4" w:space="0" w:color="auto"/>
              <w:right w:val="single" w:sz="4" w:space="0" w:color="auto"/>
            </w:tcBorders>
            <w:noWrap/>
            <w:hideMark/>
          </w:tcPr>
          <w:p w14:paraId="7D21C70A" w14:textId="401A23A2"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14%</w:t>
            </w:r>
          </w:p>
        </w:tc>
        <w:tc>
          <w:tcPr>
            <w:tcW w:w="1417" w:type="dxa"/>
            <w:tcBorders>
              <w:top w:val="nil"/>
              <w:left w:val="nil"/>
              <w:bottom w:val="single" w:sz="4" w:space="0" w:color="auto"/>
              <w:right w:val="single" w:sz="4" w:space="0" w:color="auto"/>
            </w:tcBorders>
            <w:noWrap/>
            <w:hideMark/>
          </w:tcPr>
          <w:p w14:paraId="13DDBAF4" w14:textId="6E0139FA"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17%</w:t>
            </w:r>
          </w:p>
        </w:tc>
        <w:tc>
          <w:tcPr>
            <w:tcW w:w="1418" w:type="dxa"/>
            <w:tcBorders>
              <w:top w:val="nil"/>
              <w:left w:val="nil"/>
              <w:bottom w:val="single" w:sz="4" w:space="0" w:color="auto"/>
              <w:right w:val="single" w:sz="4" w:space="0" w:color="auto"/>
            </w:tcBorders>
          </w:tcPr>
          <w:p w14:paraId="2C2E8BCB" w14:textId="1D0543A8" w:rsidR="003B0DCA" w:rsidRPr="007E4A43" w:rsidRDefault="000B6149" w:rsidP="003B0DCA">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4%</w:t>
            </w:r>
          </w:p>
        </w:tc>
      </w:tr>
      <w:tr w:rsidR="003B0DCA" w:rsidRPr="007E4A43" w14:paraId="6FD64749" w14:textId="10B5AE1C" w:rsidTr="00A033B2">
        <w:trPr>
          <w:trHeight w:val="20"/>
        </w:trPr>
        <w:tc>
          <w:tcPr>
            <w:tcW w:w="1700" w:type="dxa"/>
            <w:vMerge w:val="restart"/>
            <w:tcBorders>
              <w:top w:val="nil"/>
              <w:left w:val="single" w:sz="4" w:space="0" w:color="auto"/>
              <w:right w:val="single" w:sz="4" w:space="0" w:color="auto"/>
            </w:tcBorders>
            <w:vAlign w:val="center"/>
            <w:hideMark/>
          </w:tcPr>
          <w:p w14:paraId="5F15FBF2" w14:textId="0DD8F7C0" w:rsidR="003B0DCA" w:rsidRPr="007E4A43" w:rsidRDefault="003B0DCA"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Prescriptions</w:t>
            </w:r>
          </w:p>
        </w:tc>
        <w:tc>
          <w:tcPr>
            <w:tcW w:w="1301" w:type="dxa"/>
            <w:tcBorders>
              <w:top w:val="nil"/>
              <w:left w:val="nil"/>
              <w:bottom w:val="single" w:sz="4" w:space="0" w:color="auto"/>
              <w:right w:val="single" w:sz="4" w:space="0" w:color="auto"/>
            </w:tcBorders>
            <w:noWrap/>
            <w:vAlign w:val="bottom"/>
            <w:hideMark/>
          </w:tcPr>
          <w:p w14:paraId="696F60AF"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7" w:type="dxa"/>
            <w:tcBorders>
              <w:top w:val="nil"/>
              <w:left w:val="nil"/>
              <w:bottom w:val="single" w:sz="4" w:space="0" w:color="auto"/>
              <w:right w:val="single" w:sz="4" w:space="0" w:color="auto"/>
            </w:tcBorders>
            <w:noWrap/>
            <w:hideMark/>
          </w:tcPr>
          <w:p w14:paraId="70DCF762" w14:textId="507BCEBF"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20,314</w:t>
            </w:r>
          </w:p>
        </w:tc>
        <w:tc>
          <w:tcPr>
            <w:tcW w:w="1418" w:type="dxa"/>
            <w:tcBorders>
              <w:top w:val="nil"/>
              <w:left w:val="nil"/>
              <w:bottom w:val="single" w:sz="4" w:space="0" w:color="auto"/>
              <w:right w:val="single" w:sz="4" w:space="0" w:color="auto"/>
            </w:tcBorders>
            <w:noWrap/>
            <w:hideMark/>
          </w:tcPr>
          <w:p w14:paraId="680B5453" w14:textId="0D2CA8D4"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22,990</w:t>
            </w:r>
          </w:p>
        </w:tc>
        <w:tc>
          <w:tcPr>
            <w:tcW w:w="1417" w:type="dxa"/>
            <w:tcBorders>
              <w:top w:val="nil"/>
              <w:left w:val="nil"/>
              <w:bottom w:val="single" w:sz="4" w:space="0" w:color="auto"/>
              <w:right w:val="single" w:sz="4" w:space="0" w:color="auto"/>
            </w:tcBorders>
            <w:noWrap/>
            <w:hideMark/>
          </w:tcPr>
          <w:p w14:paraId="15AED962" w14:textId="5EBC14A5"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23,073</w:t>
            </w:r>
          </w:p>
        </w:tc>
        <w:tc>
          <w:tcPr>
            <w:tcW w:w="1418" w:type="dxa"/>
            <w:tcBorders>
              <w:top w:val="nil"/>
              <w:left w:val="nil"/>
              <w:bottom w:val="single" w:sz="4" w:space="0" w:color="auto"/>
              <w:right w:val="single" w:sz="4" w:space="0" w:color="auto"/>
            </w:tcBorders>
          </w:tcPr>
          <w:p w14:paraId="24E526F7" w14:textId="3541B569" w:rsidR="003B0DCA" w:rsidRPr="007E4A43" w:rsidRDefault="003B0DCA" w:rsidP="003B0DCA">
            <w:pPr>
              <w:spacing w:after="0"/>
              <w:jc w:val="right"/>
              <w:rPr>
                <w:rFonts w:ascii="Calibri" w:eastAsia="Times New Roman" w:hAnsi="Calibri" w:cs="Calibri"/>
                <w:color w:val="000000"/>
                <w:sz w:val="20"/>
                <w:szCs w:val="20"/>
              </w:rPr>
            </w:pPr>
            <w:r w:rsidRPr="007E4A43">
              <w:rPr>
                <w:sz w:val="20"/>
                <w:szCs w:val="20"/>
              </w:rPr>
              <w:t>23,073</w:t>
            </w:r>
          </w:p>
        </w:tc>
      </w:tr>
      <w:tr w:rsidR="003B0DCA" w:rsidRPr="007E4A43" w14:paraId="57C7F8EC" w14:textId="06148D74" w:rsidTr="00A033B2">
        <w:trPr>
          <w:trHeight w:val="153"/>
        </w:trPr>
        <w:tc>
          <w:tcPr>
            <w:tcW w:w="1700" w:type="dxa"/>
            <w:vMerge/>
            <w:tcBorders>
              <w:left w:val="single" w:sz="4" w:space="0" w:color="auto"/>
              <w:right w:val="single" w:sz="4" w:space="0" w:color="auto"/>
            </w:tcBorders>
            <w:vAlign w:val="bottom"/>
            <w:hideMark/>
          </w:tcPr>
          <w:p w14:paraId="0A79AEB0" w14:textId="2A4F4DFB" w:rsidR="003B0DCA" w:rsidRPr="007E4A43" w:rsidRDefault="003B0DCA" w:rsidP="003B0DCA">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792F5074"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7" w:type="dxa"/>
            <w:tcBorders>
              <w:top w:val="nil"/>
              <w:left w:val="nil"/>
              <w:bottom w:val="single" w:sz="4" w:space="0" w:color="auto"/>
              <w:right w:val="single" w:sz="4" w:space="0" w:color="auto"/>
            </w:tcBorders>
            <w:noWrap/>
            <w:vAlign w:val="center"/>
            <w:hideMark/>
          </w:tcPr>
          <w:p w14:paraId="272E6D06" w14:textId="38B7506D" w:rsidR="003B0DCA" w:rsidRPr="007E4A43" w:rsidRDefault="003B0DCA" w:rsidP="00A033B2">
            <w:pPr>
              <w:spacing w:after="0"/>
              <w:jc w:val="right"/>
              <w:rPr>
                <w:rFonts w:ascii="Calibri" w:eastAsia="Times New Roman" w:hAnsi="Calibri" w:cs="Calibri"/>
                <w:color w:val="000000"/>
                <w:sz w:val="20"/>
                <w:szCs w:val="20"/>
              </w:rPr>
            </w:pPr>
            <w:r w:rsidRPr="007E4A43">
              <w:rPr>
                <w:sz w:val="20"/>
                <w:szCs w:val="20"/>
              </w:rPr>
              <w:t>20,874</w:t>
            </w:r>
          </w:p>
        </w:tc>
        <w:tc>
          <w:tcPr>
            <w:tcW w:w="1418" w:type="dxa"/>
            <w:tcBorders>
              <w:top w:val="nil"/>
              <w:left w:val="nil"/>
              <w:bottom w:val="single" w:sz="4" w:space="0" w:color="auto"/>
              <w:right w:val="single" w:sz="4" w:space="0" w:color="auto"/>
            </w:tcBorders>
            <w:noWrap/>
            <w:vAlign w:val="center"/>
            <w:hideMark/>
          </w:tcPr>
          <w:p w14:paraId="3B1954D3" w14:textId="05557E19" w:rsidR="003B0DCA" w:rsidRPr="007E4A43" w:rsidRDefault="003B0DCA" w:rsidP="00A033B2">
            <w:pPr>
              <w:spacing w:after="0"/>
              <w:jc w:val="right"/>
              <w:rPr>
                <w:rFonts w:ascii="Calibri" w:eastAsia="Times New Roman" w:hAnsi="Calibri" w:cs="Calibri"/>
                <w:color w:val="000000"/>
                <w:sz w:val="20"/>
                <w:szCs w:val="20"/>
              </w:rPr>
            </w:pPr>
            <w:r w:rsidRPr="007E4A43">
              <w:rPr>
                <w:sz w:val="20"/>
                <w:szCs w:val="20"/>
              </w:rPr>
              <w:t>22,666</w:t>
            </w:r>
          </w:p>
        </w:tc>
        <w:tc>
          <w:tcPr>
            <w:tcW w:w="1417" w:type="dxa"/>
            <w:tcBorders>
              <w:top w:val="nil"/>
              <w:left w:val="nil"/>
              <w:bottom w:val="single" w:sz="4" w:space="0" w:color="auto"/>
              <w:right w:val="single" w:sz="4" w:space="0" w:color="auto"/>
            </w:tcBorders>
            <w:noWrap/>
            <w:vAlign w:val="center"/>
            <w:hideMark/>
          </w:tcPr>
          <w:p w14:paraId="55D7EDBB" w14:textId="7070EF9B" w:rsidR="003B0DCA" w:rsidRPr="007E4A43" w:rsidRDefault="003B0DCA" w:rsidP="00A033B2">
            <w:pPr>
              <w:spacing w:after="0"/>
              <w:jc w:val="right"/>
              <w:rPr>
                <w:rFonts w:ascii="Calibri" w:eastAsia="Times New Roman" w:hAnsi="Calibri" w:cs="Calibri"/>
                <w:color w:val="000000"/>
                <w:sz w:val="20"/>
                <w:szCs w:val="20"/>
              </w:rPr>
            </w:pPr>
            <w:r w:rsidRPr="007E4A43">
              <w:rPr>
                <w:sz w:val="20"/>
                <w:szCs w:val="20"/>
              </w:rPr>
              <w:t>22,252</w:t>
            </w:r>
          </w:p>
        </w:tc>
        <w:tc>
          <w:tcPr>
            <w:tcW w:w="1418" w:type="dxa"/>
            <w:tcBorders>
              <w:top w:val="nil"/>
              <w:left w:val="nil"/>
              <w:bottom w:val="single" w:sz="4" w:space="0" w:color="auto"/>
              <w:right w:val="single" w:sz="4" w:space="0" w:color="auto"/>
            </w:tcBorders>
            <w:vAlign w:val="center"/>
          </w:tcPr>
          <w:p w14:paraId="5D8345B3" w14:textId="34D94BE5" w:rsidR="003B0DCA" w:rsidRPr="007E4A43" w:rsidRDefault="003B0DCA" w:rsidP="00A033B2">
            <w:pPr>
              <w:spacing w:after="0"/>
              <w:jc w:val="right"/>
              <w:rPr>
                <w:rFonts w:ascii="Calibri" w:eastAsia="Times New Roman" w:hAnsi="Calibri" w:cs="Calibri"/>
                <w:color w:val="000000"/>
                <w:sz w:val="20"/>
                <w:szCs w:val="20"/>
              </w:rPr>
            </w:pPr>
            <w:r w:rsidRPr="007E4A43">
              <w:rPr>
                <w:sz w:val="20"/>
                <w:szCs w:val="20"/>
              </w:rPr>
              <w:t>5,726</w:t>
            </w:r>
          </w:p>
        </w:tc>
      </w:tr>
      <w:tr w:rsidR="003B0DCA" w:rsidRPr="007E4A43" w14:paraId="3582B3E4" w14:textId="1015C477" w:rsidTr="00A033B2">
        <w:trPr>
          <w:trHeight w:val="185"/>
        </w:trPr>
        <w:tc>
          <w:tcPr>
            <w:tcW w:w="1700" w:type="dxa"/>
            <w:vMerge/>
            <w:tcBorders>
              <w:left w:val="single" w:sz="4" w:space="0" w:color="auto"/>
              <w:bottom w:val="single" w:sz="4" w:space="0" w:color="auto"/>
              <w:right w:val="single" w:sz="4" w:space="0" w:color="auto"/>
            </w:tcBorders>
            <w:vAlign w:val="bottom"/>
            <w:hideMark/>
          </w:tcPr>
          <w:p w14:paraId="2DA55558" w14:textId="194F40B1" w:rsidR="003B0DCA" w:rsidRPr="007E4A43" w:rsidRDefault="003B0DCA" w:rsidP="003B0DCA">
            <w:pPr>
              <w:spacing w:after="0"/>
              <w:rPr>
                <w:rFonts w:ascii="Calibri" w:eastAsia="Times New Roman" w:hAnsi="Calibri" w:cs="Calibri"/>
                <w:color w:val="000000"/>
                <w:sz w:val="20"/>
                <w:szCs w:val="20"/>
              </w:rPr>
            </w:pPr>
          </w:p>
        </w:tc>
        <w:tc>
          <w:tcPr>
            <w:tcW w:w="1301" w:type="dxa"/>
            <w:tcBorders>
              <w:top w:val="nil"/>
              <w:left w:val="nil"/>
              <w:bottom w:val="single" w:sz="4" w:space="0" w:color="auto"/>
              <w:right w:val="single" w:sz="4" w:space="0" w:color="auto"/>
            </w:tcBorders>
            <w:noWrap/>
            <w:vAlign w:val="bottom"/>
            <w:hideMark/>
          </w:tcPr>
          <w:p w14:paraId="3AC7E21E" w14:textId="77777777" w:rsidR="003B0DCA" w:rsidRPr="007E4A43" w:rsidRDefault="003B0DCA" w:rsidP="003B0DCA">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7" w:type="dxa"/>
            <w:tcBorders>
              <w:top w:val="nil"/>
              <w:left w:val="nil"/>
              <w:bottom w:val="single" w:sz="4" w:space="0" w:color="auto"/>
              <w:right w:val="single" w:sz="4" w:space="0" w:color="auto"/>
            </w:tcBorders>
            <w:noWrap/>
            <w:vAlign w:val="center"/>
            <w:hideMark/>
          </w:tcPr>
          <w:p w14:paraId="213A67E0" w14:textId="349017B4" w:rsidR="003B0DCA" w:rsidRPr="007E4A43" w:rsidRDefault="000B6149" w:rsidP="00A033B2">
            <w:pPr>
              <w:spacing w:after="0"/>
              <w:jc w:val="right"/>
              <w:rPr>
                <w:rFonts w:ascii="Calibri" w:eastAsia="Times New Roman" w:hAnsi="Calibri" w:cs="Calibri"/>
                <w:color w:val="000000"/>
                <w:sz w:val="20"/>
                <w:szCs w:val="20"/>
              </w:rPr>
            </w:pPr>
            <w:r w:rsidRPr="007E4A43">
              <w:rPr>
                <w:sz w:val="20"/>
                <w:szCs w:val="20"/>
              </w:rPr>
              <w:t>+</w:t>
            </w:r>
            <w:r w:rsidR="003B0DCA" w:rsidRPr="007E4A43">
              <w:rPr>
                <w:sz w:val="20"/>
                <w:szCs w:val="20"/>
              </w:rPr>
              <w:t>3%</w:t>
            </w:r>
          </w:p>
        </w:tc>
        <w:tc>
          <w:tcPr>
            <w:tcW w:w="1418" w:type="dxa"/>
            <w:tcBorders>
              <w:top w:val="nil"/>
              <w:left w:val="nil"/>
              <w:bottom w:val="single" w:sz="4" w:space="0" w:color="auto"/>
              <w:right w:val="single" w:sz="4" w:space="0" w:color="auto"/>
            </w:tcBorders>
            <w:noWrap/>
            <w:vAlign w:val="center"/>
            <w:hideMark/>
          </w:tcPr>
          <w:p w14:paraId="58AFC115" w14:textId="22FDED90" w:rsidR="003B0DCA" w:rsidRPr="007E4A43" w:rsidRDefault="003B0DCA" w:rsidP="00A033B2">
            <w:pPr>
              <w:spacing w:after="0"/>
              <w:jc w:val="right"/>
              <w:rPr>
                <w:rFonts w:ascii="Calibri" w:eastAsia="Times New Roman" w:hAnsi="Calibri" w:cs="Calibri"/>
                <w:color w:val="000000"/>
                <w:sz w:val="20"/>
                <w:szCs w:val="20"/>
              </w:rPr>
            </w:pPr>
            <w:r w:rsidRPr="007E4A43">
              <w:rPr>
                <w:sz w:val="20"/>
                <w:szCs w:val="20"/>
              </w:rPr>
              <w:t>-1%</w:t>
            </w:r>
          </w:p>
        </w:tc>
        <w:tc>
          <w:tcPr>
            <w:tcW w:w="1417" w:type="dxa"/>
            <w:tcBorders>
              <w:top w:val="nil"/>
              <w:left w:val="nil"/>
              <w:bottom w:val="single" w:sz="4" w:space="0" w:color="auto"/>
              <w:right w:val="single" w:sz="4" w:space="0" w:color="auto"/>
            </w:tcBorders>
            <w:noWrap/>
            <w:vAlign w:val="center"/>
            <w:hideMark/>
          </w:tcPr>
          <w:p w14:paraId="698F321F" w14:textId="56971C78" w:rsidR="003B0DCA" w:rsidRPr="007E4A43" w:rsidRDefault="003B0DCA" w:rsidP="00A033B2">
            <w:pPr>
              <w:spacing w:after="0"/>
              <w:jc w:val="right"/>
              <w:rPr>
                <w:rFonts w:ascii="Calibri" w:eastAsia="Times New Roman" w:hAnsi="Calibri" w:cs="Calibri"/>
                <w:color w:val="000000"/>
                <w:sz w:val="20"/>
                <w:szCs w:val="20"/>
              </w:rPr>
            </w:pPr>
            <w:r w:rsidRPr="007E4A43">
              <w:rPr>
                <w:sz w:val="20"/>
                <w:szCs w:val="20"/>
              </w:rPr>
              <w:t>-4%</w:t>
            </w:r>
          </w:p>
        </w:tc>
        <w:tc>
          <w:tcPr>
            <w:tcW w:w="1418" w:type="dxa"/>
            <w:tcBorders>
              <w:top w:val="nil"/>
              <w:left w:val="nil"/>
              <w:bottom w:val="single" w:sz="4" w:space="0" w:color="auto"/>
              <w:right w:val="single" w:sz="4" w:space="0" w:color="auto"/>
            </w:tcBorders>
            <w:vAlign w:val="center"/>
          </w:tcPr>
          <w:p w14:paraId="2E1EB3F1" w14:textId="7B1FF266" w:rsidR="003B0DCA" w:rsidRPr="007E4A43" w:rsidRDefault="003B0DCA" w:rsidP="00A033B2">
            <w:pPr>
              <w:spacing w:after="0"/>
              <w:jc w:val="right"/>
              <w:rPr>
                <w:rFonts w:ascii="Calibri" w:eastAsia="Times New Roman" w:hAnsi="Calibri" w:cs="Calibri"/>
                <w:color w:val="000000"/>
                <w:sz w:val="20"/>
                <w:szCs w:val="20"/>
              </w:rPr>
            </w:pPr>
            <w:r w:rsidRPr="007E4A43">
              <w:rPr>
                <w:sz w:val="20"/>
                <w:szCs w:val="20"/>
              </w:rPr>
              <w:t>-75%</w:t>
            </w:r>
          </w:p>
        </w:tc>
      </w:tr>
    </w:tbl>
    <w:p w14:paraId="558DB70C" w14:textId="0F3D4723" w:rsidR="005641C9" w:rsidRPr="007E4A43" w:rsidRDefault="00C31D1D" w:rsidP="00C31D1D">
      <w:pPr>
        <w:pStyle w:val="Notes"/>
      </w:pPr>
      <w:r w:rsidRPr="007E4A43">
        <w:t>Note: the actual figures for Year 4 represent three months of data, from April to June 2025 inclusive.</w:t>
      </w:r>
    </w:p>
    <w:p w14:paraId="40120352" w14:textId="5910AAE7" w:rsidR="007A0FE9" w:rsidRPr="007E4A43" w:rsidRDefault="00CC4DD8" w:rsidP="007A0FE9">
      <w:r w:rsidRPr="007E4A43">
        <w:t xml:space="preserve">The number of treated patients </w:t>
      </w:r>
      <w:r w:rsidR="003B0DCA" w:rsidRPr="007E4A43">
        <w:t xml:space="preserve">aged 12 years or older </w:t>
      </w:r>
      <w:r w:rsidRPr="007E4A43">
        <w:t xml:space="preserve">was </w:t>
      </w:r>
      <w:r w:rsidR="00196100" w:rsidRPr="007E4A43">
        <w:t xml:space="preserve">underestimated. </w:t>
      </w:r>
      <w:r w:rsidR="00AD66E0" w:rsidRPr="007E4A43">
        <w:t xml:space="preserve">It appears </w:t>
      </w:r>
      <w:r w:rsidR="008F3809" w:rsidRPr="007E4A43">
        <w:t xml:space="preserve">that </w:t>
      </w:r>
      <w:r w:rsidR="0009414A" w:rsidRPr="007E4A43">
        <w:t xml:space="preserve">the number of patients new to </w:t>
      </w:r>
      <w:r w:rsidR="000B5B11" w:rsidRPr="007E4A43">
        <w:t xml:space="preserve">CFTR modulators </w:t>
      </w:r>
      <w:r w:rsidR="0009414A" w:rsidRPr="007E4A43">
        <w:t>was approximately accurate</w:t>
      </w:r>
      <w:r w:rsidR="007A0FE9" w:rsidRPr="007E4A43">
        <w:t xml:space="preserve"> or overestimated</w:t>
      </w:r>
      <w:r w:rsidR="0009414A" w:rsidRPr="007E4A43">
        <w:t xml:space="preserve">, however the number of patients </w:t>
      </w:r>
      <w:r w:rsidR="00196100" w:rsidRPr="007E4A43">
        <w:t xml:space="preserve">who </w:t>
      </w:r>
      <w:r w:rsidR="0009414A" w:rsidRPr="007E4A43">
        <w:t xml:space="preserve">switched from other </w:t>
      </w:r>
      <w:r w:rsidR="000B5B11" w:rsidRPr="007E4A43">
        <w:t xml:space="preserve">CFTR modulators </w:t>
      </w:r>
      <w:r w:rsidR="0009414A" w:rsidRPr="007E4A43">
        <w:t>to ELX/TEZ/IVA</w:t>
      </w:r>
      <w:r w:rsidR="00196100" w:rsidRPr="007E4A43">
        <w:t xml:space="preserve"> was </w:t>
      </w:r>
      <w:r w:rsidR="003F565B" w:rsidRPr="007E4A43">
        <w:t xml:space="preserve">substantially </w:t>
      </w:r>
      <w:r w:rsidR="00196100" w:rsidRPr="007E4A43">
        <w:t>underestimated.</w:t>
      </w:r>
      <w:r w:rsidR="0088651B" w:rsidRPr="007E4A43">
        <w:t xml:space="preserve"> </w:t>
      </w:r>
      <w:r w:rsidR="007A0FE9" w:rsidRPr="007E4A43">
        <w:t xml:space="preserve">Overall, the number of treated patients was underestimated by 14 to 25 percent in the first three years of listing. The </w:t>
      </w:r>
      <w:r w:rsidR="00DD20AF" w:rsidRPr="007E4A43">
        <w:t xml:space="preserve">estimated </w:t>
      </w:r>
      <w:r w:rsidR="007A0FE9" w:rsidRPr="007E4A43">
        <w:t xml:space="preserve">number of </w:t>
      </w:r>
      <w:r w:rsidR="00DD20AF" w:rsidRPr="007E4A43">
        <w:t xml:space="preserve">supplied </w:t>
      </w:r>
      <w:r w:rsidR="007A0FE9" w:rsidRPr="007E4A43">
        <w:t xml:space="preserve">prescriptions was </w:t>
      </w:r>
      <w:r w:rsidR="00DD20AF" w:rsidRPr="007E4A43">
        <w:t>approximately correct, within 4%, in the first three years of listing.</w:t>
      </w:r>
    </w:p>
    <w:p w14:paraId="2B6DD1AD" w14:textId="54939F22" w:rsidR="000763A5" w:rsidRPr="007E4A43" w:rsidRDefault="000763A5" w:rsidP="000763A5">
      <w:pPr>
        <w:pStyle w:val="Heading2"/>
      </w:pPr>
      <w:r w:rsidRPr="007E4A43">
        <w:t>Patients aged 6 to 11 years old</w:t>
      </w:r>
    </w:p>
    <w:p w14:paraId="2F11AD52" w14:textId="77777777" w:rsidR="000763A5" w:rsidRPr="007E4A43" w:rsidRDefault="000763A5" w:rsidP="000763A5">
      <w:pPr>
        <w:pStyle w:val="Heading3"/>
      </w:pPr>
      <w:r w:rsidRPr="007E4A43">
        <w:t>Approach taken to estimate utilisation</w:t>
      </w:r>
    </w:p>
    <w:p w14:paraId="573EAC3C" w14:textId="4099A9E6" w:rsidR="002B0DF2" w:rsidRPr="007E4A43" w:rsidRDefault="002B0DF2" w:rsidP="000763A5">
      <w:r w:rsidRPr="007E4A43">
        <w:t>The submission used two approaches to estimate the number of eligible patients: (1) the number of patients who are currently eligible for PBS listed CFTR modulators were estimated from the subsidisation caps in existing Deeds and (2) the number of patients who are not currently eligible for PBS listed CFTRs were estimated from epidemiological data.</w:t>
      </w:r>
    </w:p>
    <w:p w14:paraId="2637E645" w14:textId="6776C43B" w:rsidR="00447789" w:rsidRPr="007E4A43" w:rsidRDefault="00447789" w:rsidP="00447789">
      <w:pPr>
        <w:pStyle w:val="Tabletitle"/>
        <w:keepNext/>
      </w:pPr>
      <w:r w:rsidRPr="007E4A43">
        <w:lastRenderedPageBreak/>
        <w:t xml:space="preserve">Table </w:t>
      </w:r>
      <w:r w:rsidRPr="007E4A43">
        <w:fldChar w:fldCharType="begin"/>
      </w:r>
      <w:r w:rsidRPr="007E4A43">
        <w:instrText xml:space="preserve"> SEQ Table \* ARABIC </w:instrText>
      </w:r>
      <w:r w:rsidRPr="007E4A43">
        <w:fldChar w:fldCharType="separate"/>
      </w:r>
      <w:r w:rsidR="0063622F">
        <w:rPr>
          <w:noProof/>
        </w:rPr>
        <w:t>16</w:t>
      </w:r>
      <w:r w:rsidRPr="007E4A43">
        <w:fldChar w:fldCharType="end"/>
      </w:r>
      <w:r w:rsidRPr="007E4A43">
        <w:t>: Estimation of number of treated patients</w:t>
      </w:r>
    </w:p>
    <w:tbl>
      <w:tblPr>
        <w:tblStyle w:val="LashStyleTable1"/>
        <w:tblW w:w="5000" w:type="pct"/>
        <w:tblLook w:val="04A0" w:firstRow="1" w:lastRow="0" w:firstColumn="1" w:lastColumn="0" w:noHBand="0" w:noVBand="1"/>
      </w:tblPr>
      <w:tblGrid>
        <w:gridCol w:w="3908"/>
        <w:gridCol w:w="802"/>
        <w:gridCol w:w="803"/>
        <w:gridCol w:w="930"/>
        <w:gridCol w:w="802"/>
        <w:gridCol w:w="936"/>
        <w:gridCol w:w="766"/>
      </w:tblGrid>
      <w:tr w:rsidR="00C1122B" w:rsidRPr="007E4A43" w14:paraId="356E4987" w14:textId="77777777" w:rsidTr="00C1122B">
        <w:tc>
          <w:tcPr>
            <w:tcW w:w="2184" w:type="pct"/>
            <w:shd w:val="clear" w:color="auto" w:fill="BFBFBF" w:themeFill="background1" w:themeFillShade="BF"/>
          </w:tcPr>
          <w:p w14:paraId="5A3BD0D3" w14:textId="77777777" w:rsidR="00C1122B" w:rsidRPr="007E4A43" w:rsidRDefault="00C1122B" w:rsidP="00C1122B">
            <w:pPr>
              <w:keepNext/>
              <w:keepLines/>
              <w:rPr>
                <w:rFonts w:asciiTheme="minorHAnsi" w:eastAsia="MS Mincho" w:hAnsiTheme="minorHAnsi" w:cstheme="minorHAnsi"/>
                <w:b/>
                <w:bCs/>
                <w:snapToGrid w:val="0"/>
                <w:sz w:val="20"/>
                <w:szCs w:val="20"/>
              </w:rPr>
            </w:pPr>
          </w:p>
        </w:tc>
        <w:tc>
          <w:tcPr>
            <w:tcW w:w="448" w:type="pct"/>
            <w:shd w:val="clear" w:color="auto" w:fill="BFBFBF" w:themeFill="background1" w:themeFillShade="BF"/>
            <w:vAlign w:val="center"/>
          </w:tcPr>
          <w:p w14:paraId="43C70EC9" w14:textId="77777777" w:rsidR="00C1122B" w:rsidRPr="007E4A43" w:rsidRDefault="00C1122B" w:rsidP="00C1122B">
            <w:pPr>
              <w:keepNext/>
              <w:keepLines/>
              <w:rPr>
                <w:rFonts w:asciiTheme="minorHAnsi" w:eastAsia="MS Mincho" w:hAnsiTheme="minorHAnsi" w:cstheme="minorHAnsi"/>
                <w:b/>
                <w:bCs/>
                <w:snapToGrid w:val="0"/>
                <w:sz w:val="20"/>
                <w:szCs w:val="20"/>
              </w:rPr>
            </w:pPr>
            <w:r w:rsidRPr="007E4A43">
              <w:rPr>
                <w:rFonts w:asciiTheme="minorHAnsi" w:eastAsia="MS Mincho" w:hAnsiTheme="minorHAnsi" w:cstheme="minorHAnsi"/>
                <w:b/>
                <w:bCs/>
                <w:snapToGrid w:val="0"/>
                <w:sz w:val="20"/>
                <w:szCs w:val="20"/>
              </w:rPr>
              <w:t>Year 1</w:t>
            </w:r>
          </w:p>
        </w:tc>
        <w:tc>
          <w:tcPr>
            <w:tcW w:w="449" w:type="pct"/>
            <w:shd w:val="clear" w:color="auto" w:fill="BFBFBF" w:themeFill="background1" w:themeFillShade="BF"/>
            <w:vAlign w:val="center"/>
          </w:tcPr>
          <w:p w14:paraId="468F1095" w14:textId="77777777" w:rsidR="00C1122B" w:rsidRPr="007E4A43" w:rsidRDefault="00C1122B" w:rsidP="00C1122B">
            <w:pPr>
              <w:keepNext/>
              <w:keepLines/>
              <w:rPr>
                <w:rFonts w:asciiTheme="minorHAnsi" w:eastAsia="MS Mincho" w:hAnsiTheme="minorHAnsi" w:cstheme="minorHAnsi"/>
                <w:b/>
                <w:bCs/>
                <w:snapToGrid w:val="0"/>
                <w:sz w:val="20"/>
                <w:szCs w:val="20"/>
              </w:rPr>
            </w:pPr>
            <w:r w:rsidRPr="007E4A43">
              <w:rPr>
                <w:rFonts w:asciiTheme="minorHAnsi" w:eastAsia="MS Mincho" w:hAnsiTheme="minorHAnsi" w:cstheme="minorHAnsi"/>
                <w:b/>
                <w:bCs/>
                <w:snapToGrid w:val="0"/>
                <w:sz w:val="20"/>
                <w:szCs w:val="20"/>
              </w:rPr>
              <w:t>Year 2</w:t>
            </w:r>
          </w:p>
        </w:tc>
        <w:tc>
          <w:tcPr>
            <w:tcW w:w="520" w:type="pct"/>
            <w:shd w:val="clear" w:color="auto" w:fill="BFBFBF" w:themeFill="background1" w:themeFillShade="BF"/>
            <w:vAlign w:val="center"/>
          </w:tcPr>
          <w:p w14:paraId="797BFC9E" w14:textId="77777777" w:rsidR="00C1122B" w:rsidRPr="007E4A43" w:rsidRDefault="00C1122B" w:rsidP="00C1122B">
            <w:pPr>
              <w:keepNext/>
              <w:keepLines/>
              <w:rPr>
                <w:rFonts w:asciiTheme="minorHAnsi" w:eastAsia="MS Mincho" w:hAnsiTheme="minorHAnsi" w:cstheme="minorHAnsi"/>
                <w:b/>
                <w:bCs/>
                <w:snapToGrid w:val="0"/>
                <w:sz w:val="20"/>
                <w:szCs w:val="20"/>
              </w:rPr>
            </w:pPr>
            <w:r w:rsidRPr="007E4A43">
              <w:rPr>
                <w:rFonts w:asciiTheme="minorHAnsi" w:eastAsia="MS Mincho" w:hAnsiTheme="minorHAnsi" w:cstheme="minorHAnsi"/>
                <w:b/>
                <w:bCs/>
                <w:snapToGrid w:val="0"/>
                <w:sz w:val="20"/>
                <w:szCs w:val="20"/>
              </w:rPr>
              <w:t>Year 3</w:t>
            </w:r>
          </w:p>
        </w:tc>
        <w:tc>
          <w:tcPr>
            <w:tcW w:w="448" w:type="pct"/>
            <w:shd w:val="clear" w:color="auto" w:fill="BFBFBF" w:themeFill="background1" w:themeFillShade="BF"/>
            <w:vAlign w:val="center"/>
          </w:tcPr>
          <w:p w14:paraId="24972718" w14:textId="77777777" w:rsidR="00C1122B" w:rsidRPr="007E4A43" w:rsidRDefault="00C1122B" w:rsidP="00C1122B">
            <w:pPr>
              <w:keepNext/>
              <w:keepLines/>
              <w:rPr>
                <w:rFonts w:asciiTheme="minorHAnsi" w:eastAsia="MS Mincho" w:hAnsiTheme="minorHAnsi" w:cstheme="minorHAnsi"/>
                <w:b/>
                <w:bCs/>
                <w:snapToGrid w:val="0"/>
                <w:sz w:val="20"/>
                <w:szCs w:val="20"/>
              </w:rPr>
            </w:pPr>
            <w:r w:rsidRPr="007E4A43">
              <w:rPr>
                <w:rFonts w:asciiTheme="minorHAnsi" w:eastAsia="MS Mincho" w:hAnsiTheme="minorHAnsi" w:cstheme="minorHAnsi"/>
                <w:b/>
                <w:bCs/>
                <w:snapToGrid w:val="0"/>
                <w:sz w:val="20"/>
                <w:szCs w:val="20"/>
              </w:rPr>
              <w:t>Year 4</w:t>
            </w:r>
          </w:p>
        </w:tc>
        <w:tc>
          <w:tcPr>
            <w:tcW w:w="523" w:type="pct"/>
            <w:shd w:val="clear" w:color="auto" w:fill="BFBFBF" w:themeFill="background1" w:themeFillShade="BF"/>
            <w:vAlign w:val="center"/>
          </w:tcPr>
          <w:p w14:paraId="55C39A8F" w14:textId="77777777" w:rsidR="00C1122B" w:rsidRPr="007E4A43" w:rsidRDefault="00C1122B" w:rsidP="00C1122B">
            <w:pPr>
              <w:keepNext/>
              <w:keepLines/>
              <w:rPr>
                <w:rFonts w:asciiTheme="minorHAnsi" w:eastAsia="MS Mincho" w:hAnsiTheme="minorHAnsi" w:cstheme="minorHAnsi"/>
                <w:b/>
                <w:bCs/>
                <w:snapToGrid w:val="0"/>
                <w:sz w:val="20"/>
                <w:szCs w:val="20"/>
              </w:rPr>
            </w:pPr>
            <w:r w:rsidRPr="007E4A43">
              <w:rPr>
                <w:rFonts w:asciiTheme="minorHAnsi" w:eastAsia="MS Mincho" w:hAnsiTheme="minorHAnsi" w:cstheme="minorHAnsi"/>
                <w:b/>
                <w:bCs/>
                <w:snapToGrid w:val="0"/>
                <w:sz w:val="20"/>
                <w:szCs w:val="20"/>
              </w:rPr>
              <w:t>Year 5</w:t>
            </w:r>
          </w:p>
        </w:tc>
        <w:tc>
          <w:tcPr>
            <w:tcW w:w="428" w:type="pct"/>
            <w:shd w:val="clear" w:color="auto" w:fill="BFBFBF" w:themeFill="background1" w:themeFillShade="BF"/>
            <w:vAlign w:val="center"/>
          </w:tcPr>
          <w:p w14:paraId="4C0D4DCB" w14:textId="77777777" w:rsidR="00C1122B" w:rsidRPr="007E4A43" w:rsidRDefault="00C1122B" w:rsidP="00C1122B">
            <w:pPr>
              <w:keepNext/>
              <w:keepLines/>
              <w:rPr>
                <w:rFonts w:asciiTheme="minorHAnsi" w:eastAsia="MS Mincho" w:hAnsiTheme="minorHAnsi" w:cstheme="minorHAnsi"/>
                <w:b/>
                <w:bCs/>
                <w:snapToGrid w:val="0"/>
                <w:sz w:val="20"/>
                <w:szCs w:val="20"/>
              </w:rPr>
            </w:pPr>
            <w:r w:rsidRPr="007E4A43">
              <w:rPr>
                <w:rFonts w:asciiTheme="minorHAnsi" w:eastAsia="MS Mincho" w:hAnsiTheme="minorHAnsi" w:cstheme="minorHAnsi"/>
                <w:b/>
                <w:bCs/>
                <w:snapToGrid w:val="0"/>
                <w:sz w:val="20"/>
                <w:szCs w:val="20"/>
              </w:rPr>
              <w:t>Year 6</w:t>
            </w:r>
          </w:p>
        </w:tc>
      </w:tr>
      <w:tr w:rsidR="00C1122B" w:rsidRPr="007E4A43" w14:paraId="31AAD2AF" w14:textId="77777777" w:rsidTr="00BD3739">
        <w:tc>
          <w:tcPr>
            <w:tcW w:w="5000" w:type="pct"/>
            <w:gridSpan w:val="7"/>
          </w:tcPr>
          <w:p w14:paraId="63077F48"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b/>
                <w:snapToGrid w:val="0"/>
                <w:sz w:val="20"/>
                <w:szCs w:val="20"/>
              </w:rPr>
              <w:t xml:space="preserve">Patients included within the subsidisation caps under existing Deeds (calculated from subsidisation caps in existing Deed) </w:t>
            </w:r>
          </w:p>
        </w:tc>
      </w:tr>
      <w:tr w:rsidR="00C1122B" w:rsidRPr="007E4A43" w14:paraId="240EAE56" w14:textId="77777777" w:rsidTr="00BD3739">
        <w:tc>
          <w:tcPr>
            <w:tcW w:w="2184" w:type="pct"/>
          </w:tcPr>
          <w:p w14:paraId="01616223"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Estimated number of F/F patients on LUM/IVA</w:t>
            </w:r>
            <w:r w:rsidRPr="007E4A43">
              <w:rPr>
                <w:rFonts w:asciiTheme="minorHAnsi" w:eastAsia="MS Mincho" w:hAnsiTheme="minorHAnsi" w:cstheme="minorHAnsi"/>
                <w:snapToGrid w:val="0"/>
                <w:sz w:val="20"/>
                <w:szCs w:val="20"/>
                <w:vertAlign w:val="superscript"/>
              </w:rPr>
              <w:t>a</w:t>
            </w:r>
          </w:p>
        </w:tc>
        <w:tc>
          <w:tcPr>
            <w:tcW w:w="448" w:type="pct"/>
            <w:vAlign w:val="center"/>
          </w:tcPr>
          <w:p w14:paraId="0FFE950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182</w:t>
            </w:r>
          </w:p>
        </w:tc>
        <w:tc>
          <w:tcPr>
            <w:tcW w:w="449" w:type="pct"/>
            <w:vAlign w:val="center"/>
          </w:tcPr>
          <w:p w14:paraId="34A83637"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185</w:t>
            </w:r>
          </w:p>
        </w:tc>
        <w:tc>
          <w:tcPr>
            <w:tcW w:w="520" w:type="pct"/>
            <w:vAlign w:val="center"/>
          </w:tcPr>
          <w:p w14:paraId="3434A6F3"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188</w:t>
            </w:r>
          </w:p>
        </w:tc>
        <w:tc>
          <w:tcPr>
            <w:tcW w:w="448" w:type="pct"/>
            <w:vAlign w:val="center"/>
          </w:tcPr>
          <w:p w14:paraId="62F574A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192</w:t>
            </w:r>
          </w:p>
        </w:tc>
        <w:tc>
          <w:tcPr>
            <w:tcW w:w="523" w:type="pct"/>
            <w:vAlign w:val="center"/>
          </w:tcPr>
          <w:p w14:paraId="7D883D7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195</w:t>
            </w:r>
          </w:p>
        </w:tc>
        <w:tc>
          <w:tcPr>
            <w:tcW w:w="428" w:type="pct"/>
            <w:vAlign w:val="center"/>
          </w:tcPr>
          <w:p w14:paraId="6EAAA87D"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198</w:t>
            </w:r>
          </w:p>
        </w:tc>
      </w:tr>
      <w:tr w:rsidR="00C1122B" w:rsidRPr="007E4A43" w14:paraId="58F60080" w14:textId="77777777" w:rsidTr="00BD3739">
        <w:tc>
          <w:tcPr>
            <w:tcW w:w="2184" w:type="pct"/>
          </w:tcPr>
          <w:p w14:paraId="6242D482" w14:textId="77777777" w:rsidR="00C1122B" w:rsidRPr="007E4A43" w:rsidRDefault="00C1122B" w:rsidP="00C1122B">
            <w:pPr>
              <w:keepNext/>
              <w:keepLines/>
              <w:ind w:left="176"/>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F/F patients on LUM/IVA switching to ELX/TEZ/IVA (100% switch)</w:t>
            </w:r>
          </w:p>
        </w:tc>
        <w:tc>
          <w:tcPr>
            <w:tcW w:w="448" w:type="pct"/>
            <w:vAlign w:val="center"/>
          </w:tcPr>
          <w:p w14:paraId="38DF731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182</w:t>
            </w:r>
          </w:p>
        </w:tc>
        <w:tc>
          <w:tcPr>
            <w:tcW w:w="449" w:type="pct"/>
            <w:vAlign w:val="center"/>
          </w:tcPr>
          <w:p w14:paraId="6F4E25F8"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185</w:t>
            </w:r>
          </w:p>
        </w:tc>
        <w:tc>
          <w:tcPr>
            <w:tcW w:w="520" w:type="pct"/>
            <w:vAlign w:val="center"/>
          </w:tcPr>
          <w:p w14:paraId="2413904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188</w:t>
            </w:r>
          </w:p>
        </w:tc>
        <w:tc>
          <w:tcPr>
            <w:tcW w:w="448" w:type="pct"/>
            <w:vAlign w:val="center"/>
          </w:tcPr>
          <w:p w14:paraId="1D92F74B"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192</w:t>
            </w:r>
          </w:p>
        </w:tc>
        <w:tc>
          <w:tcPr>
            <w:tcW w:w="523" w:type="pct"/>
            <w:vAlign w:val="center"/>
          </w:tcPr>
          <w:p w14:paraId="2A25C99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195</w:t>
            </w:r>
          </w:p>
        </w:tc>
        <w:tc>
          <w:tcPr>
            <w:tcW w:w="428" w:type="pct"/>
            <w:vAlign w:val="center"/>
          </w:tcPr>
          <w:p w14:paraId="06B49648"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198</w:t>
            </w:r>
          </w:p>
        </w:tc>
      </w:tr>
      <w:tr w:rsidR="00C1122B" w:rsidRPr="007E4A43" w14:paraId="46C393FB" w14:textId="77777777" w:rsidTr="00BD3739">
        <w:tc>
          <w:tcPr>
            <w:tcW w:w="2184" w:type="pct"/>
          </w:tcPr>
          <w:p w14:paraId="707E1F1D"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Estimated number of F/G patients on IVA</w:t>
            </w:r>
            <w:r w:rsidRPr="007E4A43">
              <w:rPr>
                <w:rFonts w:asciiTheme="minorHAnsi" w:eastAsia="MS Mincho" w:hAnsiTheme="minorHAnsi" w:cstheme="minorHAnsi"/>
                <w:snapToGrid w:val="0"/>
                <w:sz w:val="20"/>
                <w:szCs w:val="20"/>
                <w:vertAlign w:val="superscript"/>
              </w:rPr>
              <w:t>b</w:t>
            </w:r>
          </w:p>
        </w:tc>
        <w:tc>
          <w:tcPr>
            <w:tcW w:w="448" w:type="pct"/>
            <w:vAlign w:val="center"/>
          </w:tcPr>
          <w:p w14:paraId="317C9BF7"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40</w:t>
            </w:r>
          </w:p>
        </w:tc>
        <w:tc>
          <w:tcPr>
            <w:tcW w:w="449" w:type="pct"/>
            <w:vAlign w:val="center"/>
          </w:tcPr>
          <w:p w14:paraId="1478131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41</w:t>
            </w:r>
          </w:p>
        </w:tc>
        <w:tc>
          <w:tcPr>
            <w:tcW w:w="520" w:type="pct"/>
            <w:vAlign w:val="center"/>
          </w:tcPr>
          <w:p w14:paraId="5D815AAE"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42</w:t>
            </w:r>
          </w:p>
        </w:tc>
        <w:tc>
          <w:tcPr>
            <w:tcW w:w="448" w:type="pct"/>
            <w:vAlign w:val="center"/>
          </w:tcPr>
          <w:p w14:paraId="4680B2AE"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44</w:t>
            </w:r>
          </w:p>
        </w:tc>
        <w:tc>
          <w:tcPr>
            <w:tcW w:w="523" w:type="pct"/>
            <w:vAlign w:val="center"/>
          </w:tcPr>
          <w:p w14:paraId="5253A583"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45</w:t>
            </w:r>
          </w:p>
        </w:tc>
        <w:tc>
          <w:tcPr>
            <w:tcW w:w="428" w:type="pct"/>
            <w:vAlign w:val="center"/>
          </w:tcPr>
          <w:p w14:paraId="6E01666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46</w:t>
            </w:r>
          </w:p>
        </w:tc>
      </w:tr>
      <w:tr w:rsidR="00C1122B" w:rsidRPr="007E4A43" w14:paraId="17DB0A34" w14:textId="77777777" w:rsidTr="00BD3739">
        <w:tc>
          <w:tcPr>
            <w:tcW w:w="2184" w:type="pct"/>
          </w:tcPr>
          <w:p w14:paraId="5810CE23" w14:textId="77777777" w:rsidR="00C1122B" w:rsidRPr="007E4A43" w:rsidRDefault="00C1122B" w:rsidP="00C1122B">
            <w:pPr>
              <w:keepNext/>
              <w:keepLines/>
              <w:ind w:left="176"/>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F/G patients on IVA switching to ELX/TEZ/IVA (100% switch)</w:t>
            </w:r>
          </w:p>
        </w:tc>
        <w:tc>
          <w:tcPr>
            <w:tcW w:w="448" w:type="pct"/>
            <w:vAlign w:val="center"/>
          </w:tcPr>
          <w:p w14:paraId="17C0F94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40</w:t>
            </w:r>
          </w:p>
        </w:tc>
        <w:tc>
          <w:tcPr>
            <w:tcW w:w="449" w:type="pct"/>
            <w:vAlign w:val="center"/>
          </w:tcPr>
          <w:p w14:paraId="61279CC3"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41</w:t>
            </w:r>
          </w:p>
        </w:tc>
        <w:tc>
          <w:tcPr>
            <w:tcW w:w="520" w:type="pct"/>
            <w:vAlign w:val="center"/>
          </w:tcPr>
          <w:p w14:paraId="47B5D6BB"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42</w:t>
            </w:r>
          </w:p>
        </w:tc>
        <w:tc>
          <w:tcPr>
            <w:tcW w:w="448" w:type="pct"/>
            <w:vAlign w:val="center"/>
          </w:tcPr>
          <w:p w14:paraId="25FBA15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44</w:t>
            </w:r>
          </w:p>
        </w:tc>
        <w:tc>
          <w:tcPr>
            <w:tcW w:w="523" w:type="pct"/>
            <w:vAlign w:val="center"/>
          </w:tcPr>
          <w:p w14:paraId="416A806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45</w:t>
            </w:r>
          </w:p>
        </w:tc>
        <w:tc>
          <w:tcPr>
            <w:tcW w:w="428" w:type="pct"/>
            <w:vAlign w:val="center"/>
          </w:tcPr>
          <w:p w14:paraId="2DCC7617"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46</w:t>
            </w:r>
          </w:p>
        </w:tc>
      </w:tr>
      <w:tr w:rsidR="00C1122B" w:rsidRPr="007E4A43" w14:paraId="70E93232" w14:textId="77777777" w:rsidTr="00BD3739">
        <w:tc>
          <w:tcPr>
            <w:tcW w:w="2184" w:type="pct"/>
          </w:tcPr>
          <w:p w14:paraId="4923290F"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 xml:space="preserve">Total treated population </w:t>
            </w:r>
          </w:p>
        </w:tc>
        <w:tc>
          <w:tcPr>
            <w:tcW w:w="448" w:type="pct"/>
            <w:vAlign w:val="bottom"/>
          </w:tcPr>
          <w:p w14:paraId="64EAF8D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222</w:t>
            </w:r>
          </w:p>
        </w:tc>
        <w:tc>
          <w:tcPr>
            <w:tcW w:w="449" w:type="pct"/>
            <w:vAlign w:val="bottom"/>
          </w:tcPr>
          <w:p w14:paraId="255857F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226</w:t>
            </w:r>
          </w:p>
        </w:tc>
        <w:tc>
          <w:tcPr>
            <w:tcW w:w="520" w:type="pct"/>
            <w:vAlign w:val="bottom"/>
          </w:tcPr>
          <w:p w14:paraId="4934A4F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230</w:t>
            </w:r>
          </w:p>
        </w:tc>
        <w:tc>
          <w:tcPr>
            <w:tcW w:w="448" w:type="pct"/>
            <w:vAlign w:val="bottom"/>
          </w:tcPr>
          <w:p w14:paraId="03A9243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236</w:t>
            </w:r>
          </w:p>
        </w:tc>
        <w:tc>
          <w:tcPr>
            <w:tcW w:w="523" w:type="pct"/>
            <w:vAlign w:val="bottom"/>
          </w:tcPr>
          <w:p w14:paraId="0AE0452E"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240</w:t>
            </w:r>
          </w:p>
        </w:tc>
        <w:tc>
          <w:tcPr>
            <w:tcW w:w="428" w:type="pct"/>
            <w:vAlign w:val="bottom"/>
          </w:tcPr>
          <w:p w14:paraId="58CAA357"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244</w:t>
            </w:r>
          </w:p>
        </w:tc>
      </w:tr>
      <w:tr w:rsidR="00C1122B" w:rsidRPr="007E4A43" w14:paraId="179F99CD" w14:textId="77777777" w:rsidTr="00BD3739">
        <w:tc>
          <w:tcPr>
            <w:tcW w:w="5000" w:type="pct"/>
            <w:gridSpan w:val="7"/>
          </w:tcPr>
          <w:p w14:paraId="3D379017"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b/>
                <w:snapToGrid w:val="0"/>
                <w:sz w:val="20"/>
                <w:szCs w:val="20"/>
              </w:rPr>
              <w:t>Patients not currently eligible for PBS-reimbursed CFTR modulators (using epidemiological approach)</w:t>
            </w:r>
          </w:p>
        </w:tc>
      </w:tr>
      <w:tr w:rsidR="00C1122B" w:rsidRPr="007E4A43" w14:paraId="44FB7657" w14:textId="77777777" w:rsidTr="00BD3739">
        <w:tc>
          <w:tcPr>
            <w:tcW w:w="2184" w:type="pct"/>
          </w:tcPr>
          <w:p w14:paraId="60DBFFF9"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 xml:space="preserve">F/MF prevalent population </w:t>
            </w:r>
          </w:p>
        </w:tc>
        <w:tc>
          <w:tcPr>
            <w:tcW w:w="448" w:type="pct"/>
            <w:tcBorders>
              <w:top w:val="single" w:sz="4" w:space="0" w:color="auto"/>
              <w:left w:val="single" w:sz="4" w:space="0" w:color="auto"/>
              <w:bottom w:val="single" w:sz="4" w:space="0" w:color="auto"/>
              <w:right w:val="single" w:sz="4" w:space="0" w:color="auto"/>
            </w:tcBorders>
            <w:vAlign w:val="center"/>
          </w:tcPr>
          <w:p w14:paraId="72F7DDA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164</w:t>
            </w:r>
          </w:p>
        </w:tc>
        <w:tc>
          <w:tcPr>
            <w:tcW w:w="449" w:type="pct"/>
            <w:tcBorders>
              <w:top w:val="single" w:sz="4" w:space="0" w:color="auto"/>
              <w:left w:val="nil"/>
              <w:bottom w:val="single" w:sz="4" w:space="0" w:color="auto"/>
              <w:right w:val="single" w:sz="4" w:space="0" w:color="auto"/>
            </w:tcBorders>
            <w:vAlign w:val="center"/>
          </w:tcPr>
          <w:p w14:paraId="29FE5217"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166</w:t>
            </w:r>
          </w:p>
        </w:tc>
        <w:tc>
          <w:tcPr>
            <w:tcW w:w="520" w:type="pct"/>
            <w:tcBorders>
              <w:top w:val="single" w:sz="4" w:space="0" w:color="auto"/>
              <w:left w:val="nil"/>
              <w:bottom w:val="single" w:sz="4" w:space="0" w:color="auto"/>
              <w:right w:val="single" w:sz="4" w:space="0" w:color="auto"/>
            </w:tcBorders>
            <w:vAlign w:val="center"/>
          </w:tcPr>
          <w:p w14:paraId="1CA005B6"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169</w:t>
            </w:r>
          </w:p>
        </w:tc>
        <w:tc>
          <w:tcPr>
            <w:tcW w:w="448" w:type="pct"/>
            <w:tcBorders>
              <w:top w:val="single" w:sz="4" w:space="0" w:color="auto"/>
              <w:left w:val="nil"/>
              <w:bottom w:val="single" w:sz="4" w:space="0" w:color="auto"/>
              <w:right w:val="single" w:sz="4" w:space="0" w:color="auto"/>
            </w:tcBorders>
            <w:vAlign w:val="center"/>
          </w:tcPr>
          <w:p w14:paraId="4207EA4A"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171</w:t>
            </w:r>
          </w:p>
        </w:tc>
        <w:tc>
          <w:tcPr>
            <w:tcW w:w="523" w:type="pct"/>
            <w:tcBorders>
              <w:top w:val="single" w:sz="4" w:space="0" w:color="auto"/>
              <w:left w:val="nil"/>
              <w:bottom w:val="single" w:sz="4" w:space="0" w:color="auto"/>
              <w:right w:val="single" w:sz="4" w:space="0" w:color="auto"/>
            </w:tcBorders>
            <w:vAlign w:val="center"/>
          </w:tcPr>
          <w:p w14:paraId="44B3E430"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174</w:t>
            </w:r>
          </w:p>
        </w:tc>
        <w:tc>
          <w:tcPr>
            <w:tcW w:w="428" w:type="pct"/>
            <w:tcBorders>
              <w:top w:val="single" w:sz="4" w:space="0" w:color="auto"/>
              <w:left w:val="nil"/>
              <w:bottom w:val="single" w:sz="4" w:space="0" w:color="auto"/>
              <w:right w:val="single" w:sz="4" w:space="0" w:color="auto"/>
            </w:tcBorders>
            <w:vAlign w:val="center"/>
          </w:tcPr>
          <w:p w14:paraId="4445CDF8"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177</w:t>
            </w:r>
          </w:p>
        </w:tc>
      </w:tr>
      <w:tr w:rsidR="00C1122B" w:rsidRPr="007E4A43" w14:paraId="4A2C436E" w14:textId="77777777" w:rsidTr="00BD3739">
        <w:tc>
          <w:tcPr>
            <w:tcW w:w="2184" w:type="pct"/>
          </w:tcPr>
          <w:p w14:paraId="7DF7B9E0" w14:textId="77777777" w:rsidR="00C1122B" w:rsidRPr="007E4A43" w:rsidRDefault="00C1122B" w:rsidP="00C1122B">
            <w:pPr>
              <w:keepNext/>
              <w:keepLines/>
              <w:ind w:left="176"/>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Treated F/MF patients (98% uptake and applying discontinuation rates</w:t>
            </w:r>
            <w:r w:rsidRPr="007E4A43">
              <w:rPr>
                <w:rFonts w:asciiTheme="minorHAnsi" w:eastAsia="MS Mincho" w:hAnsiTheme="minorHAnsi" w:cstheme="minorHAnsi"/>
                <w:snapToGrid w:val="0"/>
                <w:sz w:val="20"/>
                <w:szCs w:val="20"/>
                <w:vertAlign w:val="superscript"/>
              </w:rPr>
              <w:t>c</w:t>
            </w:r>
            <w:r w:rsidRPr="007E4A43">
              <w:rPr>
                <w:rFonts w:asciiTheme="minorHAnsi" w:eastAsia="MS Mincho" w:hAnsiTheme="minorHAnsi" w:cstheme="minorHAnsi"/>
                <w:snapToGrid w:val="0"/>
                <w:sz w:val="20"/>
                <w:szCs w:val="20"/>
              </w:rPr>
              <w:t>)</w:t>
            </w:r>
          </w:p>
        </w:tc>
        <w:tc>
          <w:tcPr>
            <w:tcW w:w="448" w:type="pct"/>
          </w:tcPr>
          <w:p w14:paraId="23A2B126"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158</w:t>
            </w:r>
          </w:p>
        </w:tc>
        <w:tc>
          <w:tcPr>
            <w:tcW w:w="449" w:type="pct"/>
          </w:tcPr>
          <w:p w14:paraId="3372D280"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156</w:t>
            </w:r>
          </w:p>
        </w:tc>
        <w:tc>
          <w:tcPr>
            <w:tcW w:w="520" w:type="pct"/>
          </w:tcPr>
          <w:p w14:paraId="57024E38"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155</w:t>
            </w:r>
          </w:p>
        </w:tc>
        <w:tc>
          <w:tcPr>
            <w:tcW w:w="448" w:type="pct"/>
          </w:tcPr>
          <w:p w14:paraId="0E7F8C6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158</w:t>
            </w:r>
          </w:p>
        </w:tc>
        <w:tc>
          <w:tcPr>
            <w:tcW w:w="523" w:type="pct"/>
          </w:tcPr>
          <w:p w14:paraId="4E39AE32"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160</w:t>
            </w:r>
          </w:p>
        </w:tc>
        <w:tc>
          <w:tcPr>
            <w:tcW w:w="428" w:type="pct"/>
          </w:tcPr>
          <w:p w14:paraId="15DC9426"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162</w:t>
            </w:r>
          </w:p>
        </w:tc>
      </w:tr>
      <w:tr w:rsidR="00C1122B" w:rsidRPr="007E4A43" w14:paraId="1F52CD9D"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1F23B3B2"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F/RF population</w:t>
            </w:r>
          </w:p>
        </w:tc>
        <w:tc>
          <w:tcPr>
            <w:tcW w:w="448" w:type="pct"/>
            <w:tcBorders>
              <w:top w:val="single" w:sz="4" w:space="0" w:color="auto"/>
              <w:left w:val="single" w:sz="4" w:space="0" w:color="auto"/>
              <w:bottom w:val="single" w:sz="4" w:space="0" w:color="auto"/>
              <w:right w:val="single" w:sz="4" w:space="0" w:color="auto"/>
            </w:tcBorders>
            <w:vAlign w:val="center"/>
          </w:tcPr>
          <w:p w14:paraId="37B17A3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43</w:t>
            </w:r>
          </w:p>
        </w:tc>
        <w:tc>
          <w:tcPr>
            <w:tcW w:w="449" w:type="pct"/>
            <w:tcBorders>
              <w:top w:val="single" w:sz="4" w:space="0" w:color="auto"/>
              <w:left w:val="nil"/>
              <w:bottom w:val="single" w:sz="4" w:space="0" w:color="auto"/>
              <w:right w:val="single" w:sz="4" w:space="0" w:color="auto"/>
            </w:tcBorders>
            <w:vAlign w:val="center"/>
          </w:tcPr>
          <w:p w14:paraId="2EABA0C6"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43</w:t>
            </w:r>
          </w:p>
        </w:tc>
        <w:tc>
          <w:tcPr>
            <w:tcW w:w="520" w:type="pct"/>
            <w:tcBorders>
              <w:top w:val="single" w:sz="4" w:space="0" w:color="auto"/>
              <w:left w:val="nil"/>
              <w:bottom w:val="single" w:sz="4" w:space="0" w:color="auto"/>
              <w:right w:val="single" w:sz="4" w:space="0" w:color="auto"/>
            </w:tcBorders>
            <w:vAlign w:val="center"/>
          </w:tcPr>
          <w:p w14:paraId="09439643"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44</w:t>
            </w:r>
          </w:p>
        </w:tc>
        <w:tc>
          <w:tcPr>
            <w:tcW w:w="448" w:type="pct"/>
            <w:tcBorders>
              <w:top w:val="single" w:sz="4" w:space="0" w:color="auto"/>
              <w:left w:val="nil"/>
              <w:bottom w:val="single" w:sz="4" w:space="0" w:color="auto"/>
              <w:right w:val="single" w:sz="4" w:space="0" w:color="auto"/>
            </w:tcBorders>
            <w:vAlign w:val="center"/>
          </w:tcPr>
          <w:p w14:paraId="00E84303"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45</w:t>
            </w:r>
          </w:p>
        </w:tc>
        <w:tc>
          <w:tcPr>
            <w:tcW w:w="523" w:type="pct"/>
            <w:tcBorders>
              <w:top w:val="single" w:sz="4" w:space="0" w:color="auto"/>
              <w:left w:val="nil"/>
              <w:bottom w:val="single" w:sz="4" w:space="0" w:color="auto"/>
              <w:right w:val="single" w:sz="4" w:space="0" w:color="auto"/>
            </w:tcBorders>
            <w:vAlign w:val="center"/>
          </w:tcPr>
          <w:p w14:paraId="695F862E"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45</w:t>
            </w:r>
          </w:p>
        </w:tc>
        <w:tc>
          <w:tcPr>
            <w:tcW w:w="428" w:type="pct"/>
            <w:tcBorders>
              <w:top w:val="single" w:sz="4" w:space="0" w:color="auto"/>
              <w:left w:val="nil"/>
              <w:bottom w:val="single" w:sz="4" w:space="0" w:color="auto"/>
              <w:right w:val="single" w:sz="4" w:space="0" w:color="auto"/>
            </w:tcBorders>
            <w:vAlign w:val="center"/>
          </w:tcPr>
          <w:p w14:paraId="10AB867B"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46</w:t>
            </w:r>
          </w:p>
        </w:tc>
      </w:tr>
      <w:tr w:rsidR="00C1122B" w:rsidRPr="007E4A43" w14:paraId="19AFA108"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46A6CAF7" w14:textId="77777777" w:rsidR="00C1122B" w:rsidRPr="007E4A43" w:rsidRDefault="00C1122B" w:rsidP="00C1122B">
            <w:pPr>
              <w:keepNext/>
              <w:keepLines/>
              <w:ind w:left="176"/>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Treated F/RF patients (80% uptake and applying discontinuation rates</w:t>
            </w:r>
            <w:r w:rsidRPr="007E4A43">
              <w:rPr>
                <w:rFonts w:asciiTheme="minorHAnsi" w:eastAsia="MS Mincho" w:hAnsiTheme="minorHAnsi" w:cstheme="minorHAnsi"/>
                <w:snapToGrid w:val="0"/>
                <w:sz w:val="20"/>
                <w:szCs w:val="20"/>
                <w:vertAlign w:val="superscript"/>
              </w:rPr>
              <w:t>c)</w:t>
            </w:r>
          </w:p>
        </w:tc>
        <w:tc>
          <w:tcPr>
            <w:tcW w:w="448" w:type="pct"/>
            <w:tcBorders>
              <w:top w:val="single" w:sz="4" w:space="0" w:color="auto"/>
              <w:left w:val="single" w:sz="4" w:space="0" w:color="auto"/>
              <w:bottom w:val="single" w:sz="4" w:space="0" w:color="auto"/>
              <w:right w:val="single" w:sz="4" w:space="0" w:color="auto"/>
            </w:tcBorders>
            <w:shd w:val="clear" w:color="auto" w:fill="FFFFFF"/>
          </w:tcPr>
          <w:p w14:paraId="07C531C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34</w:t>
            </w:r>
          </w:p>
        </w:tc>
        <w:tc>
          <w:tcPr>
            <w:tcW w:w="449" w:type="pct"/>
            <w:tcBorders>
              <w:top w:val="nil"/>
              <w:left w:val="nil"/>
              <w:bottom w:val="single" w:sz="4" w:space="0" w:color="auto"/>
              <w:right w:val="single" w:sz="4" w:space="0" w:color="auto"/>
            </w:tcBorders>
            <w:shd w:val="clear" w:color="auto" w:fill="FFFFFF"/>
          </w:tcPr>
          <w:p w14:paraId="3313AD82"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33</w:t>
            </w:r>
          </w:p>
        </w:tc>
        <w:tc>
          <w:tcPr>
            <w:tcW w:w="520" w:type="pct"/>
            <w:tcBorders>
              <w:top w:val="nil"/>
              <w:left w:val="nil"/>
              <w:bottom w:val="single" w:sz="4" w:space="0" w:color="auto"/>
              <w:right w:val="single" w:sz="4" w:space="0" w:color="auto"/>
            </w:tcBorders>
            <w:shd w:val="clear" w:color="auto" w:fill="FFFFFF"/>
          </w:tcPr>
          <w:p w14:paraId="14F424A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33</w:t>
            </w:r>
          </w:p>
        </w:tc>
        <w:tc>
          <w:tcPr>
            <w:tcW w:w="448" w:type="pct"/>
            <w:tcBorders>
              <w:top w:val="nil"/>
              <w:left w:val="nil"/>
              <w:bottom w:val="single" w:sz="4" w:space="0" w:color="auto"/>
              <w:right w:val="single" w:sz="4" w:space="0" w:color="auto"/>
            </w:tcBorders>
            <w:shd w:val="clear" w:color="auto" w:fill="FFFFFF"/>
          </w:tcPr>
          <w:p w14:paraId="752DE424"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34</w:t>
            </w:r>
          </w:p>
        </w:tc>
        <w:tc>
          <w:tcPr>
            <w:tcW w:w="523" w:type="pct"/>
            <w:tcBorders>
              <w:top w:val="nil"/>
              <w:left w:val="nil"/>
              <w:bottom w:val="single" w:sz="4" w:space="0" w:color="auto"/>
              <w:right w:val="single" w:sz="4" w:space="0" w:color="auto"/>
            </w:tcBorders>
            <w:shd w:val="clear" w:color="auto" w:fill="FFFFFF"/>
          </w:tcPr>
          <w:p w14:paraId="7C9626F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34</w:t>
            </w:r>
          </w:p>
        </w:tc>
        <w:tc>
          <w:tcPr>
            <w:tcW w:w="428" w:type="pct"/>
            <w:tcBorders>
              <w:top w:val="nil"/>
              <w:left w:val="nil"/>
              <w:bottom w:val="single" w:sz="4" w:space="0" w:color="auto"/>
              <w:right w:val="single" w:sz="4" w:space="0" w:color="auto"/>
            </w:tcBorders>
            <w:shd w:val="clear" w:color="auto" w:fill="FFFFFF"/>
          </w:tcPr>
          <w:p w14:paraId="2762F076"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35</w:t>
            </w:r>
          </w:p>
        </w:tc>
      </w:tr>
      <w:tr w:rsidR="00C1122B" w:rsidRPr="007E4A43" w14:paraId="622B1BCB"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01C1724C"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F/F117H population</w:t>
            </w:r>
          </w:p>
        </w:tc>
        <w:tc>
          <w:tcPr>
            <w:tcW w:w="448" w:type="pct"/>
            <w:tcBorders>
              <w:top w:val="single" w:sz="4" w:space="0" w:color="auto"/>
              <w:left w:val="single" w:sz="4" w:space="0" w:color="auto"/>
              <w:bottom w:val="single" w:sz="4" w:space="0" w:color="auto"/>
              <w:right w:val="single" w:sz="4" w:space="0" w:color="auto"/>
            </w:tcBorders>
            <w:vAlign w:val="center"/>
          </w:tcPr>
          <w:p w14:paraId="754A7E8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29</w:t>
            </w:r>
          </w:p>
        </w:tc>
        <w:tc>
          <w:tcPr>
            <w:tcW w:w="449" w:type="pct"/>
            <w:tcBorders>
              <w:top w:val="single" w:sz="4" w:space="0" w:color="auto"/>
              <w:left w:val="nil"/>
              <w:bottom w:val="single" w:sz="4" w:space="0" w:color="auto"/>
              <w:right w:val="single" w:sz="4" w:space="0" w:color="auto"/>
            </w:tcBorders>
            <w:vAlign w:val="center"/>
          </w:tcPr>
          <w:p w14:paraId="45E53F10"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30</w:t>
            </w:r>
          </w:p>
        </w:tc>
        <w:tc>
          <w:tcPr>
            <w:tcW w:w="520" w:type="pct"/>
            <w:tcBorders>
              <w:top w:val="single" w:sz="4" w:space="0" w:color="auto"/>
              <w:left w:val="nil"/>
              <w:bottom w:val="single" w:sz="4" w:space="0" w:color="auto"/>
              <w:right w:val="single" w:sz="4" w:space="0" w:color="auto"/>
            </w:tcBorders>
            <w:vAlign w:val="center"/>
          </w:tcPr>
          <w:p w14:paraId="06B12BF2"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30</w:t>
            </w:r>
          </w:p>
        </w:tc>
        <w:tc>
          <w:tcPr>
            <w:tcW w:w="448" w:type="pct"/>
            <w:tcBorders>
              <w:top w:val="single" w:sz="4" w:space="0" w:color="auto"/>
              <w:left w:val="nil"/>
              <w:bottom w:val="single" w:sz="4" w:space="0" w:color="auto"/>
              <w:right w:val="single" w:sz="4" w:space="0" w:color="auto"/>
            </w:tcBorders>
            <w:vAlign w:val="center"/>
          </w:tcPr>
          <w:p w14:paraId="55EFA24D"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31</w:t>
            </w:r>
          </w:p>
        </w:tc>
        <w:tc>
          <w:tcPr>
            <w:tcW w:w="523" w:type="pct"/>
            <w:tcBorders>
              <w:top w:val="single" w:sz="4" w:space="0" w:color="auto"/>
              <w:left w:val="nil"/>
              <w:bottom w:val="single" w:sz="4" w:space="0" w:color="auto"/>
              <w:right w:val="single" w:sz="4" w:space="0" w:color="auto"/>
            </w:tcBorders>
            <w:vAlign w:val="center"/>
          </w:tcPr>
          <w:p w14:paraId="6532576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31</w:t>
            </w:r>
          </w:p>
        </w:tc>
        <w:tc>
          <w:tcPr>
            <w:tcW w:w="428" w:type="pct"/>
            <w:tcBorders>
              <w:top w:val="single" w:sz="4" w:space="0" w:color="auto"/>
              <w:left w:val="nil"/>
              <w:bottom w:val="single" w:sz="4" w:space="0" w:color="auto"/>
              <w:right w:val="single" w:sz="4" w:space="0" w:color="auto"/>
            </w:tcBorders>
            <w:vAlign w:val="center"/>
          </w:tcPr>
          <w:p w14:paraId="57513A0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32</w:t>
            </w:r>
          </w:p>
        </w:tc>
      </w:tr>
      <w:tr w:rsidR="00C1122B" w:rsidRPr="007E4A43" w14:paraId="54504D74"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2AD61603" w14:textId="77777777" w:rsidR="00C1122B" w:rsidRPr="007E4A43" w:rsidRDefault="00C1122B" w:rsidP="00C1122B">
            <w:pPr>
              <w:keepNext/>
              <w:keepLines/>
              <w:ind w:left="176"/>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Treated F/R117H patients (80% uptake and applying discontinuation rates</w:t>
            </w:r>
            <w:r w:rsidRPr="007E4A43">
              <w:rPr>
                <w:rFonts w:asciiTheme="minorHAnsi" w:eastAsia="MS Mincho" w:hAnsiTheme="minorHAnsi" w:cstheme="minorHAnsi"/>
                <w:snapToGrid w:val="0"/>
                <w:sz w:val="20"/>
                <w:szCs w:val="20"/>
                <w:vertAlign w:val="superscript"/>
              </w:rPr>
              <w:t>c)</w:t>
            </w:r>
          </w:p>
        </w:tc>
        <w:tc>
          <w:tcPr>
            <w:tcW w:w="448" w:type="pct"/>
            <w:tcBorders>
              <w:top w:val="single" w:sz="4" w:space="0" w:color="auto"/>
              <w:left w:val="single" w:sz="4" w:space="0" w:color="auto"/>
              <w:bottom w:val="single" w:sz="4" w:space="0" w:color="auto"/>
              <w:right w:val="single" w:sz="4" w:space="0" w:color="auto"/>
            </w:tcBorders>
            <w:shd w:val="clear" w:color="auto" w:fill="FFFFFF"/>
          </w:tcPr>
          <w:p w14:paraId="72172DB4"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23</w:t>
            </w:r>
          </w:p>
        </w:tc>
        <w:tc>
          <w:tcPr>
            <w:tcW w:w="449" w:type="pct"/>
            <w:tcBorders>
              <w:top w:val="nil"/>
              <w:left w:val="nil"/>
              <w:bottom w:val="single" w:sz="4" w:space="0" w:color="auto"/>
              <w:right w:val="single" w:sz="4" w:space="0" w:color="auto"/>
            </w:tcBorders>
            <w:shd w:val="clear" w:color="auto" w:fill="FFFFFF"/>
          </w:tcPr>
          <w:p w14:paraId="7E41509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23</w:t>
            </w:r>
          </w:p>
        </w:tc>
        <w:tc>
          <w:tcPr>
            <w:tcW w:w="520" w:type="pct"/>
            <w:tcBorders>
              <w:top w:val="nil"/>
              <w:left w:val="nil"/>
              <w:bottom w:val="single" w:sz="4" w:space="0" w:color="auto"/>
              <w:right w:val="single" w:sz="4" w:space="0" w:color="auto"/>
            </w:tcBorders>
            <w:shd w:val="clear" w:color="auto" w:fill="FFFFFF"/>
          </w:tcPr>
          <w:p w14:paraId="2ABCC662"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23</w:t>
            </w:r>
          </w:p>
        </w:tc>
        <w:tc>
          <w:tcPr>
            <w:tcW w:w="448" w:type="pct"/>
            <w:tcBorders>
              <w:top w:val="nil"/>
              <w:left w:val="nil"/>
              <w:bottom w:val="single" w:sz="4" w:space="0" w:color="auto"/>
              <w:right w:val="single" w:sz="4" w:space="0" w:color="auto"/>
            </w:tcBorders>
            <w:shd w:val="clear" w:color="auto" w:fill="FFFFFF"/>
          </w:tcPr>
          <w:p w14:paraId="2713733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23</w:t>
            </w:r>
          </w:p>
        </w:tc>
        <w:tc>
          <w:tcPr>
            <w:tcW w:w="523" w:type="pct"/>
            <w:tcBorders>
              <w:top w:val="nil"/>
              <w:left w:val="nil"/>
              <w:bottom w:val="single" w:sz="4" w:space="0" w:color="auto"/>
              <w:right w:val="single" w:sz="4" w:space="0" w:color="auto"/>
            </w:tcBorders>
            <w:shd w:val="clear" w:color="auto" w:fill="FFFFFF"/>
          </w:tcPr>
          <w:p w14:paraId="303902F7"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23</w:t>
            </w:r>
          </w:p>
        </w:tc>
        <w:tc>
          <w:tcPr>
            <w:tcW w:w="428" w:type="pct"/>
            <w:tcBorders>
              <w:top w:val="nil"/>
              <w:left w:val="nil"/>
              <w:bottom w:val="single" w:sz="4" w:space="0" w:color="auto"/>
              <w:right w:val="single" w:sz="4" w:space="0" w:color="auto"/>
            </w:tcBorders>
            <w:shd w:val="clear" w:color="auto" w:fill="FFFFFF"/>
          </w:tcPr>
          <w:p w14:paraId="163397B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24</w:t>
            </w:r>
          </w:p>
        </w:tc>
      </w:tr>
      <w:tr w:rsidR="00C1122B" w:rsidRPr="007E4A43" w14:paraId="101209CF"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27B82C4A"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Total treated population</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bottom"/>
          </w:tcPr>
          <w:p w14:paraId="5F87E1DB"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215</w:t>
            </w:r>
          </w:p>
        </w:tc>
        <w:tc>
          <w:tcPr>
            <w:tcW w:w="449" w:type="pct"/>
            <w:tcBorders>
              <w:top w:val="nil"/>
              <w:left w:val="nil"/>
              <w:bottom w:val="single" w:sz="4" w:space="0" w:color="auto"/>
              <w:right w:val="single" w:sz="4" w:space="0" w:color="auto"/>
            </w:tcBorders>
            <w:shd w:val="clear" w:color="auto" w:fill="FFFFFF"/>
            <w:vAlign w:val="bottom"/>
          </w:tcPr>
          <w:p w14:paraId="7AF079A1"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212</w:t>
            </w:r>
          </w:p>
        </w:tc>
        <w:tc>
          <w:tcPr>
            <w:tcW w:w="520" w:type="pct"/>
            <w:tcBorders>
              <w:top w:val="nil"/>
              <w:left w:val="nil"/>
              <w:bottom w:val="single" w:sz="4" w:space="0" w:color="auto"/>
              <w:right w:val="single" w:sz="4" w:space="0" w:color="auto"/>
            </w:tcBorders>
            <w:shd w:val="clear" w:color="auto" w:fill="FFFFFF"/>
            <w:vAlign w:val="bottom"/>
          </w:tcPr>
          <w:p w14:paraId="767704FB"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211</w:t>
            </w:r>
          </w:p>
        </w:tc>
        <w:tc>
          <w:tcPr>
            <w:tcW w:w="448" w:type="pct"/>
            <w:tcBorders>
              <w:top w:val="nil"/>
              <w:left w:val="nil"/>
              <w:bottom w:val="single" w:sz="4" w:space="0" w:color="auto"/>
              <w:right w:val="single" w:sz="4" w:space="0" w:color="auto"/>
            </w:tcBorders>
            <w:shd w:val="clear" w:color="auto" w:fill="FFFFFF"/>
            <w:vAlign w:val="bottom"/>
          </w:tcPr>
          <w:p w14:paraId="4F06F5D0"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215</w:t>
            </w:r>
          </w:p>
        </w:tc>
        <w:tc>
          <w:tcPr>
            <w:tcW w:w="523" w:type="pct"/>
            <w:tcBorders>
              <w:top w:val="nil"/>
              <w:left w:val="nil"/>
              <w:bottom w:val="single" w:sz="4" w:space="0" w:color="auto"/>
              <w:right w:val="single" w:sz="4" w:space="0" w:color="auto"/>
            </w:tcBorders>
            <w:shd w:val="clear" w:color="auto" w:fill="FFFFFF"/>
            <w:vAlign w:val="bottom"/>
          </w:tcPr>
          <w:p w14:paraId="5911044D"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217</w:t>
            </w:r>
          </w:p>
        </w:tc>
        <w:tc>
          <w:tcPr>
            <w:tcW w:w="428" w:type="pct"/>
            <w:tcBorders>
              <w:top w:val="nil"/>
              <w:left w:val="nil"/>
              <w:bottom w:val="single" w:sz="4" w:space="0" w:color="auto"/>
              <w:right w:val="single" w:sz="4" w:space="0" w:color="auto"/>
            </w:tcBorders>
            <w:shd w:val="clear" w:color="auto" w:fill="FFFFFF"/>
            <w:vAlign w:val="bottom"/>
          </w:tcPr>
          <w:p w14:paraId="7CDEF2B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color w:val="000000"/>
                <w:sz w:val="20"/>
                <w:szCs w:val="20"/>
              </w:rPr>
              <w:t>221</w:t>
            </w:r>
          </w:p>
        </w:tc>
      </w:tr>
      <w:tr w:rsidR="00C1122B" w:rsidRPr="007E4A43" w14:paraId="1F994B54" w14:textId="77777777" w:rsidTr="00C1122B">
        <w:tc>
          <w:tcPr>
            <w:tcW w:w="5000" w:type="pct"/>
            <w:gridSpan w:val="7"/>
            <w:tcBorders>
              <w:top w:val="nil"/>
              <w:left w:val="single" w:sz="4" w:space="0" w:color="auto"/>
              <w:bottom w:val="single" w:sz="4" w:space="0" w:color="auto"/>
              <w:right w:val="single" w:sz="4" w:space="0" w:color="auto"/>
            </w:tcBorders>
            <w:shd w:val="clear" w:color="auto" w:fill="FFFFFF"/>
          </w:tcPr>
          <w:p w14:paraId="1F0F0E03"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b/>
                <w:snapToGrid w:val="0"/>
                <w:sz w:val="20"/>
                <w:szCs w:val="20"/>
              </w:rPr>
              <w:t xml:space="preserve">F/F patients not captured in the Deed calculations </w:t>
            </w:r>
          </w:p>
        </w:tc>
      </w:tr>
      <w:tr w:rsidR="00C1122B" w:rsidRPr="007E4A43" w14:paraId="756A09DC"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56EB9EDF"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Total F/F not captured in the Deeds</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283AA42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82</w:t>
            </w:r>
          </w:p>
        </w:tc>
        <w:tc>
          <w:tcPr>
            <w:tcW w:w="449" w:type="pct"/>
            <w:tcBorders>
              <w:top w:val="nil"/>
              <w:left w:val="nil"/>
              <w:bottom w:val="single" w:sz="4" w:space="0" w:color="auto"/>
              <w:right w:val="single" w:sz="4" w:space="0" w:color="auto"/>
            </w:tcBorders>
            <w:shd w:val="clear" w:color="auto" w:fill="FFFFFF"/>
            <w:vAlign w:val="center"/>
          </w:tcPr>
          <w:p w14:paraId="6CB96A60"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83</w:t>
            </w:r>
          </w:p>
        </w:tc>
        <w:tc>
          <w:tcPr>
            <w:tcW w:w="520" w:type="pct"/>
            <w:tcBorders>
              <w:top w:val="nil"/>
              <w:left w:val="nil"/>
              <w:bottom w:val="single" w:sz="4" w:space="0" w:color="auto"/>
              <w:right w:val="single" w:sz="4" w:space="0" w:color="auto"/>
            </w:tcBorders>
            <w:shd w:val="clear" w:color="auto" w:fill="FFFFFF"/>
            <w:vAlign w:val="center"/>
          </w:tcPr>
          <w:p w14:paraId="2032D3C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83</w:t>
            </w:r>
          </w:p>
        </w:tc>
        <w:tc>
          <w:tcPr>
            <w:tcW w:w="448" w:type="pct"/>
            <w:tcBorders>
              <w:top w:val="nil"/>
              <w:left w:val="nil"/>
              <w:bottom w:val="single" w:sz="4" w:space="0" w:color="auto"/>
              <w:right w:val="single" w:sz="4" w:space="0" w:color="auto"/>
            </w:tcBorders>
            <w:shd w:val="clear" w:color="auto" w:fill="FFFFFF"/>
            <w:vAlign w:val="center"/>
          </w:tcPr>
          <w:p w14:paraId="58F2FFC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84</w:t>
            </w:r>
          </w:p>
        </w:tc>
        <w:tc>
          <w:tcPr>
            <w:tcW w:w="523" w:type="pct"/>
            <w:tcBorders>
              <w:top w:val="nil"/>
              <w:left w:val="nil"/>
              <w:bottom w:val="single" w:sz="4" w:space="0" w:color="auto"/>
              <w:right w:val="single" w:sz="4" w:space="0" w:color="auto"/>
            </w:tcBorders>
            <w:shd w:val="clear" w:color="auto" w:fill="FFFFFF"/>
            <w:vAlign w:val="center"/>
          </w:tcPr>
          <w:p w14:paraId="7D4CA0D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85</w:t>
            </w:r>
          </w:p>
        </w:tc>
        <w:tc>
          <w:tcPr>
            <w:tcW w:w="428" w:type="pct"/>
            <w:tcBorders>
              <w:top w:val="nil"/>
              <w:left w:val="nil"/>
              <w:bottom w:val="single" w:sz="4" w:space="0" w:color="auto"/>
              <w:right w:val="single" w:sz="4" w:space="0" w:color="auto"/>
            </w:tcBorders>
            <w:shd w:val="clear" w:color="auto" w:fill="FFFFFF"/>
            <w:vAlign w:val="center"/>
          </w:tcPr>
          <w:p w14:paraId="7FC2F626"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85</w:t>
            </w:r>
          </w:p>
        </w:tc>
      </w:tr>
      <w:tr w:rsidR="00C1122B" w:rsidRPr="007E4A43" w14:paraId="4DF0233B"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00093915" w14:textId="47CEEAB7" w:rsidR="00C1122B" w:rsidRPr="007E4A43" w:rsidRDefault="00C1122B" w:rsidP="00C1122B">
            <w:pPr>
              <w:keepNext/>
              <w:keepLines/>
              <w:ind w:left="176"/>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Treated F/F not captured in the Deeds (98% uptake and applying discontinuation rates of 1.4% in Yr 1, 4.2% in Yr 2</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7CDF8D5A"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80</w:t>
            </w:r>
          </w:p>
        </w:tc>
        <w:tc>
          <w:tcPr>
            <w:tcW w:w="449" w:type="pct"/>
            <w:tcBorders>
              <w:top w:val="nil"/>
              <w:left w:val="nil"/>
              <w:bottom w:val="single" w:sz="4" w:space="0" w:color="auto"/>
              <w:right w:val="single" w:sz="4" w:space="0" w:color="auto"/>
            </w:tcBorders>
            <w:shd w:val="clear" w:color="auto" w:fill="FFFFFF"/>
            <w:vAlign w:val="center"/>
          </w:tcPr>
          <w:p w14:paraId="273EB4C7"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79</w:t>
            </w:r>
          </w:p>
        </w:tc>
        <w:tc>
          <w:tcPr>
            <w:tcW w:w="520" w:type="pct"/>
            <w:tcBorders>
              <w:top w:val="nil"/>
              <w:left w:val="nil"/>
              <w:bottom w:val="single" w:sz="4" w:space="0" w:color="auto"/>
              <w:right w:val="single" w:sz="4" w:space="0" w:color="auto"/>
            </w:tcBorders>
            <w:shd w:val="clear" w:color="auto" w:fill="FFFFFF"/>
            <w:vAlign w:val="center"/>
          </w:tcPr>
          <w:p w14:paraId="2BA9F9F4"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78</w:t>
            </w:r>
          </w:p>
        </w:tc>
        <w:tc>
          <w:tcPr>
            <w:tcW w:w="448" w:type="pct"/>
            <w:tcBorders>
              <w:top w:val="nil"/>
              <w:left w:val="nil"/>
              <w:bottom w:val="single" w:sz="4" w:space="0" w:color="auto"/>
              <w:right w:val="single" w:sz="4" w:space="0" w:color="auto"/>
            </w:tcBorders>
            <w:shd w:val="clear" w:color="auto" w:fill="FFFFFF"/>
            <w:vAlign w:val="center"/>
          </w:tcPr>
          <w:p w14:paraId="32E6E04E"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79</w:t>
            </w:r>
          </w:p>
        </w:tc>
        <w:tc>
          <w:tcPr>
            <w:tcW w:w="523" w:type="pct"/>
            <w:tcBorders>
              <w:top w:val="nil"/>
              <w:left w:val="nil"/>
              <w:bottom w:val="single" w:sz="4" w:space="0" w:color="auto"/>
              <w:right w:val="single" w:sz="4" w:space="0" w:color="auto"/>
            </w:tcBorders>
            <w:shd w:val="clear" w:color="auto" w:fill="FFFFFF"/>
            <w:vAlign w:val="center"/>
          </w:tcPr>
          <w:p w14:paraId="5E37E1EE"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79</w:t>
            </w:r>
          </w:p>
        </w:tc>
        <w:tc>
          <w:tcPr>
            <w:tcW w:w="428" w:type="pct"/>
            <w:tcBorders>
              <w:top w:val="nil"/>
              <w:left w:val="nil"/>
              <w:bottom w:val="single" w:sz="4" w:space="0" w:color="auto"/>
              <w:right w:val="single" w:sz="4" w:space="0" w:color="auto"/>
            </w:tcBorders>
            <w:shd w:val="clear" w:color="auto" w:fill="FFFFFF"/>
            <w:vAlign w:val="center"/>
          </w:tcPr>
          <w:p w14:paraId="20E3603F"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80</w:t>
            </w:r>
          </w:p>
        </w:tc>
      </w:tr>
      <w:tr w:rsidR="00C1122B" w:rsidRPr="007E4A43" w14:paraId="4F0FA366" w14:textId="77777777" w:rsidTr="00C1122B">
        <w:tc>
          <w:tcPr>
            <w:tcW w:w="2184" w:type="pct"/>
            <w:tcBorders>
              <w:top w:val="nil"/>
              <w:left w:val="single" w:sz="4" w:space="0" w:color="auto"/>
              <w:bottom w:val="single" w:sz="4" w:space="0" w:color="auto"/>
              <w:right w:val="single" w:sz="4" w:space="0" w:color="auto"/>
            </w:tcBorders>
            <w:shd w:val="clear" w:color="auto" w:fill="FFFFFF"/>
          </w:tcPr>
          <w:p w14:paraId="1084802E" w14:textId="77777777" w:rsidR="00C1122B" w:rsidRPr="007E4A43" w:rsidRDefault="00C1122B" w:rsidP="00C1122B">
            <w:pPr>
              <w:keepNext/>
              <w:keepLines/>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Total all subpopulations treated with ELX/TEZ/IVA</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46360DD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517</w:t>
            </w:r>
          </w:p>
        </w:tc>
        <w:tc>
          <w:tcPr>
            <w:tcW w:w="449" w:type="pct"/>
            <w:tcBorders>
              <w:top w:val="nil"/>
              <w:left w:val="nil"/>
              <w:bottom w:val="single" w:sz="4" w:space="0" w:color="auto"/>
              <w:right w:val="single" w:sz="4" w:space="0" w:color="auto"/>
            </w:tcBorders>
            <w:shd w:val="clear" w:color="auto" w:fill="FFFFFF"/>
            <w:vAlign w:val="center"/>
          </w:tcPr>
          <w:p w14:paraId="22BE0CF5"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517</w:t>
            </w:r>
          </w:p>
        </w:tc>
        <w:tc>
          <w:tcPr>
            <w:tcW w:w="520" w:type="pct"/>
            <w:tcBorders>
              <w:top w:val="nil"/>
              <w:left w:val="nil"/>
              <w:bottom w:val="single" w:sz="4" w:space="0" w:color="auto"/>
              <w:right w:val="single" w:sz="4" w:space="0" w:color="auto"/>
            </w:tcBorders>
            <w:shd w:val="clear" w:color="auto" w:fill="FFFFFF"/>
            <w:vAlign w:val="center"/>
          </w:tcPr>
          <w:p w14:paraId="7003E5A6"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519</w:t>
            </w:r>
          </w:p>
        </w:tc>
        <w:tc>
          <w:tcPr>
            <w:tcW w:w="448" w:type="pct"/>
            <w:tcBorders>
              <w:top w:val="nil"/>
              <w:left w:val="nil"/>
              <w:bottom w:val="single" w:sz="4" w:space="0" w:color="auto"/>
              <w:right w:val="single" w:sz="4" w:space="0" w:color="auto"/>
            </w:tcBorders>
            <w:shd w:val="clear" w:color="auto" w:fill="FFFFFF"/>
            <w:vAlign w:val="center"/>
          </w:tcPr>
          <w:p w14:paraId="608DF88E"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528</w:t>
            </w:r>
          </w:p>
        </w:tc>
        <w:tc>
          <w:tcPr>
            <w:tcW w:w="523" w:type="pct"/>
            <w:tcBorders>
              <w:top w:val="nil"/>
              <w:left w:val="nil"/>
              <w:bottom w:val="single" w:sz="4" w:space="0" w:color="auto"/>
              <w:right w:val="single" w:sz="4" w:space="0" w:color="auto"/>
            </w:tcBorders>
            <w:shd w:val="clear" w:color="auto" w:fill="FFFFFF"/>
            <w:vAlign w:val="center"/>
          </w:tcPr>
          <w:p w14:paraId="4185451D"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537</w:t>
            </w:r>
          </w:p>
        </w:tc>
        <w:tc>
          <w:tcPr>
            <w:tcW w:w="428" w:type="pct"/>
            <w:tcBorders>
              <w:top w:val="nil"/>
              <w:left w:val="nil"/>
              <w:bottom w:val="single" w:sz="4" w:space="0" w:color="auto"/>
              <w:right w:val="single" w:sz="4" w:space="0" w:color="auto"/>
            </w:tcBorders>
            <w:shd w:val="clear" w:color="auto" w:fill="FFFFFF"/>
            <w:vAlign w:val="center"/>
          </w:tcPr>
          <w:p w14:paraId="30B94819" w14:textId="77777777" w:rsidR="00C1122B" w:rsidRPr="007E4A43" w:rsidRDefault="00C1122B" w:rsidP="00C1122B">
            <w:pPr>
              <w:keepNext/>
              <w:keepLines/>
              <w:jc w:val="center"/>
              <w:rPr>
                <w:rFonts w:asciiTheme="minorHAnsi" w:eastAsia="MS Mincho" w:hAnsiTheme="minorHAnsi" w:cstheme="minorHAnsi"/>
                <w:snapToGrid w:val="0"/>
                <w:sz w:val="20"/>
                <w:szCs w:val="20"/>
              </w:rPr>
            </w:pPr>
            <w:r w:rsidRPr="007E4A43">
              <w:rPr>
                <w:rFonts w:asciiTheme="minorHAnsi" w:eastAsia="MS Mincho" w:hAnsiTheme="minorHAnsi" w:cstheme="minorHAnsi"/>
                <w:snapToGrid w:val="0"/>
                <w:sz w:val="20"/>
                <w:szCs w:val="20"/>
              </w:rPr>
              <w:t>545</w:t>
            </w:r>
          </w:p>
        </w:tc>
      </w:tr>
    </w:tbl>
    <w:p w14:paraId="049F85BC" w14:textId="77777777" w:rsidR="002D0F62" w:rsidRPr="007E4A43" w:rsidRDefault="002D0F62" w:rsidP="00D24F54"/>
    <w:p w14:paraId="3B8C0B30" w14:textId="1388DD53" w:rsidR="00D24F54" w:rsidRPr="007E4A43" w:rsidRDefault="007175D2" w:rsidP="00D24F54">
      <w:r w:rsidRPr="007E4A43">
        <w:t>At its March 2023 meeting, the PBAC noted the financial estimates proposed by the sponsor assumed an overall uptake of 96% in eligible patients in Year 1, compared to approximately 80% in Year 1 if the uptake rates advised by the PBAC in November 2022 were applied, and noted some additional clinical data in patients aged 6 to 11 years was provided to support the use of the discontinuation rates applied in the financial estimates. The PBAC considered that, overall, based on the additional information provided by the sponsor, it was reasonable for the assumptions informing the financial estimates for the population aged 6 to 11 years to be different to those informing the population aged 12 years and over as it was likely uptake would be higher and more rapid than initially predicted for the older age group.</w:t>
      </w:r>
    </w:p>
    <w:p w14:paraId="17C8246F" w14:textId="0854E2C3" w:rsidR="000763A5" w:rsidRPr="007E4A43" w:rsidRDefault="000763A5" w:rsidP="00447789">
      <w:pPr>
        <w:pStyle w:val="Heading3"/>
        <w:keepNext/>
      </w:pPr>
      <w:r w:rsidRPr="007E4A43">
        <w:lastRenderedPageBreak/>
        <w:t>Predicted versus actual utilisation</w:t>
      </w:r>
    </w:p>
    <w:p w14:paraId="5CFD0D68" w14:textId="6066DC45" w:rsidR="00A033B2" w:rsidRPr="007E4A43" w:rsidRDefault="00A033B2" w:rsidP="003B0065">
      <w:pPr>
        <w:pStyle w:val="Tabletitle"/>
        <w:keepNext/>
      </w:pPr>
      <w:r w:rsidRPr="007E4A43">
        <w:t xml:space="preserve">Table </w:t>
      </w:r>
      <w:r w:rsidRPr="007E4A43">
        <w:fldChar w:fldCharType="begin"/>
      </w:r>
      <w:r w:rsidRPr="007E4A43">
        <w:instrText xml:space="preserve"> SEQ Table \* ARABIC </w:instrText>
      </w:r>
      <w:r w:rsidRPr="007E4A43">
        <w:fldChar w:fldCharType="separate"/>
      </w:r>
      <w:r w:rsidR="0063622F">
        <w:rPr>
          <w:noProof/>
        </w:rPr>
        <w:t>17</w:t>
      </w:r>
      <w:r w:rsidRPr="007E4A43">
        <w:fldChar w:fldCharType="end"/>
      </w:r>
      <w:r w:rsidRPr="007E4A43">
        <w:t>: Predicted versus actual utilisation of ELX/TEZ/IVA for patients aged 6-11</w:t>
      </w:r>
    </w:p>
    <w:tbl>
      <w:tblPr>
        <w:tblW w:w="7789" w:type="dxa"/>
        <w:tblLayout w:type="fixed"/>
        <w:tblLook w:val="04A0" w:firstRow="1" w:lastRow="0" w:firstColumn="1" w:lastColumn="0" w:noHBand="0" w:noVBand="1"/>
      </w:tblPr>
      <w:tblGrid>
        <w:gridCol w:w="1838"/>
        <w:gridCol w:w="1065"/>
        <w:gridCol w:w="1628"/>
        <w:gridCol w:w="1629"/>
        <w:gridCol w:w="1629"/>
      </w:tblGrid>
      <w:tr w:rsidR="00A033B2" w:rsidRPr="007E4A43" w14:paraId="11CCDC50" w14:textId="77777777" w:rsidTr="009E6450">
        <w:trPr>
          <w:trHeight w:val="1035"/>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C7AB27D" w14:textId="77777777" w:rsidR="00A033B2" w:rsidRPr="007E4A43" w:rsidRDefault="00A033B2" w:rsidP="003B0065">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 </w:t>
            </w:r>
          </w:p>
        </w:tc>
        <w:tc>
          <w:tcPr>
            <w:tcW w:w="106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A1E7341" w14:textId="77777777" w:rsidR="00A033B2" w:rsidRPr="007E4A43" w:rsidRDefault="00A033B2" w:rsidP="003B0065">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 </w:t>
            </w:r>
          </w:p>
        </w:tc>
        <w:tc>
          <w:tcPr>
            <w:tcW w:w="162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D38323E" w14:textId="77777777" w:rsidR="00A033B2" w:rsidRPr="007E4A43" w:rsidRDefault="00A033B2" w:rsidP="003B0065">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1</w:t>
            </w:r>
            <w:r w:rsidRPr="007E4A43">
              <w:rPr>
                <w:rFonts w:ascii="Calibri" w:eastAsia="Times New Roman" w:hAnsi="Calibri" w:cs="Calibri"/>
                <w:b/>
                <w:bCs/>
                <w:color w:val="000000"/>
                <w:sz w:val="20"/>
                <w:szCs w:val="20"/>
              </w:rPr>
              <w:br/>
              <w:t>May 2023 to April 2024</w:t>
            </w:r>
          </w:p>
        </w:tc>
        <w:tc>
          <w:tcPr>
            <w:tcW w:w="162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FEC661C" w14:textId="77777777" w:rsidR="00A033B2" w:rsidRPr="007E4A43" w:rsidRDefault="00A033B2" w:rsidP="003B0065">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2</w:t>
            </w:r>
            <w:r w:rsidRPr="007E4A43">
              <w:rPr>
                <w:rFonts w:ascii="Calibri" w:eastAsia="Times New Roman" w:hAnsi="Calibri" w:cs="Calibri"/>
                <w:b/>
                <w:bCs/>
                <w:color w:val="000000"/>
                <w:sz w:val="20"/>
                <w:szCs w:val="20"/>
              </w:rPr>
              <w:br/>
              <w:t>May 2024 to April 2025</w:t>
            </w:r>
          </w:p>
        </w:tc>
        <w:tc>
          <w:tcPr>
            <w:tcW w:w="162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164E76" w14:textId="77777777" w:rsidR="00A033B2" w:rsidRPr="007E4A43" w:rsidRDefault="00A033B2" w:rsidP="003B0065">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3</w:t>
            </w:r>
            <w:r w:rsidRPr="007E4A43">
              <w:rPr>
                <w:rFonts w:ascii="Calibri" w:eastAsia="Times New Roman" w:hAnsi="Calibri" w:cs="Calibri"/>
                <w:b/>
                <w:bCs/>
                <w:color w:val="000000"/>
                <w:sz w:val="20"/>
                <w:szCs w:val="20"/>
              </w:rPr>
              <w:br/>
              <w:t>May 2025 to April 2026</w:t>
            </w:r>
          </w:p>
        </w:tc>
      </w:tr>
      <w:tr w:rsidR="00A033B2" w:rsidRPr="007E4A43" w14:paraId="5CCB8D12" w14:textId="77777777" w:rsidTr="00A033B2">
        <w:trPr>
          <w:trHeight w:val="23"/>
        </w:trPr>
        <w:tc>
          <w:tcPr>
            <w:tcW w:w="1838" w:type="dxa"/>
            <w:vMerge w:val="restart"/>
            <w:tcBorders>
              <w:top w:val="nil"/>
              <w:left w:val="single" w:sz="4" w:space="0" w:color="auto"/>
              <w:right w:val="single" w:sz="4" w:space="0" w:color="auto"/>
            </w:tcBorders>
            <w:vAlign w:val="bottom"/>
            <w:hideMark/>
          </w:tcPr>
          <w:p w14:paraId="7B2C9B90" w14:textId="6FA3B257" w:rsidR="00A033B2" w:rsidRPr="007E4A43" w:rsidRDefault="00A033B2" w:rsidP="003B0065">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Patients switching from other CFTRs</w:t>
            </w:r>
          </w:p>
        </w:tc>
        <w:tc>
          <w:tcPr>
            <w:tcW w:w="1065" w:type="dxa"/>
            <w:tcBorders>
              <w:top w:val="nil"/>
              <w:left w:val="nil"/>
              <w:bottom w:val="single" w:sz="4" w:space="0" w:color="auto"/>
              <w:right w:val="single" w:sz="4" w:space="0" w:color="auto"/>
            </w:tcBorders>
            <w:noWrap/>
            <w:vAlign w:val="bottom"/>
            <w:hideMark/>
          </w:tcPr>
          <w:p w14:paraId="7958CD7C" w14:textId="77777777" w:rsidR="00A033B2" w:rsidRPr="007E4A43" w:rsidRDefault="00A033B2" w:rsidP="003B0065">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628" w:type="dxa"/>
            <w:tcBorders>
              <w:top w:val="nil"/>
              <w:left w:val="nil"/>
              <w:bottom w:val="single" w:sz="4" w:space="0" w:color="auto"/>
              <w:right w:val="single" w:sz="4" w:space="0" w:color="auto"/>
            </w:tcBorders>
            <w:noWrap/>
            <w:vAlign w:val="bottom"/>
            <w:hideMark/>
          </w:tcPr>
          <w:p w14:paraId="5ECFF6B8"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223</w:t>
            </w:r>
          </w:p>
        </w:tc>
        <w:tc>
          <w:tcPr>
            <w:tcW w:w="1629" w:type="dxa"/>
            <w:tcBorders>
              <w:top w:val="nil"/>
              <w:left w:val="nil"/>
              <w:bottom w:val="single" w:sz="4" w:space="0" w:color="auto"/>
              <w:right w:val="single" w:sz="4" w:space="0" w:color="auto"/>
            </w:tcBorders>
            <w:noWrap/>
            <w:vAlign w:val="bottom"/>
            <w:hideMark/>
          </w:tcPr>
          <w:p w14:paraId="6B38E79A"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227</w:t>
            </w:r>
          </w:p>
        </w:tc>
        <w:tc>
          <w:tcPr>
            <w:tcW w:w="1629" w:type="dxa"/>
            <w:tcBorders>
              <w:top w:val="nil"/>
              <w:left w:val="nil"/>
              <w:bottom w:val="single" w:sz="4" w:space="0" w:color="auto"/>
              <w:right w:val="single" w:sz="4" w:space="0" w:color="auto"/>
            </w:tcBorders>
            <w:noWrap/>
            <w:vAlign w:val="bottom"/>
            <w:hideMark/>
          </w:tcPr>
          <w:p w14:paraId="0119FB55"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232</w:t>
            </w:r>
          </w:p>
        </w:tc>
      </w:tr>
      <w:tr w:rsidR="00A033B2" w:rsidRPr="007E4A43" w14:paraId="21D019E7" w14:textId="77777777" w:rsidTr="00A033B2">
        <w:trPr>
          <w:trHeight w:val="23"/>
        </w:trPr>
        <w:tc>
          <w:tcPr>
            <w:tcW w:w="1838" w:type="dxa"/>
            <w:vMerge/>
            <w:tcBorders>
              <w:left w:val="single" w:sz="4" w:space="0" w:color="auto"/>
              <w:right w:val="single" w:sz="4" w:space="0" w:color="auto"/>
            </w:tcBorders>
            <w:vAlign w:val="bottom"/>
            <w:hideMark/>
          </w:tcPr>
          <w:p w14:paraId="07EFD74A" w14:textId="74791A1B" w:rsidR="00A033B2" w:rsidRPr="007E4A43" w:rsidRDefault="00A033B2" w:rsidP="003B0065">
            <w:pPr>
              <w:keepNext/>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1722F878" w14:textId="77777777" w:rsidR="00A033B2" w:rsidRPr="007E4A43" w:rsidRDefault="00A033B2" w:rsidP="003B0065">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628" w:type="dxa"/>
            <w:tcBorders>
              <w:top w:val="nil"/>
              <w:left w:val="nil"/>
              <w:bottom w:val="single" w:sz="4" w:space="0" w:color="auto"/>
              <w:right w:val="single" w:sz="4" w:space="0" w:color="auto"/>
            </w:tcBorders>
            <w:noWrap/>
            <w:vAlign w:val="bottom"/>
            <w:hideMark/>
          </w:tcPr>
          <w:p w14:paraId="33A2CB1E"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262</w:t>
            </w:r>
          </w:p>
        </w:tc>
        <w:tc>
          <w:tcPr>
            <w:tcW w:w="1629" w:type="dxa"/>
            <w:tcBorders>
              <w:top w:val="nil"/>
              <w:left w:val="nil"/>
              <w:bottom w:val="single" w:sz="4" w:space="0" w:color="auto"/>
              <w:right w:val="single" w:sz="4" w:space="0" w:color="auto"/>
            </w:tcBorders>
            <w:noWrap/>
            <w:vAlign w:val="bottom"/>
            <w:hideMark/>
          </w:tcPr>
          <w:p w14:paraId="0757083B"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260</w:t>
            </w:r>
          </w:p>
        </w:tc>
        <w:tc>
          <w:tcPr>
            <w:tcW w:w="1629" w:type="dxa"/>
            <w:tcBorders>
              <w:top w:val="nil"/>
              <w:left w:val="nil"/>
              <w:bottom w:val="single" w:sz="4" w:space="0" w:color="auto"/>
              <w:right w:val="single" w:sz="4" w:space="0" w:color="auto"/>
            </w:tcBorders>
            <w:noWrap/>
            <w:vAlign w:val="bottom"/>
            <w:hideMark/>
          </w:tcPr>
          <w:p w14:paraId="30E37A1B"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197</w:t>
            </w:r>
          </w:p>
        </w:tc>
      </w:tr>
      <w:tr w:rsidR="00A033B2" w:rsidRPr="007E4A43" w14:paraId="786F5A22" w14:textId="77777777" w:rsidTr="00A033B2">
        <w:trPr>
          <w:trHeight w:val="23"/>
        </w:trPr>
        <w:tc>
          <w:tcPr>
            <w:tcW w:w="1838" w:type="dxa"/>
            <w:vMerge/>
            <w:tcBorders>
              <w:left w:val="single" w:sz="4" w:space="0" w:color="auto"/>
              <w:bottom w:val="single" w:sz="4" w:space="0" w:color="auto"/>
              <w:right w:val="single" w:sz="4" w:space="0" w:color="auto"/>
            </w:tcBorders>
            <w:vAlign w:val="bottom"/>
            <w:hideMark/>
          </w:tcPr>
          <w:p w14:paraId="477E8052" w14:textId="052C9CD3" w:rsidR="00A033B2" w:rsidRPr="007E4A43" w:rsidRDefault="00A033B2" w:rsidP="003B0065">
            <w:pPr>
              <w:keepNext/>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5B0D959D" w14:textId="77777777" w:rsidR="00A033B2" w:rsidRPr="007E4A43" w:rsidRDefault="00A033B2" w:rsidP="003B0065">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628" w:type="dxa"/>
            <w:tcBorders>
              <w:top w:val="nil"/>
              <w:left w:val="nil"/>
              <w:bottom w:val="single" w:sz="4" w:space="0" w:color="auto"/>
              <w:right w:val="single" w:sz="4" w:space="0" w:color="auto"/>
            </w:tcBorders>
            <w:noWrap/>
            <w:vAlign w:val="bottom"/>
            <w:hideMark/>
          </w:tcPr>
          <w:p w14:paraId="3331A158" w14:textId="193721C8" w:rsidR="00A033B2" w:rsidRPr="007E4A43" w:rsidRDefault="000B6149"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w:t>
            </w:r>
            <w:r w:rsidR="00A033B2" w:rsidRPr="007E4A43">
              <w:rPr>
                <w:rFonts w:ascii="Calibri" w:eastAsia="Times New Roman" w:hAnsi="Calibri" w:cs="Calibri"/>
                <w:color w:val="000000"/>
                <w:sz w:val="20"/>
                <w:szCs w:val="20"/>
              </w:rPr>
              <w:t>17%</w:t>
            </w:r>
          </w:p>
        </w:tc>
        <w:tc>
          <w:tcPr>
            <w:tcW w:w="1629" w:type="dxa"/>
            <w:tcBorders>
              <w:top w:val="nil"/>
              <w:left w:val="nil"/>
              <w:bottom w:val="single" w:sz="4" w:space="0" w:color="auto"/>
              <w:right w:val="single" w:sz="4" w:space="0" w:color="auto"/>
            </w:tcBorders>
            <w:noWrap/>
            <w:vAlign w:val="bottom"/>
            <w:hideMark/>
          </w:tcPr>
          <w:p w14:paraId="120789BC" w14:textId="7317BB7D" w:rsidR="00A033B2" w:rsidRPr="007E4A43" w:rsidRDefault="000B6149"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w:t>
            </w:r>
            <w:r w:rsidR="00A033B2" w:rsidRPr="007E4A43">
              <w:rPr>
                <w:rFonts w:ascii="Calibri" w:eastAsia="Times New Roman" w:hAnsi="Calibri" w:cs="Calibri"/>
                <w:color w:val="000000"/>
                <w:sz w:val="20"/>
                <w:szCs w:val="20"/>
              </w:rPr>
              <w:t>15%</w:t>
            </w:r>
          </w:p>
        </w:tc>
        <w:tc>
          <w:tcPr>
            <w:tcW w:w="1629" w:type="dxa"/>
            <w:tcBorders>
              <w:top w:val="nil"/>
              <w:left w:val="nil"/>
              <w:bottom w:val="single" w:sz="4" w:space="0" w:color="auto"/>
              <w:right w:val="single" w:sz="4" w:space="0" w:color="auto"/>
            </w:tcBorders>
            <w:noWrap/>
            <w:vAlign w:val="bottom"/>
            <w:hideMark/>
          </w:tcPr>
          <w:p w14:paraId="463B9FD4"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-15%</w:t>
            </w:r>
          </w:p>
        </w:tc>
      </w:tr>
      <w:tr w:rsidR="00A033B2" w:rsidRPr="007E4A43" w14:paraId="4A440E18" w14:textId="77777777" w:rsidTr="00A033B2">
        <w:trPr>
          <w:trHeight w:val="23"/>
        </w:trPr>
        <w:tc>
          <w:tcPr>
            <w:tcW w:w="1838" w:type="dxa"/>
            <w:vMerge w:val="restart"/>
            <w:tcBorders>
              <w:top w:val="nil"/>
              <w:left w:val="single" w:sz="4" w:space="0" w:color="auto"/>
              <w:right w:val="single" w:sz="4" w:space="0" w:color="auto"/>
            </w:tcBorders>
            <w:vAlign w:val="bottom"/>
            <w:hideMark/>
          </w:tcPr>
          <w:p w14:paraId="62E1CD8D" w14:textId="4A4B7FC9" w:rsidR="00A033B2" w:rsidRPr="007E4A43" w:rsidRDefault="00A033B2" w:rsidP="003B0065">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Patients new to CFTRs</w:t>
            </w:r>
          </w:p>
        </w:tc>
        <w:tc>
          <w:tcPr>
            <w:tcW w:w="1065" w:type="dxa"/>
            <w:tcBorders>
              <w:top w:val="nil"/>
              <w:left w:val="nil"/>
              <w:bottom w:val="single" w:sz="4" w:space="0" w:color="auto"/>
              <w:right w:val="single" w:sz="4" w:space="0" w:color="auto"/>
            </w:tcBorders>
            <w:noWrap/>
            <w:vAlign w:val="bottom"/>
            <w:hideMark/>
          </w:tcPr>
          <w:p w14:paraId="0B97762A" w14:textId="77777777" w:rsidR="00A033B2" w:rsidRPr="007E4A43" w:rsidRDefault="00A033B2" w:rsidP="003B0065">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628" w:type="dxa"/>
            <w:tcBorders>
              <w:top w:val="nil"/>
              <w:left w:val="nil"/>
              <w:bottom w:val="single" w:sz="4" w:space="0" w:color="auto"/>
              <w:right w:val="single" w:sz="4" w:space="0" w:color="auto"/>
            </w:tcBorders>
            <w:noWrap/>
            <w:vAlign w:val="bottom"/>
            <w:hideMark/>
          </w:tcPr>
          <w:p w14:paraId="4C9CD7DD"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293</w:t>
            </w:r>
          </w:p>
        </w:tc>
        <w:tc>
          <w:tcPr>
            <w:tcW w:w="1629" w:type="dxa"/>
            <w:tcBorders>
              <w:top w:val="nil"/>
              <w:left w:val="nil"/>
              <w:bottom w:val="single" w:sz="4" w:space="0" w:color="auto"/>
              <w:right w:val="single" w:sz="4" w:space="0" w:color="auto"/>
            </w:tcBorders>
            <w:noWrap/>
            <w:vAlign w:val="bottom"/>
            <w:hideMark/>
          </w:tcPr>
          <w:p w14:paraId="38121260"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290</w:t>
            </w:r>
          </w:p>
        </w:tc>
        <w:tc>
          <w:tcPr>
            <w:tcW w:w="1629" w:type="dxa"/>
            <w:tcBorders>
              <w:top w:val="nil"/>
              <w:left w:val="nil"/>
              <w:bottom w:val="single" w:sz="4" w:space="0" w:color="auto"/>
              <w:right w:val="single" w:sz="4" w:space="0" w:color="auto"/>
            </w:tcBorders>
            <w:noWrap/>
            <w:vAlign w:val="bottom"/>
            <w:hideMark/>
          </w:tcPr>
          <w:p w14:paraId="2857C598"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290</w:t>
            </w:r>
          </w:p>
        </w:tc>
      </w:tr>
      <w:tr w:rsidR="00A033B2" w:rsidRPr="007E4A43" w14:paraId="040AD1BA" w14:textId="77777777" w:rsidTr="00A033B2">
        <w:trPr>
          <w:trHeight w:val="23"/>
        </w:trPr>
        <w:tc>
          <w:tcPr>
            <w:tcW w:w="1838" w:type="dxa"/>
            <w:vMerge/>
            <w:tcBorders>
              <w:left w:val="single" w:sz="4" w:space="0" w:color="auto"/>
              <w:right w:val="single" w:sz="4" w:space="0" w:color="auto"/>
            </w:tcBorders>
            <w:vAlign w:val="bottom"/>
            <w:hideMark/>
          </w:tcPr>
          <w:p w14:paraId="2FDD7933" w14:textId="5A69E5E3" w:rsidR="00A033B2" w:rsidRPr="007E4A43" w:rsidRDefault="00A033B2" w:rsidP="003B0065">
            <w:pPr>
              <w:keepNext/>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5E7F6222" w14:textId="77777777" w:rsidR="00A033B2" w:rsidRPr="007E4A43" w:rsidRDefault="00A033B2" w:rsidP="003B0065">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628" w:type="dxa"/>
            <w:tcBorders>
              <w:top w:val="nil"/>
              <w:left w:val="nil"/>
              <w:bottom w:val="single" w:sz="4" w:space="0" w:color="auto"/>
              <w:right w:val="single" w:sz="4" w:space="0" w:color="auto"/>
            </w:tcBorders>
            <w:noWrap/>
            <w:vAlign w:val="bottom"/>
            <w:hideMark/>
          </w:tcPr>
          <w:p w14:paraId="57E48C90"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197</w:t>
            </w:r>
          </w:p>
        </w:tc>
        <w:tc>
          <w:tcPr>
            <w:tcW w:w="1629" w:type="dxa"/>
            <w:tcBorders>
              <w:top w:val="nil"/>
              <w:left w:val="nil"/>
              <w:bottom w:val="single" w:sz="4" w:space="0" w:color="auto"/>
              <w:right w:val="single" w:sz="4" w:space="0" w:color="auto"/>
            </w:tcBorders>
            <w:noWrap/>
            <w:vAlign w:val="bottom"/>
            <w:hideMark/>
          </w:tcPr>
          <w:p w14:paraId="75F164D3"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195</w:t>
            </w:r>
          </w:p>
        </w:tc>
        <w:tc>
          <w:tcPr>
            <w:tcW w:w="1629" w:type="dxa"/>
            <w:tcBorders>
              <w:top w:val="nil"/>
              <w:left w:val="nil"/>
              <w:bottom w:val="single" w:sz="4" w:space="0" w:color="auto"/>
              <w:right w:val="single" w:sz="4" w:space="0" w:color="auto"/>
            </w:tcBorders>
            <w:noWrap/>
            <w:vAlign w:val="bottom"/>
            <w:hideMark/>
          </w:tcPr>
          <w:p w14:paraId="48B5DDCD" w14:textId="77777777" w:rsidR="00A033B2" w:rsidRPr="007E4A43" w:rsidRDefault="00A033B2" w:rsidP="003B0065">
            <w:pPr>
              <w:keepNext/>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145</w:t>
            </w:r>
          </w:p>
        </w:tc>
      </w:tr>
      <w:tr w:rsidR="00A033B2" w:rsidRPr="007E4A43" w14:paraId="09435F4B" w14:textId="77777777" w:rsidTr="00A033B2">
        <w:trPr>
          <w:trHeight w:val="23"/>
        </w:trPr>
        <w:tc>
          <w:tcPr>
            <w:tcW w:w="1838" w:type="dxa"/>
            <w:vMerge/>
            <w:tcBorders>
              <w:left w:val="single" w:sz="4" w:space="0" w:color="auto"/>
              <w:bottom w:val="single" w:sz="4" w:space="0" w:color="auto"/>
              <w:right w:val="single" w:sz="4" w:space="0" w:color="auto"/>
            </w:tcBorders>
            <w:vAlign w:val="bottom"/>
            <w:hideMark/>
          </w:tcPr>
          <w:p w14:paraId="2E1C6E4A" w14:textId="1517BE1C" w:rsidR="00A033B2" w:rsidRPr="007E4A43" w:rsidRDefault="00A033B2" w:rsidP="00A033B2">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13BFDCAF" w14:textId="77777777"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628" w:type="dxa"/>
            <w:tcBorders>
              <w:top w:val="nil"/>
              <w:left w:val="nil"/>
              <w:bottom w:val="single" w:sz="4" w:space="0" w:color="auto"/>
              <w:right w:val="single" w:sz="4" w:space="0" w:color="auto"/>
            </w:tcBorders>
            <w:noWrap/>
            <w:vAlign w:val="bottom"/>
            <w:hideMark/>
          </w:tcPr>
          <w:p w14:paraId="4281EA35"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-33%</w:t>
            </w:r>
          </w:p>
        </w:tc>
        <w:tc>
          <w:tcPr>
            <w:tcW w:w="1629" w:type="dxa"/>
            <w:tcBorders>
              <w:top w:val="nil"/>
              <w:left w:val="nil"/>
              <w:bottom w:val="single" w:sz="4" w:space="0" w:color="auto"/>
              <w:right w:val="single" w:sz="4" w:space="0" w:color="auto"/>
            </w:tcBorders>
            <w:noWrap/>
            <w:vAlign w:val="bottom"/>
            <w:hideMark/>
          </w:tcPr>
          <w:p w14:paraId="0D02DBC8"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-33%</w:t>
            </w:r>
          </w:p>
        </w:tc>
        <w:tc>
          <w:tcPr>
            <w:tcW w:w="1629" w:type="dxa"/>
            <w:tcBorders>
              <w:top w:val="nil"/>
              <w:left w:val="nil"/>
              <w:bottom w:val="single" w:sz="4" w:space="0" w:color="auto"/>
              <w:right w:val="single" w:sz="4" w:space="0" w:color="auto"/>
            </w:tcBorders>
            <w:noWrap/>
            <w:vAlign w:val="bottom"/>
            <w:hideMark/>
          </w:tcPr>
          <w:p w14:paraId="41B64A0B"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-50%</w:t>
            </w:r>
          </w:p>
        </w:tc>
      </w:tr>
      <w:tr w:rsidR="00A033B2" w:rsidRPr="007E4A43" w14:paraId="599E4118" w14:textId="77777777" w:rsidTr="00A033B2">
        <w:trPr>
          <w:trHeight w:val="23"/>
        </w:trPr>
        <w:tc>
          <w:tcPr>
            <w:tcW w:w="1838" w:type="dxa"/>
            <w:vMerge w:val="restart"/>
            <w:tcBorders>
              <w:top w:val="nil"/>
              <w:left w:val="single" w:sz="4" w:space="0" w:color="auto"/>
              <w:right w:val="single" w:sz="4" w:space="0" w:color="auto"/>
            </w:tcBorders>
            <w:vAlign w:val="bottom"/>
            <w:hideMark/>
          </w:tcPr>
          <w:p w14:paraId="78AB64CF" w14:textId="60BB9E25"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Total patients</w:t>
            </w:r>
          </w:p>
        </w:tc>
        <w:tc>
          <w:tcPr>
            <w:tcW w:w="1065" w:type="dxa"/>
            <w:tcBorders>
              <w:top w:val="nil"/>
              <w:left w:val="nil"/>
              <w:bottom w:val="single" w:sz="4" w:space="0" w:color="auto"/>
              <w:right w:val="single" w:sz="4" w:space="0" w:color="auto"/>
            </w:tcBorders>
            <w:noWrap/>
            <w:vAlign w:val="bottom"/>
            <w:hideMark/>
          </w:tcPr>
          <w:p w14:paraId="62474B9D" w14:textId="77777777"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628" w:type="dxa"/>
            <w:tcBorders>
              <w:top w:val="nil"/>
              <w:left w:val="nil"/>
              <w:bottom w:val="single" w:sz="4" w:space="0" w:color="auto"/>
              <w:right w:val="single" w:sz="4" w:space="0" w:color="auto"/>
            </w:tcBorders>
            <w:noWrap/>
            <w:vAlign w:val="bottom"/>
            <w:hideMark/>
          </w:tcPr>
          <w:p w14:paraId="642CADF5"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517</w:t>
            </w:r>
          </w:p>
        </w:tc>
        <w:tc>
          <w:tcPr>
            <w:tcW w:w="1629" w:type="dxa"/>
            <w:tcBorders>
              <w:top w:val="nil"/>
              <w:left w:val="nil"/>
              <w:bottom w:val="single" w:sz="4" w:space="0" w:color="auto"/>
              <w:right w:val="single" w:sz="4" w:space="0" w:color="auto"/>
            </w:tcBorders>
            <w:noWrap/>
            <w:vAlign w:val="bottom"/>
            <w:hideMark/>
          </w:tcPr>
          <w:p w14:paraId="211A8DBC"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517</w:t>
            </w:r>
          </w:p>
        </w:tc>
        <w:tc>
          <w:tcPr>
            <w:tcW w:w="1629" w:type="dxa"/>
            <w:tcBorders>
              <w:top w:val="nil"/>
              <w:left w:val="nil"/>
              <w:bottom w:val="single" w:sz="4" w:space="0" w:color="auto"/>
              <w:right w:val="single" w:sz="4" w:space="0" w:color="auto"/>
            </w:tcBorders>
            <w:noWrap/>
            <w:vAlign w:val="bottom"/>
            <w:hideMark/>
          </w:tcPr>
          <w:p w14:paraId="12BC3732"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522</w:t>
            </w:r>
          </w:p>
        </w:tc>
      </w:tr>
      <w:tr w:rsidR="00A033B2" w:rsidRPr="007E4A43" w14:paraId="12DF8E6E" w14:textId="77777777" w:rsidTr="00A033B2">
        <w:trPr>
          <w:trHeight w:val="23"/>
        </w:trPr>
        <w:tc>
          <w:tcPr>
            <w:tcW w:w="1838" w:type="dxa"/>
            <w:vMerge/>
            <w:tcBorders>
              <w:left w:val="single" w:sz="4" w:space="0" w:color="auto"/>
              <w:right w:val="single" w:sz="4" w:space="0" w:color="auto"/>
            </w:tcBorders>
            <w:vAlign w:val="bottom"/>
            <w:hideMark/>
          </w:tcPr>
          <w:p w14:paraId="27341DF2" w14:textId="0A0474FF" w:rsidR="00A033B2" w:rsidRPr="007E4A43" w:rsidRDefault="00A033B2" w:rsidP="00A033B2">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156D99CB" w14:textId="77777777"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628" w:type="dxa"/>
            <w:tcBorders>
              <w:top w:val="nil"/>
              <w:left w:val="nil"/>
              <w:bottom w:val="single" w:sz="4" w:space="0" w:color="auto"/>
              <w:right w:val="single" w:sz="4" w:space="0" w:color="auto"/>
            </w:tcBorders>
            <w:noWrap/>
            <w:vAlign w:val="bottom"/>
            <w:hideMark/>
          </w:tcPr>
          <w:p w14:paraId="28B1C229"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459</w:t>
            </w:r>
          </w:p>
        </w:tc>
        <w:tc>
          <w:tcPr>
            <w:tcW w:w="1629" w:type="dxa"/>
            <w:tcBorders>
              <w:top w:val="nil"/>
              <w:left w:val="nil"/>
              <w:bottom w:val="single" w:sz="4" w:space="0" w:color="auto"/>
              <w:right w:val="single" w:sz="4" w:space="0" w:color="auto"/>
            </w:tcBorders>
            <w:noWrap/>
            <w:vAlign w:val="bottom"/>
            <w:hideMark/>
          </w:tcPr>
          <w:p w14:paraId="46726853"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455</w:t>
            </w:r>
          </w:p>
        </w:tc>
        <w:tc>
          <w:tcPr>
            <w:tcW w:w="1629" w:type="dxa"/>
            <w:tcBorders>
              <w:top w:val="nil"/>
              <w:left w:val="nil"/>
              <w:bottom w:val="single" w:sz="4" w:space="0" w:color="auto"/>
              <w:right w:val="single" w:sz="4" w:space="0" w:color="auto"/>
            </w:tcBorders>
            <w:noWrap/>
            <w:vAlign w:val="bottom"/>
            <w:hideMark/>
          </w:tcPr>
          <w:p w14:paraId="2E19124B"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342</w:t>
            </w:r>
          </w:p>
        </w:tc>
      </w:tr>
      <w:tr w:rsidR="00A033B2" w:rsidRPr="007E4A43" w14:paraId="37CAD3F0" w14:textId="77777777" w:rsidTr="00A033B2">
        <w:trPr>
          <w:trHeight w:val="23"/>
        </w:trPr>
        <w:tc>
          <w:tcPr>
            <w:tcW w:w="1838" w:type="dxa"/>
            <w:vMerge/>
            <w:tcBorders>
              <w:left w:val="single" w:sz="4" w:space="0" w:color="auto"/>
              <w:bottom w:val="single" w:sz="4" w:space="0" w:color="auto"/>
              <w:right w:val="single" w:sz="4" w:space="0" w:color="auto"/>
            </w:tcBorders>
            <w:vAlign w:val="bottom"/>
            <w:hideMark/>
          </w:tcPr>
          <w:p w14:paraId="2567DADE" w14:textId="1CBAE981" w:rsidR="00A033B2" w:rsidRPr="007E4A43" w:rsidRDefault="00A033B2" w:rsidP="00A033B2">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1C444660" w14:textId="77777777"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628" w:type="dxa"/>
            <w:tcBorders>
              <w:top w:val="nil"/>
              <w:left w:val="nil"/>
              <w:bottom w:val="single" w:sz="4" w:space="0" w:color="auto"/>
              <w:right w:val="single" w:sz="4" w:space="0" w:color="auto"/>
            </w:tcBorders>
            <w:noWrap/>
            <w:vAlign w:val="bottom"/>
            <w:hideMark/>
          </w:tcPr>
          <w:p w14:paraId="024C8E8C"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-11%</w:t>
            </w:r>
          </w:p>
        </w:tc>
        <w:tc>
          <w:tcPr>
            <w:tcW w:w="1629" w:type="dxa"/>
            <w:tcBorders>
              <w:top w:val="nil"/>
              <w:left w:val="nil"/>
              <w:bottom w:val="single" w:sz="4" w:space="0" w:color="auto"/>
              <w:right w:val="single" w:sz="4" w:space="0" w:color="auto"/>
            </w:tcBorders>
            <w:noWrap/>
            <w:vAlign w:val="bottom"/>
            <w:hideMark/>
          </w:tcPr>
          <w:p w14:paraId="4E0530C7"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-12%</w:t>
            </w:r>
          </w:p>
        </w:tc>
        <w:tc>
          <w:tcPr>
            <w:tcW w:w="1629" w:type="dxa"/>
            <w:tcBorders>
              <w:top w:val="nil"/>
              <w:left w:val="nil"/>
              <w:bottom w:val="single" w:sz="4" w:space="0" w:color="auto"/>
              <w:right w:val="single" w:sz="4" w:space="0" w:color="auto"/>
            </w:tcBorders>
            <w:noWrap/>
            <w:vAlign w:val="bottom"/>
            <w:hideMark/>
          </w:tcPr>
          <w:p w14:paraId="382D2AAC"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-34%</w:t>
            </w:r>
          </w:p>
        </w:tc>
      </w:tr>
      <w:tr w:rsidR="00A033B2" w:rsidRPr="007E4A43" w14:paraId="6361C4E5" w14:textId="77777777" w:rsidTr="00A033B2">
        <w:trPr>
          <w:trHeight w:val="23"/>
        </w:trPr>
        <w:tc>
          <w:tcPr>
            <w:tcW w:w="1838" w:type="dxa"/>
            <w:vMerge w:val="restart"/>
            <w:tcBorders>
              <w:top w:val="nil"/>
              <w:left w:val="single" w:sz="4" w:space="0" w:color="auto"/>
              <w:right w:val="single" w:sz="4" w:space="0" w:color="auto"/>
            </w:tcBorders>
            <w:vAlign w:val="bottom"/>
            <w:hideMark/>
          </w:tcPr>
          <w:p w14:paraId="7B3174A7" w14:textId="28710CFB"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Prescriptions</w:t>
            </w:r>
          </w:p>
        </w:tc>
        <w:tc>
          <w:tcPr>
            <w:tcW w:w="1065" w:type="dxa"/>
            <w:tcBorders>
              <w:top w:val="nil"/>
              <w:left w:val="nil"/>
              <w:bottom w:val="single" w:sz="4" w:space="0" w:color="auto"/>
              <w:right w:val="single" w:sz="4" w:space="0" w:color="auto"/>
            </w:tcBorders>
            <w:noWrap/>
            <w:vAlign w:val="bottom"/>
            <w:hideMark/>
          </w:tcPr>
          <w:p w14:paraId="33551C09" w14:textId="77777777"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628" w:type="dxa"/>
            <w:tcBorders>
              <w:top w:val="nil"/>
              <w:left w:val="nil"/>
              <w:bottom w:val="single" w:sz="4" w:space="0" w:color="auto"/>
              <w:right w:val="single" w:sz="4" w:space="0" w:color="auto"/>
            </w:tcBorders>
            <w:noWrap/>
            <w:vAlign w:val="bottom"/>
            <w:hideMark/>
          </w:tcPr>
          <w:p w14:paraId="6321585D" w14:textId="665ABBDF"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6,404</w:t>
            </w:r>
          </w:p>
        </w:tc>
        <w:tc>
          <w:tcPr>
            <w:tcW w:w="1629" w:type="dxa"/>
            <w:tcBorders>
              <w:top w:val="nil"/>
              <w:left w:val="nil"/>
              <w:bottom w:val="single" w:sz="4" w:space="0" w:color="auto"/>
              <w:right w:val="single" w:sz="4" w:space="0" w:color="auto"/>
            </w:tcBorders>
            <w:noWrap/>
            <w:vAlign w:val="bottom"/>
            <w:hideMark/>
          </w:tcPr>
          <w:p w14:paraId="1147D27C" w14:textId="3CEC03FB"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6,417</w:t>
            </w:r>
          </w:p>
        </w:tc>
        <w:tc>
          <w:tcPr>
            <w:tcW w:w="1629" w:type="dxa"/>
            <w:tcBorders>
              <w:top w:val="nil"/>
              <w:left w:val="nil"/>
              <w:bottom w:val="single" w:sz="4" w:space="0" w:color="auto"/>
              <w:right w:val="single" w:sz="4" w:space="0" w:color="auto"/>
            </w:tcBorders>
            <w:noWrap/>
            <w:vAlign w:val="bottom"/>
            <w:hideMark/>
          </w:tcPr>
          <w:p w14:paraId="0B62ABB4" w14:textId="4A1F5306"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6,472</w:t>
            </w:r>
          </w:p>
        </w:tc>
      </w:tr>
      <w:tr w:rsidR="00A033B2" w:rsidRPr="007E4A43" w14:paraId="6019CC65" w14:textId="77777777" w:rsidTr="00A033B2">
        <w:trPr>
          <w:trHeight w:val="23"/>
        </w:trPr>
        <w:tc>
          <w:tcPr>
            <w:tcW w:w="1838" w:type="dxa"/>
            <w:vMerge/>
            <w:tcBorders>
              <w:left w:val="single" w:sz="4" w:space="0" w:color="auto"/>
              <w:right w:val="single" w:sz="4" w:space="0" w:color="auto"/>
            </w:tcBorders>
            <w:vAlign w:val="bottom"/>
            <w:hideMark/>
          </w:tcPr>
          <w:p w14:paraId="38CB8159" w14:textId="792AF5D6" w:rsidR="00A033B2" w:rsidRPr="007E4A43" w:rsidRDefault="00A033B2" w:rsidP="00A033B2">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722E0C58" w14:textId="77777777"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628" w:type="dxa"/>
            <w:tcBorders>
              <w:top w:val="nil"/>
              <w:left w:val="nil"/>
              <w:bottom w:val="single" w:sz="4" w:space="0" w:color="auto"/>
              <w:right w:val="single" w:sz="4" w:space="0" w:color="auto"/>
            </w:tcBorders>
            <w:noWrap/>
            <w:vAlign w:val="bottom"/>
            <w:hideMark/>
          </w:tcPr>
          <w:p w14:paraId="6B9C8414" w14:textId="41E658DE"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4,324</w:t>
            </w:r>
          </w:p>
        </w:tc>
        <w:tc>
          <w:tcPr>
            <w:tcW w:w="1629" w:type="dxa"/>
            <w:tcBorders>
              <w:top w:val="nil"/>
              <w:left w:val="nil"/>
              <w:bottom w:val="single" w:sz="4" w:space="0" w:color="auto"/>
              <w:right w:val="single" w:sz="4" w:space="0" w:color="auto"/>
            </w:tcBorders>
            <w:noWrap/>
            <w:vAlign w:val="bottom"/>
            <w:hideMark/>
          </w:tcPr>
          <w:p w14:paraId="6E83D3B2" w14:textId="45618B0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4,485</w:t>
            </w:r>
          </w:p>
        </w:tc>
        <w:tc>
          <w:tcPr>
            <w:tcW w:w="1629" w:type="dxa"/>
            <w:tcBorders>
              <w:top w:val="nil"/>
              <w:left w:val="nil"/>
              <w:bottom w:val="single" w:sz="4" w:space="0" w:color="auto"/>
              <w:right w:val="single" w:sz="4" w:space="0" w:color="auto"/>
            </w:tcBorders>
            <w:noWrap/>
            <w:vAlign w:val="bottom"/>
            <w:hideMark/>
          </w:tcPr>
          <w:p w14:paraId="525D4B2D"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759</w:t>
            </w:r>
          </w:p>
        </w:tc>
      </w:tr>
      <w:tr w:rsidR="00A033B2" w:rsidRPr="007E4A43" w14:paraId="5D73F5B1" w14:textId="77777777" w:rsidTr="00A033B2">
        <w:trPr>
          <w:trHeight w:val="23"/>
        </w:trPr>
        <w:tc>
          <w:tcPr>
            <w:tcW w:w="1838" w:type="dxa"/>
            <w:vMerge/>
            <w:tcBorders>
              <w:left w:val="single" w:sz="4" w:space="0" w:color="auto"/>
              <w:bottom w:val="single" w:sz="4" w:space="0" w:color="auto"/>
              <w:right w:val="single" w:sz="4" w:space="0" w:color="auto"/>
            </w:tcBorders>
            <w:vAlign w:val="bottom"/>
            <w:hideMark/>
          </w:tcPr>
          <w:p w14:paraId="58C330BB" w14:textId="22883E88" w:rsidR="00A033B2" w:rsidRPr="007E4A43" w:rsidRDefault="00A033B2" w:rsidP="00A033B2">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noWrap/>
            <w:vAlign w:val="bottom"/>
            <w:hideMark/>
          </w:tcPr>
          <w:p w14:paraId="5331614E" w14:textId="77777777" w:rsidR="00A033B2" w:rsidRPr="007E4A43" w:rsidRDefault="00A033B2" w:rsidP="00A033B2">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628" w:type="dxa"/>
            <w:tcBorders>
              <w:top w:val="nil"/>
              <w:left w:val="nil"/>
              <w:bottom w:val="single" w:sz="4" w:space="0" w:color="auto"/>
              <w:right w:val="single" w:sz="4" w:space="0" w:color="auto"/>
            </w:tcBorders>
            <w:noWrap/>
            <w:vAlign w:val="bottom"/>
            <w:hideMark/>
          </w:tcPr>
          <w:p w14:paraId="286ED257"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-32%</w:t>
            </w:r>
          </w:p>
        </w:tc>
        <w:tc>
          <w:tcPr>
            <w:tcW w:w="1629" w:type="dxa"/>
            <w:tcBorders>
              <w:top w:val="nil"/>
              <w:left w:val="nil"/>
              <w:bottom w:val="single" w:sz="4" w:space="0" w:color="auto"/>
              <w:right w:val="single" w:sz="4" w:space="0" w:color="auto"/>
            </w:tcBorders>
            <w:noWrap/>
            <w:vAlign w:val="bottom"/>
            <w:hideMark/>
          </w:tcPr>
          <w:p w14:paraId="3E8827C0"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-30%</w:t>
            </w:r>
          </w:p>
        </w:tc>
        <w:tc>
          <w:tcPr>
            <w:tcW w:w="1629" w:type="dxa"/>
            <w:tcBorders>
              <w:top w:val="nil"/>
              <w:left w:val="nil"/>
              <w:bottom w:val="single" w:sz="4" w:space="0" w:color="auto"/>
              <w:right w:val="single" w:sz="4" w:space="0" w:color="auto"/>
            </w:tcBorders>
            <w:noWrap/>
            <w:vAlign w:val="bottom"/>
            <w:hideMark/>
          </w:tcPr>
          <w:p w14:paraId="0869C9EB" w14:textId="77777777" w:rsidR="00A033B2" w:rsidRPr="007E4A43" w:rsidRDefault="00A033B2" w:rsidP="00A033B2">
            <w:pPr>
              <w:spacing w:after="0"/>
              <w:jc w:val="right"/>
              <w:rPr>
                <w:rFonts w:ascii="Calibri" w:eastAsia="Times New Roman" w:hAnsi="Calibri" w:cs="Calibri"/>
                <w:color w:val="000000"/>
                <w:sz w:val="20"/>
                <w:szCs w:val="20"/>
              </w:rPr>
            </w:pPr>
            <w:r w:rsidRPr="007E4A43">
              <w:rPr>
                <w:rFonts w:ascii="Calibri" w:eastAsia="Times New Roman" w:hAnsi="Calibri" w:cs="Calibri"/>
                <w:color w:val="000000"/>
                <w:sz w:val="20"/>
                <w:szCs w:val="20"/>
              </w:rPr>
              <w:t>-88%</w:t>
            </w:r>
          </w:p>
        </w:tc>
      </w:tr>
    </w:tbl>
    <w:p w14:paraId="36BF3BFA" w14:textId="76243DFD" w:rsidR="00A033B2" w:rsidRPr="007E4A43" w:rsidRDefault="00A033B2" w:rsidP="00A033B2">
      <w:pPr>
        <w:pStyle w:val="Notes"/>
      </w:pPr>
      <w:r w:rsidRPr="007E4A43">
        <w:t>Note: the actual figures for Year 3 represent two months of data, from May to June 2025 inclusive</w:t>
      </w:r>
    </w:p>
    <w:p w14:paraId="1F52F10E" w14:textId="77777777" w:rsidR="009F5442" w:rsidRPr="007E4A43" w:rsidRDefault="00DD20AF" w:rsidP="009B169F">
      <w:r w:rsidRPr="007E4A43">
        <w:t>In the first two years of listing</w:t>
      </w:r>
      <w:r w:rsidR="003B0065" w:rsidRPr="007E4A43">
        <w:t xml:space="preserve"> of ELX/TEZ/IVA</w:t>
      </w:r>
      <w:r w:rsidRPr="007E4A43">
        <w:t xml:space="preserve"> for patients aged 6 to 11 years old, the number of treated patients was underestimated. It appears that the number of patients new to CFTR modulators was overestimated by 33% in both year 1 and year 2, however the number of patients who switched from other CFTR modulators to ELX/TEZ/IVA was underestimated by 15% to 17%. Overall, the number of treated patients was overestimated by 11% to 12% in the first two years of listing. </w:t>
      </w:r>
    </w:p>
    <w:p w14:paraId="566A6EFA" w14:textId="6217C142" w:rsidR="00F103E4" w:rsidRPr="007E4A43" w:rsidRDefault="009F5442" w:rsidP="009B169F">
      <w:r w:rsidRPr="007E4A43">
        <w:t>In both of these complete years of listing, the number of supplied prescriptions was overestimated, by 30% to 32%. One reason for this may be an overestimate of the requirements of weight based dosing in these age groups.</w:t>
      </w:r>
    </w:p>
    <w:p w14:paraId="2AA4CC0D" w14:textId="7E5337B6" w:rsidR="009F5442" w:rsidRPr="007E4A43" w:rsidRDefault="009F5442" w:rsidP="00311D2B">
      <w:pPr>
        <w:pStyle w:val="Heading2"/>
        <w:keepNext/>
      </w:pPr>
      <w:r w:rsidRPr="007E4A43">
        <w:t>Patients aged 2 to 5 years old</w:t>
      </w:r>
    </w:p>
    <w:p w14:paraId="0F34E45E" w14:textId="77777777" w:rsidR="009F5442" w:rsidRPr="007E4A43" w:rsidRDefault="009F5442" w:rsidP="00311D2B">
      <w:pPr>
        <w:pStyle w:val="Heading3"/>
        <w:keepNext/>
      </w:pPr>
      <w:r w:rsidRPr="007E4A43">
        <w:t>Approach taken to estimate utilisation</w:t>
      </w:r>
    </w:p>
    <w:p w14:paraId="7B29B539" w14:textId="41EFFEC5" w:rsidR="009F5442" w:rsidRPr="007E4A43" w:rsidRDefault="009F5442" w:rsidP="009F5442">
      <w:r w:rsidRPr="007E4A43">
        <w:t>The submission presented an epidemiological approach to the financial estimates of ELX/TEZ/IVA in F/any patients aged 2 to 5 years who have at least one F508del mutation in the CFTR gene. The approach used in developing the estimates was similar to that presented to the PBAC at the November 2022 meeting for the PBS listing of ELX/TEZ/IVA in the ≥6 years population. Eligible populations were estimated separately according to three groups: those eligible for use under the existing Deeds including F/F and F/G patients; those ineligible for use under the existing Deeds including F/MF, F/RF, and F/R117H patients; and those eligible for use under the existing Deeds but not currently on treatment i.e., CFTR naïve F/F patients and grandfathering patients.</w:t>
      </w:r>
    </w:p>
    <w:p w14:paraId="0A1A4C10" w14:textId="6233F947" w:rsidR="009F5442" w:rsidRPr="007E4A43" w:rsidRDefault="009F5442" w:rsidP="009F5442">
      <w:r w:rsidRPr="007E4A43">
        <w:t>The submission used the same inputs, including uptake/switching rates, discontinuation, and compliance, as accepted for the 6 to 11 years submission.</w:t>
      </w:r>
    </w:p>
    <w:p w14:paraId="184F5420" w14:textId="2DE4BB22" w:rsidR="009F5442" w:rsidRPr="007E4A43" w:rsidRDefault="009F5442" w:rsidP="008049EC">
      <w:pPr>
        <w:pStyle w:val="Heading3"/>
        <w:keepNext/>
      </w:pPr>
      <w:r w:rsidRPr="007E4A43">
        <w:lastRenderedPageBreak/>
        <w:t>Predicted versus actual utilisation</w:t>
      </w:r>
    </w:p>
    <w:p w14:paraId="65120D52" w14:textId="4FD28418" w:rsidR="00DD20AF" w:rsidRPr="007E4A43" w:rsidRDefault="00DD20AF" w:rsidP="00DD20AF">
      <w:pPr>
        <w:pStyle w:val="Tabletitle"/>
        <w:keepNext/>
      </w:pPr>
      <w:bookmarkStart w:id="9" w:name="_Ref205217574"/>
      <w:r w:rsidRPr="007E4A43">
        <w:t xml:space="preserve">Table </w:t>
      </w:r>
      <w:r w:rsidRPr="007E4A43">
        <w:fldChar w:fldCharType="begin"/>
      </w:r>
      <w:r w:rsidRPr="007E4A43">
        <w:instrText xml:space="preserve"> SEQ Table \* ARABIC </w:instrText>
      </w:r>
      <w:r w:rsidRPr="007E4A43">
        <w:fldChar w:fldCharType="separate"/>
      </w:r>
      <w:r w:rsidR="0063622F">
        <w:rPr>
          <w:noProof/>
        </w:rPr>
        <w:t>18</w:t>
      </w:r>
      <w:r w:rsidRPr="007E4A43">
        <w:fldChar w:fldCharType="end"/>
      </w:r>
      <w:bookmarkEnd w:id="9"/>
      <w:r w:rsidRPr="007E4A43">
        <w:t xml:space="preserve">: Predicted versus actual utilisation of ELX/TEZ/IVA for patients aged 2 to 5 </w:t>
      </w:r>
    </w:p>
    <w:tbl>
      <w:tblPr>
        <w:tblW w:w="4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065"/>
        <w:gridCol w:w="1418"/>
      </w:tblGrid>
      <w:tr w:rsidR="00DC169E" w:rsidRPr="007E4A43" w14:paraId="5FF6A3DF" w14:textId="77777777" w:rsidTr="008049EC">
        <w:trPr>
          <w:trHeight w:val="1035"/>
        </w:trPr>
        <w:tc>
          <w:tcPr>
            <w:tcW w:w="1838" w:type="dxa"/>
            <w:shd w:val="clear" w:color="auto" w:fill="BFBFBF" w:themeFill="background1" w:themeFillShade="BF"/>
            <w:noWrap/>
            <w:vAlign w:val="bottom"/>
            <w:hideMark/>
          </w:tcPr>
          <w:p w14:paraId="0E65E783" w14:textId="77777777" w:rsidR="00252CDA" w:rsidRPr="007E4A43" w:rsidRDefault="00252CDA" w:rsidP="00DD20AF">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 </w:t>
            </w:r>
          </w:p>
        </w:tc>
        <w:tc>
          <w:tcPr>
            <w:tcW w:w="1065" w:type="dxa"/>
            <w:shd w:val="clear" w:color="auto" w:fill="BFBFBF" w:themeFill="background1" w:themeFillShade="BF"/>
            <w:noWrap/>
            <w:vAlign w:val="bottom"/>
            <w:hideMark/>
          </w:tcPr>
          <w:p w14:paraId="766F4276" w14:textId="77777777" w:rsidR="00252CDA" w:rsidRPr="007E4A43" w:rsidRDefault="00252CDA" w:rsidP="00DD20AF">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 </w:t>
            </w:r>
          </w:p>
        </w:tc>
        <w:tc>
          <w:tcPr>
            <w:tcW w:w="1418" w:type="dxa"/>
            <w:shd w:val="clear" w:color="auto" w:fill="BFBFBF" w:themeFill="background1" w:themeFillShade="BF"/>
            <w:vAlign w:val="bottom"/>
            <w:hideMark/>
          </w:tcPr>
          <w:p w14:paraId="255599B6" w14:textId="77777777" w:rsidR="00252CDA" w:rsidRPr="007E4A43" w:rsidRDefault="00252CDA" w:rsidP="00DD20AF">
            <w:pPr>
              <w:keepNext/>
              <w:spacing w:after="0"/>
              <w:rPr>
                <w:rFonts w:ascii="Calibri" w:eastAsia="Times New Roman" w:hAnsi="Calibri" w:cs="Calibri"/>
                <w:b/>
                <w:bCs/>
                <w:color w:val="000000"/>
                <w:sz w:val="20"/>
                <w:szCs w:val="20"/>
              </w:rPr>
            </w:pPr>
            <w:r w:rsidRPr="007E4A43">
              <w:rPr>
                <w:rFonts w:ascii="Calibri" w:eastAsia="Times New Roman" w:hAnsi="Calibri" w:cs="Calibri"/>
                <w:b/>
                <w:bCs/>
                <w:color w:val="000000"/>
                <w:sz w:val="20"/>
                <w:szCs w:val="20"/>
              </w:rPr>
              <w:t>Year 1</w:t>
            </w:r>
            <w:r w:rsidRPr="007E4A43">
              <w:rPr>
                <w:rFonts w:ascii="Calibri" w:eastAsia="Times New Roman" w:hAnsi="Calibri" w:cs="Calibri"/>
                <w:b/>
                <w:bCs/>
                <w:color w:val="000000"/>
                <w:sz w:val="20"/>
                <w:szCs w:val="20"/>
              </w:rPr>
              <w:br/>
              <w:t>August 2024 to July 2025</w:t>
            </w:r>
          </w:p>
        </w:tc>
      </w:tr>
      <w:tr w:rsidR="008049EC" w:rsidRPr="007E4A43" w14:paraId="656CCD96" w14:textId="77777777" w:rsidTr="008049EC">
        <w:trPr>
          <w:trHeight w:val="1290"/>
        </w:trPr>
        <w:tc>
          <w:tcPr>
            <w:tcW w:w="1838" w:type="dxa"/>
            <w:vAlign w:val="bottom"/>
            <w:hideMark/>
          </w:tcPr>
          <w:p w14:paraId="13F98A2A" w14:textId="77777777" w:rsidR="008049EC" w:rsidRPr="007E4A43" w:rsidRDefault="008049EC" w:rsidP="008049EC">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Patients switching from other CFTRs</w:t>
            </w:r>
          </w:p>
        </w:tc>
        <w:tc>
          <w:tcPr>
            <w:tcW w:w="1065" w:type="dxa"/>
            <w:noWrap/>
            <w:vAlign w:val="bottom"/>
            <w:hideMark/>
          </w:tcPr>
          <w:p w14:paraId="6736332A" w14:textId="77777777" w:rsidR="008049EC" w:rsidRPr="007E4A43" w:rsidRDefault="008049EC" w:rsidP="008049EC">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8" w:type="dxa"/>
            <w:noWrap/>
            <w:vAlign w:val="bottom"/>
            <w:hideMark/>
          </w:tcPr>
          <w:p w14:paraId="2555BE28" w14:textId="425864F3" w:rsidR="008049EC" w:rsidRPr="007E4A43" w:rsidRDefault="008049EC" w:rsidP="008049EC">
            <w:pPr>
              <w:keepNext/>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99</w:t>
            </w:r>
          </w:p>
        </w:tc>
      </w:tr>
      <w:tr w:rsidR="008049EC" w:rsidRPr="007E4A43" w14:paraId="5251A09A" w14:textId="77777777" w:rsidTr="008049EC">
        <w:trPr>
          <w:trHeight w:val="300"/>
        </w:trPr>
        <w:tc>
          <w:tcPr>
            <w:tcW w:w="1838" w:type="dxa"/>
            <w:vAlign w:val="bottom"/>
            <w:hideMark/>
          </w:tcPr>
          <w:p w14:paraId="1A17D128" w14:textId="77777777" w:rsidR="008049EC" w:rsidRPr="007E4A43" w:rsidRDefault="008049EC" w:rsidP="008049EC">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1EBFA0F5" w14:textId="77777777" w:rsidR="008049EC" w:rsidRPr="007E4A43" w:rsidRDefault="008049EC" w:rsidP="008049EC">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8" w:type="dxa"/>
            <w:noWrap/>
            <w:vAlign w:val="bottom"/>
            <w:hideMark/>
          </w:tcPr>
          <w:p w14:paraId="388E9E09" w14:textId="54258A2E" w:rsidR="008049EC" w:rsidRPr="007E4A43" w:rsidRDefault="008049EC" w:rsidP="008049EC">
            <w:pPr>
              <w:keepNext/>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165</w:t>
            </w:r>
          </w:p>
        </w:tc>
      </w:tr>
      <w:tr w:rsidR="008049EC" w:rsidRPr="007E4A43" w14:paraId="11E0B376" w14:textId="77777777" w:rsidTr="008049EC">
        <w:trPr>
          <w:trHeight w:val="300"/>
        </w:trPr>
        <w:tc>
          <w:tcPr>
            <w:tcW w:w="1838" w:type="dxa"/>
            <w:vAlign w:val="bottom"/>
            <w:hideMark/>
          </w:tcPr>
          <w:p w14:paraId="208B0BEA" w14:textId="77777777" w:rsidR="008049EC" w:rsidRPr="007E4A43" w:rsidRDefault="008049EC" w:rsidP="008049EC">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1154CCED" w14:textId="77777777" w:rsidR="008049EC" w:rsidRPr="007E4A43" w:rsidRDefault="008049EC" w:rsidP="008049EC">
            <w:pPr>
              <w:keepNext/>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8" w:type="dxa"/>
            <w:noWrap/>
            <w:vAlign w:val="bottom"/>
            <w:hideMark/>
          </w:tcPr>
          <w:p w14:paraId="7D466D6C" w14:textId="70AB6412" w:rsidR="008049EC" w:rsidRPr="007E4A43" w:rsidRDefault="008049EC" w:rsidP="008049EC">
            <w:pPr>
              <w:keepNext/>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+67%</w:t>
            </w:r>
          </w:p>
        </w:tc>
      </w:tr>
      <w:tr w:rsidR="008049EC" w:rsidRPr="007E4A43" w14:paraId="32E382D6" w14:textId="77777777" w:rsidTr="008049EC">
        <w:trPr>
          <w:trHeight w:val="780"/>
        </w:trPr>
        <w:tc>
          <w:tcPr>
            <w:tcW w:w="1838" w:type="dxa"/>
            <w:vAlign w:val="bottom"/>
            <w:hideMark/>
          </w:tcPr>
          <w:p w14:paraId="745166A5"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Patients new to CFTRs</w:t>
            </w:r>
          </w:p>
        </w:tc>
        <w:tc>
          <w:tcPr>
            <w:tcW w:w="1065" w:type="dxa"/>
            <w:noWrap/>
            <w:vAlign w:val="bottom"/>
            <w:hideMark/>
          </w:tcPr>
          <w:p w14:paraId="71DBAB4B"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8" w:type="dxa"/>
            <w:noWrap/>
            <w:vAlign w:val="bottom"/>
            <w:hideMark/>
          </w:tcPr>
          <w:p w14:paraId="1347570E" w14:textId="215C8011" w:rsidR="008049EC" w:rsidRPr="007E4A43" w:rsidRDefault="008049EC"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w:t>
            </w:r>
            <w:r w:rsidR="00447789" w:rsidRPr="007E4A43">
              <w:rPr>
                <w:rFonts w:ascii="Calibri" w:hAnsi="Calibri" w:cs="Calibri"/>
                <w:color w:val="000000"/>
                <w:sz w:val="20"/>
                <w:szCs w:val="20"/>
              </w:rPr>
              <w:t>05</w:t>
            </w:r>
          </w:p>
        </w:tc>
      </w:tr>
      <w:tr w:rsidR="008049EC" w:rsidRPr="007E4A43" w14:paraId="51590593" w14:textId="77777777" w:rsidTr="008049EC">
        <w:trPr>
          <w:trHeight w:val="300"/>
        </w:trPr>
        <w:tc>
          <w:tcPr>
            <w:tcW w:w="1838" w:type="dxa"/>
            <w:vAlign w:val="bottom"/>
            <w:hideMark/>
          </w:tcPr>
          <w:p w14:paraId="5D1F21E9"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0E64BD24"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8" w:type="dxa"/>
            <w:noWrap/>
            <w:vAlign w:val="bottom"/>
            <w:hideMark/>
          </w:tcPr>
          <w:p w14:paraId="49B8CB38" w14:textId="051D1690" w:rsidR="008049EC" w:rsidRPr="007E4A43" w:rsidRDefault="008049EC"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131</w:t>
            </w:r>
          </w:p>
        </w:tc>
      </w:tr>
      <w:tr w:rsidR="008049EC" w:rsidRPr="007E4A43" w14:paraId="63972465" w14:textId="77777777" w:rsidTr="008049EC">
        <w:trPr>
          <w:trHeight w:val="300"/>
        </w:trPr>
        <w:tc>
          <w:tcPr>
            <w:tcW w:w="1838" w:type="dxa"/>
            <w:vAlign w:val="bottom"/>
            <w:hideMark/>
          </w:tcPr>
          <w:p w14:paraId="5F37B743"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777E5D87"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8" w:type="dxa"/>
            <w:noWrap/>
            <w:vAlign w:val="bottom"/>
            <w:hideMark/>
          </w:tcPr>
          <w:p w14:paraId="45D6FC3A" w14:textId="4EED73CE" w:rsidR="008049EC" w:rsidRPr="007E4A43" w:rsidRDefault="008049EC"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w:t>
            </w:r>
            <w:r w:rsidR="00447789" w:rsidRPr="007E4A43">
              <w:rPr>
                <w:rFonts w:ascii="Calibri" w:hAnsi="Calibri" w:cs="Calibri"/>
                <w:color w:val="000000"/>
                <w:sz w:val="20"/>
                <w:szCs w:val="20"/>
              </w:rPr>
              <w:t>36</w:t>
            </w:r>
            <w:r w:rsidRPr="007E4A43">
              <w:rPr>
                <w:rFonts w:ascii="Calibri" w:hAnsi="Calibri" w:cs="Calibri"/>
                <w:color w:val="000000"/>
                <w:sz w:val="20"/>
                <w:szCs w:val="20"/>
              </w:rPr>
              <w:t>%</w:t>
            </w:r>
          </w:p>
        </w:tc>
      </w:tr>
      <w:tr w:rsidR="008049EC" w:rsidRPr="007E4A43" w14:paraId="0B9D3058" w14:textId="77777777" w:rsidTr="008049EC">
        <w:trPr>
          <w:trHeight w:val="525"/>
        </w:trPr>
        <w:tc>
          <w:tcPr>
            <w:tcW w:w="1838" w:type="dxa"/>
            <w:vAlign w:val="bottom"/>
            <w:hideMark/>
          </w:tcPr>
          <w:p w14:paraId="385C230A"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Total patients</w:t>
            </w:r>
          </w:p>
        </w:tc>
        <w:tc>
          <w:tcPr>
            <w:tcW w:w="1065" w:type="dxa"/>
            <w:noWrap/>
            <w:vAlign w:val="bottom"/>
            <w:hideMark/>
          </w:tcPr>
          <w:p w14:paraId="41B90323"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8" w:type="dxa"/>
            <w:noWrap/>
            <w:vAlign w:val="bottom"/>
            <w:hideMark/>
          </w:tcPr>
          <w:p w14:paraId="71BA1AA5" w14:textId="68AB8CF2" w:rsidR="008049EC" w:rsidRPr="007E4A43" w:rsidRDefault="00447789"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304</w:t>
            </w:r>
          </w:p>
        </w:tc>
      </w:tr>
      <w:tr w:rsidR="008049EC" w:rsidRPr="007E4A43" w14:paraId="5E03A8C5" w14:textId="77777777" w:rsidTr="008049EC">
        <w:trPr>
          <w:trHeight w:val="300"/>
        </w:trPr>
        <w:tc>
          <w:tcPr>
            <w:tcW w:w="1838" w:type="dxa"/>
            <w:vAlign w:val="bottom"/>
            <w:hideMark/>
          </w:tcPr>
          <w:p w14:paraId="285451F3"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45D890AC"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8" w:type="dxa"/>
            <w:noWrap/>
            <w:vAlign w:val="bottom"/>
            <w:hideMark/>
          </w:tcPr>
          <w:p w14:paraId="2032F592" w14:textId="2E93462C" w:rsidR="008049EC" w:rsidRPr="007E4A43" w:rsidRDefault="008049EC"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296</w:t>
            </w:r>
          </w:p>
        </w:tc>
      </w:tr>
      <w:tr w:rsidR="008049EC" w:rsidRPr="007E4A43" w14:paraId="4C61B14B" w14:textId="77777777" w:rsidTr="008049EC">
        <w:trPr>
          <w:trHeight w:val="300"/>
        </w:trPr>
        <w:tc>
          <w:tcPr>
            <w:tcW w:w="1838" w:type="dxa"/>
            <w:vAlign w:val="bottom"/>
            <w:hideMark/>
          </w:tcPr>
          <w:p w14:paraId="4D6E7963"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2233B36B"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8" w:type="dxa"/>
            <w:noWrap/>
            <w:vAlign w:val="bottom"/>
            <w:hideMark/>
          </w:tcPr>
          <w:p w14:paraId="3476CB4A" w14:textId="71A6A012" w:rsidR="008049EC" w:rsidRPr="007E4A43" w:rsidRDefault="00ED64F4"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-3</w:t>
            </w:r>
            <w:r w:rsidR="008049EC" w:rsidRPr="007E4A43">
              <w:rPr>
                <w:rFonts w:ascii="Calibri" w:hAnsi="Calibri" w:cs="Calibri"/>
                <w:color w:val="000000"/>
                <w:sz w:val="20"/>
                <w:szCs w:val="20"/>
              </w:rPr>
              <w:t>%</w:t>
            </w:r>
          </w:p>
        </w:tc>
      </w:tr>
      <w:tr w:rsidR="008049EC" w:rsidRPr="007E4A43" w14:paraId="0099DE7C" w14:textId="77777777" w:rsidTr="008049EC">
        <w:trPr>
          <w:trHeight w:val="525"/>
        </w:trPr>
        <w:tc>
          <w:tcPr>
            <w:tcW w:w="1838" w:type="dxa"/>
            <w:vAlign w:val="bottom"/>
            <w:hideMark/>
          </w:tcPr>
          <w:p w14:paraId="5ADB7B29"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Prescriptions</w:t>
            </w:r>
          </w:p>
        </w:tc>
        <w:tc>
          <w:tcPr>
            <w:tcW w:w="1065" w:type="dxa"/>
            <w:noWrap/>
            <w:vAlign w:val="bottom"/>
            <w:hideMark/>
          </w:tcPr>
          <w:p w14:paraId="3110C9D5"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Predicted</w:t>
            </w:r>
          </w:p>
        </w:tc>
        <w:tc>
          <w:tcPr>
            <w:tcW w:w="1418" w:type="dxa"/>
            <w:noWrap/>
            <w:vAlign w:val="bottom"/>
            <w:hideMark/>
          </w:tcPr>
          <w:p w14:paraId="6C1BC678" w14:textId="133168B4" w:rsidR="008049EC" w:rsidRPr="007E4A43" w:rsidRDefault="008049EC"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3,480</w:t>
            </w:r>
          </w:p>
        </w:tc>
      </w:tr>
      <w:tr w:rsidR="008049EC" w:rsidRPr="007E4A43" w14:paraId="636775B6" w14:textId="77777777" w:rsidTr="008049EC">
        <w:trPr>
          <w:trHeight w:val="300"/>
        </w:trPr>
        <w:tc>
          <w:tcPr>
            <w:tcW w:w="1838" w:type="dxa"/>
            <w:vAlign w:val="bottom"/>
            <w:hideMark/>
          </w:tcPr>
          <w:p w14:paraId="29F8FC50"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4FF4448E"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Actual</w:t>
            </w:r>
          </w:p>
        </w:tc>
        <w:tc>
          <w:tcPr>
            <w:tcW w:w="1418" w:type="dxa"/>
            <w:noWrap/>
            <w:vAlign w:val="bottom"/>
            <w:hideMark/>
          </w:tcPr>
          <w:p w14:paraId="68F6E977" w14:textId="6195B1DD" w:rsidR="008049EC" w:rsidRPr="007E4A43" w:rsidRDefault="008049EC"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2,520</w:t>
            </w:r>
          </w:p>
        </w:tc>
      </w:tr>
      <w:tr w:rsidR="008049EC" w:rsidRPr="007E4A43" w14:paraId="35DCEC13" w14:textId="77777777" w:rsidTr="008049EC">
        <w:trPr>
          <w:trHeight w:val="300"/>
        </w:trPr>
        <w:tc>
          <w:tcPr>
            <w:tcW w:w="1838" w:type="dxa"/>
            <w:vAlign w:val="bottom"/>
            <w:hideMark/>
          </w:tcPr>
          <w:p w14:paraId="131BAE26"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 </w:t>
            </w:r>
          </w:p>
        </w:tc>
        <w:tc>
          <w:tcPr>
            <w:tcW w:w="1065" w:type="dxa"/>
            <w:noWrap/>
            <w:vAlign w:val="bottom"/>
            <w:hideMark/>
          </w:tcPr>
          <w:p w14:paraId="27F491EB" w14:textId="77777777" w:rsidR="008049EC" w:rsidRPr="007E4A43" w:rsidRDefault="008049EC" w:rsidP="008049EC">
            <w:pPr>
              <w:spacing w:after="0"/>
              <w:rPr>
                <w:rFonts w:ascii="Calibri" w:eastAsia="Times New Roman" w:hAnsi="Calibri" w:cs="Calibri"/>
                <w:color w:val="000000"/>
                <w:sz w:val="20"/>
                <w:szCs w:val="20"/>
              </w:rPr>
            </w:pPr>
            <w:r w:rsidRPr="007E4A43">
              <w:rPr>
                <w:rFonts w:ascii="Calibri" w:eastAsia="Times New Roman" w:hAnsi="Calibri" w:cs="Calibri"/>
                <w:color w:val="000000"/>
                <w:sz w:val="20"/>
                <w:szCs w:val="20"/>
              </w:rPr>
              <w:t>Difference</w:t>
            </w:r>
          </w:p>
        </w:tc>
        <w:tc>
          <w:tcPr>
            <w:tcW w:w="1418" w:type="dxa"/>
            <w:noWrap/>
            <w:vAlign w:val="bottom"/>
            <w:hideMark/>
          </w:tcPr>
          <w:p w14:paraId="6C8E9AFE" w14:textId="1C5F8184" w:rsidR="008049EC" w:rsidRPr="007E4A43" w:rsidRDefault="008049EC" w:rsidP="008049EC">
            <w:pPr>
              <w:spacing w:after="0"/>
              <w:jc w:val="right"/>
              <w:rPr>
                <w:rFonts w:ascii="Calibri" w:eastAsia="Times New Roman" w:hAnsi="Calibri" w:cs="Calibri"/>
                <w:color w:val="000000"/>
                <w:sz w:val="20"/>
                <w:szCs w:val="20"/>
              </w:rPr>
            </w:pPr>
            <w:r w:rsidRPr="007E4A43">
              <w:rPr>
                <w:rFonts w:ascii="Calibri" w:hAnsi="Calibri" w:cs="Calibri"/>
                <w:color w:val="000000"/>
                <w:sz w:val="20"/>
                <w:szCs w:val="20"/>
              </w:rPr>
              <w:t>-28%</w:t>
            </w:r>
          </w:p>
        </w:tc>
      </w:tr>
    </w:tbl>
    <w:p w14:paraId="46EFCFCE" w14:textId="77777777" w:rsidR="00252CDA" w:rsidRPr="007E4A43" w:rsidRDefault="00252CDA" w:rsidP="009B169F"/>
    <w:p w14:paraId="18ABAE9B" w14:textId="1C64FE73" w:rsidR="009F5442" w:rsidRPr="007E4A43" w:rsidRDefault="009F5442" w:rsidP="009F5442">
      <w:r w:rsidRPr="007E4A43">
        <w:t xml:space="preserve">In the first year of listing for patients aged 2 to 5 years old, the number of treated patients was </w:t>
      </w:r>
      <w:r w:rsidR="00ED64F4" w:rsidRPr="007E4A43">
        <w:t xml:space="preserve">approximately correct </w:t>
      </w:r>
      <w:r w:rsidRPr="007E4A43">
        <w:t xml:space="preserve">(Table 16). The number of patients new to CFTR modulators was overestimated by </w:t>
      </w:r>
      <w:r w:rsidR="006B497B" w:rsidRPr="007E4A43">
        <w:t>36</w:t>
      </w:r>
      <w:r w:rsidRPr="007E4A43">
        <w:t xml:space="preserve">%, however the number of patients who switched from other CFTR modulators to ELX/TEZ/IVA was underestimated by </w:t>
      </w:r>
      <w:r w:rsidR="006B497B" w:rsidRPr="007E4A43">
        <w:t>67</w:t>
      </w:r>
      <w:r w:rsidRPr="007E4A43">
        <w:t xml:space="preserve">%. The number of supplied prescriptions was overestimated by </w:t>
      </w:r>
      <w:r w:rsidR="008049EC" w:rsidRPr="007E4A43">
        <w:t>28</w:t>
      </w:r>
      <w:r w:rsidRPr="007E4A43">
        <w:t>%. One reason for this may be an overestimate of the requirements of weight based dosing in these age groups.</w:t>
      </w:r>
    </w:p>
    <w:p w14:paraId="3555DFBA" w14:textId="52D8A775" w:rsidR="00591512" w:rsidRPr="007E4A43" w:rsidRDefault="00AB3733" w:rsidP="00F73113">
      <w:pPr>
        <w:pStyle w:val="Heading1"/>
      </w:pPr>
      <w:r w:rsidRPr="007E4A43">
        <w:t>D</w:t>
      </w:r>
      <w:r w:rsidR="007346C7" w:rsidRPr="007E4A43">
        <w:t>iscussion</w:t>
      </w:r>
    </w:p>
    <w:p w14:paraId="00439044" w14:textId="0AD77E7B" w:rsidR="0052674D" w:rsidRPr="007E4A43" w:rsidRDefault="00311D2B" w:rsidP="00287C0A">
      <w:r w:rsidRPr="007E4A43">
        <w:t>Since</w:t>
      </w:r>
      <w:r w:rsidR="00245A1D" w:rsidRPr="007E4A43">
        <w:t xml:space="preserve"> PBS listing on 1 April 2022, </w:t>
      </w:r>
      <w:r w:rsidR="00FC4C72" w:rsidRPr="007E4A43">
        <w:t xml:space="preserve">ELX/TEZ/IVA </w:t>
      </w:r>
      <w:r w:rsidR="00245A1D" w:rsidRPr="007E4A43">
        <w:t xml:space="preserve">has become the </w:t>
      </w:r>
      <w:r w:rsidR="00291272" w:rsidRPr="007E4A43">
        <w:t>most utilised</w:t>
      </w:r>
      <w:r w:rsidR="00245A1D" w:rsidRPr="007E4A43">
        <w:t xml:space="preserve"> of CFTR modulators</w:t>
      </w:r>
      <w:r w:rsidR="008E200A" w:rsidRPr="007E4A43">
        <w:t>, in terms of the number of prescriptions supplied</w:t>
      </w:r>
      <w:r w:rsidR="0052674D" w:rsidRPr="007E4A43">
        <w:t>,</w:t>
      </w:r>
      <w:r w:rsidR="008E200A" w:rsidRPr="007E4A43">
        <w:t xml:space="preserve"> and the number of </w:t>
      </w:r>
      <w:r w:rsidR="0052674D" w:rsidRPr="007E4A43">
        <w:t>treated and initiating patients</w:t>
      </w:r>
      <w:r w:rsidR="00A229E3" w:rsidRPr="007E4A43">
        <w:t xml:space="preserve">. </w:t>
      </w:r>
      <w:r w:rsidR="0052674D" w:rsidRPr="007E4A43">
        <w:t>In 2024, 90% of the supplied prescriptions of CFTR modulators were ELX/TEZ/IVA and 88% of patients supplied a CFTR modulator were supplied ELX/TEZ/IVA.</w:t>
      </w:r>
    </w:p>
    <w:p w14:paraId="10238FDF" w14:textId="6A618202" w:rsidR="008E200A" w:rsidRPr="007E4A43" w:rsidRDefault="00E529FC" w:rsidP="00287C0A">
      <w:r w:rsidRPr="007E4A43">
        <w:t>Of the 3</w:t>
      </w:r>
      <w:r w:rsidR="0052674D" w:rsidRPr="007E4A43">
        <w:t>,</w:t>
      </w:r>
      <w:r w:rsidRPr="007E4A43">
        <w:t>486 patients who were supplied a CFTR modulator during the data collection period (</w:t>
      </w:r>
      <w:r w:rsidR="007C0C0F" w:rsidRPr="007E4A43">
        <w:t>to</w:t>
      </w:r>
      <w:r w:rsidRPr="007E4A43">
        <w:t xml:space="preserve"> 30 June 2025), 3,209 (92%) have been supplied ELX/TEZ/IVA, including 1,320 who have only been supplied ELX/TEZ/IVA. </w:t>
      </w:r>
    </w:p>
    <w:p w14:paraId="00FC0FE9" w14:textId="66441342" w:rsidR="00287C0A" w:rsidRPr="007E4A43" w:rsidRDefault="008E200A" w:rsidP="00287C0A">
      <w:r w:rsidRPr="007E4A43">
        <w:lastRenderedPageBreak/>
        <w:t>The majority of</w:t>
      </w:r>
      <w:r w:rsidR="0052491C" w:rsidRPr="007E4A43">
        <w:t xml:space="preserve"> </w:t>
      </w:r>
      <w:r w:rsidR="00DC169E" w:rsidRPr="007E4A43">
        <w:t>patients who were supplied CFTR modulators prior to its listing</w:t>
      </w:r>
      <w:r w:rsidRPr="007E4A43">
        <w:t xml:space="preserve"> and </w:t>
      </w:r>
      <w:r w:rsidR="0052674D" w:rsidRPr="007E4A43">
        <w:t xml:space="preserve">have </w:t>
      </w:r>
      <w:r w:rsidRPr="007E4A43">
        <w:t>continued treatment</w:t>
      </w:r>
      <w:r w:rsidR="0052674D" w:rsidRPr="007E4A43">
        <w:t>, have</w:t>
      </w:r>
      <w:r w:rsidR="00DC169E" w:rsidRPr="007E4A43">
        <w:t xml:space="preserve"> switched</w:t>
      </w:r>
      <w:r w:rsidR="00311D2B" w:rsidRPr="007E4A43">
        <w:t xml:space="preserve"> to ELX/TEZ/IVA</w:t>
      </w:r>
      <w:r w:rsidR="00287C0A" w:rsidRPr="007E4A43">
        <w:t>. Of the 1,646 patients supplied a CFTR modulator in the 12 months prior to ELX/TEZ/IVA listing (April 2021 to March 2022 inclusive), 1,610 (98%) were supplied a CFTR between April 2022 and March 2023. Of the</w:t>
      </w:r>
      <w:r w:rsidR="0052674D" w:rsidRPr="007E4A43">
        <w:t>se 1,610</w:t>
      </w:r>
      <w:r w:rsidR="00287C0A" w:rsidRPr="007E4A43">
        <w:t xml:space="preserve"> patients</w:t>
      </w:r>
      <w:r w:rsidRPr="007E4A43">
        <w:t>, 1,153 (70%) were supplied ELX/TEZ/IVA.</w:t>
      </w:r>
      <w:r w:rsidR="00287C0A" w:rsidRPr="007E4A43">
        <w:t xml:space="preserve"> </w:t>
      </w:r>
    </w:p>
    <w:p w14:paraId="39DBBE99" w14:textId="28DC756E" w:rsidR="008E200A" w:rsidRPr="007E4A43" w:rsidRDefault="008E200A" w:rsidP="008E200A">
      <w:r w:rsidRPr="007E4A43">
        <w:t xml:space="preserve">The majority of new patients are being initiated on ELX/TEZ/IVA. In 2024, 68% of </w:t>
      </w:r>
      <w:r w:rsidR="007C0C0F" w:rsidRPr="007E4A43">
        <w:t>the 307 patients who initiated</w:t>
      </w:r>
      <w:r w:rsidRPr="007E4A43">
        <w:t xml:space="preserve"> were supplied ELX/TEZ/IVA on the initiating prescription. It is likely that the majority of patients </w:t>
      </w:r>
      <w:r w:rsidR="0052674D" w:rsidRPr="007E4A43">
        <w:t>who did not</w:t>
      </w:r>
      <w:r w:rsidRPr="007E4A43">
        <w:t xml:space="preserve"> initiat</w:t>
      </w:r>
      <w:r w:rsidR="0052674D" w:rsidRPr="007E4A43">
        <w:t>e</w:t>
      </w:r>
      <w:r w:rsidRPr="007E4A43">
        <w:t xml:space="preserve"> on ELX/TEZ/IVA </w:t>
      </w:r>
      <w:r w:rsidR="0052674D" w:rsidRPr="007E4A43">
        <w:t>were</w:t>
      </w:r>
      <w:r w:rsidRPr="007E4A43">
        <w:t xml:space="preserve"> ineligible for ELX/TEZ/IVA.</w:t>
      </w:r>
    </w:p>
    <w:p w14:paraId="5A114F91" w14:textId="2DC49F04" w:rsidR="00FC4C72" w:rsidRPr="007E4A43" w:rsidRDefault="00DC169E" w:rsidP="00F1132C">
      <w:r w:rsidRPr="007E4A43">
        <w:t xml:space="preserve">Of the patients who did not switch to ELX/TEZ/IVA </w:t>
      </w:r>
      <w:r w:rsidR="0052674D" w:rsidRPr="007E4A43">
        <w:t xml:space="preserve">during the data collection period, </w:t>
      </w:r>
      <w:r w:rsidRPr="007E4A43">
        <w:t>prior to 1 July 2025, 20% were aged younger than two</w:t>
      </w:r>
      <w:r w:rsidR="00E06E03" w:rsidRPr="007E4A43">
        <w:t>. The trends in switching in older age groups suggest m</w:t>
      </w:r>
      <w:r w:rsidRPr="007E4A43">
        <w:t xml:space="preserve">any of </w:t>
      </w:r>
      <w:r w:rsidR="00E06E03" w:rsidRPr="007E4A43">
        <w:t xml:space="preserve">these patients </w:t>
      </w:r>
      <w:r w:rsidR="003B0065" w:rsidRPr="007E4A43">
        <w:t>likely</w:t>
      </w:r>
      <w:r w:rsidRPr="007E4A43">
        <w:t xml:space="preserve"> switched </w:t>
      </w:r>
      <w:r w:rsidR="00E06E03" w:rsidRPr="007E4A43">
        <w:t xml:space="preserve">to </w:t>
      </w:r>
      <w:bookmarkStart w:id="10" w:name="_Hlk206162677"/>
      <w:r w:rsidR="00E06E03" w:rsidRPr="007E4A43">
        <w:t xml:space="preserve">ELX/TEZ/IVA </w:t>
      </w:r>
      <w:bookmarkEnd w:id="10"/>
      <w:r w:rsidRPr="007E4A43">
        <w:t xml:space="preserve">once it was </w:t>
      </w:r>
      <w:r w:rsidR="00E06E03" w:rsidRPr="007E4A43">
        <w:t xml:space="preserve">PBS </w:t>
      </w:r>
      <w:r w:rsidRPr="007E4A43">
        <w:t>listed for patients aged younger than two</w:t>
      </w:r>
      <w:r w:rsidR="00E06E03" w:rsidRPr="007E4A43">
        <w:t>,</w:t>
      </w:r>
      <w:r w:rsidRPr="007E4A43">
        <w:t xml:space="preserve"> on 1 July 2025. </w:t>
      </w:r>
      <w:r w:rsidR="003B0065" w:rsidRPr="007E4A43">
        <w:t xml:space="preserve">Some of the patients </w:t>
      </w:r>
      <w:r w:rsidRPr="007E4A43">
        <w:t xml:space="preserve">older </w:t>
      </w:r>
      <w:r w:rsidR="003B0065" w:rsidRPr="007E4A43">
        <w:t xml:space="preserve">than two </w:t>
      </w:r>
      <w:r w:rsidR="00BD6BC6" w:rsidRPr="007E4A43">
        <w:t xml:space="preserve">years </w:t>
      </w:r>
      <w:r w:rsidR="003B0065" w:rsidRPr="007E4A43">
        <w:t>who have not switched</w:t>
      </w:r>
      <w:r w:rsidR="008E200A" w:rsidRPr="007E4A43">
        <w:t xml:space="preserve"> or initiated on another CFTR modulator</w:t>
      </w:r>
      <w:r w:rsidR="003B0065" w:rsidRPr="007E4A43">
        <w:t xml:space="preserve"> may have </w:t>
      </w:r>
      <w:r w:rsidR="008E200A" w:rsidRPr="007E4A43">
        <w:t xml:space="preserve">a </w:t>
      </w:r>
      <w:r w:rsidR="003B0065" w:rsidRPr="007E4A43">
        <w:t>non</w:t>
      </w:r>
      <w:r w:rsidR="008E200A" w:rsidRPr="007E4A43">
        <w:t>-</w:t>
      </w:r>
      <w:r w:rsidR="003B0065" w:rsidRPr="007E4A43">
        <w:t>gating mutation and only currently be eligible for ivacaftor, or may not have switched for other unknown reasons.</w:t>
      </w:r>
      <w:r w:rsidRPr="007E4A43">
        <w:t xml:space="preserve"> </w:t>
      </w:r>
    </w:p>
    <w:p w14:paraId="376ADFB3" w14:textId="32CD67E2" w:rsidR="00F1132C" w:rsidRPr="007E4A43" w:rsidRDefault="00E06E03" w:rsidP="00F1132C">
      <w:r w:rsidRPr="007E4A43">
        <w:t>A</w:t>
      </w:r>
      <w:r w:rsidR="00E529FC" w:rsidRPr="007E4A43">
        <w:t xml:space="preserve">lthough the median duration of treatment could not be estimated, </w:t>
      </w:r>
      <w:r w:rsidRPr="007E4A43">
        <w:t>the duration of treatment for these medicines is likely to be long</w:t>
      </w:r>
      <w:r w:rsidR="00E529FC" w:rsidRPr="007E4A43">
        <w:t xml:space="preserve">. </w:t>
      </w:r>
      <w:r w:rsidR="00555DF3" w:rsidRPr="007E4A43">
        <w:t xml:space="preserve">The mortality of patients treated with CFTR modulators in Australia is relatively low. Of the patients supplied CFTR modulators during the data collection period, 1.15% (40 of 3,486) had a date of death recorded in the date of death data. </w:t>
      </w:r>
    </w:p>
    <w:p w14:paraId="0DC7D85F" w14:textId="0F28C387" w:rsidR="00E529FC" w:rsidRPr="007E4A43" w:rsidRDefault="00E529FC" w:rsidP="00F1132C">
      <w:r w:rsidRPr="007E4A43">
        <w:t>As the mean age of patients supplied CFTR modulators in 2024 was 24 years, and</w:t>
      </w:r>
      <w:r w:rsidR="00467C1C" w:rsidRPr="007E4A43">
        <w:t xml:space="preserve"> as PBS restrictions are expanded to younger populations,</w:t>
      </w:r>
      <w:r w:rsidRPr="007E4A43">
        <w:t xml:space="preserve"> </w:t>
      </w:r>
      <w:r w:rsidR="00467C1C" w:rsidRPr="007E4A43">
        <w:t xml:space="preserve">younger </w:t>
      </w:r>
      <w:r w:rsidR="007C28F6" w:rsidRPr="007E4A43">
        <w:t xml:space="preserve">patients are initiating </w:t>
      </w:r>
      <w:r w:rsidR="00467C1C" w:rsidRPr="007E4A43">
        <w:t xml:space="preserve">therapy. Until newer therapies are listed for cystic fibrosis, </w:t>
      </w:r>
      <w:r w:rsidRPr="007E4A43">
        <w:t xml:space="preserve">it is likely that a growing number of patients </w:t>
      </w:r>
      <w:r w:rsidR="00467C1C" w:rsidRPr="007E4A43">
        <w:t xml:space="preserve">will </w:t>
      </w:r>
      <w:r w:rsidRPr="007E4A43">
        <w:t xml:space="preserve">remain on CFTR modulators, particularly ELX/TEZ/IVA, </w:t>
      </w:r>
      <w:r w:rsidR="004C34E2" w:rsidRPr="007E4A43">
        <w:t>over the long term</w:t>
      </w:r>
      <w:r w:rsidRPr="007E4A43">
        <w:t>.</w:t>
      </w:r>
    </w:p>
    <w:p w14:paraId="482E144A" w14:textId="77777777" w:rsidR="001B551F" w:rsidRDefault="001B551F" w:rsidP="001B551F">
      <w:pPr>
        <w:pStyle w:val="Heading1"/>
      </w:pPr>
      <w:r>
        <w:t>DUSC consideration</w:t>
      </w:r>
    </w:p>
    <w:p w14:paraId="05093D78" w14:textId="77777777" w:rsidR="005C4C8A" w:rsidRPr="005C4C8A" w:rsidRDefault="005C4C8A" w:rsidP="005C4C8A">
      <w:pPr>
        <w:rPr>
          <w:iCs/>
        </w:rPr>
      </w:pPr>
      <w:r w:rsidRPr="005C4C8A">
        <w:rPr>
          <w:color w:val="000000"/>
        </w:rPr>
        <w:t>DUSC noted the graph of the number of treated patients by drug and quarter of supply showed that most patients who were supplied ivacaftor or TEZ/IVA prior to the listing of ELX/TEZ/IVA switched immediately, however some patients continued on LUM/IVA after the listing of ELX/TEZ/IVA</w:t>
      </w:r>
      <w:r w:rsidRPr="005C4C8A">
        <w:t xml:space="preserve">. Similarly, DUSC noted that since its listing in 2022, the majority of first time initiating patients have commenced CFTR treatment with ELX/TEZ/IVA. </w:t>
      </w:r>
      <w:r w:rsidRPr="005C4C8A">
        <w:rPr>
          <w:iCs/>
        </w:rPr>
        <w:t xml:space="preserve">DUSC commented that the different age groups were able to access the different medicines at different times, and noted the corresponding increases in patients of different age groups when </w:t>
      </w:r>
      <w:r w:rsidRPr="005C4C8A">
        <w:t>ELX/TEZ/IVA</w:t>
      </w:r>
      <w:r w:rsidRPr="005C4C8A" w:rsidDel="00762284">
        <w:rPr>
          <w:iCs/>
        </w:rPr>
        <w:t xml:space="preserve"> </w:t>
      </w:r>
      <w:r w:rsidRPr="005C4C8A">
        <w:rPr>
          <w:iCs/>
        </w:rPr>
        <w:t xml:space="preserve">was listed for these age groups. DUSC commented that the use of </w:t>
      </w:r>
      <w:r w:rsidRPr="005C4C8A">
        <w:rPr>
          <w:iCs/>
          <w:color w:val="000000"/>
        </w:rPr>
        <w:t xml:space="preserve">ELX/TEZ/IVA now dominates the market of </w:t>
      </w:r>
      <w:r w:rsidRPr="005C4C8A">
        <w:rPr>
          <w:iCs/>
        </w:rPr>
        <w:t>CFTR modulators.</w:t>
      </w:r>
    </w:p>
    <w:p w14:paraId="499BFD30" w14:textId="77777777" w:rsidR="005C4C8A" w:rsidRPr="005C4C8A" w:rsidRDefault="005C4C8A" w:rsidP="005C4C8A">
      <w:pPr>
        <w:rPr>
          <w:iCs/>
          <w:color w:val="000000"/>
        </w:rPr>
      </w:pPr>
      <w:r w:rsidRPr="005C4C8A">
        <w:rPr>
          <w:iCs/>
          <w:color w:val="000000"/>
        </w:rPr>
        <w:t xml:space="preserve">DUSC commented that the uptake of ELX/TEZ/IVA was high and immediate, and commented CF patients and families are a motivated patient population, and that clinics and patients were aware that ELX/TEZ/IVA would be available through the PBS prior to its listing. </w:t>
      </w:r>
      <w:r w:rsidRPr="005C4C8A">
        <w:rPr>
          <w:iCs/>
        </w:rPr>
        <w:t xml:space="preserve">DUSC commented that the rapid uptake should inform future estimated uptake rates, particularly in </w:t>
      </w:r>
      <w:r w:rsidRPr="005C4C8A">
        <w:rPr>
          <w:iCs/>
          <w:color w:val="000000"/>
        </w:rPr>
        <w:t>other rare conditions with motivated and engaged patient populations.</w:t>
      </w:r>
    </w:p>
    <w:p w14:paraId="2574A040" w14:textId="77777777" w:rsidR="005C4C8A" w:rsidRPr="005C4C8A" w:rsidRDefault="005C4C8A" w:rsidP="005C4C8A">
      <w:pPr>
        <w:rPr>
          <w:iCs/>
        </w:rPr>
      </w:pPr>
      <w:r w:rsidRPr="005C4C8A">
        <w:rPr>
          <w:color w:val="000000"/>
        </w:rPr>
        <w:lastRenderedPageBreak/>
        <w:t xml:space="preserve">DUSC noted the mean age of patients supplied CFTR modulators in 2024 was 24 years, and the median age was 21 years. </w:t>
      </w:r>
      <w:r w:rsidRPr="005C4C8A">
        <w:rPr>
          <w:iCs/>
          <w:color w:val="000000"/>
        </w:rPr>
        <w:t xml:space="preserve">DUSC commented that although the most commonly treated age group was 15-19, there were there 509 patients aged 40 years or older who were supplied CFTR modulators in 2024. </w:t>
      </w:r>
      <w:r w:rsidRPr="005C4C8A">
        <w:rPr>
          <w:iCs/>
        </w:rPr>
        <w:t>DUSC noted there have been reports of patients with atypical presentations of CF, such as gastrointestinal disease and infertility, who were born before the introduction of newborn screening for CF, diagnosed as adults.</w:t>
      </w:r>
      <w:r w:rsidRPr="005C4C8A">
        <w:rPr>
          <w:rStyle w:val="FootnoteReference"/>
          <w:iCs/>
        </w:rPr>
        <w:footnoteReference w:id="7"/>
      </w:r>
      <w:r w:rsidRPr="005C4C8A">
        <w:rPr>
          <w:iCs/>
        </w:rPr>
        <w:t xml:space="preserve"> </w:t>
      </w:r>
    </w:p>
    <w:p w14:paraId="242B9EEA" w14:textId="77777777" w:rsidR="005C4C8A" w:rsidRPr="005C4C8A" w:rsidRDefault="005C4C8A" w:rsidP="005C4C8A">
      <w:pPr>
        <w:rPr>
          <w:iCs/>
          <w:color w:val="000000"/>
        </w:rPr>
      </w:pPr>
      <w:r w:rsidRPr="005C4C8A">
        <w:rPr>
          <w:color w:val="000000"/>
        </w:rPr>
        <w:t xml:space="preserve">DUSC noted the analysis of the 188 patients who were never supplied ELX/TEZ/IVA and who were supplied a </w:t>
      </w:r>
      <w:r w:rsidRPr="005C4C8A">
        <w:t xml:space="preserve">CFTR modulator other than </w:t>
      </w:r>
      <w:r w:rsidRPr="005C4C8A">
        <w:rPr>
          <w:color w:val="000000"/>
        </w:rPr>
        <w:t xml:space="preserve">ELX/TEZ/IVA between 1 July 2024 and 30 June 2025 inclusive. </w:t>
      </w:r>
      <w:r w:rsidRPr="005C4C8A">
        <w:rPr>
          <w:iCs/>
          <w:color w:val="000000"/>
        </w:rPr>
        <w:t xml:space="preserve">DUSC agreed that the 20% of those patients who were younger than 2 were likely not eligible for ELX/TEZ/IVA during this time period, and agreed eligible older patients would have likely switched to ELX/TEZ/IVA when its PBS listing was extended to patients who have at least one mutation in the CFTR gene that is responsive to ELX/TEZ/IVA based on clinical and/or in vitro assay data on 1 July 2025. DUSC questioned whether there was a group of patients not supplied ELX/TEZ/IVA due to adverse effects, and noted the consumer comments mentioned that there is a very small cohort of patients who are not responding to this drug combination. </w:t>
      </w:r>
    </w:p>
    <w:p w14:paraId="11F4A080" w14:textId="77777777" w:rsidR="005C4C8A" w:rsidRPr="005C4C8A" w:rsidRDefault="005C4C8A" w:rsidP="005C4C8A">
      <w:pPr>
        <w:rPr>
          <w:color w:val="000000"/>
        </w:rPr>
      </w:pPr>
      <w:r w:rsidRPr="005C4C8A">
        <w:rPr>
          <w:color w:val="000000"/>
        </w:rPr>
        <w:t xml:space="preserve">DUSC noted the predicted versus actual review of patients aged 12 and older showed the patient numbers were underestimated, but the number of prescriptions was approximately correct in the first three years of listing. DUSC noted the predicted versus actual reviews of patients aged 2 to 5 years and 6 to 11 years old showed the number of patients was approximately correct, but the number of prescriptions were overestimated. </w:t>
      </w:r>
      <w:r w:rsidRPr="005C4C8A">
        <w:rPr>
          <w:iCs/>
          <w:color w:val="000000"/>
        </w:rPr>
        <w:t xml:space="preserve">DUSC agreed these differences were likely due an overestimate of the requirements of weight based dosing in these age groups. DUSC commented that untreated patients were likely to be underweight, and that as patients become older and healthier their weight will increase as they grow, and their required doses are therefore likely to increase. </w:t>
      </w:r>
    </w:p>
    <w:p w14:paraId="70BE183A" w14:textId="77777777" w:rsidR="005C4C8A" w:rsidRPr="005C4C8A" w:rsidRDefault="005C4C8A" w:rsidP="005C4C8A">
      <w:pPr>
        <w:rPr>
          <w:iCs/>
          <w:color w:val="000000"/>
        </w:rPr>
      </w:pPr>
      <w:r w:rsidRPr="005C4C8A">
        <w:rPr>
          <w:iCs/>
          <w:color w:val="000000"/>
        </w:rPr>
        <w:t>DUSC noted the treatment duration presented in the report but commented that as the overall median treatment duration had not been reached, it cannot reliably be determined from the data available. DUSC noted a publication which estimated survival statistics from the</w:t>
      </w:r>
      <w:r w:rsidRPr="005C4C8A">
        <w:t xml:space="preserve"> </w:t>
      </w:r>
      <w:r w:rsidRPr="005C4C8A">
        <w:rPr>
          <w:iCs/>
          <w:color w:val="000000"/>
        </w:rPr>
        <w:t>Australian Cystic Fibrosis Data Registry (ACFDR) data. The estimated median survival increased from 48.9 years (95% CI: 44.7–53.5) for people with CF born in 2005–2009, to 56.3 years (95% CI: 51.2–60.4) for those born in 2016–2020.</w:t>
      </w:r>
      <w:r w:rsidRPr="005C4C8A">
        <w:rPr>
          <w:rStyle w:val="FootnoteReference"/>
          <w:iCs/>
          <w:color w:val="000000"/>
        </w:rPr>
        <w:footnoteReference w:id="8"/>
      </w:r>
      <w:r w:rsidRPr="005C4C8A">
        <w:rPr>
          <w:iCs/>
          <w:color w:val="000000"/>
        </w:rPr>
        <w:t xml:space="preserve"> DUSC commented that life expectancy has increased substantially and agreed that until newer therapies are listed for cystic fibrosis, it is likely that a growing number of patients will remain on CFTR modulators, particularly ELX/TEZ/IVA, over the long term.</w:t>
      </w:r>
    </w:p>
    <w:p w14:paraId="6DB085C3" w14:textId="77777777" w:rsidR="005C4C8A" w:rsidRPr="005C4C8A" w:rsidRDefault="005C4C8A" w:rsidP="005C4C8A">
      <w:pPr>
        <w:rPr>
          <w:iCs/>
          <w:color w:val="000000"/>
        </w:rPr>
      </w:pPr>
      <w:r w:rsidRPr="005C4C8A">
        <w:rPr>
          <w:iCs/>
          <w:color w:val="000000"/>
        </w:rPr>
        <w:t xml:space="preserve">DUSC noted consumer comments regarding the report, which highlighted the overwhelmingly positive impact ELX/TEZ/IVA has had for patients. The comments noted the improved quality of life patients are experiencing, through fewer hospital visits and being </w:t>
      </w:r>
      <w:r w:rsidRPr="005C4C8A">
        <w:rPr>
          <w:iCs/>
          <w:color w:val="000000"/>
        </w:rPr>
        <w:lastRenderedPageBreak/>
        <w:t>able to contribute to society in ways they were previously not expecting to, such as studying at university, working and paying taxes, and raising children.</w:t>
      </w:r>
    </w:p>
    <w:p w14:paraId="695FC86E" w14:textId="77777777" w:rsidR="005C4C8A" w:rsidRPr="005C4C8A" w:rsidRDefault="005C4C8A" w:rsidP="005C4C8A">
      <w:pPr>
        <w:rPr>
          <w:iCs/>
          <w:color w:val="000000"/>
        </w:rPr>
      </w:pPr>
      <w:r w:rsidRPr="005C4C8A">
        <w:rPr>
          <w:iCs/>
          <w:color w:val="000000"/>
        </w:rPr>
        <w:t>The comments noted some side effects, such as behavioural problems that returned to normal after the medication was ceased, weight gain due to the necessary high fat diet, and survivor’s guilt as they are doing well after watching siblings or friends pass away. The comments also noted an increase in fertility and that women have become pregnant after being told they were infertile.</w:t>
      </w:r>
    </w:p>
    <w:p w14:paraId="1A99109C" w14:textId="0C2A40F4" w:rsidR="005C4C8A" w:rsidRPr="005C4C8A" w:rsidRDefault="005C4C8A" w:rsidP="005C4C8A">
      <w:pPr>
        <w:rPr>
          <w:iCs/>
          <w:color w:val="000000"/>
        </w:rPr>
      </w:pPr>
      <w:r w:rsidRPr="005C4C8A">
        <w:rPr>
          <w:iCs/>
          <w:color w:val="000000"/>
        </w:rPr>
        <w:t>DUSC noted that data from Australia suggest the number of pregnancies among CF patients has doubled, with 88 pregnancies recorded in the ACFDR in 2023 compared to 42 in 2020.</w:t>
      </w:r>
      <w:r w:rsidRPr="005C4C8A">
        <w:rPr>
          <w:rStyle w:val="FootnoteReference"/>
          <w:iCs/>
          <w:color w:val="000000"/>
        </w:rPr>
        <w:footnoteReference w:id="9"/>
      </w:r>
      <w:r w:rsidRPr="005C4C8A">
        <w:rPr>
          <w:iCs/>
          <w:color w:val="000000"/>
        </w:rPr>
        <w:t xml:space="preserve"> DUSC noted some of the research surrounding women continuing therapy while pregnant, and that one study conducted using the French health insurance data warehouse found 99.3% of pregnancies included in the study with exposure to CFTR modulators resulted in livebirths, and that the rate of small for gestational age (&lt;10th percentile) was significantly lower in pregnancies exposed to CFTR modulators compared to unexposed (6.8% vs. 16 %; p &lt; 0.01).</w:t>
      </w:r>
      <w:r w:rsidRPr="005C4C8A">
        <w:rPr>
          <w:rStyle w:val="FootnoteReference"/>
          <w:iCs/>
          <w:color w:val="000000"/>
        </w:rPr>
        <w:footnoteReference w:id="10"/>
      </w:r>
      <w:r w:rsidRPr="005C4C8A">
        <w:rPr>
          <w:iCs/>
          <w:color w:val="000000"/>
        </w:rPr>
        <w:t xml:space="preserve"> </w:t>
      </w:r>
    </w:p>
    <w:p w14:paraId="2ACD2F54" w14:textId="70312EA9" w:rsidR="001B551F" w:rsidRPr="005C4C8A" w:rsidRDefault="005C4C8A" w:rsidP="001B551F">
      <w:r w:rsidRPr="005C4C8A">
        <w:rPr>
          <w:iCs/>
          <w:color w:val="000000"/>
        </w:rPr>
        <w:t xml:space="preserve">DUSC commented that overall, the PBS listing of </w:t>
      </w:r>
      <w:r w:rsidRPr="005C4C8A">
        <w:rPr>
          <w:iCs/>
        </w:rPr>
        <w:t xml:space="preserve">CFTR modulators, particularly </w:t>
      </w:r>
      <w:r w:rsidRPr="005C4C8A">
        <w:rPr>
          <w:iCs/>
          <w:color w:val="000000"/>
        </w:rPr>
        <w:t xml:space="preserve">ELX/TEZ/IVA, </w:t>
      </w:r>
      <w:r w:rsidRPr="005C4C8A">
        <w:rPr>
          <w:iCs/>
        </w:rPr>
        <w:t xml:space="preserve">have </w:t>
      </w:r>
      <w:r w:rsidRPr="005C4C8A">
        <w:rPr>
          <w:iCs/>
          <w:color w:val="000000"/>
        </w:rPr>
        <w:t>improved</w:t>
      </w:r>
      <w:r w:rsidRPr="005C4C8A">
        <w:rPr>
          <w:iCs/>
        </w:rPr>
        <w:t xml:space="preserve"> the </w:t>
      </w:r>
      <w:r w:rsidRPr="005C4C8A">
        <w:rPr>
          <w:iCs/>
          <w:color w:val="000000"/>
        </w:rPr>
        <w:t>management and care of patients with CF, and improved the life expectancy and quality of life for patients.</w:t>
      </w:r>
    </w:p>
    <w:p w14:paraId="1C9D7831" w14:textId="77777777" w:rsidR="001B551F" w:rsidRDefault="001B551F" w:rsidP="001B551F">
      <w:pPr>
        <w:pStyle w:val="Heading1"/>
      </w:pPr>
      <w:r>
        <w:t>DUSC actions</w:t>
      </w:r>
    </w:p>
    <w:p w14:paraId="6018BF00" w14:textId="07CC6A52" w:rsidR="001B551F" w:rsidRPr="00832324" w:rsidRDefault="005C4C8A" w:rsidP="001B551F">
      <w:pPr>
        <w:rPr>
          <w:highlight w:val="yellow"/>
        </w:rPr>
      </w:pPr>
      <w:r w:rsidRPr="005C4C8A">
        <w:t>DUSC requested that the report be provided to the PBAC for consideration.</w:t>
      </w:r>
    </w:p>
    <w:p w14:paraId="30643C9E" w14:textId="77777777" w:rsidR="001B551F" w:rsidRDefault="001B551F" w:rsidP="001B551F">
      <w:pPr>
        <w:pStyle w:val="Heading1"/>
      </w:pPr>
      <w:r w:rsidRPr="0092516A">
        <w:t>Context for analysis</w:t>
      </w:r>
    </w:p>
    <w:p w14:paraId="1076362B" w14:textId="77777777" w:rsidR="001B551F" w:rsidRDefault="001B551F" w:rsidP="001B551F">
      <w:r>
        <w:t>The DUSC is a Sub Committee of the Pharmaceutical Benefits Advisory Committee (PBAC). The DUSC assesses estimates on projected usage and financial cost of medicines.</w:t>
      </w:r>
    </w:p>
    <w:p w14:paraId="2208CF03" w14:textId="77777777" w:rsidR="001B551F" w:rsidRDefault="001B551F" w:rsidP="001B551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46FA7331" w14:textId="77777777" w:rsidR="001B551F" w:rsidRDefault="001B551F" w:rsidP="001B551F">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121F51F" w14:textId="77777777" w:rsidR="001B551F" w:rsidRDefault="001B551F" w:rsidP="001B551F">
      <w:r>
        <w:lastRenderedPageBreak/>
        <w:t>The utilisation analysis report was provided to the pharmaceutical sponsors of each drug and comments on the report were provided to DUSC prior to its consideration of the analysis.</w:t>
      </w:r>
    </w:p>
    <w:p w14:paraId="5EC56354" w14:textId="38871DA0" w:rsidR="001B551F" w:rsidRDefault="001B551F" w:rsidP="001B551F">
      <w:pPr>
        <w:pStyle w:val="Heading1"/>
      </w:pPr>
      <w:r>
        <w:t>Sponsor</w:t>
      </w:r>
      <w:r w:rsidRPr="0092516A">
        <w:t xml:space="preserve"> comments</w:t>
      </w:r>
    </w:p>
    <w:p w14:paraId="558068C7" w14:textId="248726B7" w:rsidR="001B551F" w:rsidRPr="00F80E2B" w:rsidRDefault="007211D3" w:rsidP="001B551F">
      <w:pPr>
        <w:rPr>
          <w:lang w:val="en-US"/>
        </w:rPr>
      </w:pPr>
      <w:r w:rsidRPr="007211D3">
        <w:t>Vertex Pharmaceuticals (Australia) Pty. Ltd.</w:t>
      </w:r>
      <w:r w:rsidR="00F80E2B" w:rsidRPr="00F80E2B">
        <w:rPr>
          <w:highlight w:val="yellow"/>
          <w:lang w:val="en-US"/>
        </w:rPr>
        <w:t xml:space="preserve"> </w:t>
      </w:r>
      <w:r w:rsidR="00F80E2B">
        <w:rPr>
          <w:highlight w:val="yellow"/>
          <w:lang w:val="en-US"/>
        </w:rPr>
        <w:br/>
      </w:r>
      <w:r w:rsidR="00F80E2B" w:rsidRPr="00F80E2B">
        <w:rPr>
          <w:lang w:val="en-US"/>
        </w:rPr>
        <w:t xml:space="preserve">Vertex welcomes the DUSC findings </w:t>
      </w:r>
      <w:r w:rsidR="00F80E2B" w:rsidRPr="00F80E2B">
        <w:t>and remains committed to continuing to serially innovate to further improve the lives of people living with Cystic Fibrosis.</w:t>
      </w:r>
    </w:p>
    <w:p w14:paraId="3A407D46" w14:textId="77777777" w:rsidR="001B551F" w:rsidRDefault="001B551F" w:rsidP="001B551F">
      <w:pPr>
        <w:pStyle w:val="Heading1"/>
      </w:pPr>
      <w:r w:rsidRPr="00A4020E">
        <w:t>Disclaimer</w:t>
      </w:r>
    </w:p>
    <w:p w14:paraId="5712BE3F" w14:textId="77777777" w:rsidR="001B551F" w:rsidRDefault="001B551F" w:rsidP="001B551F">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5194C3C" w14:textId="462958EB" w:rsidR="001B551F" w:rsidRDefault="001B551F" w:rsidP="001B551F">
      <w:r>
        <w:t xml:space="preserve">The </w:t>
      </w:r>
      <w:r w:rsidRPr="006804E0">
        <w:t>Department of Health</w:t>
      </w:r>
      <w:r>
        <w:t>, Disability and Ageing has made all reasonable efforts to ensure that information provided in this report is accurate. The information provided in this report was up-to-date when it was considered by the Drug Utilisation Sub-</w:t>
      </w:r>
      <w:r w:rsidR="0063622F">
        <w:t>C</w:t>
      </w:r>
      <w:r>
        <w:t>ommittee of the Pharmaceutical Benefits Advisory Committee.  The context for that information may have changed since publication.</w:t>
      </w:r>
    </w:p>
    <w:p w14:paraId="368E4901" w14:textId="77777777" w:rsidR="001B551F" w:rsidRDefault="001B551F" w:rsidP="001B551F">
      <w:r>
        <w:t xml:space="preserve">To the extent provided by law, the </w:t>
      </w:r>
      <w:r w:rsidRPr="006804E0">
        <w:t>Department of Health</w:t>
      </w:r>
      <w:r>
        <w:t xml:space="preserve">, Disability and Ageing makes no warranties or representations as to accuracy or completeness of information contained in this report. </w:t>
      </w:r>
    </w:p>
    <w:p w14:paraId="0B936F7A" w14:textId="77777777" w:rsidR="001B551F" w:rsidRDefault="001B551F" w:rsidP="001B551F">
      <w:r>
        <w:t xml:space="preserve">To the fullest extent permitted by law, neither the </w:t>
      </w:r>
      <w:r w:rsidRPr="006804E0">
        <w:t>Department of Health</w:t>
      </w:r>
      <w:r>
        <w:t xml:space="preserve">, Disability and Ageing nor any </w:t>
      </w:r>
      <w:r w:rsidRPr="006804E0">
        <w:t>Department of Health</w:t>
      </w:r>
      <w:r>
        <w:t>,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452B2B86" w14:textId="77777777" w:rsidR="001B551F" w:rsidRDefault="001B551F" w:rsidP="00AC7F59"/>
    <w:p w14:paraId="1D65099A" w14:textId="77777777" w:rsidR="001B551F" w:rsidRPr="00AC7F59" w:rsidRDefault="001B551F" w:rsidP="00AC7F59"/>
    <w:sectPr w:rsidR="001B551F" w:rsidRPr="00AC7F59" w:rsidSect="00DD188C">
      <w:headerReference w:type="even" r:id="rId28"/>
      <w:headerReference w:type="default" r:id="rId29"/>
      <w:footerReference w:type="even" r:id="rId30"/>
      <w:footerReference w:type="default" r:id="rId31"/>
      <w:headerReference w:type="first" r:id="rId32"/>
      <w:footerReference w:type="first" r:id="rId3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65F17" w14:textId="77777777" w:rsidR="00B53F0E" w:rsidRDefault="00B53F0E" w:rsidP="00A35800">
      <w:r>
        <w:separator/>
      </w:r>
    </w:p>
  </w:endnote>
  <w:endnote w:type="continuationSeparator" w:id="0">
    <w:p w14:paraId="77962484" w14:textId="77777777" w:rsidR="00B53F0E" w:rsidRDefault="00B53F0E"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64C08024" w:rsidR="00214013" w:rsidRDefault="00FA1AB2" w:rsidP="00A35800">
    <w:pPr>
      <w:pStyle w:val="Footer"/>
      <w:rPr>
        <w:rStyle w:val="PageNumber"/>
      </w:rPr>
    </w:pPr>
    <w:r>
      <w:rPr>
        <w:noProof/>
      </w:rPr>
      <mc:AlternateContent>
        <mc:Choice Requires="wps">
          <w:drawing>
            <wp:anchor distT="0" distB="0" distL="0" distR="0" simplePos="0" relativeHeight="251662336" behindDoc="0" locked="0" layoutInCell="1" allowOverlap="1" wp14:anchorId="4800C237" wp14:editId="32D246B3">
              <wp:simplePos x="635" y="635"/>
              <wp:positionH relativeFrom="page">
                <wp:align>center</wp:align>
              </wp:positionH>
              <wp:positionV relativeFrom="page">
                <wp:align>bottom</wp:align>
              </wp:positionV>
              <wp:extent cx="622300" cy="376555"/>
              <wp:effectExtent l="0" t="0" r="6350" b="0"/>
              <wp:wrapNone/>
              <wp:docPr id="5513144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27571D" w14:textId="3445BDCA"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0C237"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427571D" w14:textId="3445BDCA"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E4E4" w14:textId="77777777" w:rsidR="00FA1AB2" w:rsidRDefault="00FA1AB2" w:rsidP="000E72C6">
    <w:pPr>
      <w:pStyle w:val="Footer"/>
      <w:jc w:val="center"/>
    </w:pPr>
    <w:r>
      <w:rPr>
        <w:noProof/>
      </w:rPr>
      <mc:AlternateContent>
        <mc:Choice Requires="wps">
          <w:drawing>
            <wp:anchor distT="0" distB="0" distL="0" distR="0" simplePos="0" relativeHeight="251663360" behindDoc="0" locked="0" layoutInCell="1" allowOverlap="1" wp14:anchorId="39C339D2" wp14:editId="20B3E30A">
              <wp:simplePos x="1005840" y="9745980"/>
              <wp:positionH relativeFrom="page">
                <wp:align>center</wp:align>
              </wp:positionH>
              <wp:positionV relativeFrom="page">
                <wp:align>bottom</wp:align>
              </wp:positionV>
              <wp:extent cx="622300" cy="376555"/>
              <wp:effectExtent l="0" t="0" r="6350" b="0"/>
              <wp:wrapNone/>
              <wp:docPr id="35759367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8CEF04" w14:textId="53BA4BB0"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C339D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28CEF04" w14:textId="53BA4BB0"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v:textbox>
              <w10:wrap anchorx="page" anchory="page"/>
            </v:shape>
          </w:pict>
        </mc:Fallback>
      </mc:AlternateContent>
    </w:r>
  </w:p>
  <w:sdt>
    <w:sdtPr>
      <w:rPr>
        <w:i/>
        <w:iCs/>
        <w:sz w:val="22"/>
        <w:szCs w:val="22"/>
      </w:rPr>
      <w:id w:val="-1220733839"/>
      <w:docPartObj>
        <w:docPartGallery w:val="Page Numbers (Bottom of Page)"/>
        <w:docPartUnique/>
      </w:docPartObj>
    </w:sdtPr>
    <w:sdtContent>
      <w:sdt>
        <w:sdtPr>
          <w:rPr>
            <w:i/>
            <w:iCs/>
            <w:sz w:val="22"/>
            <w:szCs w:val="22"/>
          </w:rPr>
          <w:id w:val="-1669238322"/>
          <w:docPartObj>
            <w:docPartGallery w:val="Page Numbers (Top of Page)"/>
            <w:docPartUnique/>
          </w:docPartObj>
        </w:sdtPr>
        <w:sdtContent>
          <w:p w14:paraId="168B7191" w14:textId="77777777" w:rsidR="00C31AD7" w:rsidRPr="00C31AD7" w:rsidRDefault="00B067FB" w:rsidP="000E72C6">
            <w:pPr>
              <w:pStyle w:val="Footer"/>
              <w:jc w:val="center"/>
              <w:rPr>
                <w:i/>
                <w:iCs/>
                <w:sz w:val="22"/>
                <w:szCs w:val="22"/>
              </w:rPr>
            </w:pPr>
            <w:r w:rsidRPr="00C31AD7">
              <w:rPr>
                <w:i/>
                <w:iCs/>
                <w:sz w:val="22"/>
                <w:szCs w:val="22"/>
              </w:rPr>
              <w:t xml:space="preserve">Public Release Document, </w:t>
            </w:r>
            <w:r w:rsidR="00C31AD7" w:rsidRPr="00C31AD7">
              <w:rPr>
                <w:i/>
                <w:iCs/>
                <w:sz w:val="22"/>
                <w:szCs w:val="22"/>
              </w:rPr>
              <w:t>October 2025</w:t>
            </w:r>
            <w:r w:rsidRPr="00C31AD7">
              <w:rPr>
                <w:i/>
                <w:iCs/>
                <w:sz w:val="22"/>
                <w:szCs w:val="22"/>
              </w:rPr>
              <w:t xml:space="preserve"> DUSC Meeting</w:t>
            </w:r>
          </w:p>
          <w:p w14:paraId="10292A9A" w14:textId="2D2AC286" w:rsidR="00214013" w:rsidRPr="00C31AD7" w:rsidRDefault="00C31AD7" w:rsidP="000E72C6">
            <w:pPr>
              <w:pStyle w:val="Footer"/>
              <w:jc w:val="center"/>
              <w:rPr>
                <w:rStyle w:val="PageNumber"/>
                <w:i/>
                <w:iCs/>
                <w:sz w:val="22"/>
                <w:szCs w:val="22"/>
              </w:rPr>
            </w:pPr>
            <w:r w:rsidRPr="00C31AD7">
              <w:rPr>
                <w:i/>
                <w:iCs/>
                <w:sz w:val="22"/>
                <w:szCs w:val="22"/>
              </w:rPr>
              <w:t>P</w:t>
            </w:r>
            <w:r w:rsidR="00DD188C" w:rsidRPr="00C31AD7">
              <w:rPr>
                <w:i/>
                <w:iCs/>
                <w:sz w:val="22"/>
                <w:szCs w:val="22"/>
              </w:rPr>
              <w:t xml:space="preserve">age </w:t>
            </w:r>
            <w:r w:rsidR="00DD188C" w:rsidRPr="00C31AD7">
              <w:rPr>
                <w:bCs/>
                <w:i/>
                <w:iCs/>
                <w:sz w:val="22"/>
                <w:szCs w:val="22"/>
              </w:rPr>
              <w:fldChar w:fldCharType="begin"/>
            </w:r>
            <w:r w:rsidR="00DD188C" w:rsidRPr="00C31AD7">
              <w:rPr>
                <w:bCs/>
                <w:i/>
                <w:iCs/>
                <w:sz w:val="22"/>
                <w:szCs w:val="22"/>
              </w:rPr>
              <w:instrText xml:space="preserve"> PAGE </w:instrText>
            </w:r>
            <w:r w:rsidR="00DD188C" w:rsidRPr="00C31AD7">
              <w:rPr>
                <w:bCs/>
                <w:i/>
                <w:iCs/>
                <w:sz w:val="22"/>
                <w:szCs w:val="22"/>
              </w:rPr>
              <w:fldChar w:fldCharType="separate"/>
            </w:r>
            <w:r w:rsidR="001F0A4E" w:rsidRPr="00C31AD7">
              <w:rPr>
                <w:bCs/>
                <w:i/>
                <w:iCs/>
                <w:noProof/>
                <w:sz w:val="22"/>
                <w:szCs w:val="22"/>
              </w:rPr>
              <w:t>3</w:t>
            </w:r>
            <w:r w:rsidR="00DD188C" w:rsidRPr="00C31AD7">
              <w:rPr>
                <w:bCs/>
                <w:i/>
                <w:iCs/>
                <w:sz w:val="22"/>
                <w:szCs w:val="22"/>
              </w:rPr>
              <w:fldChar w:fldCharType="end"/>
            </w:r>
            <w:r w:rsidR="00DD188C" w:rsidRPr="00C31AD7">
              <w:rPr>
                <w:i/>
                <w:iCs/>
                <w:sz w:val="22"/>
                <w:szCs w:val="22"/>
              </w:rPr>
              <w:t xml:space="preserve"> of </w:t>
            </w:r>
            <w:r w:rsidR="00DD188C" w:rsidRPr="00C31AD7">
              <w:rPr>
                <w:bCs/>
                <w:i/>
                <w:iCs/>
                <w:sz w:val="22"/>
                <w:szCs w:val="22"/>
              </w:rPr>
              <w:fldChar w:fldCharType="begin"/>
            </w:r>
            <w:r w:rsidR="00DD188C" w:rsidRPr="00C31AD7">
              <w:rPr>
                <w:bCs/>
                <w:i/>
                <w:iCs/>
                <w:sz w:val="22"/>
                <w:szCs w:val="22"/>
              </w:rPr>
              <w:instrText xml:space="preserve"> NUMPAGES  </w:instrText>
            </w:r>
            <w:r w:rsidR="00DD188C" w:rsidRPr="00C31AD7">
              <w:rPr>
                <w:bCs/>
                <w:i/>
                <w:iCs/>
                <w:sz w:val="22"/>
                <w:szCs w:val="22"/>
              </w:rPr>
              <w:fldChar w:fldCharType="separate"/>
            </w:r>
            <w:r w:rsidR="001F0A4E" w:rsidRPr="00C31AD7">
              <w:rPr>
                <w:bCs/>
                <w:i/>
                <w:iCs/>
                <w:noProof/>
                <w:sz w:val="22"/>
                <w:szCs w:val="22"/>
              </w:rPr>
              <w:t>13</w:t>
            </w:r>
            <w:r w:rsidR="00DD188C" w:rsidRPr="00C31AD7">
              <w:rPr>
                <w:bCs/>
                <w:i/>
                <w:iCs/>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1F9BCF0F" w:rsidR="007A5733" w:rsidRDefault="00FA1AB2" w:rsidP="007A5733">
    <w:pPr>
      <w:pStyle w:val="Footer"/>
      <w:jc w:val="center"/>
      <w:rPr>
        <w:rStyle w:val="PageNumber"/>
      </w:rPr>
    </w:pPr>
    <w:r>
      <w:rPr>
        <w:noProof/>
      </w:rPr>
      <mc:AlternateContent>
        <mc:Choice Requires="wps">
          <w:drawing>
            <wp:anchor distT="0" distB="0" distL="0" distR="0" simplePos="0" relativeHeight="251661312" behindDoc="0" locked="0" layoutInCell="1" allowOverlap="1" wp14:anchorId="376327E0" wp14:editId="674C8720">
              <wp:simplePos x="635" y="635"/>
              <wp:positionH relativeFrom="page">
                <wp:align>center</wp:align>
              </wp:positionH>
              <wp:positionV relativeFrom="page">
                <wp:align>bottom</wp:align>
              </wp:positionV>
              <wp:extent cx="622300" cy="376555"/>
              <wp:effectExtent l="0" t="0" r="6350" b="0"/>
              <wp:wrapNone/>
              <wp:docPr id="207588599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D54694" w14:textId="55015FA6"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6327E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14D54694" w14:textId="55015FA6"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7E46A" w14:textId="77777777" w:rsidR="00B53F0E" w:rsidRDefault="00B53F0E" w:rsidP="00A35800">
      <w:r>
        <w:separator/>
      </w:r>
    </w:p>
  </w:footnote>
  <w:footnote w:type="continuationSeparator" w:id="0">
    <w:p w14:paraId="42758794" w14:textId="77777777" w:rsidR="00B53F0E" w:rsidRDefault="00B53F0E" w:rsidP="00A35800">
      <w:r>
        <w:continuationSeparator/>
      </w:r>
    </w:p>
  </w:footnote>
  <w:footnote w:id="1">
    <w:p w14:paraId="157BD29B" w14:textId="65EE238A" w:rsidR="00A55E81" w:rsidRDefault="00A55E81">
      <w:pPr>
        <w:pStyle w:val="FootnoteText"/>
      </w:pPr>
      <w:r>
        <w:rPr>
          <w:rStyle w:val="FootnoteReference"/>
        </w:rPr>
        <w:footnoteRef/>
      </w:r>
      <w:r>
        <w:t xml:space="preserve"> </w:t>
      </w:r>
      <w:r w:rsidRPr="00A55E81">
        <w:t>Endres TM, Konstan MW. What Is Cystic Fibrosis? JAMA. 2022;327(2):191. doi:10.1001/jama.2021.23280</w:t>
      </w:r>
      <w:r w:rsidR="00F422DC">
        <w:t xml:space="preserve"> </w:t>
      </w:r>
      <w:hyperlink r:id="rId1" w:history="1">
        <w:r w:rsidR="00F422DC" w:rsidRPr="004F21FB">
          <w:rPr>
            <w:rStyle w:val="Hyperlink"/>
          </w:rPr>
          <w:t>https://jamanetwork.com/journals/jama/fullarticle/2787906</w:t>
        </w:r>
      </w:hyperlink>
      <w:r w:rsidR="00F422DC">
        <w:t>, Accessed 29 October 2024</w:t>
      </w:r>
    </w:p>
  </w:footnote>
  <w:footnote w:id="2">
    <w:p w14:paraId="6F54A342" w14:textId="7F329911" w:rsidR="006F15C3" w:rsidRDefault="006F15C3">
      <w:pPr>
        <w:pStyle w:val="FootnoteText"/>
      </w:pPr>
      <w:r>
        <w:rPr>
          <w:rStyle w:val="FootnoteReference"/>
        </w:rPr>
        <w:footnoteRef/>
      </w:r>
      <w:r>
        <w:t xml:space="preserve"> </w:t>
      </w:r>
      <w:r w:rsidR="00EE00D3" w:rsidRPr="00EE00D3">
        <w:t>Price CE, O'Toole GA. The Gut-Lung Axis in Cystic Fibrosis. J Bacteriol. 2021 Sep 23;203(20):e0031121. doi: 10.1128/JB.00311-21. Epub 2021 Aug 2. PMID: 34339302; PMCID: PMC8459759.</w:t>
      </w:r>
      <w:r w:rsidR="00EE00D3">
        <w:t xml:space="preserve"> </w:t>
      </w:r>
      <w:hyperlink r:id="rId2" w:anchor="B2" w:history="1">
        <w:r w:rsidR="00EE00D3" w:rsidRPr="004F21FB">
          <w:rPr>
            <w:rStyle w:val="Hyperlink"/>
          </w:rPr>
          <w:t>https://pmc.ncbi.nlm.nih.gov/articles/PMC8459759/#B2</w:t>
        </w:r>
      </w:hyperlink>
      <w:r w:rsidR="00EE00D3">
        <w:t xml:space="preserve"> </w:t>
      </w:r>
      <w:r w:rsidR="00EE00D3" w:rsidRPr="00EE00D3">
        <w:t>Accessed 29 October 2024</w:t>
      </w:r>
    </w:p>
  </w:footnote>
  <w:footnote w:id="3">
    <w:p w14:paraId="6F7C81C3" w14:textId="0B637C75" w:rsidR="00657AB6" w:rsidRDefault="00657AB6">
      <w:pPr>
        <w:pStyle w:val="FootnoteText"/>
      </w:pPr>
      <w:r>
        <w:rPr>
          <w:rStyle w:val="FootnoteReference"/>
        </w:rPr>
        <w:footnoteRef/>
      </w:r>
      <w:r>
        <w:t xml:space="preserve"> </w:t>
      </w:r>
      <w:r w:rsidRPr="00657AB6">
        <w:t xml:space="preserve">Chmiel, J.F., Davis, P.B. State of the Art: Why do the lungs of patients with cystic fibrosis become infected and why can't they clear the infection?. Respir Res 4, 8 (2003). </w:t>
      </w:r>
      <w:hyperlink r:id="rId3" w:history="1">
        <w:r w:rsidRPr="004F21FB">
          <w:rPr>
            <w:rStyle w:val="Hyperlink"/>
          </w:rPr>
          <w:t>https://doi.org/10.1186/1465-9921-4-8</w:t>
        </w:r>
      </w:hyperlink>
      <w:r>
        <w:t xml:space="preserve"> </w:t>
      </w:r>
      <w:r w:rsidR="003C4448" w:rsidRPr="003C4448">
        <w:t>Accessed 29 October 2024</w:t>
      </w:r>
    </w:p>
  </w:footnote>
  <w:footnote w:id="4">
    <w:p w14:paraId="7CAC25CD" w14:textId="552AA69E" w:rsidR="0067010F" w:rsidRDefault="0067010F">
      <w:pPr>
        <w:pStyle w:val="FootnoteText"/>
      </w:pPr>
      <w:r>
        <w:rPr>
          <w:rStyle w:val="FootnoteReference"/>
        </w:rPr>
        <w:footnoteRef/>
      </w:r>
      <w:r>
        <w:t xml:space="preserve"> Cystic Fibrosis Australia, </w:t>
      </w:r>
      <w:hyperlink r:id="rId4" w:history="1">
        <w:r w:rsidR="00063D1E" w:rsidRPr="004F21FB">
          <w:rPr>
            <w:rStyle w:val="Hyperlink"/>
          </w:rPr>
          <w:t>https://www.cysticfibrosis.org.au/treatment/</w:t>
        </w:r>
      </w:hyperlink>
      <w:r w:rsidR="00063D1E">
        <w:t xml:space="preserve"> </w:t>
      </w:r>
      <w:r w:rsidR="00063D1E" w:rsidRPr="00063D1E">
        <w:t>Accessed 29 October 2024</w:t>
      </w:r>
    </w:p>
  </w:footnote>
  <w:footnote w:id="5">
    <w:p w14:paraId="75C6AB4D" w14:textId="27D15629" w:rsidR="008D190F" w:rsidRDefault="008D190F">
      <w:pPr>
        <w:pStyle w:val="FootnoteText"/>
      </w:pPr>
      <w:r>
        <w:rPr>
          <w:rStyle w:val="FootnoteReference"/>
        </w:rPr>
        <w:footnoteRef/>
      </w:r>
      <w:r>
        <w:t xml:space="preserve"> </w:t>
      </w:r>
      <w:r w:rsidRPr="008D190F">
        <w:t xml:space="preserve">Trikafta (elexacaftor + tezacaftor + ivacaftor) Australian Approved Product Information. St Leonards, NSW: Vertex Pharmaceuticals (Australia) Pty Ltd. Approved 24 March 2021, updated </w:t>
      </w:r>
      <w:r w:rsidR="00874D0C">
        <w:t>8 May 2025</w:t>
      </w:r>
      <w:r w:rsidRPr="008D190F">
        <w:t>. Available from https://www.ebs.tga.gov.au/ebs/picmi/picmirepository.nsf/pdf?OpenAgent&amp;id=CP-2021-PI-01350-1&amp;d=20241114172310101</w:t>
      </w:r>
    </w:p>
  </w:footnote>
  <w:footnote w:id="6">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5" w:history="1">
        <w:r>
          <w:rPr>
            <w:rStyle w:val="Hyperlink"/>
            <w:sz w:val="20"/>
          </w:rPr>
          <w:t>http://www.medicareaustralia.gov.au/provider/pbs/stats.jsp</w:t>
        </w:r>
      </w:hyperlink>
      <w:r>
        <w:rPr>
          <w:sz w:val="20"/>
        </w:rPr>
        <w:t>&gt;.</w:t>
      </w:r>
    </w:p>
  </w:footnote>
  <w:footnote w:id="7">
    <w:p w14:paraId="77D3C808" w14:textId="77777777" w:rsidR="005C4C8A" w:rsidRPr="001C53E0" w:rsidRDefault="005C4C8A" w:rsidP="005C4C8A">
      <w:pPr>
        <w:pStyle w:val="FootnoteText"/>
      </w:pPr>
      <w:r w:rsidRPr="001C53E0">
        <w:rPr>
          <w:rStyle w:val="FootnoteReference"/>
        </w:rPr>
        <w:footnoteRef/>
      </w:r>
      <w:r w:rsidRPr="001C53E0">
        <w:t xml:space="preserve"> Lin, A., Wong, K., Visser, S.K., </w:t>
      </w:r>
      <w:r>
        <w:t>et al</w:t>
      </w:r>
      <w:r w:rsidRPr="001C53E0">
        <w:t>., Diagnosis of cystic fibrosis in adults: Australian Cystic Fibrosis Data Registry data, 2000–2019. Med J Aust, 218: 138-139</w:t>
      </w:r>
      <w:r>
        <w:t xml:space="preserve"> </w:t>
      </w:r>
      <w:r w:rsidRPr="001C53E0">
        <w:t>(2023). https://doi.org/10.5694/mja2.51797</w:t>
      </w:r>
    </w:p>
  </w:footnote>
  <w:footnote w:id="8">
    <w:p w14:paraId="12ADCDED" w14:textId="77777777" w:rsidR="005C4C8A" w:rsidRPr="00D54544" w:rsidRDefault="005C4C8A" w:rsidP="005C4C8A">
      <w:pPr>
        <w:pStyle w:val="FootnoteText"/>
      </w:pPr>
      <w:r w:rsidRPr="001C53E0">
        <w:rPr>
          <w:rStyle w:val="FootnoteReference"/>
        </w:rPr>
        <w:footnoteRef/>
      </w:r>
      <w:r w:rsidRPr="001C53E0">
        <w:t xml:space="preserve"> Ruseckaite, R., Salimi, F., Earnest, A. et al. Survival of people with cystic fibrosis in Australia. Sci Rep 12, 19748</w:t>
      </w:r>
      <w:r w:rsidRPr="00BB0194">
        <w:t xml:space="preserve"> (2022</w:t>
      </w:r>
      <w:r w:rsidRPr="00D54544">
        <w:t>). https://doi.org/10.1038/s41598-022-24374-4</w:t>
      </w:r>
    </w:p>
  </w:footnote>
  <w:footnote w:id="9">
    <w:p w14:paraId="30C1A9AE" w14:textId="77777777" w:rsidR="005C4C8A" w:rsidRPr="00D54544" w:rsidRDefault="005C4C8A" w:rsidP="005C4C8A">
      <w:pPr>
        <w:pStyle w:val="FootnoteText"/>
      </w:pPr>
      <w:r w:rsidRPr="00D54544">
        <w:rPr>
          <w:rStyle w:val="FootnoteReference"/>
        </w:rPr>
        <w:footnoteRef/>
      </w:r>
      <w:r w:rsidRPr="00D54544">
        <w:t xml:space="preserve"> https://www.cysticfibrosis.org.au/cf-data-registry/</w:t>
      </w:r>
    </w:p>
  </w:footnote>
  <w:footnote w:id="10">
    <w:p w14:paraId="109754FA" w14:textId="77777777" w:rsidR="005C4C8A" w:rsidRPr="00D54544" w:rsidRDefault="005C4C8A" w:rsidP="005C4C8A">
      <w:pPr>
        <w:pStyle w:val="FootnoteText"/>
      </w:pPr>
      <w:r w:rsidRPr="00D54544">
        <w:rPr>
          <w:rStyle w:val="FootnoteReference"/>
        </w:rPr>
        <w:footnoteRef/>
      </w:r>
      <w:r w:rsidRPr="00D54544">
        <w:t xml:space="preserve"> Chouchana,</w:t>
      </w:r>
      <w:r>
        <w:t xml:space="preserve"> L.,</w:t>
      </w:r>
      <w:r w:rsidRPr="00D54544">
        <w:t xml:space="preserve"> Collier,</w:t>
      </w:r>
      <w:r>
        <w:t xml:space="preserve"> M.,</w:t>
      </w:r>
      <w:r w:rsidRPr="00D54544">
        <w:t xml:space="preserve"> Martin,</w:t>
      </w:r>
      <w:r>
        <w:t xml:space="preserve"> C. el al.</w:t>
      </w:r>
      <w:r w:rsidRPr="00D54544">
        <w:t xml:space="preserve"> CFTR modulators and pregnancy outcomes: Early findings from a nationwide cohort study,</w:t>
      </w:r>
      <w:r>
        <w:t xml:space="preserve"> </w:t>
      </w:r>
      <w:r w:rsidRPr="00D54544">
        <w:t>Journal of Cystic Fibrosis,</w:t>
      </w:r>
      <w:r>
        <w:t xml:space="preserve"> </w:t>
      </w:r>
      <w:r w:rsidRPr="00D54544">
        <w:t>Volume 24, Issue 3,</w:t>
      </w:r>
      <w:r>
        <w:t xml:space="preserve"> </w:t>
      </w:r>
      <w:r w:rsidRPr="00D54544">
        <w:t>2025,</w:t>
      </w:r>
      <w:r>
        <w:t xml:space="preserve"> </w:t>
      </w:r>
      <w:r w:rsidRPr="00D54544">
        <w:t>Pages 469-475,</w:t>
      </w:r>
      <w:r>
        <w:t xml:space="preserve"> </w:t>
      </w:r>
      <w:r w:rsidRPr="00D54544">
        <w:t>ISSN 1569-1993,</w:t>
      </w:r>
      <w:r>
        <w:t xml:space="preserve"> </w:t>
      </w:r>
      <w:r w:rsidRPr="00D54544">
        <w:t>https://doi.org/10.1016/j.jcf.2025.03.002.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A060" w14:textId="3A614BF0" w:rsidR="00FA1AB2" w:rsidRDefault="00FA1AB2">
    <w:pPr>
      <w:pStyle w:val="Header"/>
    </w:pPr>
    <w:r>
      <w:rPr>
        <w:noProof/>
      </w:rPr>
      <mc:AlternateContent>
        <mc:Choice Requires="wps">
          <w:drawing>
            <wp:anchor distT="0" distB="0" distL="0" distR="0" simplePos="0" relativeHeight="251659264" behindDoc="0" locked="0" layoutInCell="1" allowOverlap="1" wp14:anchorId="41AB0191" wp14:editId="23756886">
              <wp:simplePos x="635" y="635"/>
              <wp:positionH relativeFrom="page">
                <wp:align>center</wp:align>
              </wp:positionH>
              <wp:positionV relativeFrom="page">
                <wp:align>top</wp:align>
              </wp:positionV>
              <wp:extent cx="622300" cy="376555"/>
              <wp:effectExtent l="0" t="0" r="6350" b="4445"/>
              <wp:wrapNone/>
              <wp:docPr id="2217067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468C9A" w14:textId="3D8CD732"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AB0191"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50468C9A" w14:textId="3D8CD732"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7B84" w14:textId="0ACB2B48" w:rsidR="00FB77FA" w:rsidRDefault="00FA1AB2" w:rsidP="00FB77FA">
    <w:pPr>
      <w:pStyle w:val="Header"/>
    </w:pPr>
    <w:r>
      <w:rPr>
        <w:noProof/>
      </w:rPr>
      <mc:AlternateContent>
        <mc:Choice Requires="wps">
          <w:drawing>
            <wp:anchor distT="0" distB="0" distL="0" distR="0" simplePos="0" relativeHeight="251660288" behindDoc="0" locked="0" layoutInCell="1" allowOverlap="1" wp14:anchorId="29BF2CEC" wp14:editId="493FB457">
              <wp:simplePos x="1005840" y="449580"/>
              <wp:positionH relativeFrom="page">
                <wp:align>center</wp:align>
              </wp:positionH>
              <wp:positionV relativeFrom="page">
                <wp:align>top</wp:align>
              </wp:positionV>
              <wp:extent cx="622300" cy="376555"/>
              <wp:effectExtent l="0" t="0" r="6350" b="4445"/>
              <wp:wrapNone/>
              <wp:docPr id="1482789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EE4A3E" w14:textId="0DA323F6"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BF2CEC"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1EE4A3E" w14:textId="0DA323F6"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v:textbox>
              <w10:wrap anchorx="page" anchory="page"/>
            </v:shape>
          </w:pict>
        </mc:Fallback>
      </mc:AlternateContent>
    </w:r>
  </w:p>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793C" w14:textId="045E6B6C" w:rsidR="00FA1AB2" w:rsidRDefault="00FA1AB2">
    <w:pPr>
      <w:pStyle w:val="Header"/>
    </w:pPr>
    <w:r>
      <w:rPr>
        <w:noProof/>
      </w:rPr>
      <mc:AlternateContent>
        <mc:Choice Requires="wps">
          <w:drawing>
            <wp:anchor distT="0" distB="0" distL="0" distR="0" simplePos="0" relativeHeight="251658240" behindDoc="0" locked="0" layoutInCell="1" allowOverlap="1" wp14:anchorId="354BAFBA" wp14:editId="7F820F02">
              <wp:simplePos x="635" y="635"/>
              <wp:positionH relativeFrom="page">
                <wp:align>center</wp:align>
              </wp:positionH>
              <wp:positionV relativeFrom="page">
                <wp:align>top</wp:align>
              </wp:positionV>
              <wp:extent cx="622300" cy="376555"/>
              <wp:effectExtent l="0" t="0" r="6350" b="4445"/>
              <wp:wrapNone/>
              <wp:docPr id="113717820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75037E" w14:textId="0913C5BA"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4BAFBA"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975037E" w14:textId="0913C5BA" w:rsidR="00FA1AB2" w:rsidRPr="00FA1AB2" w:rsidRDefault="00FA1AB2" w:rsidP="00FA1AB2">
                    <w:pPr>
                      <w:spacing w:after="0"/>
                      <w:rPr>
                        <w:rFonts w:ascii="Aptos" w:eastAsia="Aptos" w:hAnsi="Aptos" w:cs="Aptos"/>
                        <w:noProof/>
                        <w:color w:val="FF0000"/>
                      </w:rPr>
                    </w:pPr>
                    <w:r w:rsidRPr="00FA1AB2">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71DEE"/>
    <w:multiLevelType w:val="hybridMultilevel"/>
    <w:tmpl w:val="F14A6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C0F5795"/>
    <w:multiLevelType w:val="hybridMultilevel"/>
    <w:tmpl w:val="5A90A4E0"/>
    <w:lvl w:ilvl="0" w:tplc="38A6A17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2A4583"/>
    <w:multiLevelType w:val="hybridMultilevel"/>
    <w:tmpl w:val="278A42DA"/>
    <w:lvl w:ilvl="0" w:tplc="38A6A17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9442C0"/>
    <w:multiLevelType w:val="hybridMultilevel"/>
    <w:tmpl w:val="F84C0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3632EE"/>
    <w:multiLevelType w:val="hybridMultilevel"/>
    <w:tmpl w:val="01C0788E"/>
    <w:lvl w:ilvl="0" w:tplc="38A6A17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4B70690"/>
    <w:multiLevelType w:val="hybridMultilevel"/>
    <w:tmpl w:val="D7929B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84D033C"/>
    <w:multiLevelType w:val="multilevel"/>
    <w:tmpl w:val="3EB4DA1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97675183">
    <w:abstractNumId w:val="8"/>
  </w:num>
  <w:num w:numId="2" w16cid:durableId="147479118">
    <w:abstractNumId w:val="6"/>
  </w:num>
  <w:num w:numId="3" w16cid:durableId="1618369313">
    <w:abstractNumId w:val="1"/>
  </w:num>
  <w:num w:numId="4" w16cid:durableId="1039280524">
    <w:abstractNumId w:val="0"/>
  </w:num>
  <w:num w:numId="5" w16cid:durableId="1807432935">
    <w:abstractNumId w:val="3"/>
  </w:num>
  <w:num w:numId="6" w16cid:durableId="452939248">
    <w:abstractNumId w:val="2"/>
  </w:num>
  <w:num w:numId="7" w16cid:durableId="581455108">
    <w:abstractNumId w:val="5"/>
  </w:num>
  <w:num w:numId="8" w16cid:durableId="839000514">
    <w:abstractNumId w:val="4"/>
  </w:num>
  <w:num w:numId="9" w16cid:durableId="269892976">
    <w:abstractNumId w:val="9"/>
  </w:num>
  <w:num w:numId="10" w16cid:durableId="6729940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4871"/>
    <w:rsid w:val="00006255"/>
    <w:rsid w:val="00007E85"/>
    <w:rsid w:val="00011E67"/>
    <w:rsid w:val="00013465"/>
    <w:rsid w:val="000164D8"/>
    <w:rsid w:val="00016DD3"/>
    <w:rsid w:val="000206B1"/>
    <w:rsid w:val="000226B3"/>
    <w:rsid w:val="00024549"/>
    <w:rsid w:val="0003042F"/>
    <w:rsid w:val="0004064C"/>
    <w:rsid w:val="00041550"/>
    <w:rsid w:val="00042585"/>
    <w:rsid w:val="0004778D"/>
    <w:rsid w:val="00050116"/>
    <w:rsid w:val="00050A5B"/>
    <w:rsid w:val="00052932"/>
    <w:rsid w:val="000544B6"/>
    <w:rsid w:val="000554C4"/>
    <w:rsid w:val="000604AF"/>
    <w:rsid w:val="00062EA0"/>
    <w:rsid w:val="00063D1E"/>
    <w:rsid w:val="00065209"/>
    <w:rsid w:val="000704CF"/>
    <w:rsid w:val="0007051E"/>
    <w:rsid w:val="000763A5"/>
    <w:rsid w:val="00086C11"/>
    <w:rsid w:val="0009414A"/>
    <w:rsid w:val="00094272"/>
    <w:rsid w:val="00094DCF"/>
    <w:rsid w:val="00097D30"/>
    <w:rsid w:val="000A6CFD"/>
    <w:rsid w:val="000A79A4"/>
    <w:rsid w:val="000B03A1"/>
    <w:rsid w:val="000B0982"/>
    <w:rsid w:val="000B1538"/>
    <w:rsid w:val="000B4190"/>
    <w:rsid w:val="000B57DA"/>
    <w:rsid w:val="000B5B11"/>
    <w:rsid w:val="000B6149"/>
    <w:rsid w:val="000B796C"/>
    <w:rsid w:val="000C2DEB"/>
    <w:rsid w:val="000C46BB"/>
    <w:rsid w:val="000C4D9D"/>
    <w:rsid w:val="000C7C4B"/>
    <w:rsid w:val="000C7D8B"/>
    <w:rsid w:val="000D0051"/>
    <w:rsid w:val="000D598A"/>
    <w:rsid w:val="000D7F48"/>
    <w:rsid w:val="000E0087"/>
    <w:rsid w:val="000E485D"/>
    <w:rsid w:val="000E72C6"/>
    <w:rsid w:val="000F008C"/>
    <w:rsid w:val="000F1893"/>
    <w:rsid w:val="000F2F51"/>
    <w:rsid w:val="000F3947"/>
    <w:rsid w:val="000F39CE"/>
    <w:rsid w:val="000F73A9"/>
    <w:rsid w:val="000F746E"/>
    <w:rsid w:val="001010BC"/>
    <w:rsid w:val="001030D3"/>
    <w:rsid w:val="00105021"/>
    <w:rsid w:val="00113079"/>
    <w:rsid w:val="00113CF8"/>
    <w:rsid w:val="00113D74"/>
    <w:rsid w:val="001141A8"/>
    <w:rsid w:val="0011752F"/>
    <w:rsid w:val="00117C5C"/>
    <w:rsid w:val="001310AE"/>
    <w:rsid w:val="00133FFE"/>
    <w:rsid w:val="001418C0"/>
    <w:rsid w:val="001420B3"/>
    <w:rsid w:val="001430ED"/>
    <w:rsid w:val="001460C4"/>
    <w:rsid w:val="001529EB"/>
    <w:rsid w:val="00153529"/>
    <w:rsid w:val="0015691C"/>
    <w:rsid w:val="00162005"/>
    <w:rsid w:val="001621F7"/>
    <w:rsid w:val="001624D7"/>
    <w:rsid w:val="001666FF"/>
    <w:rsid w:val="0017203D"/>
    <w:rsid w:val="001722D9"/>
    <w:rsid w:val="00177B86"/>
    <w:rsid w:val="00177B9A"/>
    <w:rsid w:val="00177E66"/>
    <w:rsid w:val="00181785"/>
    <w:rsid w:val="00182585"/>
    <w:rsid w:val="0019012E"/>
    <w:rsid w:val="00191182"/>
    <w:rsid w:val="0019379E"/>
    <w:rsid w:val="001948E8"/>
    <w:rsid w:val="00196100"/>
    <w:rsid w:val="0019664D"/>
    <w:rsid w:val="001A02F9"/>
    <w:rsid w:val="001A2000"/>
    <w:rsid w:val="001A6103"/>
    <w:rsid w:val="001A7699"/>
    <w:rsid w:val="001B551F"/>
    <w:rsid w:val="001B5D37"/>
    <w:rsid w:val="001C0A5D"/>
    <w:rsid w:val="001C2940"/>
    <w:rsid w:val="001C4016"/>
    <w:rsid w:val="001C548D"/>
    <w:rsid w:val="001C612C"/>
    <w:rsid w:val="001C633F"/>
    <w:rsid w:val="001C6A5D"/>
    <w:rsid w:val="001D3EA3"/>
    <w:rsid w:val="001D6E25"/>
    <w:rsid w:val="001E31A6"/>
    <w:rsid w:val="001E4168"/>
    <w:rsid w:val="001E42C7"/>
    <w:rsid w:val="001E4CAB"/>
    <w:rsid w:val="001F0A4E"/>
    <w:rsid w:val="001F2F3E"/>
    <w:rsid w:val="001F3B29"/>
    <w:rsid w:val="001F4906"/>
    <w:rsid w:val="001F7C4A"/>
    <w:rsid w:val="00204989"/>
    <w:rsid w:val="0020578A"/>
    <w:rsid w:val="00207631"/>
    <w:rsid w:val="00211490"/>
    <w:rsid w:val="00213763"/>
    <w:rsid w:val="00214013"/>
    <w:rsid w:val="00220FC1"/>
    <w:rsid w:val="0022106C"/>
    <w:rsid w:val="00222E9A"/>
    <w:rsid w:val="00227E39"/>
    <w:rsid w:val="0023179D"/>
    <w:rsid w:val="00232E8C"/>
    <w:rsid w:val="00234417"/>
    <w:rsid w:val="00241024"/>
    <w:rsid w:val="00245A1D"/>
    <w:rsid w:val="002514E6"/>
    <w:rsid w:val="00252CDA"/>
    <w:rsid w:val="002535FF"/>
    <w:rsid w:val="0025389D"/>
    <w:rsid w:val="00254E02"/>
    <w:rsid w:val="00257426"/>
    <w:rsid w:val="002602BC"/>
    <w:rsid w:val="0026265F"/>
    <w:rsid w:val="002631BB"/>
    <w:rsid w:val="002634EC"/>
    <w:rsid w:val="0026545F"/>
    <w:rsid w:val="00267E62"/>
    <w:rsid w:val="0028191C"/>
    <w:rsid w:val="00286C3A"/>
    <w:rsid w:val="00287C0A"/>
    <w:rsid w:val="00290AAD"/>
    <w:rsid w:val="00291272"/>
    <w:rsid w:val="002930F5"/>
    <w:rsid w:val="00294FEA"/>
    <w:rsid w:val="002A06B7"/>
    <w:rsid w:val="002A117C"/>
    <w:rsid w:val="002A536B"/>
    <w:rsid w:val="002A770F"/>
    <w:rsid w:val="002B0DF2"/>
    <w:rsid w:val="002B38D2"/>
    <w:rsid w:val="002B3D04"/>
    <w:rsid w:val="002C379C"/>
    <w:rsid w:val="002C6E0C"/>
    <w:rsid w:val="002D0F62"/>
    <w:rsid w:val="002D144A"/>
    <w:rsid w:val="002E19A3"/>
    <w:rsid w:val="002E212B"/>
    <w:rsid w:val="002E2CC6"/>
    <w:rsid w:val="002E3337"/>
    <w:rsid w:val="002E6D03"/>
    <w:rsid w:val="002F04F5"/>
    <w:rsid w:val="002F49A8"/>
    <w:rsid w:val="002F5E66"/>
    <w:rsid w:val="002F61CA"/>
    <w:rsid w:val="0030010D"/>
    <w:rsid w:val="0030043C"/>
    <w:rsid w:val="00303342"/>
    <w:rsid w:val="003044A4"/>
    <w:rsid w:val="00306500"/>
    <w:rsid w:val="00311D2B"/>
    <w:rsid w:val="003232DF"/>
    <w:rsid w:val="003269A1"/>
    <w:rsid w:val="00326C3B"/>
    <w:rsid w:val="00330A28"/>
    <w:rsid w:val="0033123A"/>
    <w:rsid w:val="003313A0"/>
    <w:rsid w:val="0033504C"/>
    <w:rsid w:val="00335D46"/>
    <w:rsid w:val="00336816"/>
    <w:rsid w:val="003370D0"/>
    <w:rsid w:val="00337355"/>
    <w:rsid w:val="003402E4"/>
    <w:rsid w:val="00340F95"/>
    <w:rsid w:val="00343F4A"/>
    <w:rsid w:val="00345BBC"/>
    <w:rsid w:val="003479D1"/>
    <w:rsid w:val="003531ED"/>
    <w:rsid w:val="00353E3A"/>
    <w:rsid w:val="00360ABE"/>
    <w:rsid w:val="00360B9A"/>
    <w:rsid w:val="0036103F"/>
    <w:rsid w:val="00362AE7"/>
    <w:rsid w:val="00362B40"/>
    <w:rsid w:val="00363F15"/>
    <w:rsid w:val="003673B1"/>
    <w:rsid w:val="00385817"/>
    <w:rsid w:val="003864A1"/>
    <w:rsid w:val="0039017F"/>
    <w:rsid w:val="003927BA"/>
    <w:rsid w:val="00393782"/>
    <w:rsid w:val="00394AEE"/>
    <w:rsid w:val="003A60DD"/>
    <w:rsid w:val="003B0065"/>
    <w:rsid w:val="003B0DCA"/>
    <w:rsid w:val="003B3472"/>
    <w:rsid w:val="003C2D98"/>
    <w:rsid w:val="003C4448"/>
    <w:rsid w:val="003C7AC1"/>
    <w:rsid w:val="003D3A96"/>
    <w:rsid w:val="003D3B9C"/>
    <w:rsid w:val="003D45B5"/>
    <w:rsid w:val="003D5C7F"/>
    <w:rsid w:val="003D7D49"/>
    <w:rsid w:val="003E4DD5"/>
    <w:rsid w:val="003F565B"/>
    <w:rsid w:val="00402A8C"/>
    <w:rsid w:val="00404F03"/>
    <w:rsid w:val="00411037"/>
    <w:rsid w:val="00412051"/>
    <w:rsid w:val="00416531"/>
    <w:rsid w:val="00417456"/>
    <w:rsid w:val="00423B94"/>
    <w:rsid w:val="00425928"/>
    <w:rsid w:val="004310F3"/>
    <w:rsid w:val="0043417E"/>
    <w:rsid w:val="00437BA7"/>
    <w:rsid w:val="004438E0"/>
    <w:rsid w:val="004466EE"/>
    <w:rsid w:val="00447789"/>
    <w:rsid w:val="004525C1"/>
    <w:rsid w:val="004540E7"/>
    <w:rsid w:val="00454501"/>
    <w:rsid w:val="00455A0E"/>
    <w:rsid w:val="0045625A"/>
    <w:rsid w:val="00463731"/>
    <w:rsid w:val="0046400A"/>
    <w:rsid w:val="00467B25"/>
    <w:rsid w:val="00467C1C"/>
    <w:rsid w:val="00467CB9"/>
    <w:rsid w:val="0047319A"/>
    <w:rsid w:val="004756CF"/>
    <w:rsid w:val="00477749"/>
    <w:rsid w:val="00481108"/>
    <w:rsid w:val="0048621C"/>
    <w:rsid w:val="004877A1"/>
    <w:rsid w:val="00487B61"/>
    <w:rsid w:val="0049042B"/>
    <w:rsid w:val="00495473"/>
    <w:rsid w:val="004A1935"/>
    <w:rsid w:val="004A458E"/>
    <w:rsid w:val="004B23E7"/>
    <w:rsid w:val="004B29E7"/>
    <w:rsid w:val="004B306F"/>
    <w:rsid w:val="004B4C31"/>
    <w:rsid w:val="004B7D3D"/>
    <w:rsid w:val="004C12C4"/>
    <w:rsid w:val="004C14AB"/>
    <w:rsid w:val="004C3186"/>
    <w:rsid w:val="004C34E2"/>
    <w:rsid w:val="004C5042"/>
    <w:rsid w:val="004D2FD6"/>
    <w:rsid w:val="004D306E"/>
    <w:rsid w:val="004D59C2"/>
    <w:rsid w:val="004D6C0A"/>
    <w:rsid w:val="004E4422"/>
    <w:rsid w:val="004E5B59"/>
    <w:rsid w:val="004F04C8"/>
    <w:rsid w:val="004F3855"/>
    <w:rsid w:val="004F46C1"/>
    <w:rsid w:val="004F4D96"/>
    <w:rsid w:val="00502389"/>
    <w:rsid w:val="00502505"/>
    <w:rsid w:val="00503998"/>
    <w:rsid w:val="00505189"/>
    <w:rsid w:val="0050623B"/>
    <w:rsid w:val="00507DA1"/>
    <w:rsid w:val="00510B6D"/>
    <w:rsid w:val="00511CF4"/>
    <w:rsid w:val="00513F8E"/>
    <w:rsid w:val="0051564A"/>
    <w:rsid w:val="00515B2A"/>
    <w:rsid w:val="00521B3B"/>
    <w:rsid w:val="00523181"/>
    <w:rsid w:val="0052491C"/>
    <w:rsid w:val="00524D13"/>
    <w:rsid w:val="0052674D"/>
    <w:rsid w:val="005339F6"/>
    <w:rsid w:val="00541E9C"/>
    <w:rsid w:val="0054205F"/>
    <w:rsid w:val="005443E7"/>
    <w:rsid w:val="005461AF"/>
    <w:rsid w:val="005541BA"/>
    <w:rsid w:val="00555DF3"/>
    <w:rsid w:val="0055658E"/>
    <w:rsid w:val="00561FEC"/>
    <w:rsid w:val="005641C9"/>
    <w:rsid w:val="0056469B"/>
    <w:rsid w:val="00564DE5"/>
    <w:rsid w:val="00570D43"/>
    <w:rsid w:val="005754BB"/>
    <w:rsid w:val="005769A5"/>
    <w:rsid w:val="00576B18"/>
    <w:rsid w:val="0057775B"/>
    <w:rsid w:val="00581866"/>
    <w:rsid w:val="0058413D"/>
    <w:rsid w:val="00585BD4"/>
    <w:rsid w:val="00587724"/>
    <w:rsid w:val="005907ED"/>
    <w:rsid w:val="00591512"/>
    <w:rsid w:val="005A08BB"/>
    <w:rsid w:val="005A47FF"/>
    <w:rsid w:val="005A5719"/>
    <w:rsid w:val="005B023E"/>
    <w:rsid w:val="005B2D91"/>
    <w:rsid w:val="005B48B4"/>
    <w:rsid w:val="005B6C31"/>
    <w:rsid w:val="005C44E1"/>
    <w:rsid w:val="005C4C8A"/>
    <w:rsid w:val="005C6661"/>
    <w:rsid w:val="005C6E3B"/>
    <w:rsid w:val="005D0841"/>
    <w:rsid w:val="005D474B"/>
    <w:rsid w:val="005E085C"/>
    <w:rsid w:val="005E147D"/>
    <w:rsid w:val="005E1D51"/>
    <w:rsid w:val="005E22C2"/>
    <w:rsid w:val="005E39D9"/>
    <w:rsid w:val="005E57BB"/>
    <w:rsid w:val="005E7FED"/>
    <w:rsid w:val="005F0017"/>
    <w:rsid w:val="005F108F"/>
    <w:rsid w:val="005F2894"/>
    <w:rsid w:val="005F3AF8"/>
    <w:rsid w:val="005F7751"/>
    <w:rsid w:val="006014F1"/>
    <w:rsid w:val="00601846"/>
    <w:rsid w:val="00603E02"/>
    <w:rsid w:val="00605049"/>
    <w:rsid w:val="0061357B"/>
    <w:rsid w:val="00613D63"/>
    <w:rsid w:val="00614A7D"/>
    <w:rsid w:val="00615B29"/>
    <w:rsid w:val="0062188C"/>
    <w:rsid w:val="00621F55"/>
    <w:rsid w:val="006311E4"/>
    <w:rsid w:val="00634661"/>
    <w:rsid w:val="006354CD"/>
    <w:rsid w:val="0063622F"/>
    <w:rsid w:val="0063631C"/>
    <w:rsid w:val="00636D32"/>
    <w:rsid w:val="00637069"/>
    <w:rsid w:val="0063757B"/>
    <w:rsid w:val="006377CE"/>
    <w:rsid w:val="00643062"/>
    <w:rsid w:val="00647878"/>
    <w:rsid w:val="00650D1E"/>
    <w:rsid w:val="006537D9"/>
    <w:rsid w:val="00657AB6"/>
    <w:rsid w:val="006640B3"/>
    <w:rsid w:val="00664A48"/>
    <w:rsid w:val="00665DEF"/>
    <w:rsid w:val="0067010F"/>
    <w:rsid w:val="006714CF"/>
    <w:rsid w:val="00675BB1"/>
    <w:rsid w:val="006775F1"/>
    <w:rsid w:val="006804E0"/>
    <w:rsid w:val="00681845"/>
    <w:rsid w:val="00684B56"/>
    <w:rsid w:val="0068603F"/>
    <w:rsid w:val="006903DF"/>
    <w:rsid w:val="00692AA7"/>
    <w:rsid w:val="00693379"/>
    <w:rsid w:val="006970A6"/>
    <w:rsid w:val="006970B6"/>
    <w:rsid w:val="00697584"/>
    <w:rsid w:val="00697FEC"/>
    <w:rsid w:val="006A175F"/>
    <w:rsid w:val="006A44F5"/>
    <w:rsid w:val="006A79F7"/>
    <w:rsid w:val="006B4537"/>
    <w:rsid w:val="006B497B"/>
    <w:rsid w:val="006B554F"/>
    <w:rsid w:val="006B5F85"/>
    <w:rsid w:val="006B6929"/>
    <w:rsid w:val="006B6D65"/>
    <w:rsid w:val="006B709B"/>
    <w:rsid w:val="006C3905"/>
    <w:rsid w:val="006C54AF"/>
    <w:rsid w:val="006C6234"/>
    <w:rsid w:val="006D07EC"/>
    <w:rsid w:val="006D4C82"/>
    <w:rsid w:val="006E0181"/>
    <w:rsid w:val="006E1756"/>
    <w:rsid w:val="006E53B3"/>
    <w:rsid w:val="006F0DBF"/>
    <w:rsid w:val="006F15C3"/>
    <w:rsid w:val="006F1DA6"/>
    <w:rsid w:val="006F541C"/>
    <w:rsid w:val="006F6A16"/>
    <w:rsid w:val="006F6B5A"/>
    <w:rsid w:val="00700C0E"/>
    <w:rsid w:val="00705DAD"/>
    <w:rsid w:val="007146B1"/>
    <w:rsid w:val="0071639C"/>
    <w:rsid w:val="007175D2"/>
    <w:rsid w:val="00721138"/>
    <w:rsid w:val="007211D3"/>
    <w:rsid w:val="007247B9"/>
    <w:rsid w:val="00727D85"/>
    <w:rsid w:val="00731D23"/>
    <w:rsid w:val="007339FB"/>
    <w:rsid w:val="007346C7"/>
    <w:rsid w:val="00736041"/>
    <w:rsid w:val="007363F8"/>
    <w:rsid w:val="00736CC4"/>
    <w:rsid w:val="00737356"/>
    <w:rsid w:val="007408C7"/>
    <w:rsid w:val="00741B64"/>
    <w:rsid w:val="007424E1"/>
    <w:rsid w:val="007448EA"/>
    <w:rsid w:val="00746533"/>
    <w:rsid w:val="007465DA"/>
    <w:rsid w:val="00752C7F"/>
    <w:rsid w:val="007548C7"/>
    <w:rsid w:val="00754F94"/>
    <w:rsid w:val="00755F04"/>
    <w:rsid w:val="007646D5"/>
    <w:rsid w:val="00764A3F"/>
    <w:rsid w:val="00767E8F"/>
    <w:rsid w:val="007702FF"/>
    <w:rsid w:val="00774CFE"/>
    <w:rsid w:val="00776598"/>
    <w:rsid w:val="00781EE6"/>
    <w:rsid w:val="007902A3"/>
    <w:rsid w:val="00792948"/>
    <w:rsid w:val="00793CDF"/>
    <w:rsid w:val="00794B6B"/>
    <w:rsid w:val="00796E84"/>
    <w:rsid w:val="007A0FE9"/>
    <w:rsid w:val="007A10F9"/>
    <w:rsid w:val="007A3988"/>
    <w:rsid w:val="007A3ADE"/>
    <w:rsid w:val="007A4505"/>
    <w:rsid w:val="007A5100"/>
    <w:rsid w:val="007A5733"/>
    <w:rsid w:val="007A5774"/>
    <w:rsid w:val="007A59D6"/>
    <w:rsid w:val="007C0BA9"/>
    <w:rsid w:val="007C0C0F"/>
    <w:rsid w:val="007C28F6"/>
    <w:rsid w:val="007C6444"/>
    <w:rsid w:val="007D1702"/>
    <w:rsid w:val="007D2058"/>
    <w:rsid w:val="007D4055"/>
    <w:rsid w:val="007E1852"/>
    <w:rsid w:val="007E18A3"/>
    <w:rsid w:val="007E1942"/>
    <w:rsid w:val="007E4A43"/>
    <w:rsid w:val="007F11BD"/>
    <w:rsid w:val="007F1FC5"/>
    <w:rsid w:val="007F6DD2"/>
    <w:rsid w:val="007F7980"/>
    <w:rsid w:val="00801E74"/>
    <w:rsid w:val="0080485E"/>
    <w:rsid w:val="008049EC"/>
    <w:rsid w:val="008056DF"/>
    <w:rsid w:val="008066C9"/>
    <w:rsid w:val="008122D5"/>
    <w:rsid w:val="008142B4"/>
    <w:rsid w:val="00815BF7"/>
    <w:rsid w:val="00817391"/>
    <w:rsid w:val="00817DAA"/>
    <w:rsid w:val="00821728"/>
    <w:rsid w:val="008220F1"/>
    <w:rsid w:val="008259CA"/>
    <w:rsid w:val="00830338"/>
    <w:rsid w:val="00832324"/>
    <w:rsid w:val="00835337"/>
    <w:rsid w:val="00846DCD"/>
    <w:rsid w:val="008515CE"/>
    <w:rsid w:val="00851D85"/>
    <w:rsid w:val="008533E6"/>
    <w:rsid w:val="00854327"/>
    <w:rsid w:val="00860CCB"/>
    <w:rsid w:val="00862609"/>
    <w:rsid w:val="0086432F"/>
    <w:rsid w:val="00872383"/>
    <w:rsid w:val="008739BC"/>
    <w:rsid w:val="008740A3"/>
    <w:rsid w:val="00874D0C"/>
    <w:rsid w:val="00883D39"/>
    <w:rsid w:val="0088651B"/>
    <w:rsid w:val="00890E58"/>
    <w:rsid w:val="008916C0"/>
    <w:rsid w:val="00892101"/>
    <w:rsid w:val="0089297B"/>
    <w:rsid w:val="00894D33"/>
    <w:rsid w:val="0089551C"/>
    <w:rsid w:val="008A25D7"/>
    <w:rsid w:val="008A425F"/>
    <w:rsid w:val="008A4B84"/>
    <w:rsid w:val="008B51C6"/>
    <w:rsid w:val="008C1777"/>
    <w:rsid w:val="008C36CA"/>
    <w:rsid w:val="008D0225"/>
    <w:rsid w:val="008D190F"/>
    <w:rsid w:val="008E200A"/>
    <w:rsid w:val="008E3A3C"/>
    <w:rsid w:val="008E3F8C"/>
    <w:rsid w:val="008E4B98"/>
    <w:rsid w:val="008F1377"/>
    <w:rsid w:val="008F2B1E"/>
    <w:rsid w:val="008F3809"/>
    <w:rsid w:val="00901D97"/>
    <w:rsid w:val="00902FD0"/>
    <w:rsid w:val="009053D3"/>
    <w:rsid w:val="009061C7"/>
    <w:rsid w:val="00906678"/>
    <w:rsid w:val="0090691F"/>
    <w:rsid w:val="00907DF4"/>
    <w:rsid w:val="00914F01"/>
    <w:rsid w:val="0092049C"/>
    <w:rsid w:val="00921120"/>
    <w:rsid w:val="00922AC6"/>
    <w:rsid w:val="0093111F"/>
    <w:rsid w:val="0093129A"/>
    <w:rsid w:val="00935521"/>
    <w:rsid w:val="00935689"/>
    <w:rsid w:val="0094062B"/>
    <w:rsid w:val="0095303B"/>
    <w:rsid w:val="009622C9"/>
    <w:rsid w:val="009663B6"/>
    <w:rsid w:val="009716C2"/>
    <w:rsid w:val="009748FD"/>
    <w:rsid w:val="00974A47"/>
    <w:rsid w:val="0097612D"/>
    <w:rsid w:val="00980286"/>
    <w:rsid w:val="00980CA0"/>
    <w:rsid w:val="00983886"/>
    <w:rsid w:val="00983A62"/>
    <w:rsid w:val="00983BBA"/>
    <w:rsid w:val="009845F3"/>
    <w:rsid w:val="00990DCF"/>
    <w:rsid w:val="00993D5A"/>
    <w:rsid w:val="00997984"/>
    <w:rsid w:val="009A274E"/>
    <w:rsid w:val="009A4CD6"/>
    <w:rsid w:val="009A537C"/>
    <w:rsid w:val="009A65C6"/>
    <w:rsid w:val="009B169F"/>
    <w:rsid w:val="009B5A26"/>
    <w:rsid w:val="009B72D7"/>
    <w:rsid w:val="009C0886"/>
    <w:rsid w:val="009C19EE"/>
    <w:rsid w:val="009C28D0"/>
    <w:rsid w:val="009C29A3"/>
    <w:rsid w:val="009C35F2"/>
    <w:rsid w:val="009C549D"/>
    <w:rsid w:val="009C5562"/>
    <w:rsid w:val="009C591A"/>
    <w:rsid w:val="009C7782"/>
    <w:rsid w:val="009D1BEA"/>
    <w:rsid w:val="009D1ED5"/>
    <w:rsid w:val="009D4C13"/>
    <w:rsid w:val="009D7405"/>
    <w:rsid w:val="009E21A7"/>
    <w:rsid w:val="009E40D8"/>
    <w:rsid w:val="009E4C87"/>
    <w:rsid w:val="009E6450"/>
    <w:rsid w:val="009E68AF"/>
    <w:rsid w:val="009F5442"/>
    <w:rsid w:val="00A033B2"/>
    <w:rsid w:val="00A061CA"/>
    <w:rsid w:val="00A1002B"/>
    <w:rsid w:val="00A103ED"/>
    <w:rsid w:val="00A113DA"/>
    <w:rsid w:val="00A13C60"/>
    <w:rsid w:val="00A15134"/>
    <w:rsid w:val="00A15342"/>
    <w:rsid w:val="00A164AC"/>
    <w:rsid w:val="00A17E55"/>
    <w:rsid w:val="00A20122"/>
    <w:rsid w:val="00A229E3"/>
    <w:rsid w:val="00A23CAE"/>
    <w:rsid w:val="00A24151"/>
    <w:rsid w:val="00A2494D"/>
    <w:rsid w:val="00A341A3"/>
    <w:rsid w:val="00A35800"/>
    <w:rsid w:val="00A37BE8"/>
    <w:rsid w:val="00A4189F"/>
    <w:rsid w:val="00A4211B"/>
    <w:rsid w:val="00A42CCB"/>
    <w:rsid w:val="00A47172"/>
    <w:rsid w:val="00A52918"/>
    <w:rsid w:val="00A547B3"/>
    <w:rsid w:val="00A55028"/>
    <w:rsid w:val="00A55E81"/>
    <w:rsid w:val="00A62CA4"/>
    <w:rsid w:val="00A666C9"/>
    <w:rsid w:val="00A67D33"/>
    <w:rsid w:val="00A70D26"/>
    <w:rsid w:val="00A70E82"/>
    <w:rsid w:val="00A73210"/>
    <w:rsid w:val="00A76CD0"/>
    <w:rsid w:val="00A84983"/>
    <w:rsid w:val="00A84CAD"/>
    <w:rsid w:val="00A84DAD"/>
    <w:rsid w:val="00A90E50"/>
    <w:rsid w:val="00A9217B"/>
    <w:rsid w:val="00A95E1E"/>
    <w:rsid w:val="00A95FA5"/>
    <w:rsid w:val="00A96D92"/>
    <w:rsid w:val="00AA1FD0"/>
    <w:rsid w:val="00AA2690"/>
    <w:rsid w:val="00AA7AD1"/>
    <w:rsid w:val="00AA7C14"/>
    <w:rsid w:val="00AB0AF2"/>
    <w:rsid w:val="00AB199C"/>
    <w:rsid w:val="00AB255B"/>
    <w:rsid w:val="00AB2B41"/>
    <w:rsid w:val="00AB3733"/>
    <w:rsid w:val="00AB588C"/>
    <w:rsid w:val="00AB7897"/>
    <w:rsid w:val="00AC0CEC"/>
    <w:rsid w:val="00AC40F2"/>
    <w:rsid w:val="00AC5054"/>
    <w:rsid w:val="00AC5716"/>
    <w:rsid w:val="00AC7F59"/>
    <w:rsid w:val="00AD0E69"/>
    <w:rsid w:val="00AD163C"/>
    <w:rsid w:val="00AD2FBE"/>
    <w:rsid w:val="00AD66E0"/>
    <w:rsid w:val="00AE48F0"/>
    <w:rsid w:val="00AE4BAC"/>
    <w:rsid w:val="00AE5A6D"/>
    <w:rsid w:val="00AE66D5"/>
    <w:rsid w:val="00AF059F"/>
    <w:rsid w:val="00AF060E"/>
    <w:rsid w:val="00AF185F"/>
    <w:rsid w:val="00AF394A"/>
    <w:rsid w:val="00B00779"/>
    <w:rsid w:val="00B034FC"/>
    <w:rsid w:val="00B05310"/>
    <w:rsid w:val="00B067FB"/>
    <w:rsid w:val="00B102F5"/>
    <w:rsid w:val="00B10684"/>
    <w:rsid w:val="00B10A0B"/>
    <w:rsid w:val="00B12E8F"/>
    <w:rsid w:val="00B30D85"/>
    <w:rsid w:val="00B32AB5"/>
    <w:rsid w:val="00B33A5F"/>
    <w:rsid w:val="00B33ADF"/>
    <w:rsid w:val="00B33E87"/>
    <w:rsid w:val="00B33EBC"/>
    <w:rsid w:val="00B35A4A"/>
    <w:rsid w:val="00B368A5"/>
    <w:rsid w:val="00B410D4"/>
    <w:rsid w:val="00B43B7B"/>
    <w:rsid w:val="00B453CF"/>
    <w:rsid w:val="00B505C4"/>
    <w:rsid w:val="00B52174"/>
    <w:rsid w:val="00B52C81"/>
    <w:rsid w:val="00B52EFC"/>
    <w:rsid w:val="00B53F0E"/>
    <w:rsid w:val="00B5782F"/>
    <w:rsid w:val="00B57C9A"/>
    <w:rsid w:val="00B63FD7"/>
    <w:rsid w:val="00B71108"/>
    <w:rsid w:val="00B75036"/>
    <w:rsid w:val="00B816D9"/>
    <w:rsid w:val="00B817D7"/>
    <w:rsid w:val="00B81971"/>
    <w:rsid w:val="00B81F47"/>
    <w:rsid w:val="00B9120F"/>
    <w:rsid w:val="00B91EE3"/>
    <w:rsid w:val="00B92125"/>
    <w:rsid w:val="00B9216C"/>
    <w:rsid w:val="00B924A4"/>
    <w:rsid w:val="00B92D69"/>
    <w:rsid w:val="00B93757"/>
    <w:rsid w:val="00BA0599"/>
    <w:rsid w:val="00BA0B62"/>
    <w:rsid w:val="00BA1D1E"/>
    <w:rsid w:val="00BA3875"/>
    <w:rsid w:val="00BA43C8"/>
    <w:rsid w:val="00BA6D33"/>
    <w:rsid w:val="00BB0D1A"/>
    <w:rsid w:val="00BB1D3B"/>
    <w:rsid w:val="00BB5B0D"/>
    <w:rsid w:val="00BB5E36"/>
    <w:rsid w:val="00BB7291"/>
    <w:rsid w:val="00BC0FFA"/>
    <w:rsid w:val="00BC2AA9"/>
    <w:rsid w:val="00BC35ED"/>
    <w:rsid w:val="00BC44E4"/>
    <w:rsid w:val="00BC570B"/>
    <w:rsid w:val="00BC6D9F"/>
    <w:rsid w:val="00BD20DE"/>
    <w:rsid w:val="00BD5C51"/>
    <w:rsid w:val="00BD6BC6"/>
    <w:rsid w:val="00BE0586"/>
    <w:rsid w:val="00BE205A"/>
    <w:rsid w:val="00BE3802"/>
    <w:rsid w:val="00BE68F0"/>
    <w:rsid w:val="00BE7069"/>
    <w:rsid w:val="00BF238E"/>
    <w:rsid w:val="00BF2F4A"/>
    <w:rsid w:val="00BF544D"/>
    <w:rsid w:val="00C0076F"/>
    <w:rsid w:val="00C0301C"/>
    <w:rsid w:val="00C034E4"/>
    <w:rsid w:val="00C050B6"/>
    <w:rsid w:val="00C10F12"/>
    <w:rsid w:val="00C1122B"/>
    <w:rsid w:val="00C13EE2"/>
    <w:rsid w:val="00C17C50"/>
    <w:rsid w:val="00C23356"/>
    <w:rsid w:val="00C23A34"/>
    <w:rsid w:val="00C245EA"/>
    <w:rsid w:val="00C256F6"/>
    <w:rsid w:val="00C3097E"/>
    <w:rsid w:val="00C309BC"/>
    <w:rsid w:val="00C31AD7"/>
    <w:rsid w:val="00C31D1D"/>
    <w:rsid w:val="00C31FE3"/>
    <w:rsid w:val="00C35ECC"/>
    <w:rsid w:val="00C361A8"/>
    <w:rsid w:val="00C41246"/>
    <w:rsid w:val="00C41B06"/>
    <w:rsid w:val="00C43F79"/>
    <w:rsid w:val="00C44018"/>
    <w:rsid w:val="00C45E5F"/>
    <w:rsid w:val="00C46291"/>
    <w:rsid w:val="00C53842"/>
    <w:rsid w:val="00C54D03"/>
    <w:rsid w:val="00C6288E"/>
    <w:rsid w:val="00C63412"/>
    <w:rsid w:val="00C643C3"/>
    <w:rsid w:val="00C6729E"/>
    <w:rsid w:val="00C714D0"/>
    <w:rsid w:val="00C851BE"/>
    <w:rsid w:val="00C85222"/>
    <w:rsid w:val="00C90EF4"/>
    <w:rsid w:val="00C91F87"/>
    <w:rsid w:val="00C94FF6"/>
    <w:rsid w:val="00C97AC3"/>
    <w:rsid w:val="00CA015A"/>
    <w:rsid w:val="00CA19EE"/>
    <w:rsid w:val="00CA3AB7"/>
    <w:rsid w:val="00CB0768"/>
    <w:rsid w:val="00CB5C78"/>
    <w:rsid w:val="00CC1AA3"/>
    <w:rsid w:val="00CC4DD8"/>
    <w:rsid w:val="00CC7762"/>
    <w:rsid w:val="00CD126E"/>
    <w:rsid w:val="00CD1A80"/>
    <w:rsid w:val="00CD346C"/>
    <w:rsid w:val="00CD3598"/>
    <w:rsid w:val="00CD4486"/>
    <w:rsid w:val="00CD621F"/>
    <w:rsid w:val="00CD744C"/>
    <w:rsid w:val="00CD75CF"/>
    <w:rsid w:val="00CD7BB0"/>
    <w:rsid w:val="00CE1947"/>
    <w:rsid w:val="00CE2676"/>
    <w:rsid w:val="00CE27C5"/>
    <w:rsid w:val="00CE2968"/>
    <w:rsid w:val="00CE5975"/>
    <w:rsid w:val="00CF2EAF"/>
    <w:rsid w:val="00CF3782"/>
    <w:rsid w:val="00CF45A2"/>
    <w:rsid w:val="00CF5E22"/>
    <w:rsid w:val="00D026CF"/>
    <w:rsid w:val="00D03AFD"/>
    <w:rsid w:val="00D068CE"/>
    <w:rsid w:val="00D06A44"/>
    <w:rsid w:val="00D10CAE"/>
    <w:rsid w:val="00D151EB"/>
    <w:rsid w:val="00D24F54"/>
    <w:rsid w:val="00D27DA0"/>
    <w:rsid w:val="00D300E0"/>
    <w:rsid w:val="00D34EFA"/>
    <w:rsid w:val="00D366AC"/>
    <w:rsid w:val="00D374CD"/>
    <w:rsid w:val="00D413A5"/>
    <w:rsid w:val="00D439DF"/>
    <w:rsid w:val="00D474F9"/>
    <w:rsid w:val="00D52D0C"/>
    <w:rsid w:val="00D5565A"/>
    <w:rsid w:val="00D57DEF"/>
    <w:rsid w:val="00D64325"/>
    <w:rsid w:val="00D650CE"/>
    <w:rsid w:val="00D71719"/>
    <w:rsid w:val="00D776DA"/>
    <w:rsid w:val="00D8303E"/>
    <w:rsid w:val="00D8758B"/>
    <w:rsid w:val="00D87F3E"/>
    <w:rsid w:val="00D91B3D"/>
    <w:rsid w:val="00D942B3"/>
    <w:rsid w:val="00D94863"/>
    <w:rsid w:val="00D94D37"/>
    <w:rsid w:val="00DA0503"/>
    <w:rsid w:val="00DA0BA5"/>
    <w:rsid w:val="00DA5E27"/>
    <w:rsid w:val="00DA7D09"/>
    <w:rsid w:val="00DB1EC8"/>
    <w:rsid w:val="00DB331F"/>
    <w:rsid w:val="00DC169E"/>
    <w:rsid w:val="00DC2630"/>
    <w:rsid w:val="00DC2AFE"/>
    <w:rsid w:val="00DC31C4"/>
    <w:rsid w:val="00DC49E9"/>
    <w:rsid w:val="00DC55E4"/>
    <w:rsid w:val="00DC654B"/>
    <w:rsid w:val="00DC7D71"/>
    <w:rsid w:val="00DD188C"/>
    <w:rsid w:val="00DD20AF"/>
    <w:rsid w:val="00DD29A3"/>
    <w:rsid w:val="00DD48EE"/>
    <w:rsid w:val="00DE0B96"/>
    <w:rsid w:val="00DE10B9"/>
    <w:rsid w:val="00DE574B"/>
    <w:rsid w:val="00DE60C9"/>
    <w:rsid w:val="00DF0B13"/>
    <w:rsid w:val="00DF0C70"/>
    <w:rsid w:val="00DF2EB8"/>
    <w:rsid w:val="00DF4364"/>
    <w:rsid w:val="00DF4A94"/>
    <w:rsid w:val="00DF5B24"/>
    <w:rsid w:val="00DF6003"/>
    <w:rsid w:val="00DF7478"/>
    <w:rsid w:val="00E00095"/>
    <w:rsid w:val="00E0577D"/>
    <w:rsid w:val="00E066C3"/>
    <w:rsid w:val="00E06E03"/>
    <w:rsid w:val="00E10D8C"/>
    <w:rsid w:val="00E12AAD"/>
    <w:rsid w:val="00E1353A"/>
    <w:rsid w:val="00E1564B"/>
    <w:rsid w:val="00E17526"/>
    <w:rsid w:val="00E208A0"/>
    <w:rsid w:val="00E23408"/>
    <w:rsid w:val="00E25722"/>
    <w:rsid w:val="00E25B49"/>
    <w:rsid w:val="00E371EA"/>
    <w:rsid w:val="00E441D0"/>
    <w:rsid w:val="00E44DF3"/>
    <w:rsid w:val="00E457FC"/>
    <w:rsid w:val="00E503C7"/>
    <w:rsid w:val="00E529FC"/>
    <w:rsid w:val="00E53782"/>
    <w:rsid w:val="00E56E96"/>
    <w:rsid w:val="00E64429"/>
    <w:rsid w:val="00E651ED"/>
    <w:rsid w:val="00E6654D"/>
    <w:rsid w:val="00E6736A"/>
    <w:rsid w:val="00E677DD"/>
    <w:rsid w:val="00E708AE"/>
    <w:rsid w:val="00E74610"/>
    <w:rsid w:val="00E7594B"/>
    <w:rsid w:val="00E766AB"/>
    <w:rsid w:val="00E83356"/>
    <w:rsid w:val="00E84427"/>
    <w:rsid w:val="00E85961"/>
    <w:rsid w:val="00E876BB"/>
    <w:rsid w:val="00E90FD7"/>
    <w:rsid w:val="00EA18ED"/>
    <w:rsid w:val="00EB1DD2"/>
    <w:rsid w:val="00EB4688"/>
    <w:rsid w:val="00EB55BE"/>
    <w:rsid w:val="00EB6C07"/>
    <w:rsid w:val="00EC028D"/>
    <w:rsid w:val="00EC3804"/>
    <w:rsid w:val="00EC498E"/>
    <w:rsid w:val="00EC552F"/>
    <w:rsid w:val="00ED1719"/>
    <w:rsid w:val="00ED633B"/>
    <w:rsid w:val="00ED64F4"/>
    <w:rsid w:val="00ED757F"/>
    <w:rsid w:val="00EE00D3"/>
    <w:rsid w:val="00EE2BBB"/>
    <w:rsid w:val="00EE478C"/>
    <w:rsid w:val="00EE6D5C"/>
    <w:rsid w:val="00EF099E"/>
    <w:rsid w:val="00F024EC"/>
    <w:rsid w:val="00F037AF"/>
    <w:rsid w:val="00F04E7F"/>
    <w:rsid w:val="00F0660A"/>
    <w:rsid w:val="00F103E4"/>
    <w:rsid w:val="00F1132C"/>
    <w:rsid w:val="00F13246"/>
    <w:rsid w:val="00F15DD5"/>
    <w:rsid w:val="00F163CD"/>
    <w:rsid w:val="00F17D4B"/>
    <w:rsid w:val="00F20EBF"/>
    <w:rsid w:val="00F23139"/>
    <w:rsid w:val="00F25CB8"/>
    <w:rsid w:val="00F27B35"/>
    <w:rsid w:val="00F31A44"/>
    <w:rsid w:val="00F33B63"/>
    <w:rsid w:val="00F3650B"/>
    <w:rsid w:val="00F422DC"/>
    <w:rsid w:val="00F4268A"/>
    <w:rsid w:val="00F42A58"/>
    <w:rsid w:val="00F448A2"/>
    <w:rsid w:val="00F51898"/>
    <w:rsid w:val="00F52C14"/>
    <w:rsid w:val="00F53E0C"/>
    <w:rsid w:val="00F54707"/>
    <w:rsid w:val="00F66CD5"/>
    <w:rsid w:val="00F67A9A"/>
    <w:rsid w:val="00F67CA8"/>
    <w:rsid w:val="00F70F4E"/>
    <w:rsid w:val="00F7252A"/>
    <w:rsid w:val="00F73113"/>
    <w:rsid w:val="00F74412"/>
    <w:rsid w:val="00F75FC4"/>
    <w:rsid w:val="00F77797"/>
    <w:rsid w:val="00F80E2B"/>
    <w:rsid w:val="00F8416E"/>
    <w:rsid w:val="00F85981"/>
    <w:rsid w:val="00F87263"/>
    <w:rsid w:val="00F907CB"/>
    <w:rsid w:val="00F90889"/>
    <w:rsid w:val="00F93725"/>
    <w:rsid w:val="00FA0B4A"/>
    <w:rsid w:val="00FA1AB2"/>
    <w:rsid w:val="00FA4890"/>
    <w:rsid w:val="00FB124F"/>
    <w:rsid w:val="00FB12B6"/>
    <w:rsid w:val="00FB5938"/>
    <w:rsid w:val="00FB77FA"/>
    <w:rsid w:val="00FC2C40"/>
    <w:rsid w:val="00FC3C70"/>
    <w:rsid w:val="00FC4A73"/>
    <w:rsid w:val="00FC4C72"/>
    <w:rsid w:val="00FC559C"/>
    <w:rsid w:val="00FC5CDA"/>
    <w:rsid w:val="00FC7F0D"/>
    <w:rsid w:val="00FD14F1"/>
    <w:rsid w:val="00FD5C80"/>
    <w:rsid w:val="00FE4AD3"/>
    <w:rsid w:val="00FE4F1B"/>
    <w:rsid w:val="00FE645A"/>
    <w:rsid w:val="00FF0F04"/>
    <w:rsid w:val="00FF6102"/>
    <w:rsid w:val="00FF790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BA1D1E"/>
    <w:pPr>
      <w:spacing w:after="0" w:line="240" w:lineRule="auto"/>
    </w:pPr>
    <w:rPr>
      <w:sz w:val="24"/>
      <w:szCs w:val="24"/>
    </w:rPr>
  </w:style>
  <w:style w:type="character" w:styleId="UnresolvedMention">
    <w:name w:val="Unresolved Mention"/>
    <w:basedOn w:val="DefaultParagraphFont"/>
    <w:uiPriority w:val="99"/>
    <w:semiHidden/>
    <w:unhideWhenUsed/>
    <w:rsid w:val="00F422DC"/>
    <w:rPr>
      <w:color w:val="605E5C"/>
      <w:shd w:val="clear" w:color="auto" w:fill="E1DFDD"/>
    </w:rPr>
  </w:style>
  <w:style w:type="paragraph" w:styleId="Caption">
    <w:name w:val="caption"/>
    <w:basedOn w:val="Normal"/>
    <w:next w:val="Normal"/>
    <w:uiPriority w:val="35"/>
    <w:unhideWhenUsed/>
    <w:qFormat/>
    <w:rsid w:val="00B52EFC"/>
    <w:rPr>
      <w:i/>
      <w:iCs/>
      <w:color w:val="1F497D" w:themeColor="text2"/>
      <w:sz w:val="18"/>
      <w:szCs w:val="18"/>
    </w:rPr>
  </w:style>
  <w:style w:type="paragraph" w:customStyle="1" w:styleId="2-SectionHeading">
    <w:name w:val="2-Section Heading"/>
    <w:qFormat/>
    <w:rsid w:val="00050A5B"/>
    <w:pPr>
      <w:keepNext/>
      <w:numPr>
        <w:numId w:val="9"/>
      </w:numPr>
      <w:spacing w:before="240" w:after="120" w:line="240" w:lineRule="auto"/>
      <w:outlineLvl w:val="0"/>
    </w:pPr>
    <w:rPr>
      <w:rFonts w:eastAsia="Times New Roman" w:cs="Arial"/>
      <w:b/>
      <w:snapToGrid w:val="0"/>
      <w:sz w:val="32"/>
      <w:szCs w:val="32"/>
    </w:rPr>
  </w:style>
  <w:style w:type="paragraph" w:customStyle="1" w:styleId="3-BodyText">
    <w:name w:val="3-Body Text"/>
    <w:basedOn w:val="ListParagraph"/>
    <w:link w:val="3-BodyTextChar"/>
    <w:qFormat/>
    <w:rsid w:val="00050A5B"/>
    <w:pPr>
      <w:numPr>
        <w:ilvl w:val="1"/>
        <w:numId w:val="9"/>
      </w:numPr>
      <w:spacing w:after="120"/>
      <w:contextualSpacing w:val="0"/>
      <w:jc w:val="both"/>
    </w:pPr>
    <w:rPr>
      <w:rFonts w:eastAsia="Times New Roman" w:cs="Arial"/>
      <w:snapToGrid w:val="0"/>
    </w:rPr>
  </w:style>
  <w:style w:type="character" w:customStyle="1" w:styleId="3-BodyTextChar">
    <w:name w:val="3-Body Text Char"/>
    <w:basedOn w:val="DefaultParagraphFont"/>
    <w:link w:val="3-BodyText"/>
    <w:rsid w:val="00050A5B"/>
    <w:rPr>
      <w:rFonts w:eastAsia="Times New Roman" w:cs="Arial"/>
      <w:snapToGrid w:val="0"/>
      <w:sz w:val="24"/>
      <w:szCs w:val="24"/>
    </w:rPr>
  </w:style>
  <w:style w:type="table" w:customStyle="1" w:styleId="LashStyleTable1">
    <w:name w:val="Lash Style Table1"/>
    <w:basedOn w:val="TableNormal"/>
    <w:next w:val="TableGrid"/>
    <w:uiPriority w:val="39"/>
    <w:rsid w:val="00C1122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764">
      <w:bodyDiv w:val="1"/>
      <w:marLeft w:val="0"/>
      <w:marRight w:val="0"/>
      <w:marTop w:val="0"/>
      <w:marBottom w:val="0"/>
      <w:divBdr>
        <w:top w:val="none" w:sz="0" w:space="0" w:color="auto"/>
        <w:left w:val="none" w:sz="0" w:space="0" w:color="auto"/>
        <w:bottom w:val="none" w:sz="0" w:space="0" w:color="auto"/>
        <w:right w:val="none" w:sz="0" w:space="0" w:color="auto"/>
      </w:divBdr>
    </w:div>
    <w:div w:id="41290004">
      <w:bodyDiv w:val="1"/>
      <w:marLeft w:val="0"/>
      <w:marRight w:val="0"/>
      <w:marTop w:val="0"/>
      <w:marBottom w:val="0"/>
      <w:divBdr>
        <w:top w:val="none" w:sz="0" w:space="0" w:color="auto"/>
        <w:left w:val="none" w:sz="0" w:space="0" w:color="auto"/>
        <w:bottom w:val="none" w:sz="0" w:space="0" w:color="auto"/>
        <w:right w:val="none" w:sz="0" w:space="0" w:color="auto"/>
      </w:divBdr>
      <w:divsChild>
        <w:div w:id="959185984">
          <w:marLeft w:val="0"/>
          <w:marRight w:val="0"/>
          <w:marTop w:val="0"/>
          <w:marBottom w:val="0"/>
          <w:divBdr>
            <w:top w:val="none" w:sz="0" w:space="0" w:color="auto"/>
            <w:left w:val="none" w:sz="0" w:space="0" w:color="auto"/>
            <w:bottom w:val="none" w:sz="0" w:space="0" w:color="auto"/>
            <w:right w:val="none" w:sz="0" w:space="0" w:color="auto"/>
          </w:divBdr>
          <w:divsChild>
            <w:div w:id="421948992">
              <w:marLeft w:val="0"/>
              <w:marRight w:val="0"/>
              <w:marTop w:val="0"/>
              <w:marBottom w:val="0"/>
              <w:divBdr>
                <w:top w:val="none" w:sz="0" w:space="0" w:color="auto"/>
                <w:left w:val="none" w:sz="0" w:space="0" w:color="auto"/>
                <w:bottom w:val="none" w:sz="0" w:space="0" w:color="auto"/>
                <w:right w:val="none" w:sz="0" w:space="0" w:color="auto"/>
              </w:divBdr>
              <w:divsChild>
                <w:div w:id="2041512700">
                  <w:marLeft w:val="0"/>
                  <w:marRight w:val="0"/>
                  <w:marTop w:val="0"/>
                  <w:marBottom w:val="0"/>
                  <w:divBdr>
                    <w:top w:val="none" w:sz="0" w:space="0" w:color="auto"/>
                    <w:left w:val="none" w:sz="0" w:space="0" w:color="auto"/>
                    <w:bottom w:val="none" w:sz="0" w:space="0" w:color="auto"/>
                    <w:right w:val="none" w:sz="0" w:space="0" w:color="auto"/>
                  </w:divBdr>
                  <w:divsChild>
                    <w:div w:id="79679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0547">
          <w:marLeft w:val="0"/>
          <w:marRight w:val="0"/>
          <w:marTop w:val="0"/>
          <w:marBottom w:val="0"/>
          <w:divBdr>
            <w:top w:val="none" w:sz="0" w:space="0" w:color="auto"/>
            <w:left w:val="none" w:sz="0" w:space="0" w:color="auto"/>
            <w:bottom w:val="none" w:sz="0" w:space="0" w:color="auto"/>
            <w:right w:val="none" w:sz="0" w:space="0" w:color="auto"/>
          </w:divBdr>
          <w:divsChild>
            <w:div w:id="1704407264">
              <w:marLeft w:val="0"/>
              <w:marRight w:val="0"/>
              <w:marTop w:val="0"/>
              <w:marBottom w:val="0"/>
              <w:divBdr>
                <w:top w:val="none" w:sz="0" w:space="0" w:color="auto"/>
                <w:left w:val="none" w:sz="0" w:space="0" w:color="auto"/>
                <w:bottom w:val="none" w:sz="0" w:space="0" w:color="auto"/>
                <w:right w:val="none" w:sz="0" w:space="0" w:color="auto"/>
              </w:divBdr>
              <w:divsChild>
                <w:div w:id="1194032893">
                  <w:marLeft w:val="0"/>
                  <w:marRight w:val="0"/>
                  <w:marTop w:val="0"/>
                  <w:marBottom w:val="0"/>
                  <w:divBdr>
                    <w:top w:val="none" w:sz="0" w:space="0" w:color="auto"/>
                    <w:left w:val="none" w:sz="0" w:space="0" w:color="auto"/>
                    <w:bottom w:val="none" w:sz="0" w:space="0" w:color="auto"/>
                    <w:right w:val="none" w:sz="0" w:space="0" w:color="auto"/>
                  </w:divBdr>
                  <w:divsChild>
                    <w:div w:id="5751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14898">
          <w:marLeft w:val="0"/>
          <w:marRight w:val="0"/>
          <w:marTop w:val="0"/>
          <w:marBottom w:val="0"/>
          <w:divBdr>
            <w:top w:val="none" w:sz="0" w:space="0" w:color="auto"/>
            <w:left w:val="none" w:sz="0" w:space="0" w:color="auto"/>
            <w:bottom w:val="none" w:sz="0" w:space="0" w:color="auto"/>
            <w:right w:val="none" w:sz="0" w:space="0" w:color="auto"/>
          </w:divBdr>
          <w:divsChild>
            <w:div w:id="1701054312">
              <w:marLeft w:val="0"/>
              <w:marRight w:val="0"/>
              <w:marTop w:val="0"/>
              <w:marBottom w:val="0"/>
              <w:divBdr>
                <w:top w:val="none" w:sz="0" w:space="0" w:color="auto"/>
                <w:left w:val="none" w:sz="0" w:space="0" w:color="auto"/>
                <w:bottom w:val="none" w:sz="0" w:space="0" w:color="auto"/>
                <w:right w:val="none" w:sz="0" w:space="0" w:color="auto"/>
              </w:divBdr>
              <w:divsChild>
                <w:div w:id="704646721">
                  <w:marLeft w:val="0"/>
                  <w:marRight w:val="0"/>
                  <w:marTop w:val="0"/>
                  <w:marBottom w:val="0"/>
                  <w:divBdr>
                    <w:top w:val="none" w:sz="0" w:space="0" w:color="auto"/>
                    <w:left w:val="none" w:sz="0" w:space="0" w:color="auto"/>
                    <w:bottom w:val="none" w:sz="0" w:space="0" w:color="auto"/>
                    <w:right w:val="none" w:sz="0" w:space="0" w:color="auto"/>
                  </w:divBdr>
                  <w:divsChild>
                    <w:div w:id="6878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61709">
          <w:marLeft w:val="0"/>
          <w:marRight w:val="0"/>
          <w:marTop w:val="0"/>
          <w:marBottom w:val="0"/>
          <w:divBdr>
            <w:top w:val="none" w:sz="0" w:space="0" w:color="auto"/>
            <w:left w:val="none" w:sz="0" w:space="0" w:color="auto"/>
            <w:bottom w:val="none" w:sz="0" w:space="0" w:color="auto"/>
            <w:right w:val="none" w:sz="0" w:space="0" w:color="auto"/>
          </w:divBdr>
          <w:divsChild>
            <w:div w:id="682126407">
              <w:marLeft w:val="0"/>
              <w:marRight w:val="0"/>
              <w:marTop w:val="0"/>
              <w:marBottom w:val="0"/>
              <w:divBdr>
                <w:top w:val="none" w:sz="0" w:space="0" w:color="auto"/>
                <w:left w:val="none" w:sz="0" w:space="0" w:color="auto"/>
                <w:bottom w:val="none" w:sz="0" w:space="0" w:color="auto"/>
                <w:right w:val="none" w:sz="0" w:space="0" w:color="auto"/>
              </w:divBdr>
              <w:divsChild>
                <w:div w:id="1357610074">
                  <w:marLeft w:val="0"/>
                  <w:marRight w:val="0"/>
                  <w:marTop w:val="0"/>
                  <w:marBottom w:val="0"/>
                  <w:divBdr>
                    <w:top w:val="none" w:sz="0" w:space="0" w:color="auto"/>
                    <w:left w:val="none" w:sz="0" w:space="0" w:color="auto"/>
                    <w:bottom w:val="none" w:sz="0" w:space="0" w:color="auto"/>
                    <w:right w:val="none" w:sz="0" w:space="0" w:color="auto"/>
                  </w:divBdr>
                  <w:divsChild>
                    <w:div w:id="19929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43839">
          <w:marLeft w:val="0"/>
          <w:marRight w:val="0"/>
          <w:marTop w:val="0"/>
          <w:marBottom w:val="0"/>
          <w:divBdr>
            <w:top w:val="none" w:sz="0" w:space="0" w:color="auto"/>
            <w:left w:val="none" w:sz="0" w:space="0" w:color="auto"/>
            <w:bottom w:val="none" w:sz="0" w:space="0" w:color="auto"/>
            <w:right w:val="none" w:sz="0" w:space="0" w:color="auto"/>
          </w:divBdr>
          <w:divsChild>
            <w:div w:id="300380715">
              <w:marLeft w:val="0"/>
              <w:marRight w:val="0"/>
              <w:marTop w:val="0"/>
              <w:marBottom w:val="0"/>
              <w:divBdr>
                <w:top w:val="none" w:sz="0" w:space="0" w:color="auto"/>
                <w:left w:val="none" w:sz="0" w:space="0" w:color="auto"/>
                <w:bottom w:val="none" w:sz="0" w:space="0" w:color="auto"/>
                <w:right w:val="none" w:sz="0" w:space="0" w:color="auto"/>
              </w:divBdr>
              <w:divsChild>
                <w:div w:id="167722582">
                  <w:marLeft w:val="0"/>
                  <w:marRight w:val="0"/>
                  <w:marTop w:val="0"/>
                  <w:marBottom w:val="0"/>
                  <w:divBdr>
                    <w:top w:val="none" w:sz="0" w:space="0" w:color="auto"/>
                    <w:left w:val="none" w:sz="0" w:space="0" w:color="auto"/>
                    <w:bottom w:val="none" w:sz="0" w:space="0" w:color="auto"/>
                    <w:right w:val="none" w:sz="0" w:space="0" w:color="auto"/>
                  </w:divBdr>
                  <w:divsChild>
                    <w:div w:id="1403060608">
                      <w:marLeft w:val="0"/>
                      <w:marRight w:val="0"/>
                      <w:marTop w:val="0"/>
                      <w:marBottom w:val="0"/>
                      <w:divBdr>
                        <w:top w:val="none" w:sz="0" w:space="0" w:color="auto"/>
                        <w:left w:val="none" w:sz="0" w:space="0" w:color="auto"/>
                        <w:bottom w:val="none" w:sz="0" w:space="0" w:color="auto"/>
                        <w:right w:val="none" w:sz="0" w:space="0" w:color="auto"/>
                      </w:divBdr>
                      <w:divsChild>
                        <w:div w:id="1596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75382">
              <w:marLeft w:val="0"/>
              <w:marRight w:val="0"/>
              <w:marTop w:val="0"/>
              <w:marBottom w:val="0"/>
              <w:divBdr>
                <w:top w:val="none" w:sz="0" w:space="0" w:color="auto"/>
                <w:left w:val="none" w:sz="0" w:space="0" w:color="auto"/>
                <w:bottom w:val="none" w:sz="0" w:space="0" w:color="auto"/>
                <w:right w:val="none" w:sz="0" w:space="0" w:color="auto"/>
              </w:divBdr>
              <w:divsChild>
                <w:div w:id="657806227">
                  <w:marLeft w:val="0"/>
                  <w:marRight w:val="0"/>
                  <w:marTop w:val="0"/>
                  <w:marBottom w:val="0"/>
                  <w:divBdr>
                    <w:top w:val="none" w:sz="0" w:space="0" w:color="auto"/>
                    <w:left w:val="none" w:sz="0" w:space="0" w:color="auto"/>
                    <w:bottom w:val="none" w:sz="0" w:space="0" w:color="auto"/>
                    <w:right w:val="none" w:sz="0" w:space="0" w:color="auto"/>
                  </w:divBdr>
                  <w:divsChild>
                    <w:div w:id="1408528466">
                      <w:marLeft w:val="0"/>
                      <w:marRight w:val="0"/>
                      <w:marTop w:val="0"/>
                      <w:marBottom w:val="0"/>
                      <w:divBdr>
                        <w:top w:val="none" w:sz="0" w:space="0" w:color="auto"/>
                        <w:left w:val="none" w:sz="0" w:space="0" w:color="auto"/>
                        <w:bottom w:val="none" w:sz="0" w:space="0" w:color="auto"/>
                        <w:right w:val="none" w:sz="0" w:space="0" w:color="auto"/>
                      </w:divBdr>
                      <w:divsChild>
                        <w:div w:id="1018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88235">
          <w:marLeft w:val="0"/>
          <w:marRight w:val="0"/>
          <w:marTop w:val="0"/>
          <w:marBottom w:val="0"/>
          <w:divBdr>
            <w:top w:val="none" w:sz="0" w:space="0" w:color="auto"/>
            <w:left w:val="none" w:sz="0" w:space="0" w:color="auto"/>
            <w:bottom w:val="none" w:sz="0" w:space="0" w:color="auto"/>
            <w:right w:val="none" w:sz="0" w:space="0" w:color="auto"/>
          </w:divBdr>
          <w:divsChild>
            <w:div w:id="15498203">
              <w:marLeft w:val="0"/>
              <w:marRight w:val="0"/>
              <w:marTop w:val="0"/>
              <w:marBottom w:val="0"/>
              <w:divBdr>
                <w:top w:val="none" w:sz="0" w:space="0" w:color="auto"/>
                <w:left w:val="none" w:sz="0" w:space="0" w:color="auto"/>
                <w:bottom w:val="none" w:sz="0" w:space="0" w:color="auto"/>
                <w:right w:val="none" w:sz="0" w:space="0" w:color="auto"/>
              </w:divBdr>
              <w:divsChild>
                <w:div w:id="1039356176">
                  <w:marLeft w:val="0"/>
                  <w:marRight w:val="0"/>
                  <w:marTop w:val="0"/>
                  <w:marBottom w:val="0"/>
                  <w:divBdr>
                    <w:top w:val="none" w:sz="0" w:space="0" w:color="auto"/>
                    <w:left w:val="none" w:sz="0" w:space="0" w:color="auto"/>
                    <w:bottom w:val="none" w:sz="0" w:space="0" w:color="auto"/>
                    <w:right w:val="none" w:sz="0" w:space="0" w:color="auto"/>
                  </w:divBdr>
                  <w:divsChild>
                    <w:div w:id="10017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10135">
          <w:marLeft w:val="0"/>
          <w:marRight w:val="0"/>
          <w:marTop w:val="0"/>
          <w:marBottom w:val="0"/>
          <w:divBdr>
            <w:top w:val="none" w:sz="0" w:space="0" w:color="auto"/>
            <w:left w:val="none" w:sz="0" w:space="0" w:color="auto"/>
            <w:bottom w:val="none" w:sz="0" w:space="0" w:color="auto"/>
            <w:right w:val="none" w:sz="0" w:space="0" w:color="auto"/>
          </w:divBdr>
          <w:divsChild>
            <w:div w:id="308556910">
              <w:marLeft w:val="0"/>
              <w:marRight w:val="0"/>
              <w:marTop w:val="0"/>
              <w:marBottom w:val="0"/>
              <w:divBdr>
                <w:top w:val="none" w:sz="0" w:space="0" w:color="auto"/>
                <w:left w:val="none" w:sz="0" w:space="0" w:color="auto"/>
                <w:bottom w:val="none" w:sz="0" w:space="0" w:color="auto"/>
                <w:right w:val="none" w:sz="0" w:space="0" w:color="auto"/>
              </w:divBdr>
              <w:divsChild>
                <w:div w:id="1655797865">
                  <w:marLeft w:val="0"/>
                  <w:marRight w:val="0"/>
                  <w:marTop w:val="0"/>
                  <w:marBottom w:val="0"/>
                  <w:divBdr>
                    <w:top w:val="none" w:sz="0" w:space="0" w:color="auto"/>
                    <w:left w:val="none" w:sz="0" w:space="0" w:color="auto"/>
                    <w:bottom w:val="none" w:sz="0" w:space="0" w:color="auto"/>
                    <w:right w:val="none" w:sz="0" w:space="0" w:color="auto"/>
                  </w:divBdr>
                  <w:divsChild>
                    <w:div w:id="36491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9798">
      <w:bodyDiv w:val="1"/>
      <w:marLeft w:val="0"/>
      <w:marRight w:val="0"/>
      <w:marTop w:val="0"/>
      <w:marBottom w:val="0"/>
      <w:divBdr>
        <w:top w:val="none" w:sz="0" w:space="0" w:color="auto"/>
        <w:left w:val="none" w:sz="0" w:space="0" w:color="auto"/>
        <w:bottom w:val="none" w:sz="0" w:space="0" w:color="auto"/>
        <w:right w:val="none" w:sz="0" w:space="0" w:color="auto"/>
      </w:divBdr>
    </w:div>
    <w:div w:id="122772335">
      <w:bodyDiv w:val="1"/>
      <w:marLeft w:val="0"/>
      <w:marRight w:val="0"/>
      <w:marTop w:val="0"/>
      <w:marBottom w:val="0"/>
      <w:divBdr>
        <w:top w:val="none" w:sz="0" w:space="0" w:color="auto"/>
        <w:left w:val="none" w:sz="0" w:space="0" w:color="auto"/>
        <w:bottom w:val="none" w:sz="0" w:space="0" w:color="auto"/>
        <w:right w:val="none" w:sz="0" w:space="0" w:color="auto"/>
      </w:divBdr>
    </w:div>
    <w:div w:id="131792963">
      <w:bodyDiv w:val="1"/>
      <w:marLeft w:val="0"/>
      <w:marRight w:val="0"/>
      <w:marTop w:val="0"/>
      <w:marBottom w:val="0"/>
      <w:divBdr>
        <w:top w:val="none" w:sz="0" w:space="0" w:color="auto"/>
        <w:left w:val="none" w:sz="0" w:space="0" w:color="auto"/>
        <w:bottom w:val="none" w:sz="0" w:space="0" w:color="auto"/>
        <w:right w:val="none" w:sz="0" w:space="0" w:color="auto"/>
      </w:divBdr>
    </w:div>
    <w:div w:id="227226978">
      <w:bodyDiv w:val="1"/>
      <w:marLeft w:val="0"/>
      <w:marRight w:val="0"/>
      <w:marTop w:val="0"/>
      <w:marBottom w:val="0"/>
      <w:divBdr>
        <w:top w:val="none" w:sz="0" w:space="0" w:color="auto"/>
        <w:left w:val="none" w:sz="0" w:space="0" w:color="auto"/>
        <w:bottom w:val="none" w:sz="0" w:space="0" w:color="auto"/>
        <w:right w:val="none" w:sz="0" w:space="0" w:color="auto"/>
      </w:divBdr>
    </w:div>
    <w:div w:id="306473161">
      <w:bodyDiv w:val="1"/>
      <w:marLeft w:val="0"/>
      <w:marRight w:val="0"/>
      <w:marTop w:val="0"/>
      <w:marBottom w:val="0"/>
      <w:divBdr>
        <w:top w:val="none" w:sz="0" w:space="0" w:color="auto"/>
        <w:left w:val="none" w:sz="0" w:space="0" w:color="auto"/>
        <w:bottom w:val="none" w:sz="0" w:space="0" w:color="auto"/>
        <w:right w:val="none" w:sz="0" w:space="0" w:color="auto"/>
      </w:divBdr>
    </w:div>
    <w:div w:id="343896774">
      <w:bodyDiv w:val="1"/>
      <w:marLeft w:val="0"/>
      <w:marRight w:val="0"/>
      <w:marTop w:val="0"/>
      <w:marBottom w:val="0"/>
      <w:divBdr>
        <w:top w:val="none" w:sz="0" w:space="0" w:color="auto"/>
        <w:left w:val="none" w:sz="0" w:space="0" w:color="auto"/>
        <w:bottom w:val="none" w:sz="0" w:space="0" w:color="auto"/>
        <w:right w:val="none" w:sz="0" w:space="0" w:color="auto"/>
      </w:divBdr>
    </w:div>
    <w:div w:id="347679371">
      <w:bodyDiv w:val="1"/>
      <w:marLeft w:val="0"/>
      <w:marRight w:val="0"/>
      <w:marTop w:val="0"/>
      <w:marBottom w:val="0"/>
      <w:divBdr>
        <w:top w:val="none" w:sz="0" w:space="0" w:color="auto"/>
        <w:left w:val="none" w:sz="0" w:space="0" w:color="auto"/>
        <w:bottom w:val="none" w:sz="0" w:space="0" w:color="auto"/>
        <w:right w:val="none" w:sz="0" w:space="0" w:color="auto"/>
      </w:divBdr>
    </w:div>
    <w:div w:id="35654640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54969282">
      <w:bodyDiv w:val="1"/>
      <w:marLeft w:val="0"/>
      <w:marRight w:val="0"/>
      <w:marTop w:val="0"/>
      <w:marBottom w:val="0"/>
      <w:divBdr>
        <w:top w:val="none" w:sz="0" w:space="0" w:color="auto"/>
        <w:left w:val="none" w:sz="0" w:space="0" w:color="auto"/>
        <w:bottom w:val="none" w:sz="0" w:space="0" w:color="auto"/>
        <w:right w:val="none" w:sz="0" w:space="0" w:color="auto"/>
      </w:divBdr>
    </w:div>
    <w:div w:id="660818807">
      <w:bodyDiv w:val="1"/>
      <w:marLeft w:val="0"/>
      <w:marRight w:val="0"/>
      <w:marTop w:val="0"/>
      <w:marBottom w:val="0"/>
      <w:divBdr>
        <w:top w:val="none" w:sz="0" w:space="0" w:color="auto"/>
        <w:left w:val="none" w:sz="0" w:space="0" w:color="auto"/>
        <w:bottom w:val="none" w:sz="0" w:space="0" w:color="auto"/>
        <w:right w:val="none" w:sz="0" w:space="0" w:color="auto"/>
      </w:divBdr>
      <w:divsChild>
        <w:div w:id="1853644594">
          <w:marLeft w:val="0"/>
          <w:marRight w:val="0"/>
          <w:marTop w:val="0"/>
          <w:marBottom w:val="0"/>
          <w:divBdr>
            <w:top w:val="none" w:sz="0" w:space="0" w:color="auto"/>
            <w:left w:val="none" w:sz="0" w:space="0" w:color="auto"/>
            <w:bottom w:val="none" w:sz="0" w:space="0" w:color="auto"/>
            <w:right w:val="none" w:sz="0" w:space="0" w:color="auto"/>
          </w:divBdr>
          <w:divsChild>
            <w:div w:id="349142248">
              <w:marLeft w:val="0"/>
              <w:marRight w:val="0"/>
              <w:marTop w:val="0"/>
              <w:marBottom w:val="0"/>
              <w:divBdr>
                <w:top w:val="none" w:sz="0" w:space="0" w:color="auto"/>
                <w:left w:val="none" w:sz="0" w:space="0" w:color="auto"/>
                <w:bottom w:val="none" w:sz="0" w:space="0" w:color="auto"/>
                <w:right w:val="none" w:sz="0" w:space="0" w:color="auto"/>
              </w:divBdr>
              <w:divsChild>
                <w:div w:id="1279407749">
                  <w:marLeft w:val="0"/>
                  <w:marRight w:val="0"/>
                  <w:marTop w:val="0"/>
                  <w:marBottom w:val="0"/>
                  <w:divBdr>
                    <w:top w:val="none" w:sz="0" w:space="0" w:color="auto"/>
                    <w:left w:val="none" w:sz="0" w:space="0" w:color="auto"/>
                    <w:bottom w:val="none" w:sz="0" w:space="0" w:color="auto"/>
                    <w:right w:val="none" w:sz="0" w:space="0" w:color="auto"/>
                  </w:divBdr>
                  <w:divsChild>
                    <w:div w:id="35180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087526">
      <w:bodyDiv w:val="1"/>
      <w:marLeft w:val="0"/>
      <w:marRight w:val="0"/>
      <w:marTop w:val="0"/>
      <w:marBottom w:val="0"/>
      <w:divBdr>
        <w:top w:val="none" w:sz="0" w:space="0" w:color="auto"/>
        <w:left w:val="none" w:sz="0" w:space="0" w:color="auto"/>
        <w:bottom w:val="none" w:sz="0" w:space="0" w:color="auto"/>
        <w:right w:val="none" w:sz="0" w:space="0" w:color="auto"/>
      </w:divBdr>
    </w:div>
    <w:div w:id="681394517">
      <w:bodyDiv w:val="1"/>
      <w:marLeft w:val="0"/>
      <w:marRight w:val="0"/>
      <w:marTop w:val="0"/>
      <w:marBottom w:val="0"/>
      <w:divBdr>
        <w:top w:val="none" w:sz="0" w:space="0" w:color="auto"/>
        <w:left w:val="none" w:sz="0" w:space="0" w:color="auto"/>
        <w:bottom w:val="none" w:sz="0" w:space="0" w:color="auto"/>
        <w:right w:val="none" w:sz="0" w:space="0" w:color="auto"/>
      </w:divBdr>
    </w:div>
    <w:div w:id="705376048">
      <w:bodyDiv w:val="1"/>
      <w:marLeft w:val="0"/>
      <w:marRight w:val="0"/>
      <w:marTop w:val="0"/>
      <w:marBottom w:val="0"/>
      <w:divBdr>
        <w:top w:val="none" w:sz="0" w:space="0" w:color="auto"/>
        <w:left w:val="none" w:sz="0" w:space="0" w:color="auto"/>
        <w:bottom w:val="none" w:sz="0" w:space="0" w:color="auto"/>
        <w:right w:val="none" w:sz="0" w:space="0" w:color="auto"/>
      </w:divBdr>
    </w:div>
    <w:div w:id="854266084">
      <w:bodyDiv w:val="1"/>
      <w:marLeft w:val="0"/>
      <w:marRight w:val="0"/>
      <w:marTop w:val="0"/>
      <w:marBottom w:val="0"/>
      <w:divBdr>
        <w:top w:val="none" w:sz="0" w:space="0" w:color="auto"/>
        <w:left w:val="none" w:sz="0" w:space="0" w:color="auto"/>
        <w:bottom w:val="none" w:sz="0" w:space="0" w:color="auto"/>
        <w:right w:val="none" w:sz="0" w:space="0" w:color="auto"/>
      </w:divBdr>
    </w:div>
    <w:div w:id="94268849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32559470">
      <w:bodyDiv w:val="1"/>
      <w:marLeft w:val="0"/>
      <w:marRight w:val="0"/>
      <w:marTop w:val="0"/>
      <w:marBottom w:val="0"/>
      <w:divBdr>
        <w:top w:val="none" w:sz="0" w:space="0" w:color="auto"/>
        <w:left w:val="none" w:sz="0" w:space="0" w:color="auto"/>
        <w:bottom w:val="none" w:sz="0" w:space="0" w:color="auto"/>
        <w:right w:val="none" w:sz="0" w:space="0" w:color="auto"/>
      </w:divBdr>
    </w:div>
    <w:div w:id="1154417421">
      <w:bodyDiv w:val="1"/>
      <w:marLeft w:val="0"/>
      <w:marRight w:val="0"/>
      <w:marTop w:val="0"/>
      <w:marBottom w:val="0"/>
      <w:divBdr>
        <w:top w:val="none" w:sz="0" w:space="0" w:color="auto"/>
        <w:left w:val="none" w:sz="0" w:space="0" w:color="auto"/>
        <w:bottom w:val="none" w:sz="0" w:space="0" w:color="auto"/>
        <w:right w:val="none" w:sz="0" w:space="0" w:color="auto"/>
      </w:divBdr>
    </w:div>
    <w:div w:id="1415778329">
      <w:bodyDiv w:val="1"/>
      <w:marLeft w:val="0"/>
      <w:marRight w:val="0"/>
      <w:marTop w:val="0"/>
      <w:marBottom w:val="0"/>
      <w:divBdr>
        <w:top w:val="none" w:sz="0" w:space="0" w:color="auto"/>
        <w:left w:val="none" w:sz="0" w:space="0" w:color="auto"/>
        <w:bottom w:val="none" w:sz="0" w:space="0" w:color="auto"/>
        <w:right w:val="none" w:sz="0" w:space="0" w:color="auto"/>
      </w:divBdr>
      <w:divsChild>
        <w:div w:id="484051771">
          <w:marLeft w:val="0"/>
          <w:marRight w:val="0"/>
          <w:marTop w:val="0"/>
          <w:marBottom w:val="0"/>
          <w:divBdr>
            <w:top w:val="none" w:sz="0" w:space="0" w:color="auto"/>
            <w:left w:val="none" w:sz="0" w:space="0" w:color="auto"/>
            <w:bottom w:val="none" w:sz="0" w:space="0" w:color="auto"/>
            <w:right w:val="none" w:sz="0" w:space="0" w:color="auto"/>
          </w:divBdr>
          <w:divsChild>
            <w:div w:id="1175194238">
              <w:marLeft w:val="0"/>
              <w:marRight w:val="0"/>
              <w:marTop w:val="0"/>
              <w:marBottom w:val="0"/>
              <w:divBdr>
                <w:top w:val="none" w:sz="0" w:space="0" w:color="auto"/>
                <w:left w:val="none" w:sz="0" w:space="0" w:color="auto"/>
                <w:bottom w:val="none" w:sz="0" w:space="0" w:color="auto"/>
                <w:right w:val="none" w:sz="0" w:space="0" w:color="auto"/>
              </w:divBdr>
              <w:divsChild>
                <w:div w:id="82524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324499">
      <w:bodyDiv w:val="1"/>
      <w:marLeft w:val="0"/>
      <w:marRight w:val="0"/>
      <w:marTop w:val="0"/>
      <w:marBottom w:val="0"/>
      <w:divBdr>
        <w:top w:val="none" w:sz="0" w:space="0" w:color="auto"/>
        <w:left w:val="none" w:sz="0" w:space="0" w:color="auto"/>
        <w:bottom w:val="none" w:sz="0" w:space="0" w:color="auto"/>
        <w:right w:val="none" w:sz="0" w:space="0" w:color="auto"/>
      </w:divBdr>
      <w:divsChild>
        <w:div w:id="1691948893">
          <w:marLeft w:val="0"/>
          <w:marRight w:val="0"/>
          <w:marTop w:val="0"/>
          <w:marBottom w:val="0"/>
          <w:divBdr>
            <w:top w:val="none" w:sz="0" w:space="0" w:color="auto"/>
            <w:left w:val="none" w:sz="0" w:space="0" w:color="auto"/>
            <w:bottom w:val="none" w:sz="0" w:space="0" w:color="auto"/>
            <w:right w:val="none" w:sz="0" w:space="0" w:color="auto"/>
          </w:divBdr>
          <w:divsChild>
            <w:div w:id="1322466871">
              <w:marLeft w:val="0"/>
              <w:marRight w:val="0"/>
              <w:marTop w:val="0"/>
              <w:marBottom w:val="0"/>
              <w:divBdr>
                <w:top w:val="none" w:sz="0" w:space="0" w:color="auto"/>
                <w:left w:val="none" w:sz="0" w:space="0" w:color="auto"/>
                <w:bottom w:val="none" w:sz="0" w:space="0" w:color="auto"/>
                <w:right w:val="none" w:sz="0" w:space="0" w:color="auto"/>
              </w:divBdr>
              <w:divsChild>
                <w:div w:id="662204262">
                  <w:marLeft w:val="0"/>
                  <w:marRight w:val="0"/>
                  <w:marTop w:val="0"/>
                  <w:marBottom w:val="0"/>
                  <w:divBdr>
                    <w:top w:val="none" w:sz="0" w:space="0" w:color="auto"/>
                    <w:left w:val="none" w:sz="0" w:space="0" w:color="auto"/>
                    <w:bottom w:val="none" w:sz="0" w:space="0" w:color="auto"/>
                    <w:right w:val="none" w:sz="0" w:space="0" w:color="auto"/>
                  </w:divBdr>
                  <w:divsChild>
                    <w:div w:id="3424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738222">
      <w:bodyDiv w:val="1"/>
      <w:marLeft w:val="0"/>
      <w:marRight w:val="0"/>
      <w:marTop w:val="0"/>
      <w:marBottom w:val="0"/>
      <w:divBdr>
        <w:top w:val="none" w:sz="0" w:space="0" w:color="auto"/>
        <w:left w:val="none" w:sz="0" w:space="0" w:color="auto"/>
        <w:bottom w:val="none" w:sz="0" w:space="0" w:color="auto"/>
        <w:right w:val="none" w:sz="0" w:space="0" w:color="auto"/>
      </w:divBdr>
    </w:div>
    <w:div w:id="1552762669">
      <w:bodyDiv w:val="1"/>
      <w:marLeft w:val="0"/>
      <w:marRight w:val="0"/>
      <w:marTop w:val="0"/>
      <w:marBottom w:val="0"/>
      <w:divBdr>
        <w:top w:val="none" w:sz="0" w:space="0" w:color="auto"/>
        <w:left w:val="none" w:sz="0" w:space="0" w:color="auto"/>
        <w:bottom w:val="none" w:sz="0" w:space="0" w:color="auto"/>
        <w:right w:val="none" w:sz="0" w:space="0" w:color="auto"/>
      </w:divBdr>
    </w:div>
    <w:div w:id="1553080594">
      <w:bodyDiv w:val="1"/>
      <w:marLeft w:val="0"/>
      <w:marRight w:val="0"/>
      <w:marTop w:val="0"/>
      <w:marBottom w:val="0"/>
      <w:divBdr>
        <w:top w:val="none" w:sz="0" w:space="0" w:color="auto"/>
        <w:left w:val="none" w:sz="0" w:space="0" w:color="auto"/>
        <w:bottom w:val="none" w:sz="0" w:space="0" w:color="auto"/>
        <w:right w:val="none" w:sz="0" w:space="0" w:color="auto"/>
      </w:divBdr>
    </w:div>
    <w:div w:id="1575121662">
      <w:bodyDiv w:val="1"/>
      <w:marLeft w:val="0"/>
      <w:marRight w:val="0"/>
      <w:marTop w:val="0"/>
      <w:marBottom w:val="0"/>
      <w:divBdr>
        <w:top w:val="none" w:sz="0" w:space="0" w:color="auto"/>
        <w:left w:val="none" w:sz="0" w:space="0" w:color="auto"/>
        <w:bottom w:val="none" w:sz="0" w:space="0" w:color="auto"/>
        <w:right w:val="none" w:sz="0" w:space="0" w:color="auto"/>
      </w:divBdr>
    </w:div>
    <w:div w:id="1576475286">
      <w:bodyDiv w:val="1"/>
      <w:marLeft w:val="0"/>
      <w:marRight w:val="0"/>
      <w:marTop w:val="0"/>
      <w:marBottom w:val="0"/>
      <w:divBdr>
        <w:top w:val="none" w:sz="0" w:space="0" w:color="auto"/>
        <w:left w:val="none" w:sz="0" w:space="0" w:color="auto"/>
        <w:bottom w:val="none" w:sz="0" w:space="0" w:color="auto"/>
        <w:right w:val="none" w:sz="0" w:space="0" w:color="auto"/>
      </w:divBdr>
    </w:div>
    <w:div w:id="1585609677">
      <w:bodyDiv w:val="1"/>
      <w:marLeft w:val="0"/>
      <w:marRight w:val="0"/>
      <w:marTop w:val="0"/>
      <w:marBottom w:val="0"/>
      <w:divBdr>
        <w:top w:val="none" w:sz="0" w:space="0" w:color="auto"/>
        <w:left w:val="none" w:sz="0" w:space="0" w:color="auto"/>
        <w:bottom w:val="none" w:sz="0" w:space="0" w:color="auto"/>
        <w:right w:val="none" w:sz="0" w:space="0" w:color="auto"/>
      </w:divBdr>
    </w:div>
    <w:div w:id="1806190656">
      <w:bodyDiv w:val="1"/>
      <w:marLeft w:val="0"/>
      <w:marRight w:val="0"/>
      <w:marTop w:val="0"/>
      <w:marBottom w:val="0"/>
      <w:divBdr>
        <w:top w:val="none" w:sz="0" w:space="0" w:color="auto"/>
        <w:left w:val="none" w:sz="0" w:space="0" w:color="auto"/>
        <w:bottom w:val="none" w:sz="0" w:space="0" w:color="auto"/>
        <w:right w:val="none" w:sz="0" w:space="0" w:color="auto"/>
      </w:divBdr>
    </w:div>
    <w:div w:id="1905944333">
      <w:bodyDiv w:val="1"/>
      <w:marLeft w:val="0"/>
      <w:marRight w:val="0"/>
      <w:marTop w:val="0"/>
      <w:marBottom w:val="0"/>
      <w:divBdr>
        <w:top w:val="none" w:sz="0" w:space="0" w:color="auto"/>
        <w:left w:val="none" w:sz="0" w:space="0" w:color="auto"/>
        <w:bottom w:val="none" w:sz="0" w:space="0" w:color="auto"/>
        <w:right w:val="none" w:sz="0" w:space="0" w:color="auto"/>
      </w:divBdr>
    </w:div>
    <w:div w:id="1977029935">
      <w:bodyDiv w:val="1"/>
      <w:marLeft w:val="0"/>
      <w:marRight w:val="0"/>
      <w:marTop w:val="0"/>
      <w:marBottom w:val="0"/>
      <w:divBdr>
        <w:top w:val="none" w:sz="0" w:space="0" w:color="auto"/>
        <w:left w:val="none" w:sz="0" w:space="0" w:color="auto"/>
        <w:bottom w:val="none" w:sz="0" w:space="0" w:color="auto"/>
        <w:right w:val="none" w:sz="0" w:space="0" w:color="auto"/>
      </w:divBdr>
      <w:divsChild>
        <w:div w:id="194581275">
          <w:marLeft w:val="0"/>
          <w:marRight w:val="0"/>
          <w:marTop w:val="0"/>
          <w:marBottom w:val="0"/>
          <w:divBdr>
            <w:top w:val="none" w:sz="0" w:space="0" w:color="auto"/>
            <w:left w:val="none" w:sz="0" w:space="0" w:color="auto"/>
            <w:bottom w:val="none" w:sz="0" w:space="0" w:color="auto"/>
            <w:right w:val="none" w:sz="0" w:space="0" w:color="auto"/>
          </w:divBdr>
          <w:divsChild>
            <w:div w:id="848061274">
              <w:marLeft w:val="0"/>
              <w:marRight w:val="0"/>
              <w:marTop w:val="0"/>
              <w:marBottom w:val="0"/>
              <w:divBdr>
                <w:top w:val="none" w:sz="0" w:space="0" w:color="auto"/>
                <w:left w:val="none" w:sz="0" w:space="0" w:color="auto"/>
                <w:bottom w:val="none" w:sz="0" w:space="0" w:color="auto"/>
                <w:right w:val="none" w:sz="0" w:space="0" w:color="auto"/>
              </w:divBdr>
              <w:divsChild>
                <w:div w:id="1316690076">
                  <w:marLeft w:val="0"/>
                  <w:marRight w:val="0"/>
                  <w:marTop w:val="0"/>
                  <w:marBottom w:val="0"/>
                  <w:divBdr>
                    <w:top w:val="none" w:sz="0" w:space="0" w:color="auto"/>
                    <w:left w:val="none" w:sz="0" w:space="0" w:color="auto"/>
                    <w:bottom w:val="none" w:sz="0" w:space="0" w:color="auto"/>
                    <w:right w:val="none" w:sz="0" w:space="0" w:color="auto"/>
                  </w:divBdr>
                  <w:divsChild>
                    <w:div w:id="2923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221897">
      <w:bodyDiv w:val="1"/>
      <w:marLeft w:val="0"/>
      <w:marRight w:val="0"/>
      <w:marTop w:val="0"/>
      <w:marBottom w:val="0"/>
      <w:divBdr>
        <w:top w:val="none" w:sz="0" w:space="0" w:color="auto"/>
        <w:left w:val="none" w:sz="0" w:space="0" w:color="auto"/>
        <w:bottom w:val="none" w:sz="0" w:space="0" w:color="auto"/>
        <w:right w:val="none" w:sz="0" w:space="0" w:color="auto"/>
      </w:divBdr>
    </w:div>
    <w:div w:id="21445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industry/listing/elements/pbac-meetings/psd/2021-07/files/elexacaftor-tezacaftor-ivacaftor-psd-july-2021.pdf" TargetMode="External"/><Relationship Id="rId18" Type="http://schemas.openxmlformats.org/officeDocument/2006/relationships/chart" Target="charts/chart1.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hyperlink" Target="https://www.pbs.gov.au/pbs/industry/listing/participants/public-release-docs/dusc-utilisation-public-release-docs" TargetMode="External"/><Relationship Id="rId25" Type="http://schemas.openxmlformats.org/officeDocument/2006/relationships/image" Target="media/image2.sv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bs.gov.au/industry/listing/elements/pbac-meetings/psd/2024-03/files/elexacaftor-tezacaftor-ivacaftor-psd-march-2024.pdf" TargetMode="External"/><Relationship Id="rId20" Type="http://schemas.openxmlformats.org/officeDocument/2006/relationships/chart" Target="charts/chart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image" Target="media/image1.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pbs.gov.au/industry/listing/elements/pbac-meetings/psd/2022-11/files/elexacaftor-tezacaftor-ivacaftor-psd-11-2022-03-2023.pdf" TargetMode="External"/><Relationship Id="rId23" Type="http://schemas.openxmlformats.org/officeDocument/2006/relationships/chart" Target="charts/chart6.xml"/><Relationship Id="rId28" Type="http://schemas.openxmlformats.org/officeDocument/2006/relationships/header" Target="header1.xml"/><Relationship Id="rId10" Type="http://schemas.openxmlformats.org/officeDocument/2006/relationships/hyperlink" Target="http://www.pbs.gov.au/pbs/home" TargetMode="External"/><Relationship Id="rId19" Type="http://schemas.openxmlformats.org/officeDocument/2006/relationships/chart" Target="charts/chart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21-12/elexacaftor-tezacaftor-ivacaftor-pack-containing-56-tablets" TargetMode="External"/><Relationship Id="rId22" Type="http://schemas.openxmlformats.org/officeDocument/2006/relationships/chart" Target="charts/chart5.xml"/><Relationship Id="rId27" Type="http://schemas.openxmlformats.org/officeDocument/2006/relationships/image" Target="media/image4.sv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tga.gov.au/hp/information-medicines-pi.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86/1465-9921-4-8" TargetMode="External"/><Relationship Id="rId2" Type="http://schemas.openxmlformats.org/officeDocument/2006/relationships/hyperlink" Target="https://pmc.ncbi.nlm.nih.gov/articles/PMC8459759/" TargetMode="External"/><Relationship Id="rId1" Type="http://schemas.openxmlformats.org/officeDocument/2006/relationships/hyperlink" Target="https://jamanetwork.com/journals/jama/fullarticle/2787906" TargetMode="External"/><Relationship Id="rId5" Type="http://schemas.openxmlformats.org/officeDocument/2006/relationships/hyperlink" Target="http://www.medicareaustralia.gov.au/provider/pbs/stats.jsp" TargetMode="External"/><Relationship Id="rId4" Type="http://schemas.openxmlformats.org/officeDocument/2006/relationships/hyperlink" Target="https://www.cysticfibrosis.org.au/treat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40%20-%20Cystic%20fibrosis%20review\D1640%20Cystic%20fibrosis%20review%20outputs%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40%20-%20Cystic%20fibrosis%20review\D1640%20Cystic%20fibrosis%20review%20outputs%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40%20-%20Cystic%20fibrosis%20review\D1640%20Cystic%20fibrosis%20review%20outputs%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40%20-%20Cystic%20fibrosis%20review\D1640%20Cystic%20fibrosis%20review%20outputs%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40%20-%20Cystic%20fibrosis%20review\D1640%20Cystic%20fibrosis%20review%20outputs%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40%20-%20Cystic%20fibrosis%20review\D1640%20Cystic%20fibrosis%20review%20outputs%202025.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[D1640 Cystic fibrosis review outputs 2025.xlsx]Sheet1!PivotTable2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Sheet1!$B$3:$B$4</c:f>
              <c:strCache>
                <c:ptCount val="1"/>
                <c:pt idx="0">
                  <c:v>IVACAFTOR</c:v>
                </c:pt>
              </c:strCache>
            </c:strRef>
          </c:tx>
          <c:spPr>
            <a:solidFill>
              <a:schemeClr val="accent1">
                <a:lumMod val="60000"/>
                <a:lumOff val="40000"/>
              </a:schemeClr>
            </a:solidFill>
            <a:ln>
              <a:noFill/>
            </a:ln>
            <a:effectLst/>
          </c:spPr>
          <c:cat>
            <c:strRef>
              <c:f>Sheet1!$A$5:$A$48</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Sheet1!$B$5:$B$48</c:f>
              <c:numCache>
                <c:formatCode>General</c:formatCode>
                <c:ptCount val="43"/>
                <c:pt idx="0">
                  <c:v>68</c:v>
                </c:pt>
                <c:pt idx="1">
                  <c:v>191</c:v>
                </c:pt>
                <c:pt idx="2">
                  <c:v>210</c:v>
                </c:pt>
                <c:pt idx="3">
                  <c:v>215</c:v>
                </c:pt>
                <c:pt idx="4">
                  <c:v>220</c:v>
                </c:pt>
                <c:pt idx="5">
                  <c:v>214</c:v>
                </c:pt>
                <c:pt idx="6">
                  <c:v>215</c:v>
                </c:pt>
                <c:pt idx="7">
                  <c:v>222</c:v>
                </c:pt>
                <c:pt idx="8">
                  <c:v>221</c:v>
                </c:pt>
                <c:pt idx="9">
                  <c:v>210</c:v>
                </c:pt>
                <c:pt idx="10">
                  <c:v>238</c:v>
                </c:pt>
                <c:pt idx="11">
                  <c:v>238</c:v>
                </c:pt>
                <c:pt idx="12">
                  <c:v>253</c:v>
                </c:pt>
                <c:pt idx="13">
                  <c:v>246</c:v>
                </c:pt>
                <c:pt idx="14">
                  <c:v>254</c:v>
                </c:pt>
                <c:pt idx="15">
                  <c:v>253</c:v>
                </c:pt>
                <c:pt idx="16">
                  <c:v>252</c:v>
                </c:pt>
                <c:pt idx="17">
                  <c:v>261</c:v>
                </c:pt>
                <c:pt idx="18">
                  <c:v>258</c:v>
                </c:pt>
                <c:pt idx="19">
                  <c:v>268</c:v>
                </c:pt>
                <c:pt idx="20">
                  <c:v>256</c:v>
                </c:pt>
                <c:pt idx="21">
                  <c:v>266</c:v>
                </c:pt>
                <c:pt idx="22">
                  <c:v>260</c:v>
                </c:pt>
                <c:pt idx="23">
                  <c:v>265</c:v>
                </c:pt>
                <c:pt idx="24">
                  <c:v>264</c:v>
                </c:pt>
                <c:pt idx="25">
                  <c:v>267</c:v>
                </c:pt>
                <c:pt idx="26">
                  <c:v>260</c:v>
                </c:pt>
                <c:pt idx="27">
                  <c:v>263</c:v>
                </c:pt>
                <c:pt idx="28">
                  <c:v>260</c:v>
                </c:pt>
                <c:pt idx="29">
                  <c:v>257</c:v>
                </c:pt>
                <c:pt idx="30">
                  <c:v>222</c:v>
                </c:pt>
                <c:pt idx="31">
                  <c:v>152</c:v>
                </c:pt>
                <c:pt idx="32">
                  <c:v>140</c:v>
                </c:pt>
                <c:pt idx="33">
                  <c:v>138</c:v>
                </c:pt>
                <c:pt idx="34">
                  <c:v>130</c:v>
                </c:pt>
                <c:pt idx="35">
                  <c:v>113</c:v>
                </c:pt>
                <c:pt idx="36">
                  <c:v>109</c:v>
                </c:pt>
                <c:pt idx="37">
                  <c:v>102</c:v>
                </c:pt>
                <c:pt idx="38">
                  <c:v>114</c:v>
                </c:pt>
                <c:pt idx="39">
                  <c:v>127</c:v>
                </c:pt>
                <c:pt idx="40">
                  <c:v>117</c:v>
                </c:pt>
                <c:pt idx="41">
                  <c:v>123</c:v>
                </c:pt>
                <c:pt idx="42">
                  <c:v>126</c:v>
                </c:pt>
              </c:numCache>
            </c:numRef>
          </c:val>
          <c:extLst>
            <c:ext xmlns:c16="http://schemas.microsoft.com/office/drawing/2014/chart" uri="{C3380CC4-5D6E-409C-BE32-E72D297353CC}">
              <c16:uniqueId val="{00000000-69C9-41A9-890C-2985D377E0CE}"/>
            </c:ext>
          </c:extLst>
        </c:ser>
        <c:ser>
          <c:idx val="1"/>
          <c:order val="1"/>
          <c:tx>
            <c:strRef>
              <c:f>Sheet1!$C$3:$C$4</c:f>
              <c:strCache>
                <c:ptCount val="1"/>
                <c:pt idx="0">
                  <c:v>LUM/IVA</c:v>
                </c:pt>
              </c:strCache>
            </c:strRef>
          </c:tx>
          <c:spPr>
            <a:solidFill>
              <a:schemeClr val="accent2">
                <a:lumMod val="60000"/>
                <a:lumOff val="40000"/>
              </a:schemeClr>
            </a:solidFill>
            <a:ln>
              <a:noFill/>
            </a:ln>
            <a:effectLst/>
          </c:spPr>
          <c:cat>
            <c:strRef>
              <c:f>Sheet1!$A$5:$A$48</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Sheet1!$C$5:$C$48</c:f>
              <c:numCache>
                <c:formatCode>General</c:formatCode>
                <c:ptCount val="43"/>
                <c:pt idx="16">
                  <c:v>595</c:v>
                </c:pt>
                <c:pt idx="17">
                  <c:v>762</c:v>
                </c:pt>
                <c:pt idx="18">
                  <c:v>799</c:v>
                </c:pt>
                <c:pt idx="19">
                  <c:v>817</c:v>
                </c:pt>
                <c:pt idx="20">
                  <c:v>797</c:v>
                </c:pt>
                <c:pt idx="21">
                  <c:v>758</c:v>
                </c:pt>
                <c:pt idx="22">
                  <c:v>664</c:v>
                </c:pt>
                <c:pt idx="23">
                  <c:v>651</c:v>
                </c:pt>
                <c:pt idx="24">
                  <c:v>646</c:v>
                </c:pt>
                <c:pt idx="25">
                  <c:v>620</c:v>
                </c:pt>
                <c:pt idx="26">
                  <c:v>605</c:v>
                </c:pt>
                <c:pt idx="27">
                  <c:v>607</c:v>
                </c:pt>
                <c:pt idx="28">
                  <c:v>587</c:v>
                </c:pt>
                <c:pt idx="29">
                  <c:v>574</c:v>
                </c:pt>
                <c:pt idx="30">
                  <c:v>501</c:v>
                </c:pt>
                <c:pt idx="31">
                  <c:v>379</c:v>
                </c:pt>
                <c:pt idx="32">
                  <c:v>330</c:v>
                </c:pt>
                <c:pt idx="33">
                  <c:v>327</c:v>
                </c:pt>
                <c:pt idx="34">
                  <c:v>298</c:v>
                </c:pt>
                <c:pt idx="35">
                  <c:v>172</c:v>
                </c:pt>
                <c:pt idx="36">
                  <c:v>148</c:v>
                </c:pt>
                <c:pt idx="37">
                  <c:v>174</c:v>
                </c:pt>
                <c:pt idx="38">
                  <c:v>163</c:v>
                </c:pt>
                <c:pt idx="39">
                  <c:v>147</c:v>
                </c:pt>
                <c:pt idx="40">
                  <c:v>75</c:v>
                </c:pt>
                <c:pt idx="41">
                  <c:v>54</c:v>
                </c:pt>
                <c:pt idx="42">
                  <c:v>45</c:v>
                </c:pt>
              </c:numCache>
            </c:numRef>
          </c:val>
          <c:extLst>
            <c:ext xmlns:c16="http://schemas.microsoft.com/office/drawing/2014/chart" uri="{C3380CC4-5D6E-409C-BE32-E72D297353CC}">
              <c16:uniqueId val="{00000001-69C9-41A9-890C-2985D377E0CE}"/>
            </c:ext>
          </c:extLst>
        </c:ser>
        <c:ser>
          <c:idx val="2"/>
          <c:order val="2"/>
          <c:tx>
            <c:strRef>
              <c:f>Sheet1!$D$3:$D$4</c:f>
              <c:strCache>
                <c:ptCount val="1"/>
                <c:pt idx="0">
                  <c:v>TEZ/IVA</c:v>
                </c:pt>
              </c:strCache>
            </c:strRef>
          </c:tx>
          <c:spPr>
            <a:solidFill>
              <a:schemeClr val="accent3">
                <a:lumMod val="60000"/>
                <a:lumOff val="40000"/>
              </a:schemeClr>
            </a:solidFill>
            <a:ln>
              <a:noFill/>
            </a:ln>
            <a:effectLst/>
          </c:spPr>
          <c:cat>
            <c:strRef>
              <c:f>Sheet1!$A$5:$A$48</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Sheet1!$D$5:$D$48</c:f>
              <c:numCache>
                <c:formatCode>General</c:formatCode>
                <c:ptCount val="43"/>
                <c:pt idx="20">
                  <c:v>130</c:v>
                </c:pt>
                <c:pt idx="21">
                  <c:v>454</c:v>
                </c:pt>
                <c:pt idx="22">
                  <c:v>517</c:v>
                </c:pt>
                <c:pt idx="23">
                  <c:v>563</c:v>
                </c:pt>
                <c:pt idx="24">
                  <c:v>583</c:v>
                </c:pt>
                <c:pt idx="25">
                  <c:v>600</c:v>
                </c:pt>
                <c:pt idx="26">
                  <c:v>604</c:v>
                </c:pt>
                <c:pt idx="27">
                  <c:v>619</c:v>
                </c:pt>
                <c:pt idx="28">
                  <c:v>614</c:v>
                </c:pt>
                <c:pt idx="29">
                  <c:v>624</c:v>
                </c:pt>
                <c:pt idx="30">
                  <c:v>417</c:v>
                </c:pt>
                <c:pt idx="31">
                  <c:v>93</c:v>
                </c:pt>
                <c:pt idx="32">
                  <c:v>69</c:v>
                </c:pt>
                <c:pt idx="33">
                  <c:v>50</c:v>
                </c:pt>
                <c:pt idx="34">
                  <c:v>44</c:v>
                </c:pt>
                <c:pt idx="35">
                  <c:v>39</c:v>
                </c:pt>
                <c:pt idx="36">
                  <c:v>38</c:v>
                </c:pt>
                <c:pt idx="37">
                  <c:v>32</c:v>
                </c:pt>
                <c:pt idx="38">
                  <c:v>36</c:v>
                </c:pt>
                <c:pt idx="39">
                  <c:v>36</c:v>
                </c:pt>
                <c:pt idx="40">
                  <c:v>37</c:v>
                </c:pt>
                <c:pt idx="41">
                  <c:v>39</c:v>
                </c:pt>
                <c:pt idx="42">
                  <c:v>38</c:v>
                </c:pt>
              </c:numCache>
            </c:numRef>
          </c:val>
          <c:extLst>
            <c:ext xmlns:c16="http://schemas.microsoft.com/office/drawing/2014/chart" uri="{C3380CC4-5D6E-409C-BE32-E72D297353CC}">
              <c16:uniqueId val="{00000002-69C9-41A9-890C-2985D377E0CE}"/>
            </c:ext>
          </c:extLst>
        </c:ser>
        <c:ser>
          <c:idx val="3"/>
          <c:order val="3"/>
          <c:tx>
            <c:strRef>
              <c:f>Sheet1!$E$3:$E$4</c:f>
              <c:strCache>
                <c:ptCount val="1"/>
                <c:pt idx="0">
                  <c:v>ELX/TEZ/IVA</c:v>
                </c:pt>
              </c:strCache>
            </c:strRef>
          </c:tx>
          <c:spPr>
            <a:solidFill>
              <a:schemeClr val="accent4">
                <a:lumMod val="60000"/>
                <a:lumOff val="40000"/>
              </a:schemeClr>
            </a:solidFill>
            <a:ln>
              <a:noFill/>
            </a:ln>
            <a:effectLst/>
          </c:spPr>
          <c:cat>
            <c:strRef>
              <c:f>Sheet1!$A$5:$A$48</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Sheet1!$E$5:$E$48</c:f>
              <c:numCache>
                <c:formatCode>General</c:formatCode>
                <c:ptCount val="43"/>
                <c:pt idx="30">
                  <c:v>1480</c:v>
                </c:pt>
                <c:pt idx="31">
                  <c:v>1868</c:v>
                </c:pt>
                <c:pt idx="32">
                  <c:v>1938</c:v>
                </c:pt>
                <c:pt idx="33">
                  <c:v>1958</c:v>
                </c:pt>
                <c:pt idx="34">
                  <c:v>2268</c:v>
                </c:pt>
                <c:pt idx="35">
                  <c:v>2329</c:v>
                </c:pt>
                <c:pt idx="36">
                  <c:v>2373</c:v>
                </c:pt>
                <c:pt idx="37">
                  <c:v>2188</c:v>
                </c:pt>
                <c:pt idx="38">
                  <c:v>2282</c:v>
                </c:pt>
                <c:pt idx="39">
                  <c:v>2466</c:v>
                </c:pt>
                <c:pt idx="40">
                  <c:v>2606</c:v>
                </c:pt>
                <c:pt idx="41">
                  <c:v>2560</c:v>
                </c:pt>
                <c:pt idx="42">
                  <c:v>2662</c:v>
                </c:pt>
              </c:numCache>
            </c:numRef>
          </c:val>
          <c:extLst>
            <c:ext xmlns:c16="http://schemas.microsoft.com/office/drawing/2014/chart" uri="{C3380CC4-5D6E-409C-BE32-E72D297353CC}">
              <c16:uniqueId val="{00000003-69C9-41A9-890C-2985D377E0CE}"/>
            </c:ext>
          </c:extLst>
        </c:ser>
        <c:dLbls>
          <c:showLegendKey val="0"/>
          <c:showVal val="0"/>
          <c:showCatName val="0"/>
          <c:showSerName val="0"/>
          <c:showPercent val="0"/>
          <c:showBubbleSize val="0"/>
        </c:dLbls>
        <c:axId val="1023527616"/>
        <c:axId val="1023531216"/>
      </c:areaChart>
      <c:lineChart>
        <c:grouping val="stacked"/>
        <c:varyColors val="0"/>
        <c:ser>
          <c:idx val="4"/>
          <c:order val="4"/>
          <c:tx>
            <c:strRef>
              <c:f>Sheet1!$F$3:$F$4</c:f>
              <c:strCache>
                <c:ptCount val="1"/>
                <c:pt idx="0">
                  <c:v>TOTAL</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Sheet1!$A$5:$A$48</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Sheet1!$F$5:$F$48</c:f>
              <c:numCache>
                <c:formatCode>General</c:formatCode>
                <c:ptCount val="43"/>
                <c:pt idx="0">
                  <c:v>68</c:v>
                </c:pt>
                <c:pt idx="1">
                  <c:v>191</c:v>
                </c:pt>
                <c:pt idx="2">
                  <c:v>210</c:v>
                </c:pt>
                <c:pt idx="3">
                  <c:v>215</c:v>
                </c:pt>
                <c:pt idx="4">
                  <c:v>220</c:v>
                </c:pt>
                <c:pt idx="5">
                  <c:v>214</c:v>
                </c:pt>
                <c:pt idx="6">
                  <c:v>215</c:v>
                </c:pt>
                <c:pt idx="7">
                  <c:v>222</c:v>
                </c:pt>
                <c:pt idx="8">
                  <c:v>221</c:v>
                </c:pt>
                <c:pt idx="9">
                  <c:v>210</c:v>
                </c:pt>
                <c:pt idx="10">
                  <c:v>238</c:v>
                </c:pt>
                <c:pt idx="11">
                  <c:v>238</c:v>
                </c:pt>
                <c:pt idx="12">
                  <c:v>253</c:v>
                </c:pt>
                <c:pt idx="13">
                  <c:v>246</c:v>
                </c:pt>
                <c:pt idx="14">
                  <c:v>254</c:v>
                </c:pt>
                <c:pt idx="15">
                  <c:v>253</c:v>
                </c:pt>
                <c:pt idx="16">
                  <c:v>847</c:v>
                </c:pt>
                <c:pt idx="17">
                  <c:v>1023</c:v>
                </c:pt>
                <c:pt idx="18">
                  <c:v>1057</c:v>
                </c:pt>
                <c:pt idx="19">
                  <c:v>1085</c:v>
                </c:pt>
                <c:pt idx="20">
                  <c:v>1150</c:v>
                </c:pt>
                <c:pt idx="21">
                  <c:v>1408</c:v>
                </c:pt>
                <c:pt idx="22">
                  <c:v>1418</c:v>
                </c:pt>
                <c:pt idx="23">
                  <c:v>1457</c:v>
                </c:pt>
                <c:pt idx="24">
                  <c:v>1477</c:v>
                </c:pt>
                <c:pt idx="25">
                  <c:v>1476</c:v>
                </c:pt>
                <c:pt idx="26">
                  <c:v>1464</c:v>
                </c:pt>
                <c:pt idx="27">
                  <c:v>1483</c:v>
                </c:pt>
                <c:pt idx="28">
                  <c:v>1453</c:v>
                </c:pt>
                <c:pt idx="29">
                  <c:v>1448</c:v>
                </c:pt>
                <c:pt idx="30">
                  <c:v>2227</c:v>
                </c:pt>
                <c:pt idx="31">
                  <c:v>2396</c:v>
                </c:pt>
                <c:pt idx="32">
                  <c:v>2449</c:v>
                </c:pt>
                <c:pt idx="33">
                  <c:v>2458</c:v>
                </c:pt>
                <c:pt idx="34">
                  <c:v>2614</c:v>
                </c:pt>
                <c:pt idx="35">
                  <c:v>2621</c:v>
                </c:pt>
                <c:pt idx="36">
                  <c:v>2661</c:v>
                </c:pt>
                <c:pt idx="37">
                  <c:v>2486</c:v>
                </c:pt>
                <c:pt idx="38">
                  <c:v>2589</c:v>
                </c:pt>
                <c:pt idx="39">
                  <c:v>2686</c:v>
                </c:pt>
                <c:pt idx="40">
                  <c:v>2809</c:v>
                </c:pt>
                <c:pt idx="41">
                  <c:v>2762</c:v>
                </c:pt>
                <c:pt idx="42">
                  <c:v>2860</c:v>
                </c:pt>
              </c:numCache>
            </c:numRef>
          </c:val>
          <c:smooth val="0"/>
          <c:extLst>
            <c:ext xmlns:c16="http://schemas.microsoft.com/office/drawing/2014/chart" uri="{C3380CC4-5D6E-409C-BE32-E72D297353CC}">
              <c16:uniqueId val="{00000004-69C9-41A9-890C-2985D377E0CE}"/>
            </c:ext>
          </c:extLst>
        </c:ser>
        <c:dLbls>
          <c:showLegendKey val="0"/>
          <c:showVal val="0"/>
          <c:showCatName val="0"/>
          <c:showSerName val="0"/>
          <c:showPercent val="0"/>
          <c:showBubbleSize val="0"/>
        </c:dLbls>
        <c:marker val="1"/>
        <c:smooth val="0"/>
        <c:axId val="1023527616"/>
        <c:axId val="1023531216"/>
      </c:lineChart>
      <c:catAx>
        <c:axId val="1023527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531216"/>
        <c:crosses val="autoZero"/>
        <c:auto val="1"/>
        <c:lblAlgn val="ctr"/>
        <c:lblOffset val="100"/>
        <c:noMultiLvlLbl val="0"/>
      </c:catAx>
      <c:valAx>
        <c:axId val="1023531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52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[D1640 Cystic fibrosis review outputs 2025.xlsx]init drug over time!PivotTable1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'init drug over time'!$O$1:$O$2</c:f>
              <c:strCache>
                <c:ptCount val="1"/>
                <c:pt idx="0">
                  <c:v>ELX/TEZ/IVA</c:v>
                </c:pt>
              </c:strCache>
            </c:strRef>
          </c:tx>
          <c:spPr>
            <a:ln w="28575" cap="rnd">
              <a:solidFill>
                <a:schemeClr val="accent1"/>
              </a:solidFill>
              <a:round/>
            </a:ln>
            <a:effectLst/>
          </c:spPr>
          <c:marker>
            <c:symbol val="none"/>
          </c:marker>
          <c:cat>
            <c:strRef>
              <c:f>'init drug over time'!$N$3:$N$15</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'init drug over time'!$O$3:$O$15</c:f>
              <c:numCache>
                <c:formatCode>General</c:formatCode>
                <c:ptCount val="12"/>
                <c:pt idx="8">
                  <c:v>769</c:v>
                </c:pt>
                <c:pt idx="9">
                  <c:v>290</c:v>
                </c:pt>
                <c:pt idx="10">
                  <c:v>209</c:v>
                </c:pt>
                <c:pt idx="11">
                  <c:v>61</c:v>
                </c:pt>
              </c:numCache>
            </c:numRef>
          </c:val>
          <c:smooth val="0"/>
          <c:extLst>
            <c:ext xmlns:c16="http://schemas.microsoft.com/office/drawing/2014/chart" uri="{C3380CC4-5D6E-409C-BE32-E72D297353CC}">
              <c16:uniqueId val="{00000000-8371-4983-B87A-5622C7A059D5}"/>
            </c:ext>
          </c:extLst>
        </c:ser>
        <c:ser>
          <c:idx val="1"/>
          <c:order val="1"/>
          <c:tx>
            <c:strRef>
              <c:f>'init drug over time'!$P$1:$P$2</c:f>
              <c:strCache>
                <c:ptCount val="1"/>
                <c:pt idx="0">
                  <c:v>IVACAFTOR</c:v>
                </c:pt>
              </c:strCache>
            </c:strRef>
          </c:tx>
          <c:spPr>
            <a:ln w="28575" cap="rnd">
              <a:solidFill>
                <a:schemeClr val="accent2"/>
              </a:solidFill>
              <a:round/>
            </a:ln>
            <a:effectLst/>
          </c:spPr>
          <c:marker>
            <c:symbol val="none"/>
          </c:marker>
          <c:cat>
            <c:strRef>
              <c:f>'init drug over time'!$N$3:$N$15</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'init drug over time'!$P$3:$P$15</c:f>
              <c:numCache>
                <c:formatCode>General</c:formatCode>
                <c:ptCount val="12"/>
                <c:pt idx="0">
                  <c:v>68</c:v>
                </c:pt>
                <c:pt idx="1">
                  <c:v>158</c:v>
                </c:pt>
                <c:pt idx="2">
                  <c:v>8</c:v>
                </c:pt>
                <c:pt idx="3">
                  <c:v>35</c:v>
                </c:pt>
                <c:pt idx="4">
                  <c:v>10</c:v>
                </c:pt>
                <c:pt idx="5">
                  <c:v>10</c:v>
                </c:pt>
                <c:pt idx="6">
                  <c:v>11</c:v>
                </c:pt>
                <c:pt idx="7">
                  <c:v>9</c:v>
                </c:pt>
                <c:pt idx="8">
                  <c:v>7</c:v>
                </c:pt>
                <c:pt idx="9">
                  <c:v>9</c:v>
                </c:pt>
                <c:pt idx="10">
                  <c:v>40</c:v>
                </c:pt>
                <c:pt idx="11">
                  <c:v>13</c:v>
                </c:pt>
              </c:numCache>
            </c:numRef>
          </c:val>
          <c:smooth val="0"/>
          <c:extLst>
            <c:ext xmlns:c16="http://schemas.microsoft.com/office/drawing/2014/chart" uri="{C3380CC4-5D6E-409C-BE32-E72D297353CC}">
              <c16:uniqueId val="{00000001-8371-4983-B87A-5622C7A059D5}"/>
            </c:ext>
          </c:extLst>
        </c:ser>
        <c:ser>
          <c:idx val="2"/>
          <c:order val="2"/>
          <c:tx>
            <c:strRef>
              <c:f>'init drug over time'!$Q$1:$Q$2</c:f>
              <c:strCache>
                <c:ptCount val="1"/>
                <c:pt idx="0">
                  <c:v>LUM/IVA</c:v>
                </c:pt>
              </c:strCache>
            </c:strRef>
          </c:tx>
          <c:spPr>
            <a:ln w="28575" cap="rnd">
              <a:solidFill>
                <a:schemeClr val="accent3"/>
              </a:solidFill>
              <a:round/>
            </a:ln>
            <a:effectLst/>
          </c:spPr>
          <c:marker>
            <c:symbol val="none"/>
          </c:marker>
          <c:cat>
            <c:strRef>
              <c:f>'init drug over time'!$N$3:$N$15</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'init drug over time'!$Q$3:$Q$15</c:f>
              <c:numCache>
                <c:formatCode>General</c:formatCode>
                <c:ptCount val="12"/>
                <c:pt idx="4">
                  <c:v>595</c:v>
                </c:pt>
                <c:pt idx="5">
                  <c:v>382</c:v>
                </c:pt>
                <c:pt idx="6">
                  <c:v>165</c:v>
                </c:pt>
                <c:pt idx="7">
                  <c:v>57</c:v>
                </c:pt>
                <c:pt idx="8">
                  <c:v>54</c:v>
                </c:pt>
                <c:pt idx="9">
                  <c:v>42</c:v>
                </c:pt>
                <c:pt idx="10">
                  <c:v>53</c:v>
                </c:pt>
                <c:pt idx="11">
                  <c:v>14</c:v>
                </c:pt>
              </c:numCache>
            </c:numRef>
          </c:val>
          <c:smooth val="0"/>
          <c:extLst>
            <c:ext xmlns:c16="http://schemas.microsoft.com/office/drawing/2014/chart" uri="{C3380CC4-5D6E-409C-BE32-E72D297353CC}">
              <c16:uniqueId val="{00000002-8371-4983-B87A-5622C7A059D5}"/>
            </c:ext>
          </c:extLst>
        </c:ser>
        <c:ser>
          <c:idx val="3"/>
          <c:order val="3"/>
          <c:tx>
            <c:strRef>
              <c:f>'init drug over time'!$R$1:$R$2</c:f>
              <c:strCache>
                <c:ptCount val="1"/>
                <c:pt idx="0">
                  <c:v>TEZ/IVA</c:v>
                </c:pt>
              </c:strCache>
            </c:strRef>
          </c:tx>
          <c:spPr>
            <a:ln w="28575" cap="rnd">
              <a:solidFill>
                <a:schemeClr val="accent4"/>
              </a:solidFill>
              <a:round/>
            </a:ln>
            <a:effectLst/>
          </c:spPr>
          <c:marker>
            <c:symbol val="none"/>
          </c:marker>
          <c:cat>
            <c:strRef>
              <c:f>'init drug over time'!$N$3:$N$15</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'init drug over time'!$R$3:$R$15</c:f>
              <c:numCache>
                <c:formatCode>General</c:formatCode>
                <c:ptCount val="12"/>
                <c:pt idx="5">
                  <c:v>64</c:v>
                </c:pt>
                <c:pt idx="6">
                  <c:v>266</c:v>
                </c:pt>
                <c:pt idx="7">
                  <c:v>60</c:v>
                </c:pt>
                <c:pt idx="8">
                  <c:v>19</c:v>
                </c:pt>
                <c:pt idx="9">
                  <c:v>5</c:v>
                </c:pt>
                <c:pt idx="10">
                  <c:v>5</c:v>
                </c:pt>
                <c:pt idx="11">
                  <c:v>5</c:v>
                </c:pt>
              </c:numCache>
            </c:numRef>
          </c:val>
          <c:smooth val="0"/>
          <c:extLst>
            <c:ext xmlns:c16="http://schemas.microsoft.com/office/drawing/2014/chart" uri="{C3380CC4-5D6E-409C-BE32-E72D297353CC}">
              <c16:uniqueId val="{00000003-8371-4983-B87A-5622C7A059D5}"/>
            </c:ext>
          </c:extLst>
        </c:ser>
        <c:dLbls>
          <c:showLegendKey val="0"/>
          <c:showVal val="0"/>
          <c:showCatName val="0"/>
          <c:showSerName val="0"/>
          <c:showPercent val="0"/>
          <c:showBubbleSize val="0"/>
        </c:dLbls>
        <c:smooth val="0"/>
        <c:axId val="1064202504"/>
        <c:axId val="1064208264"/>
      </c:lineChart>
      <c:catAx>
        <c:axId val="1064202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208264"/>
        <c:crosses val="autoZero"/>
        <c:auto val="1"/>
        <c:lblAlgn val="ctr"/>
        <c:lblOffset val="100"/>
        <c:noMultiLvlLbl val="0"/>
      </c:catAx>
      <c:valAx>
        <c:axId val="1064208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first</a:t>
                </a:r>
                <a:r>
                  <a:rPr lang="en-AU"/>
                  <a:t> time 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202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[D1640 Cystic fibrosis review outputs 2025.xlsx]counts drug qtr!PivotTable1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'counts drug qtr'!$V$68:$V$69</c:f>
              <c:strCache>
                <c:ptCount val="1"/>
                <c:pt idx="0">
                  <c:v>IVACAFTOR</c:v>
                </c:pt>
              </c:strCache>
            </c:strRef>
          </c:tx>
          <c:spPr>
            <a:ln w="28575" cap="rnd">
              <a:solidFill>
                <a:schemeClr val="accent1"/>
              </a:solidFill>
              <a:round/>
            </a:ln>
            <a:effectLst/>
          </c:spPr>
          <c:marker>
            <c:symbol val="none"/>
          </c:marker>
          <c:cat>
            <c:strRef>
              <c:f>'counts drug qtr'!$U$70:$U$113</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'counts drug qtr'!$V$70:$V$113</c:f>
              <c:numCache>
                <c:formatCode>General</c:formatCode>
                <c:ptCount val="43"/>
                <c:pt idx="0">
                  <c:v>72</c:v>
                </c:pt>
                <c:pt idx="1">
                  <c:v>510</c:v>
                </c:pt>
                <c:pt idx="2">
                  <c:v>587</c:v>
                </c:pt>
                <c:pt idx="3">
                  <c:v>621</c:v>
                </c:pt>
                <c:pt idx="4">
                  <c:v>636</c:v>
                </c:pt>
                <c:pt idx="5">
                  <c:v>592</c:v>
                </c:pt>
                <c:pt idx="6">
                  <c:v>580</c:v>
                </c:pt>
                <c:pt idx="7">
                  <c:v>606</c:v>
                </c:pt>
                <c:pt idx="8">
                  <c:v>650</c:v>
                </c:pt>
                <c:pt idx="9">
                  <c:v>556</c:v>
                </c:pt>
                <c:pt idx="10">
                  <c:v>653</c:v>
                </c:pt>
                <c:pt idx="11">
                  <c:v>660</c:v>
                </c:pt>
                <c:pt idx="12">
                  <c:v>733</c:v>
                </c:pt>
                <c:pt idx="13">
                  <c:v>670</c:v>
                </c:pt>
                <c:pt idx="14">
                  <c:v>693</c:v>
                </c:pt>
                <c:pt idx="15">
                  <c:v>684</c:v>
                </c:pt>
                <c:pt idx="16">
                  <c:v>727</c:v>
                </c:pt>
                <c:pt idx="17">
                  <c:v>739</c:v>
                </c:pt>
                <c:pt idx="18">
                  <c:v>718</c:v>
                </c:pt>
                <c:pt idx="19">
                  <c:v>749</c:v>
                </c:pt>
                <c:pt idx="20">
                  <c:v>777</c:v>
                </c:pt>
                <c:pt idx="21">
                  <c:v>744</c:v>
                </c:pt>
                <c:pt idx="22">
                  <c:v>737</c:v>
                </c:pt>
                <c:pt idx="23">
                  <c:v>739</c:v>
                </c:pt>
                <c:pt idx="24">
                  <c:v>811</c:v>
                </c:pt>
                <c:pt idx="25">
                  <c:v>720</c:v>
                </c:pt>
                <c:pt idx="26">
                  <c:v>721</c:v>
                </c:pt>
                <c:pt idx="27">
                  <c:v>778</c:v>
                </c:pt>
                <c:pt idx="28">
                  <c:v>755</c:v>
                </c:pt>
                <c:pt idx="29">
                  <c:v>692</c:v>
                </c:pt>
                <c:pt idx="30">
                  <c:v>588</c:v>
                </c:pt>
                <c:pt idx="31">
                  <c:v>408</c:v>
                </c:pt>
                <c:pt idx="32">
                  <c:v>407</c:v>
                </c:pt>
                <c:pt idx="33">
                  <c:v>384</c:v>
                </c:pt>
                <c:pt idx="34">
                  <c:v>371</c:v>
                </c:pt>
                <c:pt idx="35">
                  <c:v>328</c:v>
                </c:pt>
                <c:pt idx="36">
                  <c:v>317</c:v>
                </c:pt>
                <c:pt idx="37">
                  <c:v>269</c:v>
                </c:pt>
                <c:pt idx="38">
                  <c:v>315</c:v>
                </c:pt>
                <c:pt idx="39">
                  <c:v>320</c:v>
                </c:pt>
                <c:pt idx="40">
                  <c:v>334</c:v>
                </c:pt>
                <c:pt idx="41">
                  <c:v>325</c:v>
                </c:pt>
                <c:pt idx="42">
                  <c:v>335</c:v>
                </c:pt>
              </c:numCache>
            </c:numRef>
          </c:val>
          <c:smooth val="0"/>
          <c:extLst>
            <c:ext xmlns:c16="http://schemas.microsoft.com/office/drawing/2014/chart" uri="{C3380CC4-5D6E-409C-BE32-E72D297353CC}">
              <c16:uniqueId val="{00000000-EA2C-442E-89B2-666A89F0AE6A}"/>
            </c:ext>
          </c:extLst>
        </c:ser>
        <c:ser>
          <c:idx val="1"/>
          <c:order val="1"/>
          <c:tx>
            <c:strRef>
              <c:f>'counts drug qtr'!$W$68:$W$69</c:f>
              <c:strCache>
                <c:ptCount val="1"/>
                <c:pt idx="0">
                  <c:v>LUM/IVA</c:v>
                </c:pt>
              </c:strCache>
            </c:strRef>
          </c:tx>
          <c:spPr>
            <a:ln w="28575" cap="rnd">
              <a:solidFill>
                <a:schemeClr val="accent2"/>
              </a:solidFill>
              <a:round/>
            </a:ln>
            <a:effectLst/>
          </c:spPr>
          <c:marker>
            <c:symbol val="none"/>
          </c:marker>
          <c:cat>
            <c:strRef>
              <c:f>'counts drug qtr'!$U$70:$U$113</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'counts drug qtr'!$W$70:$W$113</c:f>
              <c:numCache>
                <c:formatCode>General</c:formatCode>
                <c:ptCount val="43"/>
                <c:pt idx="16">
                  <c:v>1266</c:v>
                </c:pt>
                <c:pt idx="17">
                  <c:v>2112</c:v>
                </c:pt>
                <c:pt idx="18">
                  <c:v>2209</c:v>
                </c:pt>
                <c:pt idx="19">
                  <c:v>2333</c:v>
                </c:pt>
                <c:pt idx="20">
                  <c:v>2331</c:v>
                </c:pt>
                <c:pt idx="21">
                  <c:v>2053</c:v>
                </c:pt>
                <c:pt idx="22">
                  <c:v>1860</c:v>
                </c:pt>
                <c:pt idx="23">
                  <c:v>1863</c:v>
                </c:pt>
                <c:pt idx="24">
                  <c:v>2008</c:v>
                </c:pt>
                <c:pt idx="25">
                  <c:v>1651</c:v>
                </c:pt>
                <c:pt idx="26">
                  <c:v>1733</c:v>
                </c:pt>
                <c:pt idx="27">
                  <c:v>1887</c:v>
                </c:pt>
                <c:pt idx="28">
                  <c:v>1740</c:v>
                </c:pt>
                <c:pt idx="29">
                  <c:v>1565</c:v>
                </c:pt>
                <c:pt idx="30">
                  <c:v>1322</c:v>
                </c:pt>
                <c:pt idx="31">
                  <c:v>1059</c:v>
                </c:pt>
                <c:pt idx="32">
                  <c:v>1018</c:v>
                </c:pt>
                <c:pt idx="33">
                  <c:v>941</c:v>
                </c:pt>
                <c:pt idx="34">
                  <c:v>701</c:v>
                </c:pt>
                <c:pt idx="35">
                  <c:v>456</c:v>
                </c:pt>
                <c:pt idx="36">
                  <c:v>445</c:v>
                </c:pt>
                <c:pt idx="37">
                  <c:v>461</c:v>
                </c:pt>
                <c:pt idx="38">
                  <c:v>487</c:v>
                </c:pt>
                <c:pt idx="39">
                  <c:v>347</c:v>
                </c:pt>
                <c:pt idx="40">
                  <c:v>204</c:v>
                </c:pt>
                <c:pt idx="41">
                  <c:v>132</c:v>
                </c:pt>
                <c:pt idx="42">
                  <c:v>121</c:v>
                </c:pt>
              </c:numCache>
            </c:numRef>
          </c:val>
          <c:smooth val="0"/>
          <c:extLst>
            <c:ext xmlns:c16="http://schemas.microsoft.com/office/drawing/2014/chart" uri="{C3380CC4-5D6E-409C-BE32-E72D297353CC}">
              <c16:uniqueId val="{00000001-EA2C-442E-89B2-666A89F0AE6A}"/>
            </c:ext>
          </c:extLst>
        </c:ser>
        <c:ser>
          <c:idx val="2"/>
          <c:order val="2"/>
          <c:tx>
            <c:strRef>
              <c:f>'counts drug qtr'!$X$68:$X$69</c:f>
              <c:strCache>
                <c:ptCount val="1"/>
                <c:pt idx="0">
                  <c:v>TEZ/IVA</c:v>
                </c:pt>
              </c:strCache>
            </c:strRef>
          </c:tx>
          <c:spPr>
            <a:ln w="28575" cap="rnd">
              <a:solidFill>
                <a:schemeClr val="accent3"/>
              </a:solidFill>
              <a:round/>
            </a:ln>
            <a:effectLst/>
          </c:spPr>
          <c:marker>
            <c:symbol val="none"/>
          </c:marker>
          <c:cat>
            <c:strRef>
              <c:f>'counts drug qtr'!$U$70:$U$113</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'counts drug qtr'!$X$70:$X$113</c:f>
              <c:numCache>
                <c:formatCode>General</c:formatCode>
                <c:ptCount val="43"/>
                <c:pt idx="20">
                  <c:v>157</c:v>
                </c:pt>
                <c:pt idx="21">
                  <c:v>1142</c:v>
                </c:pt>
                <c:pt idx="22">
                  <c:v>1408</c:v>
                </c:pt>
                <c:pt idx="23">
                  <c:v>1588</c:v>
                </c:pt>
                <c:pt idx="24">
                  <c:v>1700</c:v>
                </c:pt>
                <c:pt idx="25">
                  <c:v>1594</c:v>
                </c:pt>
                <c:pt idx="26">
                  <c:v>1664</c:v>
                </c:pt>
                <c:pt idx="27">
                  <c:v>1827</c:v>
                </c:pt>
                <c:pt idx="28">
                  <c:v>1843</c:v>
                </c:pt>
                <c:pt idx="29">
                  <c:v>1692</c:v>
                </c:pt>
                <c:pt idx="30">
                  <c:v>844</c:v>
                </c:pt>
                <c:pt idx="31">
                  <c:v>210</c:v>
                </c:pt>
                <c:pt idx="32">
                  <c:v>181</c:v>
                </c:pt>
                <c:pt idx="33">
                  <c:v>144</c:v>
                </c:pt>
                <c:pt idx="34">
                  <c:v>122</c:v>
                </c:pt>
                <c:pt idx="35">
                  <c:v>110</c:v>
                </c:pt>
                <c:pt idx="36">
                  <c:v>113</c:v>
                </c:pt>
                <c:pt idx="37">
                  <c:v>77</c:v>
                </c:pt>
                <c:pt idx="38">
                  <c:v>96</c:v>
                </c:pt>
                <c:pt idx="39">
                  <c:v>104</c:v>
                </c:pt>
                <c:pt idx="40">
                  <c:v>105</c:v>
                </c:pt>
                <c:pt idx="41">
                  <c:v>86</c:v>
                </c:pt>
                <c:pt idx="42">
                  <c:v>99</c:v>
                </c:pt>
              </c:numCache>
            </c:numRef>
          </c:val>
          <c:smooth val="0"/>
          <c:extLst>
            <c:ext xmlns:c16="http://schemas.microsoft.com/office/drawing/2014/chart" uri="{C3380CC4-5D6E-409C-BE32-E72D297353CC}">
              <c16:uniqueId val="{00000002-EA2C-442E-89B2-666A89F0AE6A}"/>
            </c:ext>
          </c:extLst>
        </c:ser>
        <c:ser>
          <c:idx val="3"/>
          <c:order val="3"/>
          <c:tx>
            <c:strRef>
              <c:f>'counts drug qtr'!$Y$68:$Y$69</c:f>
              <c:strCache>
                <c:ptCount val="1"/>
                <c:pt idx="0">
                  <c:v>ELX/TEZ/IVA</c:v>
                </c:pt>
              </c:strCache>
            </c:strRef>
          </c:tx>
          <c:spPr>
            <a:ln w="28575" cap="rnd">
              <a:solidFill>
                <a:schemeClr val="accent4"/>
              </a:solidFill>
              <a:round/>
            </a:ln>
            <a:effectLst/>
          </c:spPr>
          <c:marker>
            <c:symbol val="none"/>
          </c:marker>
          <c:cat>
            <c:strRef>
              <c:f>'counts drug qtr'!$U$70:$U$113</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'counts drug qtr'!$Y$70:$Y$113</c:f>
              <c:numCache>
                <c:formatCode>General</c:formatCode>
                <c:ptCount val="43"/>
                <c:pt idx="30">
                  <c:v>3482</c:v>
                </c:pt>
                <c:pt idx="31">
                  <c:v>5683</c:v>
                </c:pt>
                <c:pt idx="32">
                  <c:v>5994</c:v>
                </c:pt>
                <c:pt idx="33">
                  <c:v>5715</c:v>
                </c:pt>
                <c:pt idx="34">
                  <c:v>6605</c:v>
                </c:pt>
                <c:pt idx="35">
                  <c:v>6874</c:v>
                </c:pt>
                <c:pt idx="36">
                  <c:v>7250</c:v>
                </c:pt>
                <c:pt idx="37">
                  <c:v>5871</c:v>
                </c:pt>
                <c:pt idx="38">
                  <c:v>6593</c:v>
                </c:pt>
                <c:pt idx="39">
                  <c:v>6839</c:v>
                </c:pt>
                <c:pt idx="40">
                  <c:v>7786</c:v>
                </c:pt>
                <c:pt idx="41">
                  <c:v>7155</c:v>
                </c:pt>
                <c:pt idx="42">
                  <c:v>7492</c:v>
                </c:pt>
              </c:numCache>
            </c:numRef>
          </c:val>
          <c:smooth val="0"/>
          <c:extLst>
            <c:ext xmlns:c16="http://schemas.microsoft.com/office/drawing/2014/chart" uri="{C3380CC4-5D6E-409C-BE32-E72D297353CC}">
              <c16:uniqueId val="{00000003-EA2C-442E-89B2-666A89F0AE6A}"/>
            </c:ext>
          </c:extLst>
        </c:ser>
        <c:ser>
          <c:idx val="4"/>
          <c:order val="4"/>
          <c:tx>
            <c:strRef>
              <c:f>'counts drug qtr'!$Z$68:$Z$69</c:f>
              <c:strCache>
                <c:ptCount val="1"/>
                <c:pt idx="0">
                  <c:v>TOTAL</c:v>
                </c:pt>
              </c:strCache>
            </c:strRef>
          </c:tx>
          <c:spPr>
            <a:ln w="28575" cap="rnd">
              <a:solidFill>
                <a:schemeClr val="accent5"/>
              </a:solidFill>
              <a:round/>
            </a:ln>
            <a:effectLst/>
          </c:spPr>
          <c:marker>
            <c:symbol val="none"/>
          </c:marker>
          <c:cat>
            <c:strRef>
              <c:f>'counts drug qtr'!$U$70:$U$113</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'counts drug qtr'!$Z$70:$Z$113</c:f>
              <c:numCache>
                <c:formatCode>General</c:formatCode>
                <c:ptCount val="43"/>
                <c:pt idx="0">
                  <c:v>72</c:v>
                </c:pt>
                <c:pt idx="1">
                  <c:v>510</c:v>
                </c:pt>
                <c:pt idx="2">
                  <c:v>587</c:v>
                </c:pt>
                <c:pt idx="3">
                  <c:v>621</c:v>
                </c:pt>
                <c:pt idx="4">
                  <c:v>636</c:v>
                </c:pt>
                <c:pt idx="5">
                  <c:v>592</c:v>
                </c:pt>
                <c:pt idx="6">
                  <c:v>580</c:v>
                </c:pt>
                <c:pt idx="7">
                  <c:v>606</c:v>
                </c:pt>
                <c:pt idx="8">
                  <c:v>650</c:v>
                </c:pt>
                <c:pt idx="9">
                  <c:v>556</c:v>
                </c:pt>
                <c:pt idx="10">
                  <c:v>653</c:v>
                </c:pt>
                <c:pt idx="11">
                  <c:v>660</c:v>
                </c:pt>
                <c:pt idx="12">
                  <c:v>733</c:v>
                </c:pt>
                <c:pt idx="13">
                  <c:v>670</c:v>
                </c:pt>
                <c:pt idx="14">
                  <c:v>693</c:v>
                </c:pt>
                <c:pt idx="15">
                  <c:v>684</c:v>
                </c:pt>
                <c:pt idx="16">
                  <c:v>1993</c:v>
                </c:pt>
                <c:pt idx="17">
                  <c:v>2851</c:v>
                </c:pt>
                <c:pt idx="18">
                  <c:v>2927</c:v>
                </c:pt>
                <c:pt idx="19">
                  <c:v>3082</c:v>
                </c:pt>
                <c:pt idx="20">
                  <c:v>3265</c:v>
                </c:pt>
                <c:pt idx="21">
                  <c:v>3939</c:v>
                </c:pt>
                <c:pt idx="22">
                  <c:v>4005</c:v>
                </c:pt>
                <c:pt idx="23">
                  <c:v>4190</c:v>
                </c:pt>
                <c:pt idx="24">
                  <c:v>4519</c:v>
                </c:pt>
                <c:pt idx="25">
                  <c:v>3965</c:v>
                </c:pt>
                <c:pt idx="26">
                  <c:v>4118</c:v>
                </c:pt>
                <c:pt idx="27">
                  <c:v>4492</c:v>
                </c:pt>
                <c:pt idx="28">
                  <c:v>4338</c:v>
                </c:pt>
                <c:pt idx="29">
                  <c:v>3949</c:v>
                </c:pt>
                <c:pt idx="30">
                  <c:v>6236</c:v>
                </c:pt>
                <c:pt idx="31">
                  <c:v>7360</c:v>
                </c:pt>
                <c:pt idx="32">
                  <c:v>7600</c:v>
                </c:pt>
                <c:pt idx="33">
                  <c:v>7184</c:v>
                </c:pt>
                <c:pt idx="34">
                  <c:v>7799</c:v>
                </c:pt>
                <c:pt idx="35">
                  <c:v>7768</c:v>
                </c:pt>
                <c:pt idx="36">
                  <c:v>8125</c:v>
                </c:pt>
                <c:pt idx="37">
                  <c:v>6678</c:v>
                </c:pt>
                <c:pt idx="38">
                  <c:v>7491</c:v>
                </c:pt>
                <c:pt idx="39">
                  <c:v>7610</c:v>
                </c:pt>
                <c:pt idx="40">
                  <c:v>8429</c:v>
                </c:pt>
                <c:pt idx="41">
                  <c:v>7698</c:v>
                </c:pt>
                <c:pt idx="42">
                  <c:v>8047</c:v>
                </c:pt>
              </c:numCache>
            </c:numRef>
          </c:val>
          <c:smooth val="0"/>
          <c:extLst>
            <c:ext xmlns:c16="http://schemas.microsoft.com/office/drawing/2014/chart" uri="{C3380CC4-5D6E-409C-BE32-E72D297353CC}">
              <c16:uniqueId val="{00000004-EA2C-442E-89B2-666A89F0AE6A}"/>
            </c:ext>
          </c:extLst>
        </c:ser>
        <c:dLbls>
          <c:showLegendKey val="0"/>
          <c:showVal val="0"/>
          <c:showCatName val="0"/>
          <c:showSerName val="0"/>
          <c:showPercent val="0"/>
          <c:showBubbleSize val="0"/>
        </c:dLbls>
        <c:smooth val="0"/>
        <c:axId val="743541920"/>
        <c:axId val="743544800"/>
      </c:lineChart>
      <c:catAx>
        <c:axId val="743541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3544800"/>
        <c:crosses val="autoZero"/>
        <c:auto val="1"/>
        <c:lblAlgn val="ctr"/>
        <c:lblOffset val="100"/>
        <c:noMultiLvlLbl val="0"/>
      </c:catAx>
      <c:valAx>
        <c:axId val="74354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Supplied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354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[D1640 Cystic fibrosis review outputs 2025.xlsx]age sex 2024!PivotTable1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sex 2024'!$U$1:$U$2</c:f>
              <c:strCache>
                <c:ptCount val="1"/>
                <c:pt idx="0">
                  <c:v>Female</c:v>
                </c:pt>
              </c:strCache>
            </c:strRef>
          </c:tx>
          <c:spPr>
            <a:solidFill>
              <a:schemeClr val="accent1"/>
            </a:solidFill>
            <a:ln>
              <a:noFill/>
            </a:ln>
            <a:effectLst/>
          </c:spPr>
          <c:invertIfNegative val="0"/>
          <c:cat>
            <c:strRef>
              <c:f>'age sex 2024'!$T$3:$T$17</c:f>
              <c:strCache>
                <c:ptCount val="14"/>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   yrs</c:v>
                </c:pt>
              </c:strCache>
            </c:strRef>
          </c:cat>
          <c:val>
            <c:numRef>
              <c:f>'age sex 2024'!$U$3:$U$17</c:f>
              <c:numCache>
                <c:formatCode>General</c:formatCode>
                <c:ptCount val="14"/>
                <c:pt idx="0">
                  <c:v>121</c:v>
                </c:pt>
                <c:pt idx="1">
                  <c:v>161</c:v>
                </c:pt>
                <c:pt idx="2">
                  <c:v>195</c:v>
                </c:pt>
                <c:pt idx="3">
                  <c:v>222</c:v>
                </c:pt>
                <c:pt idx="4">
                  <c:v>164</c:v>
                </c:pt>
                <c:pt idx="5">
                  <c:v>166</c:v>
                </c:pt>
                <c:pt idx="6">
                  <c:v>123</c:v>
                </c:pt>
                <c:pt idx="7">
                  <c:v>101</c:v>
                </c:pt>
                <c:pt idx="8">
                  <c:v>80</c:v>
                </c:pt>
                <c:pt idx="9">
                  <c:v>59</c:v>
                </c:pt>
                <c:pt idx="10">
                  <c:v>31</c:v>
                </c:pt>
                <c:pt idx="11">
                  <c:v>19</c:v>
                </c:pt>
                <c:pt idx="12">
                  <c:v>19</c:v>
                </c:pt>
                <c:pt idx="13">
                  <c:v>24</c:v>
                </c:pt>
              </c:numCache>
            </c:numRef>
          </c:val>
          <c:extLst>
            <c:ext xmlns:c16="http://schemas.microsoft.com/office/drawing/2014/chart" uri="{C3380CC4-5D6E-409C-BE32-E72D297353CC}">
              <c16:uniqueId val="{00000000-EFE9-4BE1-9C64-83326BA9DEC5}"/>
            </c:ext>
          </c:extLst>
        </c:ser>
        <c:ser>
          <c:idx val="1"/>
          <c:order val="1"/>
          <c:tx>
            <c:strRef>
              <c:f>'age sex 2024'!$V$1:$V$2</c:f>
              <c:strCache>
                <c:ptCount val="1"/>
                <c:pt idx="0">
                  <c:v>Male</c:v>
                </c:pt>
              </c:strCache>
            </c:strRef>
          </c:tx>
          <c:spPr>
            <a:solidFill>
              <a:schemeClr val="accent2"/>
            </a:solidFill>
            <a:ln>
              <a:noFill/>
            </a:ln>
            <a:effectLst/>
          </c:spPr>
          <c:invertIfNegative val="0"/>
          <c:cat>
            <c:strRef>
              <c:f>'age sex 2024'!$T$3:$T$17</c:f>
              <c:strCache>
                <c:ptCount val="14"/>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   yrs</c:v>
                </c:pt>
              </c:strCache>
            </c:strRef>
          </c:cat>
          <c:val>
            <c:numRef>
              <c:f>'age sex 2024'!$V$3:$V$17</c:f>
              <c:numCache>
                <c:formatCode>General</c:formatCode>
                <c:ptCount val="14"/>
                <c:pt idx="0">
                  <c:v>131</c:v>
                </c:pt>
                <c:pt idx="1">
                  <c:v>190</c:v>
                </c:pt>
                <c:pt idx="2">
                  <c:v>192</c:v>
                </c:pt>
                <c:pt idx="3">
                  <c:v>216</c:v>
                </c:pt>
                <c:pt idx="4">
                  <c:v>178</c:v>
                </c:pt>
                <c:pt idx="5">
                  <c:v>150</c:v>
                </c:pt>
                <c:pt idx="6">
                  <c:v>155</c:v>
                </c:pt>
                <c:pt idx="7">
                  <c:v>152</c:v>
                </c:pt>
                <c:pt idx="8">
                  <c:v>104</c:v>
                </c:pt>
                <c:pt idx="9">
                  <c:v>65</c:v>
                </c:pt>
                <c:pt idx="10">
                  <c:v>43</c:v>
                </c:pt>
                <c:pt idx="11">
                  <c:v>32</c:v>
                </c:pt>
                <c:pt idx="12">
                  <c:v>14</c:v>
                </c:pt>
                <c:pt idx="13">
                  <c:v>19</c:v>
                </c:pt>
              </c:numCache>
            </c:numRef>
          </c:val>
          <c:extLst>
            <c:ext xmlns:c16="http://schemas.microsoft.com/office/drawing/2014/chart" uri="{C3380CC4-5D6E-409C-BE32-E72D297353CC}">
              <c16:uniqueId val="{00000001-EFE9-4BE1-9C64-83326BA9DEC5}"/>
            </c:ext>
          </c:extLst>
        </c:ser>
        <c:dLbls>
          <c:showLegendKey val="0"/>
          <c:showVal val="0"/>
          <c:showCatName val="0"/>
          <c:showSerName val="0"/>
          <c:showPercent val="0"/>
          <c:showBubbleSize val="0"/>
        </c:dLbls>
        <c:gapWidth val="219"/>
        <c:overlap val="-27"/>
        <c:axId val="759178848"/>
        <c:axId val="759180648"/>
      </c:barChart>
      <c:catAx>
        <c:axId val="759178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 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180648"/>
        <c:crosses val="autoZero"/>
        <c:auto val="1"/>
        <c:lblAlgn val="ctr"/>
        <c:lblOffset val="100"/>
        <c:noMultiLvlLbl val="0"/>
      </c:catAx>
      <c:valAx>
        <c:axId val="759180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17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[D1640 Cystic fibrosis review outputs 2025.xlsx]qtr patients age !PivotTable1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'qtr patients age '!$V$1:$V$2</c:f>
              <c:strCache>
                <c:ptCount val="1"/>
                <c:pt idx="0">
                  <c:v>0-1  yrs</c:v>
                </c:pt>
              </c:strCache>
            </c:strRef>
          </c:tx>
          <c:spPr>
            <a:ln w="28575" cap="rnd">
              <a:solidFill>
                <a:schemeClr val="accent1"/>
              </a:solidFill>
              <a:round/>
            </a:ln>
            <a:effectLst/>
          </c:spPr>
          <c:marker>
            <c:symbol val="none"/>
          </c:marker>
          <c:cat>
            <c:strRef>
              <c:f>'qtr patients age '!$U$3:$U$46</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'qtr patients age '!$V$3:$V$46</c:f>
              <c:numCache>
                <c:formatCode>General</c:formatCode>
                <c:ptCount val="43"/>
                <c:pt idx="21">
                  <c:v>5</c:v>
                </c:pt>
                <c:pt idx="22">
                  <c:v>5</c:v>
                </c:pt>
                <c:pt idx="23">
                  <c:v>6</c:v>
                </c:pt>
                <c:pt idx="24">
                  <c:v>7</c:v>
                </c:pt>
                <c:pt idx="25">
                  <c:v>6</c:v>
                </c:pt>
                <c:pt idx="26">
                  <c:v>6</c:v>
                </c:pt>
                <c:pt idx="27">
                  <c:v>5</c:v>
                </c:pt>
                <c:pt idx="28">
                  <c:v>5</c:v>
                </c:pt>
                <c:pt idx="29">
                  <c:v>5</c:v>
                </c:pt>
                <c:pt idx="30">
                  <c:v>5</c:v>
                </c:pt>
                <c:pt idx="31">
                  <c:v>5</c:v>
                </c:pt>
                <c:pt idx="32">
                  <c:v>5</c:v>
                </c:pt>
                <c:pt idx="33">
                  <c:v>6</c:v>
                </c:pt>
                <c:pt idx="34">
                  <c:v>6</c:v>
                </c:pt>
                <c:pt idx="35">
                  <c:v>5</c:v>
                </c:pt>
                <c:pt idx="36">
                  <c:v>5</c:v>
                </c:pt>
                <c:pt idx="37">
                  <c:v>32</c:v>
                </c:pt>
                <c:pt idx="38">
                  <c:v>30</c:v>
                </c:pt>
                <c:pt idx="39">
                  <c:v>31</c:v>
                </c:pt>
                <c:pt idx="40">
                  <c:v>34</c:v>
                </c:pt>
                <c:pt idx="41">
                  <c:v>35</c:v>
                </c:pt>
                <c:pt idx="42">
                  <c:v>35</c:v>
                </c:pt>
              </c:numCache>
            </c:numRef>
          </c:val>
          <c:smooth val="0"/>
          <c:extLst>
            <c:ext xmlns:c16="http://schemas.microsoft.com/office/drawing/2014/chart" uri="{C3380CC4-5D6E-409C-BE32-E72D297353CC}">
              <c16:uniqueId val="{00000000-3E56-41A3-BA7C-9FA549A14CFC}"/>
            </c:ext>
          </c:extLst>
        </c:ser>
        <c:ser>
          <c:idx val="1"/>
          <c:order val="1"/>
          <c:tx>
            <c:strRef>
              <c:f>'qtr patients age '!$W$1:$W$2</c:f>
              <c:strCache>
                <c:ptCount val="1"/>
                <c:pt idx="0">
                  <c:v>2-5  yrs</c:v>
                </c:pt>
              </c:strCache>
            </c:strRef>
          </c:tx>
          <c:spPr>
            <a:ln w="28575" cap="rnd">
              <a:solidFill>
                <a:schemeClr val="accent2"/>
              </a:solidFill>
              <a:round/>
            </a:ln>
            <a:effectLst/>
          </c:spPr>
          <c:marker>
            <c:symbol val="none"/>
          </c:marker>
          <c:dLbls>
            <c:dLbl>
              <c:idx val="39"/>
              <c:layout>
                <c:manualLayout>
                  <c:x val="-0.11627906976744196"/>
                  <c:y val="-1.5396458814472784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effectLst>
                          <a:outerShdw blurRad="50800" dist="50800" dir="5400000" algn="ctr" rotWithShape="0">
                            <a:srgbClr val="000000">
                              <a:alpha val="0"/>
                            </a:srgbClr>
                          </a:outerShdw>
                        </a:effectLst>
                        <a:latin typeface="+mn-lt"/>
                        <a:ea typeface="+mn-ea"/>
                        <a:cs typeface="+mn-cs"/>
                      </a:defRPr>
                    </a:pPr>
                    <a:fld id="{69573D00-E768-47C5-94B0-4B2D960D40EF}" type="CATEGORYNAME">
                      <a:rPr lang="en-US">
                        <a:effectLst>
                          <a:outerShdw blurRad="50800" dist="50800" dir="5400000" algn="ctr" rotWithShape="0">
                            <a:srgbClr val="000000">
                              <a:alpha val="0"/>
                            </a:srgbClr>
                          </a:outerShdw>
                        </a:effectLst>
                      </a:rPr>
                      <a:pPr>
                        <a:defRPr>
                          <a:effectLst>
                            <a:outerShdw blurRad="50800" dist="50800" dir="5400000" algn="ctr" rotWithShape="0">
                              <a:srgbClr val="000000">
                                <a:alpha val="0"/>
                              </a:srgbClr>
                            </a:outerShdw>
                          </a:effectLst>
                        </a:defRPr>
                      </a:pPr>
                      <a:t>[CATEGORY NAME]</a:t>
                    </a:fld>
                    <a:r>
                      <a:rPr lang="en-US" baseline="0">
                        <a:effectLst>
                          <a:outerShdw blurRad="50800" dist="50800" dir="5400000" algn="ctr" rotWithShape="0">
                            <a:srgbClr val="000000">
                              <a:alpha val="0"/>
                            </a:srgbClr>
                          </a:outerShdw>
                        </a:effectLst>
                      </a:rPr>
                      <a:t> </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effectLst>
                        <a:outerShdw blurRad="50800" dist="50800" dir="5400000" algn="ctr" rotWithShape="0">
                          <a:srgbClr val="000000">
                            <a:alpha val="0"/>
                          </a:srgbClr>
                        </a:outerShdw>
                      </a:effectLst>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9-3E56-41A3-BA7C-9FA549A14CF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'qtr patients age '!$U$3:$U$46</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'qtr patients age '!$W$3:$W$46</c:f>
              <c:numCache>
                <c:formatCode>General</c:formatCode>
                <c:ptCount val="43"/>
                <c:pt idx="10">
                  <c:v>16</c:v>
                </c:pt>
                <c:pt idx="11">
                  <c:v>24</c:v>
                </c:pt>
                <c:pt idx="12">
                  <c:v>21</c:v>
                </c:pt>
                <c:pt idx="13">
                  <c:v>23</c:v>
                </c:pt>
                <c:pt idx="14">
                  <c:v>21</c:v>
                </c:pt>
                <c:pt idx="15">
                  <c:v>21</c:v>
                </c:pt>
                <c:pt idx="16">
                  <c:v>20</c:v>
                </c:pt>
                <c:pt idx="17">
                  <c:v>18</c:v>
                </c:pt>
                <c:pt idx="18">
                  <c:v>17</c:v>
                </c:pt>
                <c:pt idx="19">
                  <c:v>21</c:v>
                </c:pt>
                <c:pt idx="20">
                  <c:v>32</c:v>
                </c:pt>
                <c:pt idx="21">
                  <c:v>100</c:v>
                </c:pt>
                <c:pt idx="22">
                  <c:v>107</c:v>
                </c:pt>
                <c:pt idx="23">
                  <c:v>117</c:v>
                </c:pt>
                <c:pt idx="24">
                  <c:v>131</c:v>
                </c:pt>
                <c:pt idx="25">
                  <c:v>133</c:v>
                </c:pt>
                <c:pt idx="26">
                  <c:v>135</c:v>
                </c:pt>
                <c:pt idx="27">
                  <c:v>133</c:v>
                </c:pt>
                <c:pt idx="28">
                  <c:v>125</c:v>
                </c:pt>
                <c:pt idx="29">
                  <c:v>125</c:v>
                </c:pt>
                <c:pt idx="30">
                  <c:v>129</c:v>
                </c:pt>
                <c:pt idx="31">
                  <c:v>139</c:v>
                </c:pt>
                <c:pt idx="32">
                  <c:v>145</c:v>
                </c:pt>
                <c:pt idx="33">
                  <c:v>136</c:v>
                </c:pt>
                <c:pt idx="34">
                  <c:v>141</c:v>
                </c:pt>
                <c:pt idx="35">
                  <c:v>145</c:v>
                </c:pt>
                <c:pt idx="36">
                  <c:v>150</c:v>
                </c:pt>
                <c:pt idx="37">
                  <c:v>145</c:v>
                </c:pt>
                <c:pt idx="38">
                  <c:v>140</c:v>
                </c:pt>
                <c:pt idx="39">
                  <c:v>206</c:v>
                </c:pt>
                <c:pt idx="40">
                  <c:v>240</c:v>
                </c:pt>
                <c:pt idx="41">
                  <c:v>228</c:v>
                </c:pt>
                <c:pt idx="42">
                  <c:v>228</c:v>
                </c:pt>
              </c:numCache>
            </c:numRef>
          </c:val>
          <c:smooth val="0"/>
          <c:extLst>
            <c:ext xmlns:c16="http://schemas.microsoft.com/office/drawing/2014/chart" uri="{C3380CC4-5D6E-409C-BE32-E72D297353CC}">
              <c16:uniqueId val="{00000002-3E56-41A3-BA7C-9FA549A14CFC}"/>
            </c:ext>
          </c:extLst>
        </c:ser>
        <c:ser>
          <c:idx val="2"/>
          <c:order val="2"/>
          <c:tx>
            <c:strRef>
              <c:f>'qtr patients age '!$X$1:$X$2</c:f>
              <c:strCache>
                <c:ptCount val="1"/>
                <c:pt idx="0">
                  <c:v>6-11 yrs</c:v>
                </c:pt>
              </c:strCache>
            </c:strRef>
          </c:tx>
          <c:spPr>
            <a:ln w="28575" cap="rnd">
              <a:solidFill>
                <a:schemeClr val="accent3"/>
              </a:solidFill>
              <a:round/>
            </a:ln>
            <a:effectLst/>
          </c:spPr>
          <c:marker>
            <c:symbol val="none"/>
          </c:marker>
          <c:dLbls>
            <c:dLbl>
              <c:idx val="34"/>
              <c:layout>
                <c:manualLayout>
                  <c:x val="-0.13112320633349836"/>
                  <c:y val="-1.8475750577367205E-2"/>
                </c:manualLayout>
              </c:layout>
              <c:tx>
                <c:rich>
                  <a:bodyPr/>
                  <a:lstStyle/>
                  <a:p>
                    <a:fld id="{37452BB2-B58E-4A67-9FA7-D34B4DDA6F3E}" type="CATEGORYNAME">
                      <a:rPr lang="en-US"/>
                      <a:pPr/>
                      <a:t>[CATEGORY NAME]</a:t>
                    </a:fld>
                    <a:endParaRPr lang="en-AU"/>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3E56-41A3-BA7C-9FA549A14CF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'qtr patients age '!$U$3:$U$46</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'qtr patients age '!$X$3:$X$46</c:f>
              <c:numCache>
                <c:formatCode>General</c:formatCode>
                <c:ptCount val="43"/>
                <c:pt idx="0">
                  <c:v>14</c:v>
                </c:pt>
                <c:pt idx="1">
                  <c:v>38</c:v>
                </c:pt>
                <c:pt idx="2">
                  <c:v>39</c:v>
                </c:pt>
                <c:pt idx="3">
                  <c:v>42</c:v>
                </c:pt>
                <c:pt idx="4">
                  <c:v>42</c:v>
                </c:pt>
                <c:pt idx="5">
                  <c:v>41</c:v>
                </c:pt>
                <c:pt idx="6">
                  <c:v>40</c:v>
                </c:pt>
                <c:pt idx="7">
                  <c:v>40</c:v>
                </c:pt>
                <c:pt idx="8">
                  <c:v>40</c:v>
                </c:pt>
                <c:pt idx="9">
                  <c:v>39</c:v>
                </c:pt>
                <c:pt idx="10">
                  <c:v>42</c:v>
                </c:pt>
                <c:pt idx="11">
                  <c:v>43</c:v>
                </c:pt>
                <c:pt idx="12">
                  <c:v>43</c:v>
                </c:pt>
                <c:pt idx="13">
                  <c:v>40</c:v>
                </c:pt>
                <c:pt idx="14">
                  <c:v>41</c:v>
                </c:pt>
                <c:pt idx="15">
                  <c:v>38</c:v>
                </c:pt>
                <c:pt idx="16">
                  <c:v>138</c:v>
                </c:pt>
                <c:pt idx="17">
                  <c:v>199</c:v>
                </c:pt>
                <c:pt idx="18">
                  <c:v>198</c:v>
                </c:pt>
                <c:pt idx="19">
                  <c:v>216</c:v>
                </c:pt>
                <c:pt idx="20">
                  <c:v>206</c:v>
                </c:pt>
                <c:pt idx="21">
                  <c:v>217</c:v>
                </c:pt>
                <c:pt idx="22">
                  <c:v>215</c:v>
                </c:pt>
                <c:pt idx="23">
                  <c:v>214</c:v>
                </c:pt>
                <c:pt idx="24">
                  <c:v>213</c:v>
                </c:pt>
                <c:pt idx="25">
                  <c:v>212</c:v>
                </c:pt>
                <c:pt idx="26">
                  <c:v>214</c:v>
                </c:pt>
                <c:pt idx="27">
                  <c:v>215</c:v>
                </c:pt>
                <c:pt idx="28">
                  <c:v>214</c:v>
                </c:pt>
                <c:pt idx="29">
                  <c:v>224</c:v>
                </c:pt>
                <c:pt idx="30">
                  <c:v>221</c:v>
                </c:pt>
                <c:pt idx="31">
                  <c:v>226</c:v>
                </c:pt>
                <c:pt idx="32">
                  <c:v>220</c:v>
                </c:pt>
                <c:pt idx="33">
                  <c:v>228</c:v>
                </c:pt>
                <c:pt idx="34">
                  <c:v>375</c:v>
                </c:pt>
                <c:pt idx="35">
                  <c:v>397</c:v>
                </c:pt>
                <c:pt idx="36">
                  <c:v>393</c:v>
                </c:pt>
                <c:pt idx="37">
                  <c:v>373</c:v>
                </c:pt>
                <c:pt idx="38">
                  <c:v>383</c:v>
                </c:pt>
                <c:pt idx="39">
                  <c:v>387</c:v>
                </c:pt>
                <c:pt idx="40">
                  <c:v>394</c:v>
                </c:pt>
                <c:pt idx="41">
                  <c:v>391</c:v>
                </c:pt>
                <c:pt idx="42">
                  <c:v>394</c:v>
                </c:pt>
              </c:numCache>
            </c:numRef>
          </c:val>
          <c:smooth val="0"/>
          <c:extLst>
            <c:ext xmlns:c16="http://schemas.microsoft.com/office/drawing/2014/chart" uri="{C3380CC4-5D6E-409C-BE32-E72D297353CC}">
              <c16:uniqueId val="{00000004-3E56-41A3-BA7C-9FA549A14CFC}"/>
            </c:ext>
          </c:extLst>
        </c:ser>
        <c:ser>
          <c:idx val="3"/>
          <c:order val="3"/>
          <c:tx>
            <c:strRef>
              <c:f>'qtr patients age '!$Y$1:$Y$2</c:f>
              <c:strCache>
                <c:ptCount val="1"/>
                <c:pt idx="0">
                  <c:v>12+  yrs</c:v>
                </c:pt>
              </c:strCache>
            </c:strRef>
          </c:tx>
          <c:spPr>
            <a:ln w="28575" cap="rnd">
              <a:solidFill>
                <a:schemeClr val="accent4"/>
              </a:solidFill>
              <a:round/>
            </a:ln>
            <a:effectLst/>
          </c:spPr>
          <c:marker>
            <c:symbol val="none"/>
          </c:marker>
          <c:dLbls>
            <c:dLbl>
              <c:idx val="30"/>
              <c:layout>
                <c:manualLayout>
                  <c:x val="-0.13112320633349836"/>
                  <c:y val="-9.2378752886836026E-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FF127D41-BC8B-44FA-8A4D-FC5355C8207C}" type="CATEGORYNAME">
                      <a:rPr lang="en-US"/>
                      <a:pPr>
                        <a:defRPr/>
                      </a:pPr>
                      <a:t>[CATEGORY NAME]</a:t>
                    </a:fld>
                    <a:endParaRPr lang="en-AU"/>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AU"/>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7-3E56-41A3-BA7C-9FA549A14C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'qtr patients age '!$U$3:$U$46</c:f>
              <c:strCache>
                <c:ptCount val="43"/>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pt idx="22">
                  <c:v>2020Q2</c:v>
                </c:pt>
                <c:pt idx="23">
                  <c:v>2020Q3</c:v>
                </c:pt>
                <c:pt idx="24">
                  <c:v>2020Q4</c:v>
                </c:pt>
                <c:pt idx="25">
                  <c:v>2021Q1</c:v>
                </c:pt>
                <c:pt idx="26">
                  <c:v>2021Q2</c:v>
                </c:pt>
                <c:pt idx="27">
                  <c:v>2021Q3</c:v>
                </c:pt>
                <c:pt idx="28">
                  <c:v>2021Q4</c:v>
                </c:pt>
                <c:pt idx="29">
                  <c:v>2022Q1</c:v>
                </c:pt>
                <c:pt idx="30">
                  <c:v>2022Q2</c:v>
                </c:pt>
                <c:pt idx="31">
                  <c:v>2022Q3</c:v>
                </c:pt>
                <c:pt idx="32">
                  <c:v>2022Q4</c:v>
                </c:pt>
                <c:pt idx="33">
                  <c:v>2023Q1</c:v>
                </c:pt>
                <c:pt idx="34">
                  <c:v>2023Q2</c:v>
                </c:pt>
                <c:pt idx="35">
                  <c:v>2023Q3</c:v>
                </c:pt>
                <c:pt idx="36">
                  <c:v>2023Q4</c:v>
                </c:pt>
                <c:pt idx="37">
                  <c:v>2024Q1</c:v>
                </c:pt>
                <c:pt idx="38">
                  <c:v>2024Q2</c:v>
                </c:pt>
                <c:pt idx="39">
                  <c:v>2024Q3</c:v>
                </c:pt>
                <c:pt idx="40">
                  <c:v>2024Q4</c:v>
                </c:pt>
                <c:pt idx="41">
                  <c:v>2025Q1</c:v>
                </c:pt>
                <c:pt idx="42">
                  <c:v>2025Q2</c:v>
                </c:pt>
              </c:strCache>
            </c:strRef>
          </c:cat>
          <c:val>
            <c:numRef>
              <c:f>'qtr patients age '!$Y$3:$Y$46</c:f>
              <c:numCache>
                <c:formatCode>General</c:formatCode>
                <c:ptCount val="43"/>
                <c:pt idx="0">
                  <c:v>54</c:v>
                </c:pt>
                <c:pt idx="1">
                  <c:v>153</c:v>
                </c:pt>
                <c:pt idx="2">
                  <c:v>171</c:v>
                </c:pt>
                <c:pt idx="3">
                  <c:v>173</c:v>
                </c:pt>
                <c:pt idx="4">
                  <c:v>178</c:v>
                </c:pt>
                <c:pt idx="5">
                  <c:v>173</c:v>
                </c:pt>
                <c:pt idx="6">
                  <c:v>175</c:v>
                </c:pt>
                <c:pt idx="7">
                  <c:v>182</c:v>
                </c:pt>
                <c:pt idx="8">
                  <c:v>181</c:v>
                </c:pt>
                <c:pt idx="9">
                  <c:v>171</c:v>
                </c:pt>
                <c:pt idx="10">
                  <c:v>180</c:v>
                </c:pt>
                <c:pt idx="11">
                  <c:v>171</c:v>
                </c:pt>
                <c:pt idx="12">
                  <c:v>189</c:v>
                </c:pt>
                <c:pt idx="13">
                  <c:v>183</c:v>
                </c:pt>
                <c:pt idx="14">
                  <c:v>192</c:v>
                </c:pt>
                <c:pt idx="15">
                  <c:v>194</c:v>
                </c:pt>
                <c:pt idx="16">
                  <c:v>689</c:v>
                </c:pt>
                <c:pt idx="17">
                  <c:v>806</c:v>
                </c:pt>
                <c:pt idx="18">
                  <c:v>842</c:v>
                </c:pt>
                <c:pt idx="19">
                  <c:v>848</c:v>
                </c:pt>
                <c:pt idx="20">
                  <c:v>912</c:v>
                </c:pt>
                <c:pt idx="21">
                  <c:v>1089</c:v>
                </c:pt>
                <c:pt idx="22">
                  <c:v>1093</c:v>
                </c:pt>
                <c:pt idx="23">
                  <c:v>1120</c:v>
                </c:pt>
                <c:pt idx="24">
                  <c:v>1126</c:v>
                </c:pt>
                <c:pt idx="25">
                  <c:v>1125</c:v>
                </c:pt>
                <c:pt idx="26">
                  <c:v>1109</c:v>
                </c:pt>
                <c:pt idx="27">
                  <c:v>1131</c:v>
                </c:pt>
                <c:pt idx="28">
                  <c:v>1110</c:v>
                </c:pt>
                <c:pt idx="29">
                  <c:v>1095</c:v>
                </c:pt>
                <c:pt idx="30">
                  <c:v>1872</c:v>
                </c:pt>
                <c:pt idx="31">
                  <c:v>2026</c:v>
                </c:pt>
                <c:pt idx="32">
                  <c:v>2080</c:v>
                </c:pt>
                <c:pt idx="33">
                  <c:v>2088</c:v>
                </c:pt>
                <c:pt idx="34">
                  <c:v>2092</c:v>
                </c:pt>
                <c:pt idx="35">
                  <c:v>2074</c:v>
                </c:pt>
                <c:pt idx="36">
                  <c:v>2113</c:v>
                </c:pt>
                <c:pt idx="37">
                  <c:v>1936</c:v>
                </c:pt>
                <c:pt idx="38">
                  <c:v>2036</c:v>
                </c:pt>
                <c:pt idx="39">
                  <c:v>2062</c:v>
                </c:pt>
                <c:pt idx="40">
                  <c:v>2141</c:v>
                </c:pt>
                <c:pt idx="41">
                  <c:v>2108</c:v>
                </c:pt>
                <c:pt idx="42">
                  <c:v>2203</c:v>
                </c:pt>
              </c:numCache>
            </c:numRef>
          </c:val>
          <c:smooth val="0"/>
          <c:extLst>
            <c:ext xmlns:c16="http://schemas.microsoft.com/office/drawing/2014/chart" uri="{C3380CC4-5D6E-409C-BE32-E72D297353CC}">
              <c16:uniqueId val="{00000006-3E56-41A3-BA7C-9FA549A14CFC}"/>
            </c:ext>
          </c:extLst>
        </c:ser>
        <c:dLbls>
          <c:showLegendKey val="0"/>
          <c:showVal val="0"/>
          <c:showCatName val="0"/>
          <c:showSerName val="0"/>
          <c:showPercent val="0"/>
          <c:showBubbleSize val="0"/>
        </c:dLbls>
        <c:smooth val="0"/>
        <c:axId val="899701000"/>
        <c:axId val="899700280"/>
      </c:lineChart>
      <c:catAx>
        <c:axId val="899701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700280"/>
        <c:crosses val="autoZero"/>
        <c:auto val="1"/>
        <c:lblAlgn val="ctr"/>
        <c:lblOffset val="100"/>
        <c:noMultiLvlLbl val="0"/>
      </c:catAx>
      <c:valAx>
        <c:axId val="899700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treated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701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[D1640 Cystic fibrosis review outputs 2025.xlsx]not supplied elexa update!PivotTable4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'not supplied elexa update'!$N$32:$N$33</c:f>
              <c:strCache>
                <c:ptCount val="1"/>
                <c:pt idx="0">
                  <c:v>Female</c:v>
                </c:pt>
              </c:strCache>
            </c:strRef>
          </c:tx>
          <c:spPr>
            <a:solidFill>
              <a:schemeClr val="accent1"/>
            </a:solidFill>
            <a:ln>
              <a:noFill/>
            </a:ln>
            <a:effectLst/>
          </c:spPr>
          <c:invertIfNegative val="0"/>
          <c:cat>
            <c:strRef>
              <c:f>'not supplied elexa update'!$M$34:$M$41</c:f>
              <c:strCache>
                <c:ptCount val="7"/>
                <c:pt idx="0">
                  <c:v>0-1   yrs</c:v>
                </c:pt>
                <c:pt idx="1">
                  <c:v>2-11  yrs</c:v>
                </c:pt>
                <c:pt idx="2">
                  <c:v>12-21 yrs</c:v>
                </c:pt>
                <c:pt idx="3">
                  <c:v>22-31 yrs</c:v>
                </c:pt>
                <c:pt idx="4">
                  <c:v>32-41 yrs</c:v>
                </c:pt>
                <c:pt idx="5">
                  <c:v>42-51 yrs</c:v>
                </c:pt>
                <c:pt idx="6">
                  <c:v>52+   yrs</c:v>
                </c:pt>
              </c:strCache>
            </c:strRef>
          </c:cat>
          <c:val>
            <c:numRef>
              <c:f>'not supplied elexa update'!$N$34:$N$41</c:f>
              <c:numCache>
                <c:formatCode>General</c:formatCode>
                <c:ptCount val="7"/>
                <c:pt idx="0">
                  <c:v>18</c:v>
                </c:pt>
                <c:pt idx="1">
                  <c:v>7</c:v>
                </c:pt>
                <c:pt idx="2">
                  <c:v>15</c:v>
                </c:pt>
                <c:pt idx="3">
                  <c:v>13</c:v>
                </c:pt>
                <c:pt idx="4">
                  <c:v>13</c:v>
                </c:pt>
                <c:pt idx="5">
                  <c:v>11</c:v>
                </c:pt>
                <c:pt idx="6">
                  <c:v>12</c:v>
                </c:pt>
              </c:numCache>
            </c:numRef>
          </c:val>
          <c:extLst>
            <c:ext xmlns:c16="http://schemas.microsoft.com/office/drawing/2014/chart" uri="{C3380CC4-5D6E-409C-BE32-E72D297353CC}">
              <c16:uniqueId val="{00000000-101A-4422-B558-591325349476}"/>
            </c:ext>
          </c:extLst>
        </c:ser>
        <c:ser>
          <c:idx val="1"/>
          <c:order val="1"/>
          <c:tx>
            <c:strRef>
              <c:f>'not supplied elexa update'!$O$32:$O$33</c:f>
              <c:strCache>
                <c:ptCount val="1"/>
                <c:pt idx="0">
                  <c:v>Male</c:v>
                </c:pt>
              </c:strCache>
            </c:strRef>
          </c:tx>
          <c:spPr>
            <a:solidFill>
              <a:schemeClr val="accent2"/>
            </a:solidFill>
            <a:ln>
              <a:noFill/>
            </a:ln>
            <a:effectLst/>
          </c:spPr>
          <c:invertIfNegative val="0"/>
          <c:cat>
            <c:strRef>
              <c:f>'not supplied elexa update'!$M$34:$M$41</c:f>
              <c:strCache>
                <c:ptCount val="7"/>
                <c:pt idx="0">
                  <c:v>0-1   yrs</c:v>
                </c:pt>
                <c:pt idx="1">
                  <c:v>2-11  yrs</c:v>
                </c:pt>
                <c:pt idx="2">
                  <c:v>12-21 yrs</c:v>
                </c:pt>
                <c:pt idx="3">
                  <c:v>22-31 yrs</c:v>
                </c:pt>
                <c:pt idx="4">
                  <c:v>32-41 yrs</c:v>
                </c:pt>
                <c:pt idx="5">
                  <c:v>42-51 yrs</c:v>
                </c:pt>
                <c:pt idx="6">
                  <c:v>52+   yrs</c:v>
                </c:pt>
              </c:strCache>
            </c:strRef>
          </c:cat>
          <c:val>
            <c:numRef>
              <c:f>'not supplied elexa update'!$O$34:$O$41</c:f>
              <c:numCache>
                <c:formatCode>General</c:formatCode>
                <c:ptCount val="7"/>
                <c:pt idx="0">
                  <c:v>20</c:v>
                </c:pt>
                <c:pt idx="1">
                  <c:v>15</c:v>
                </c:pt>
                <c:pt idx="2">
                  <c:v>12</c:v>
                </c:pt>
                <c:pt idx="3">
                  <c:v>12</c:v>
                </c:pt>
                <c:pt idx="4">
                  <c:v>23</c:v>
                </c:pt>
                <c:pt idx="5">
                  <c:v>5</c:v>
                </c:pt>
                <c:pt idx="6">
                  <c:v>12</c:v>
                </c:pt>
              </c:numCache>
            </c:numRef>
          </c:val>
          <c:extLst>
            <c:ext xmlns:c16="http://schemas.microsoft.com/office/drawing/2014/chart" uri="{C3380CC4-5D6E-409C-BE32-E72D297353CC}">
              <c16:uniqueId val="{00000001-101A-4422-B558-591325349476}"/>
            </c:ext>
          </c:extLst>
        </c:ser>
        <c:dLbls>
          <c:showLegendKey val="0"/>
          <c:showVal val="0"/>
          <c:showCatName val="0"/>
          <c:showSerName val="0"/>
          <c:showPercent val="0"/>
          <c:showBubbleSize val="0"/>
        </c:dLbls>
        <c:gapWidth val="219"/>
        <c:overlap val="-27"/>
        <c:axId val="963463904"/>
        <c:axId val="963464624"/>
      </c:barChart>
      <c:catAx>
        <c:axId val="963463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 of patients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3464624"/>
        <c:crosses val="autoZero"/>
        <c:auto val="1"/>
        <c:lblAlgn val="ctr"/>
        <c:lblOffset val="100"/>
        <c:noMultiLvlLbl val="0"/>
      </c:catAx>
      <c:valAx>
        <c:axId val="963464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346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9069</Words>
  <Characters>47254</Characters>
  <Application>Microsoft Office Word</Application>
  <DocSecurity>0</DocSecurity>
  <Lines>1524</Lines>
  <Paragraphs>1024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2026-01-14T00:48:00Z</dcterms:created>
  <dcterms:modified xsi:type="dcterms:W3CDTF">2026-02-25T03:44:00Z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43c7f658,d36fa13,8d68e8b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7bbb81aa,20dc63e7,15507247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2026-01-14T00:48:08Z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a66fb050-949c-4d96-96a9-2972e1cb2b7a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