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3C130" w14:textId="7F977A89" w:rsidR="00832324" w:rsidRDefault="0088477D" w:rsidP="00F73113">
      <w:pPr>
        <w:pStyle w:val="Title"/>
      </w:pPr>
      <w:r>
        <w:t>Semaglutide</w:t>
      </w:r>
      <w:r w:rsidR="001C4016">
        <w:t>: a</w:t>
      </w:r>
      <w:r w:rsidR="00935689">
        <w:t xml:space="preserve">nalysis </w:t>
      </w:r>
      <w:r w:rsidR="0075082D">
        <w:t>of utilisation</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814423B" w:rsidR="009053D3" w:rsidRPr="00F73113" w:rsidRDefault="003D2B99" w:rsidP="00F73113">
      <w:pPr>
        <w:pStyle w:val="Meetingdate"/>
      </w:pPr>
      <w:r>
        <w:t>June 2024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191054E9" w:rsidR="005C6661" w:rsidRDefault="0052422A" w:rsidP="00FD061B">
      <w:pPr>
        <w:pStyle w:val="NoSpacing"/>
      </w:pPr>
      <w:r w:rsidRPr="0052422A">
        <w:t>To review the utilisation</w:t>
      </w:r>
      <w:r w:rsidR="00FD061B">
        <w:t xml:space="preserve"> of PBS listed semaglutide for the treatment of </w:t>
      </w:r>
      <w:r w:rsidR="0088477D">
        <w:t xml:space="preserve">type 2 </w:t>
      </w:r>
      <w:r w:rsidR="0088477D" w:rsidRPr="0088477D">
        <w:t xml:space="preserve">diabetes mellitus </w:t>
      </w:r>
      <w:r w:rsidR="0088477D">
        <w:t>(</w:t>
      </w:r>
      <w:r w:rsidR="00FD061B">
        <w:t>T2DM</w:t>
      </w:r>
      <w:r w:rsidR="0088477D">
        <w:t xml:space="preserve">), </w:t>
      </w:r>
      <w:r w:rsidRPr="0052422A">
        <w:t>as requested by DUSC at its February 2024 meeting.</w:t>
      </w:r>
      <w:r w:rsidR="00A57B05">
        <w:t xml:space="preserve"> The review also consider</w:t>
      </w:r>
      <w:r w:rsidR="00A149AE">
        <w:t>ed</w:t>
      </w:r>
      <w:r w:rsidR="00A57B05">
        <w:t xml:space="preserve"> the </w:t>
      </w:r>
      <w:r w:rsidR="00EC68EA">
        <w:t>utilisation of semaglutide in context with other glucagon-like peptide 1 (GLP-1) analogues.</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1982561C" w:rsidR="002D144A" w:rsidRPr="002D144A" w:rsidRDefault="003239BC" w:rsidP="002D144A">
      <w:r>
        <w:t>D</w:t>
      </w:r>
      <w:r w:rsidRPr="003239BC">
        <w:t xml:space="preserve">ulaglutide </w:t>
      </w:r>
      <w:r>
        <w:t>was PBS listed on 1</w:t>
      </w:r>
      <w:r w:rsidRPr="003239BC">
        <w:t xml:space="preserve"> June 2018 and semaglutide was PBS listed on 1 July 2020</w:t>
      </w:r>
      <w:r>
        <w:t>.</w:t>
      </w:r>
    </w:p>
    <w:p w14:paraId="526743BB" w14:textId="77777777" w:rsidR="005C6661" w:rsidRDefault="005C6661" w:rsidP="00CF5E22">
      <w:pPr>
        <w:pStyle w:val="Heading3"/>
      </w:pPr>
      <w:r>
        <w:t>Data Source / methodology</w:t>
      </w:r>
    </w:p>
    <w:p w14:paraId="3C74AB36" w14:textId="3AF78DC1" w:rsidR="006804E0" w:rsidRDefault="006804E0" w:rsidP="005C6661">
      <w:pPr>
        <w:pStyle w:val="NoSpacing"/>
      </w:pPr>
      <w:r w:rsidRPr="006804E0">
        <w:t xml:space="preserve">Data extracted from the PBS database maintained by </w:t>
      </w:r>
      <w:r w:rsidR="00346ABA">
        <w:t xml:space="preserve">the </w:t>
      </w:r>
      <w:r w:rsidRPr="006804E0">
        <w:t>Department of Health and Aged Care, processed by Services Australia were used for the analyses.</w:t>
      </w:r>
      <w:r w:rsidR="003A310A">
        <w:t xml:space="preserve"> </w:t>
      </w:r>
      <w:r w:rsidR="003A310A" w:rsidRPr="003A310A">
        <w:t xml:space="preserve">Prescription data were extracted </w:t>
      </w:r>
      <w:r w:rsidR="003A310A" w:rsidRPr="00431238">
        <w:t>from 1 January 201</w:t>
      </w:r>
      <w:r w:rsidR="00431238" w:rsidRPr="00431238">
        <w:t>6</w:t>
      </w:r>
      <w:r w:rsidR="003A310A" w:rsidRPr="00431238">
        <w:t xml:space="preserve"> up to</w:t>
      </w:r>
      <w:r w:rsidR="003A310A" w:rsidRPr="003A310A">
        <w:t xml:space="preserve"> and including </w:t>
      </w:r>
      <w:r w:rsidR="003A310A">
        <w:t>31 December 2023</w:t>
      </w:r>
      <w:r w:rsidR="003A310A" w:rsidRPr="003A310A">
        <w:t xml:space="preserve"> based on the date of supply. Patients who were only supplied insulin in this period were excluded as </w:t>
      </w:r>
      <w:r w:rsidR="00346ABA">
        <w:t xml:space="preserve">they were </w:t>
      </w:r>
      <w:r w:rsidR="003A310A" w:rsidRPr="003A310A">
        <w:t>likely to be patients with type 1 diabetes.</w:t>
      </w:r>
    </w:p>
    <w:p w14:paraId="7599E7C1" w14:textId="77777777" w:rsidR="005C6661" w:rsidRDefault="005C6661" w:rsidP="00CF5E22">
      <w:pPr>
        <w:pStyle w:val="Heading3"/>
      </w:pPr>
      <w:r>
        <w:t>Key Findings</w:t>
      </w:r>
    </w:p>
    <w:p w14:paraId="209C12F8" w14:textId="2F7C8E60" w:rsidR="00F6591A" w:rsidRPr="004A6C17" w:rsidRDefault="00CB0C4C" w:rsidP="005C6661">
      <w:pPr>
        <w:pStyle w:val="NoSpacing"/>
        <w:numPr>
          <w:ilvl w:val="0"/>
          <w:numId w:val="1"/>
        </w:numPr>
      </w:pPr>
      <w:r w:rsidRPr="004A6C17">
        <w:t xml:space="preserve">In 2023 there were approximately 1.6 million patients supplied one or more medicines through the PBS for T2DM, and </w:t>
      </w:r>
      <w:r w:rsidR="00F223E5" w:rsidRPr="004A6C17">
        <w:t>325,993</w:t>
      </w:r>
      <w:r w:rsidRPr="004A6C17">
        <w:t xml:space="preserve"> patients who were supplied </w:t>
      </w:r>
      <w:r w:rsidR="00F223E5" w:rsidRPr="004A6C17">
        <w:t xml:space="preserve">semaglutide or dulaglutide, and 120,374 initiators to </w:t>
      </w:r>
      <w:r w:rsidR="00F6591A" w:rsidRPr="004A6C17">
        <w:t>semaglutide or dulaglutide.</w:t>
      </w:r>
      <w:r w:rsidR="001E7954" w:rsidRPr="004A6C17">
        <w:t xml:space="preserve"> Of the </w:t>
      </w:r>
      <w:r w:rsidR="004B5B0B" w:rsidRPr="004A6C17">
        <w:t>120,374 initiators</w:t>
      </w:r>
      <w:r w:rsidR="004A6C17" w:rsidRPr="004A6C17">
        <w:t xml:space="preserve"> to either semaglutide or dulaglutide</w:t>
      </w:r>
      <w:r w:rsidR="004B5B0B" w:rsidRPr="004A6C17">
        <w:t>, 94% (113,058) were supplied semaglutide</w:t>
      </w:r>
      <w:r w:rsidR="004A6C17" w:rsidRPr="004A6C17">
        <w:t>, compared to 6% (7,316) who were supplied dulaglutide.</w:t>
      </w:r>
      <w:r w:rsidR="004B5B0B" w:rsidRPr="004A6C17">
        <w:t xml:space="preserve"> </w:t>
      </w:r>
    </w:p>
    <w:p w14:paraId="013B8A7D" w14:textId="15CA1A1C" w:rsidR="005C6661" w:rsidRDefault="00EC1BB8" w:rsidP="005C6661">
      <w:pPr>
        <w:pStyle w:val="NoSpacing"/>
        <w:numPr>
          <w:ilvl w:val="0"/>
          <w:numId w:val="1"/>
        </w:numPr>
      </w:pPr>
      <w:r w:rsidRPr="004A6C17">
        <w:t>In 2023</w:t>
      </w:r>
      <w:r w:rsidR="00E826E9">
        <w:t xml:space="preserve"> there were</w:t>
      </w:r>
      <w:r w:rsidRPr="004A6C17">
        <w:t xml:space="preserve"> </w:t>
      </w:r>
      <w:r w:rsidR="00970A04" w:rsidRPr="00970A04">
        <w:t>1,989,952</w:t>
      </w:r>
      <w:r w:rsidR="00C452BE" w:rsidRPr="004A6C17">
        <w:t xml:space="preserve"> prescriptions of </w:t>
      </w:r>
      <w:r w:rsidRPr="004A6C17">
        <w:t>s</w:t>
      </w:r>
      <w:r w:rsidR="00105B4E" w:rsidRPr="004A6C17">
        <w:t xml:space="preserve">emaglutide </w:t>
      </w:r>
      <w:r w:rsidR="00A777EA" w:rsidRPr="004A6C17">
        <w:t xml:space="preserve">supplied to </w:t>
      </w:r>
      <w:r w:rsidR="00E826E9" w:rsidRPr="00E826E9">
        <w:t>292,848</w:t>
      </w:r>
      <w:r w:rsidR="00C452BE" w:rsidRPr="004A6C17">
        <w:t xml:space="preserve"> patients, and </w:t>
      </w:r>
      <w:r w:rsidR="00E826E9" w:rsidRPr="00E826E9">
        <w:t>404,703</w:t>
      </w:r>
      <w:r w:rsidR="00C452BE" w:rsidRPr="004A6C17">
        <w:t xml:space="preserve"> prescriptions of dulaglutide were supplied to </w:t>
      </w:r>
      <w:r w:rsidR="00E826E9" w:rsidRPr="00E826E9">
        <w:t>80,576</w:t>
      </w:r>
      <w:r w:rsidR="00C452BE" w:rsidRPr="004A6C17">
        <w:t xml:space="preserve"> patients</w:t>
      </w:r>
      <w:r w:rsidR="00CB0C4C" w:rsidRPr="004A6C17">
        <w:t>.</w:t>
      </w:r>
    </w:p>
    <w:p w14:paraId="7C1FFF74" w14:textId="31F5B10C" w:rsidR="0049107A" w:rsidRDefault="00980B3D" w:rsidP="005C6661">
      <w:pPr>
        <w:pStyle w:val="NoSpacing"/>
        <w:numPr>
          <w:ilvl w:val="0"/>
          <w:numId w:val="1"/>
        </w:numPr>
      </w:pPr>
      <w:r w:rsidRPr="00980B3D">
        <w:t>Due to the medicine shortage</w:t>
      </w:r>
      <w:r w:rsidR="00AF56D2">
        <w:t>s</w:t>
      </w:r>
      <w:r w:rsidRPr="00980B3D">
        <w:t xml:space="preserve"> of semaglutide and dulaglutide, 12,330 patients initiated these medicines in the fourth quarter of 2022, compared to 32,648 in the fourth quarter of 2021.</w:t>
      </w:r>
    </w:p>
    <w:p w14:paraId="31660406" w14:textId="67BE510C" w:rsidR="00627EC0" w:rsidRDefault="000555E4" w:rsidP="005C6661">
      <w:pPr>
        <w:pStyle w:val="NoSpacing"/>
        <w:numPr>
          <w:ilvl w:val="0"/>
          <w:numId w:val="1"/>
        </w:numPr>
      </w:pPr>
      <w:r>
        <w:t xml:space="preserve">There were </w:t>
      </w:r>
      <w:r w:rsidR="00CE0485">
        <w:t>16,077</w:t>
      </w:r>
      <w:r>
        <w:t xml:space="preserve"> patients who initiated a flozin or a gliptin after treatment with </w:t>
      </w:r>
      <w:r w:rsidRPr="000555E4">
        <w:t xml:space="preserve">semaglutide </w:t>
      </w:r>
      <w:r w:rsidR="00580CD0">
        <w:t>or</w:t>
      </w:r>
      <w:r w:rsidRPr="000555E4">
        <w:t xml:space="preserve"> dulaglutide</w:t>
      </w:r>
      <w:r w:rsidR="00707607">
        <w:t xml:space="preserve"> </w:t>
      </w:r>
      <w:r w:rsidR="00707607" w:rsidRPr="00707607">
        <w:t>in the fourth quarter of 202</w:t>
      </w:r>
      <w:r w:rsidR="00707607">
        <w:t xml:space="preserve">2, compared with </w:t>
      </w:r>
      <w:r w:rsidR="00CE0485">
        <w:t>4,574</w:t>
      </w:r>
      <w:r w:rsidR="00707607">
        <w:t xml:space="preserve"> patients </w:t>
      </w:r>
      <w:r w:rsidR="00707607" w:rsidRPr="00707607">
        <w:t>in the fourth quarter of 2021</w:t>
      </w:r>
      <w:r w:rsidR="00707607">
        <w:t>.</w:t>
      </w:r>
    </w:p>
    <w:p w14:paraId="45065D3A" w14:textId="67E95305" w:rsidR="004A6C17" w:rsidRPr="00046EE0" w:rsidRDefault="00985705" w:rsidP="005C6661">
      <w:pPr>
        <w:pStyle w:val="NoSpacing"/>
        <w:numPr>
          <w:ilvl w:val="0"/>
          <w:numId w:val="1"/>
        </w:numPr>
      </w:pPr>
      <w:r>
        <w:t>Of the patients who initiated onto therapy in</w:t>
      </w:r>
      <w:r w:rsidR="00F35334">
        <w:t xml:space="preserve"> 2018</w:t>
      </w:r>
      <w:r>
        <w:t>,</w:t>
      </w:r>
      <w:r w:rsidR="00F35334">
        <w:t xml:space="preserve"> </w:t>
      </w:r>
      <w:r w:rsidR="007C37B3">
        <w:t>46% were initiated by GPs</w:t>
      </w:r>
      <w:r w:rsidR="00224078">
        <w:t xml:space="preserve"> and </w:t>
      </w:r>
      <w:r w:rsidR="00D319E7">
        <w:t>50% of patients were initiated by Endocrinology or Internal Medicine specialists</w:t>
      </w:r>
      <w:r w:rsidR="00534940">
        <w:t>. O</w:t>
      </w:r>
      <w:r w:rsidRPr="00985705">
        <w:t xml:space="preserve">f the </w:t>
      </w:r>
      <w:r w:rsidRPr="00985705">
        <w:lastRenderedPageBreak/>
        <w:t xml:space="preserve">patients who initiated onto therapy in </w:t>
      </w:r>
      <w:r w:rsidR="00D66B09">
        <w:t>2023</w:t>
      </w:r>
      <w:r>
        <w:t>,</w:t>
      </w:r>
      <w:r w:rsidR="00D66B09">
        <w:t xml:space="preserve"> 81% </w:t>
      </w:r>
      <w:r w:rsidR="00D66B09" w:rsidRPr="00D66B09">
        <w:t xml:space="preserve">were initiated by GPs and </w:t>
      </w:r>
      <w:r w:rsidR="00D34321">
        <w:t>13%</w:t>
      </w:r>
      <w:r w:rsidR="00D66B09" w:rsidRPr="00D66B09">
        <w:t xml:space="preserve"> of patients were initiated by Endocrinology or Internal Medicine specialists</w:t>
      </w:r>
      <w:r w:rsidR="00D34321">
        <w:t>.</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F11E070" w14:textId="0FC9C663" w:rsidR="00AA61A2" w:rsidRDefault="00EF0976" w:rsidP="006A2B75">
      <w:r w:rsidRPr="00EF0976">
        <w:t>To review the utilisation of PBS listed semaglutide for the treatment of type 2 diabetes mellitus (T2DM), as requested by DUSC at its February 2024 meeting. The review also consider</w:t>
      </w:r>
      <w:r w:rsidR="00D064A8">
        <w:t>ed</w:t>
      </w:r>
      <w:r w:rsidRPr="00EF0976">
        <w:t xml:space="preserve"> the utilisation of semaglutide in context with other glucagon-like peptide 1 (GLP-1) analogues.</w:t>
      </w:r>
    </w:p>
    <w:p w14:paraId="0A7F0B57" w14:textId="5201832B"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251AE779" w14:textId="0EB38D2B" w:rsidR="000934E9" w:rsidRDefault="000934E9" w:rsidP="00EE2BBB">
      <w:r w:rsidRPr="000934E9">
        <w:t xml:space="preserve">Diabetes mellitus is a condition where your pancreas does not produce enough insulin to control the level of sugar in your blood or, your body is not able to use the insulin it makes properly. In T2DM, the response to insulin is diminished, and this is defined as insulin resistance. During this state, insulin is ineffective and is initially countered by an increase in insulin production to maintain glucose homeostasis, but over time, insulin production decreases, resulting in T2DM. T2DM is most commonly seen in persons older than 45 years. </w:t>
      </w:r>
      <w:r w:rsidR="00F217E8">
        <w:t>I</w:t>
      </w:r>
      <w:r w:rsidRPr="000934E9">
        <w:t>t is increasingly seen in children, adolescents, and younger adults due to rising levels of obesity, physical inactivity, and energy-dense diets.</w:t>
      </w:r>
      <w:r w:rsidR="008E3BB3">
        <w:rPr>
          <w:rStyle w:val="FootnoteReference"/>
        </w:rPr>
        <w:footnoteReference w:id="1"/>
      </w:r>
      <w:r w:rsidRPr="000934E9">
        <w:t xml:space="preserve">  </w:t>
      </w:r>
    </w:p>
    <w:p w14:paraId="6ABD443F" w14:textId="2A7930E5" w:rsidR="0079704B" w:rsidRPr="00F26DCF" w:rsidRDefault="008D0794" w:rsidP="00EE2BBB">
      <w:r w:rsidRPr="006A2B75">
        <w:t xml:space="preserve">GLP-1s </w:t>
      </w:r>
      <w:r w:rsidR="00E1326F" w:rsidRPr="006A2B75">
        <w:t xml:space="preserve">are </w:t>
      </w:r>
      <w:r w:rsidR="00394CEF" w:rsidRPr="006A2B75">
        <w:t xml:space="preserve">a class of medicines </w:t>
      </w:r>
      <w:r w:rsidR="0079704B" w:rsidRPr="006A2B75">
        <w:t xml:space="preserve">used to treat </w:t>
      </w:r>
      <w:r w:rsidR="000833C7" w:rsidRPr="00DE2E01">
        <w:t>T2DM</w:t>
      </w:r>
      <w:r w:rsidR="00FC61E2" w:rsidRPr="00DE2E01">
        <w:t xml:space="preserve">. This class of medicines includes </w:t>
      </w:r>
      <w:r w:rsidR="00194148" w:rsidRPr="00DE2E01">
        <w:t>semaglutide,</w:t>
      </w:r>
      <w:r w:rsidR="00194148" w:rsidRPr="006A2B75">
        <w:rPr>
          <w:rStyle w:val="FootnoteReference"/>
          <w:vertAlign w:val="baseline"/>
        </w:rPr>
        <w:t xml:space="preserve"> </w:t>
      </w:r>
      <w:r w:rsidR="00194148" w:rsidRPr="00DE2E01">
        <w:t>dulaglutide, exenatide, lixisenatide, liraglutide and albiglutide.</w:t>
      </w:r>
      <w:r w:rsidR="00B96D18" w:rsidRPr="006A2B75">
        <w:rPr>
          <w:rStyle w:val="FootnoteReference"/>
        </w:rPr>
        <w:footnoteReference w:id="2"/>
      </w:r>
      <w:r w:rsidR="00E04413" w:rsidRPr="00DE2E01">
        <w:t xml:space="preserve"> </w:t>
      </w:r>
      <w:r w:rsidR="004B6BB6" w:rsidRPr="00DE2E01">
        <w:t>Semaglutide and dulaglutide</w:t>
      </w:r>
      <w:r w:rsidR="003A3180" w:rsidRPr="00DE2E01">
        <w:t xml:space="preserve"> are the GLP-1s currently listed on the PBS. </w:t>
      </w:r>
      <w:r w:rsidR="00AD1310" w:rsidRPr="00DE2E01">
        <w:t>Exenatide</w:t>
      </w:r>
      <w:r w:rsidR="00D07581" w:rsidRPr="00DE2E01">
        <w:t xml:space="preserve"> was </w:t>
      </w:r>
      <w:r w:rsidR="0058643B" w:rsidRPr="00DE2E01">
        <w:t xml:space="preserve">delisted </w:t>
      </w:r>
      <w:r w:rsidR="00692791" w:rsidRPr="00DE2E01">
        <w:t>from the</w:t>
      </w:r>
      <w:r w:rsidR="00692791">
        <w:t xml:space="preserve"> </w:t>
      </w:r>
      <w:r w:rsidR="00D07581" w:rsidRPr="00F26DCF">
        <w:t xml:space="preserve">PBS </w:t>
      </w:r>
      <w:r w:rsidR="00560EFB" w:rsidRPr="00883740">
        <w:t>on</w:t>
      </w:r>
      <w:r w:rsidR="00D07581" w:rsidRPr="00883740">
        <w:t xml:space="preserve"> </w:t>
      </w:r>
      <w:r w:rsidR="00F26DCF" w:rsidRPr="00883740">
        <w:t>1 February 2023</w:t>
      </w:r>
      <w:r w:rsidR="00D07581" w:rsidRPr="00883740">
        <w:t>.</w:t>
      </w:r>
      <w:r w:rsidR="00D07581" w:rsidRPr="00F26DCF">
        <w:t xml:space="preserve"> </w:t>
      </w:r>
    </w:p>
    <w:p w14:paraId="10E126EC" w14:textId="7F182D4C" w:rsidR="0079704B" w:rsidRPr="009924C7" w:rsidRDefault="008F2DB9" w:rsidP="00EE2BBB">
      <w:r w:rsidRPr="009924C7">
        <w:t xml:space="preserve">The TGA reported a shortage of semaglutide </w:t>
      </w:r>
      <w:r w:rsidR="00DA4531" w:rsidRPr="009924C7">
        <w:t>from 15 April 2022</w:t>
      </w:r>
      <w:r w:rsidR="009924C7" w:rsidRPr="009924C7">
        <w:t xml:space="preserve"> </w:t>
      </w:r>
      <w:r w:rsidR="00DD19FF">
        <w:t xml:space="preserve">due to </w:t>
      </w:r>
      <w:r w:rsidR="00081E0C">
        <w:t xml:space="preserve">an </w:t>
      </w:r>
      <w:r w:rsidR="00DD19FF">
        <w:t>u</w:t>
      </w:r>
      <w:r w:rsidR="00DD19FF" w:rsidRPr="00DD19FF">
        <w:t>nexpected increase in consumer demand</w:t>
      </w:r>
      <w:r w:rsidR="00FD28F1">
        <w:t xml:space="preserve"> for its off-label use </w:t>
      </w:r>
      <w:r w:rsidR="00DB7A9F">
        <w:t>for weight loss</w:t>
      </w:r>
      <w:r w:rsidR="00DD19FF">
        <w:t>, and shortage of</w:t>
      </w:r>
      <w:r w:rsidR="009924C7" w:rsidRPr="009924C7">
        <w:t xml:space="preserve"> dulaglutide from 27</w:t>
      </w:r>
      <w:r w:rsidR="00DD19FF">
        <w:t xml:space="preserve"> </w:t>
      </w:r>
      <w:r w:rsidR="009924C7" w:rsidRPr="009924C7">
        <w:t>June 2022</w:t>
      </w:r>
      <w:r w:rsidR="0008612A">
        <w:t xml:space="preserve"> </w:t>
      </w:r>
      <w:r w:rsidR="002B178E">
        <w:t>related to the shortage of semaglutide</w:t>
      </w:r>
      <w:r w:rsidR="0008612A">
        <w:t xml:space="preserve">. </w:t>
      </w:r>
      <w:r w:rsidR="00E32970">
        <w:t xml:space="preserve">As of </w:t>
      </w:r>
      <w:r w:rsidR="00602686">
        <w:t>May 2024</w:t>
      </w:r>
      <w:r w:rsidR="00E32970">
        <w:t>, b</w:t>
      </w:r>
      <w:r w:rsidR="0008612A">
        <w:t xml:space="preserve">oth shortages </w:t>
      </w:r>
      <w:r w:rsidR="00EE423E">
        <w:t xml:space="preserve">reported limited availability </w:t>
      </w:r>
      <w:r w:rsidR="000D4049">
        <w:t>and a supply impact date until 31 December 2024.</w:t>
      </w:r>
      <w:r w:rsidR="000D4049">
        <w:rPr>
          <w:rStyle w:val="FootnoteReference"/>
        </w:rPr>
        <w:footnoteReference w:id="3"/>
      </w:r>
    </w:p>
    <w:p w14:paraId="0183A567" w14:textId="413DF87B" w:rsidR="007247B9" w:rsidRDefault="007247B9" w:rsidP="00CF5E22">
      <w:pPr>
        <w:pStyle w:val="Heading2"/>
      </w:pPr>
      <w:r>
        <w:t>Pharmacology</w:t>
      </w:r>
    </w:p>
    <w:p w14:paraId="06821C4B" w14:textId="215CD4D7" w:rsidR="00AE4BAC" w:rsidRPr="007247B9" w:rsidRDefault="001E306F" w:rsidP="00AE4BAC">
      <w:r>
        <w:t>GLP-1s</w:t>
      </w:r>
      <w:r w:rsidRPr="001E306F">
        <w:t xml:space="preserve"> </w:t>
      </w:r>
      <w:r w:rsidR="00A01532">
        <w:t>help T2</w:t>
      </w:r>
      <w:r w:rsidR="00186981">
        <w:t>DM</w:t>
      </w:r>
      <w:r w:rsidR="00A01532">
        <w:t xml:space="preserve"> patients by </w:t>
      </w:r>
      <w:r w:rsidRPr="001E306F">
        <w:t>mimic</w:t>
      </w:r>
      <w:r w:rsidR="00A01532">
        <w:t>king</w:t>
      </w:r>
      <w:r w:rsidRPr="001E306F">
        <w:t xml:space="preserve"> </w:t>
      </w:r>
      <w:r w:rsidR="00A01532" w:rsidRPr="00A01532">
        <w:t xml:space="preserve">the effects of </w:t>
      </w:r>
      <w:r w:rsidR="00E31B34" w:rsidRPr="00E31B34">
        <w:t xml:space="preserve">a hormone called glucagon-like peptide 1 </w:t>
      </w:r>
      <w:r w:rsidR="00B25926">
        <w:t xml:space="preserve">which is </w:t>
      </w:r>
      <w:r w:rsidR="00A01532" w:rsidRPr="00A01532">
        <w:t>produced in the body when eating</w:t>
      </w:r>
      <w:r w:rsidR="00B25926">
        <w:t xml:space="preserve">. </w:t>
      </w:r>
      <w:r w:rsidR="00006FA3" w:rsidRPr="001E306F">
        <w:t xml:space="preserve">When blood sugar levels start to rise after </w:t>
      </w:r>
      <w:r w:rsidR="00006FA3">
        <w:t>a patient with T2DM</w:t>
      </w:r>
      <w:r w:rsidR="00006FA3" w:rsidRPr="001E306F">
        <w:t xml:space="preserve"> eats,</w:t>
      </w:r>
      <w:r w:rsidR="00055169">
        <w:t xml:space="preserve"> </w:t>
      </w:r>
      <w:r w:rsidR="00B25926">
        <w:t xml:space="preserve">GLP-1s </w:t>
      </w:r>
      <w:r w:rsidR="00A01532" w:rsidRPr="00A01532">
        <w:t>stimulat</w:t>
      </w:r>
      <w:r w:rsidR="00B25926">
        <w:t>e</w:t>
      </w:r>
      <w:r w:rsidR="00A01532" w:rsidRPr="00A01532">
        <w:t xml:space="preserve"> the pancreas to secrete insulin and reduce blood glucose levels.</w:t>
      </w:r>
      <w:r w:rsidR="006D2AF2">
        <w:rPr>
          <w:rStyle w:val="FootnoteReference"/>
        </w:rPr>
        <w:footnoteReference w:id="4"/>
      </w:r>
    </w:p>
    <w:p w14:paraId="6AC18C88" w14:textId="7A398934"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32005591" w14:textId="1EFD5DEB" w:rsidR="00235990" w:rsidRDefault="00235990" w:rsidP="00235990">
      <w:r>
        <w:t xml:space="preserve">Semaglutide is indicated for the treatment of adults with insufficiently controlled </w:t>
      </w:r>
      <w:r w:rsidR="001A5483">
        <w:t>T2DM</w:t>
      </w:r>
      <w:r>
        <w:t xml:space="preserve"> as an adjunct to diet and exercise:</w:t>
      </w:r>
    </w:p>
    <w:p w14:paraId="51DF5BBD" w14:textId="4DBC7426" w:rsidR="00235990" w:rsidRDefault="00235990" w:rsidP="00D8092E">
      <w:pPr>
        <w:pStyle w:val="ListParagraph"/>
        <w:numPr>
          <w:ilvl w:val="0"/>
          <w:numId w:val="5"/>
        </w:numPr>
      </w:pPr>
      <w:r>
        <w:t>as monotherapy when metformin is not tolerated or contraindicated.</w:t>
      </w:r>
    </w:p>
    <w:p w14:paraId="2EA8CFEE" w14:textId="7908BCAF" w:rsidR="00235990" w:rsidRDefault="00235990" w:rsidP="00D8092E">
      <w:pPr>
        <w:pStyle w:val="ListParagraph"/>
        <w:numPr>
          <w:ilvl w:val="0"/>
          <w:numId w:val="5"/>
        </w:numPr>
      </w:pPr>
      <w:r>
        <w:t xml:space="preserve">in addition to other medicinal products for the treatment of </w:t>
      </w:r>
      <w:r w:rsidR="001A5483" w:rsidRPr="001A5483">
        <w:t>T2DM</w:t>
      </w:r>
      <w:r w:rsidR="0058452E">
        <w:t>.</w:t>
      </w:r>
      <w:r w:rsidR="001A5483" w:rsidRPr="001A5483">
        <w:t xml:space="preserve"> </w:t>
      </w:r>
    </w:p>
    <w:p w14:paraId="7D44AD17" w14:textId="175C2845" w:rsidR="004405EF" w:rsidRDefault="004F3113" w:rsidP="004F3113">
      <w:r>
        <w:t>Semaglutide is subject to additional monitoring in Australia under the black triangle scheme.</w:t>
      </w:r>
      <w:bookmarkStart w:id="0" w:name="_Ref165993929"/>
      <w:r w:rsidR="007D2DF2">
        <w:rPr>
          <w:rStyle w:val="FootnoteReference"/>
        </w:rPr>
        <w:footnoteReference w:id="5"/>
      </w:r>
      <w:bookmarkEnd w:id="0"/>
    </w:p>
    <w:p w14:paraId="6A15E4C8" w14:textId="28B6EB13" w:rsidR="008F729C" w:rsidRDefault="008F729C" w:rsidP="008F729C">
      <w:r>
        <w:t xml:space="preserve">Dulaglutide is indicated as an adjunct to diet and exercise to improve glycaemic control in adults with </w:t>
      </w:r>
      <w:r w:rsidR="008B2E4C">
        <w:t>T2DM</w:t>
      </w:r>
      <w:r>
        <w:t>:</w:t>
      </w:r>
    </w:p>
    <w:p w14:paraId="64F6AAEA" w14:textId="52D89FA2" w:rsidR="008F729C" w:rsidRDefault="008F729C" w:rsidP="008F729C">
      <w:pPr>
        <w:pStyle w:val="ListParagraph"/>
        <w:numPr>
          <w:ilvl w:val="0"/>
          <w:numId w:val="11"/>
        </w:numPr>
      </w:pPr>
      <w:r>
        <w:t>As monotherapy.</w:t>
      </w:r>
    </w:p>
    <w:p w14:paraId="7255300B" w14:textId="3A3216A5" w:rsidR="008F729C" w:rsidRDefault="008F729C" w:rsidP="008F729C">
      <w:pPr>
        <w:pStyle w:val="ListParagraph"/>
        <w:numPr>
          <w:ilvl w:val="0"/>
          <w:numId w:val="11"/>
        </w:numPr>
      </w:pPr>
      <w:r>
        <w:t>In combination with other glucose-lowering medicinal products including insulin, when these, together with diet and exercise, do not provide adequate glycaemic</w:t>
      </w:r>
      <w:r w:rsidR="00AA0D6D">
        <w:t xml:space="preserve"> control</w:t>
      </w:r>
      <w:r>
        <w:t>.</w:t>
      </w:r>
    </w:p>
    <w:p w14:paraId="00F98382" w14:textId="1A62193E" w:rsidR="008F729C" w:rsidRDefault="008B2E4C" w:rsidP="008B2E4C">
      <w:r>
        <w:t>D</w:t>
      </w:r>
      <w:r w:rsidR="008F729C">
        <w:t xml:space="preserve">ulaglutide is indicated as an adjunct to standard of care therapy to reduce the risk of major adverse cardiovascular events in adults with </w:t>
      </w:r>
      <w:r>
        <w:t>T2DM</w:t>
      </w:r>
      <w:r w:rsidR="008F729C">
        <w:t xml:space="preserve"> who have:</w:t>
      </w:r>
    </w:p>
    <w:p w14:paraId="7F36B511" w14:textId="751D95C7" w:rsidR="008F729C" w:rsidRDefault="008F729C" w:rsidP="008F729C">
      <w:pPr>
        <w:pStyle w:val="ListParagraph"/>
        <w:numPr>
          <w:ilvl w:val="0"/>
          <w:numId w:val="12"/>
        </w:numPr>
      </w:pPr>
      <w:r>
        <w:t>established cardiovascular disease or</w:t>
      </w:r>
    </w:p>
    <w:p w14:paraId="319BD7F5" w14:textId="406F1B2B" w:rsidR="0031757D" w:rsidRDefault="008F729C" w:rsidP="008F729C">
      <w:pPr>
        <w:pStyle w:val="ListParagraph"/>
        <w:numPr>
          <w:ilvl w:val="0"/>
          <w:numId w:val="12"/>
        </w:numPr>
      </w:pPr>
      <w:r>
        <w:t>multiple cardiovascular risk factors</w:t>
      </w:r>
      <w:r w:rsidR="008B2E4C">
        <w:t>.</w:t>
      </w:r>
      <w:r w:rsidR="007D2DF2">
        <w:rPr>
          <w:rStyle w:val="FootnoteReference"/>
        </w:rPr>
        <w:footnoteReference w:id="6"/>
      </w:r>
    </w:p>
    <w:p w14:paraId="15E919C1" w14:textId="1B3BA560" w:rsidR="006B709B" w:rsidRDefault="006B709B" w:rsidP="00CF5E22">
      <w:pPr>
        <w:pStyle w:val="Heading2"/>
      </w:pPr>
      <w:r>
        <w:t>Dosage and administration</w:t>
      </w:r>
    </w:p>
    <w:p w14:paraId="2FF57A7E" w14:textId="03C0914D" w:rsidR="00200794" w:rsidRPr="00200794" w:rsidRDefault="00200794" w:rsidP="00D12632">
      <w:pPr>
        <w:rPr>
          <w:u w:val="single"/>
        </w:rPr>
      </w:pPr>
      <w:r w:rsidRPr="00200794">
        <w:rPr>
          <w:u w:val="single"/>
        </w:rPr>
        <w:t>Semaglutide</w:t>
      </w:r>
    </w:p>
    <w:p w14:paraId="361F41C6" w14:textId="2059CC0B" w:rsidR="00D12632" w:rsidRDefault="00D12632" w:rsidP="00D12632">
      <w:r w:rsidRPr="00D12632">
        <w:t xml:space="preserve">Semaglutide </w:t>
      </w:r>
      <w:r>
        <w:t>starting dose is 0.25 mg once weekly. After 4 weeks, the dose should be increased</w:t>
      </w:r>
      <w:r w:rsidR="00AB289B">
        <w:t xml:space="preserve"> </w:t>
      </w:r>
      <w:r>
        <w:t>to 0.5 mg once weekly. After at least 4 weeks with a dose of 0.5 mg once weekly, the dose</w:t>
      </w:r>
      <w:r w:rsidR="00AB289B">
        <w:t xml:space="preserve"> </w:t>
      </w:r>
      <w:r>
        <w:t>can be increased to 1 mg once weekly to further improve glycaemic control.</w:t>
      </w:r>
    </w:p>
    <w:p w14:paraId="682B17E7" w14:textId="6383BA8A" w:rsidR="00D12632" w:rsidRDefault="00D12632" w:rsidP="00D12632">
      <w:r w:rsidRPr="00D12632">
        <w:t xml:space="preserve">Semaglutide </w:t>
      </w:r>
      <w:r>
        <w:t>0.25 mg is not a maintenance dose.</w:t>
      </w:r>
    </w:p>
    <w:p w14:paraId="788EF806" w14:textId="15DD4665" w:rsidR="00D12632" w:rsidRDefault="00D12632" w:rsidP="00D12632">
      <w:r>
        <w:t>When s</w:t>
      </w:r>
      <w:r w:rsidRPr="00D12632">
        <w:t xml:space="preserve">emaglutide </w:t>
      </w:r>
      <w:r>
        <w:t>is added to existing metformin and/or thiazolidinedione therapy, the current</w:t>
      </w:r>
      <w:r w:rsidR="00AB289B">
        <w:t xml:space="preserve"> </w:t>
      </w:r>
      <w:r>
        <w:t>dose of metformin and/or thiazolidinedione can be continued unchanged.</w:t>
      </w:r>
    </w:p>
    <w:p w14:paraId="39E1A72A" w14:textId="31BD2804" w:rsidR="00D12632" w:rsidRDefault="00D12632" w:rsidP="00D12632">
      <w:r>
        <w:t xml:space="preserve">When </w:t>
      </w:r>
      <w:r w:rsidRPr="00D12632">
        <w:t xml:space="preserve">semaglutide </w:t>
      </w:r>
      <w:r>
        <w:t>is added to existing therapy of a sulfonylurea or insulin, a reduction in the</w:t>
      </w:r>
      <w:r w:rsidR="00AB289B">
        <w:t xml:space="preserve"> </w:t>
      </w:r>
      <w:r>
        <w:t>dose of sulfonylurea or insulin should be considered to reduce the risk of hypoglycaemia</w:t>
      </w:r>
      <w:r w:rsidR="00AB289B">
        <w:t>.</w:t>
      </w:r>
      <w:r w:rsidR="005032D4" w:rsidRPr="00264C3C">
        <w:rPr>
          <w:vertAlign w:val="superscript"/>
        </w:rPr>
        <w:fldChar w:fldCharType="begin"/>
      </w:r>
      <w:r w:rsidR="005032D4" w:rsidRPr="00264C3C">
        <w:rPr>
          <w:vertAlign w:val="superscript"/>
        </w:rPr>
        <w:instrText xml:space="preserve"> NOTEREF _Ref165993929 \h </w:instrText>
      </w:r>
      <w:r w:rsidR="00272E7A">
        <w:rPr>
          <w:vertAlign w:val="superscript"/>
        </w:rPr>
        <w:instrText xml:space="preserve"> \* MERGEFORMAT </w:instrText>
      </w:r>
      <w:r w:rsidR="005032D4" w:rsidRPr="00264C3C">
        <w:rPr>
          <w:vertAlign w:val="superscript"/>
        </w:rPr>
      </w:r>
      <w:r w:rsidR="005032D4" w:rsidRPr="00264C3C">
        <w:rPr>
          <w:vertAlign w:val="superscript"/>
        </w:rPr>
        <w:fldChar w:fldCharType="separate"/>
      </w:r>
      <w:r w:rsidR="004A0573">
        <w:rPr>
          <w:vertAlign w:val="superscript"/>
        </w:rPr>
        <w:t>5</w:t>
      </w:r>
      <w:r w:rsidR="005032D4" w:rsidRPr="00264C3C">
        <w:rPr>
          <w:vertAlign w:val="superscript"/>
        </w:rPr>
        <w:fldChar w:fldCharType="end"/>
      </w:r>
    </w:p>
    <w:p w14:paraId="5AEAF069" w14:textId="5FB926B7" w:rsidR="00200794" w:rsidRPr="00536AA4" w:rsidRDefault="00A064F7" w:rsidP="008B2E4C">
      <w:pPr>
        <w:keepNext/>
        <w:rPr>
          <w:u w:val="single"/>
        </w:rPr>
      </w:pPr>
      <w:r w:rsidRPr="00536AA4">
        <w:rPr>
          <w:u w:val="single"/>
        </w:rPr>
        <w:lastRenderedPageBreak/>
        <w:t>Dulaglutide</w:t>
      </w:r>
    </w:p>
    <w:p w14:paraId="3E49816E" w14:textId="4547774E" w:rsidR="00190AC0" w:rsidRDefault="00190AC0" w:rsidP="00190AC0">
      <w:r w:rsidRPr="00190AC0">
        <w:t xml:space="preserve">Dulaglutide </w:t>
      </w:r>
      <w:r>
        <w:t>should be administered once weekly. The dose can be administered at any time of the</w:t>
      </w:r>
      <w:r w:rsidR="00846085">
        <w:t xml:space="preserve"> </w:t>
      </w:r>
      <w:r>
        <w:t>day, with or without meals, and can be injected subcutaneously in the abdomen, thigh or upper</w:t>
      </w:r>
      <w:r w:rsidR="00846085">
        <w:t xml:space="preserve"> </w:t>
      </w:r>
      <w:r>
        <w:t xml:space="preserve">arm. </w:t>
      </w:r>
      <w:r w:rsidRPr="00190AC0">
        <w:t xml:space="preserve">Dulaglutide </w:t>
      </w:r>
      <w:r>
        <w:t xml:space="preserve">should not be administered intravenously or intramuscularly. </w:t>
      </w:r>
      <w:r w:rsidRPr="00190AC0">
        <w:t xml:space="preserve">Dulaglutide </w:t>
      </w:r>
      <w:r>
        <w:t xml:space="preserve">is for single use in one patient only. </w:t>
      </w:r>
      <w:r w:rsidR="00021A51">
        <w:t>T</w:t>
      </w:r>
      <w:r>
        <w:t xml:space="preserve">he pen </w:t>
      </w:r>
      <w:r w:rsidR="00021A51">
        <w:t xml:space="preserve">is discarded </w:t>
      </w:r>
      <w:r>
        <w:t>once the injection is completed.</w:t>
      </w:r>
    </w:p>
    <w:p w14:paraId="796D6E0C" w14:textId="3882F83A" w:rsidR="00190AC0" w:rsidRDefault="00190AC0" w:rsidP="00190AC0">
      <w:r>
        <w:t>The recommended dose of d</w:t>
      </w:r>
      <w:r w:rsidRPr="00190AC0">
        <w:t xml:space="preserve">ulaglutide </w:t>
      </w:r>
      <w:r>
        <w:t xml:space="preserve">in adults </w:t>
      </w:r>
      <w:r w:rsidRPr="00190AC0">
        <w:t>(≥ 18 years)</w:t>
      </w:r>
      <w:r w:rsidR="00846085">
        <w:t xml:space="preserve"> </w:t>
      </w:r>
      <w:r>
        <w:t xml:space="preserve">is 1.5 mg per week. </w:t>
      </w:r>
      <w:r w:rsidR="00D77B68">
        <w:t>D</w:t>
      </w:r>
      <w:r w:rsidR="00846085" w:rsidRPr="00846085">
        <w:t>ulaglutide</w:t>
      </w:r>
      <w:r w:rsidR="00D77B68">
        <w:t xml:space="preserve"> is administered</w:t>
      </w:r>
      <w:r w:rsidR="00846085" w:rsidRPr="00846085">
        <w:t xml:space="preserve"> </w:t>
      </w:r>
      <w:r>
        <w:t>once weekly, at</w:t>
      </w:r>
      <w:r w:rsidR="00846085">
        <w:t xml:space="preserve"> </w:t>
      </w:r>
      <w:r>
        <w:t>any time of day, independently of meals.</w:t>
      </w:r>
    </w:p>
    <w:p w14:paraId="56A96C16" w14:textId="2A3518F6" w:rsidR="00190AC0" w:rsidRDefault="00190AC0" w:rsidP="00190AC0">
      <w:r>
        <w:t>No dose adjustment is required based on age</w:t>
      </w:r>
      <w:r w:rsidR="00846085">
        <w:t xml:space="preserve"> in patients over the age of </w:t>
      </w:r>
      <w:r w:rsidR="00536AA4">
        <w:t>65</w:t>
      </w:r>
      <w:r w:rsidR="004D4361">
        <w:t xml:space="preserve"> years</w:t>
      </w:r>
      <w:r>
        <w:t>.</w:t>
      </w:r>
    </w:p>
    <w:p w14:paraId="6693C714" w14:textId="27734D9C" w:rsidR="00A064F7" w:rsidRDefault="00190AC0" w:rsidP="00D12632">
      <w:r>
        <w:t xml:space="preserve">The safety and effectiveness of </w:t>
      </w:r>
      <w:r w:rsidR="00536AA4" w:rsidRPr="00536AA4">
        <w:t xml:space="preserve">dulaglutide </w:t>
      </w:r>
      <w:r>
        <w:t>have not been established in children and adolescents</w:t>
      </w:r>
      <w:r w:rsidR="00536AA4">
        <w:t xml:space="preserve"> </w:t>
      </w:r>
      <w:r>
        <w:t>under 18 years of age.</w:t>
      </w:r>
      <w:r w:rsidR="002A4698">
        <w:rPr>
          <w:vertAlign w:val="superscript"/>
        </w:rPr>
        <w:t>6</w:t>
      </w:r>
    </w:p>
    <w:p w14:paraId="6682A05C" w14:textId="77777777"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18BA768E" w:rsidR="00DF0B13" w:rsidRPr="007247B9" w:rsidDel="00EE2BBB" w:rsidRDefault="00DF0B13" w:rsidP="00CF5E22">
      <w:pPr>
        <w:pStyle w:val="Heading2"/>
      </w:pPr>
      <w:r w:rsidRPr="007247B9" w:rsidDel="00EE2BBB">
        <w:t>PBS listing details</w:t>
      </w:r>
      <w:r w:rsidR="00D151EB" w:rsidDel="00EE2BBB">
        <w:t xml:space="preserve"> (as at </w:t>
      </w:r>
      <w:r w:rsidR="00064067">
        <w:t xml:space="preserve">1 </w:t>
      </w:r>
      <w:r w:rsidR="002B39BC">
        <w:t xml:space="preserve">May </w:t>
      </w:r>
      <w:r w:rsidR="00064067">
        <w:t>2024</w:t>
      </w:r>
      <w:r w:rsidR="00D151EB" w:rsidDel="00EE2BBB">
        <w:t>)</w:t>
      </w:r>
    </w:p>
    <w:p w14:paraId="1D47784A" w14:textId="4E25C4E5" w:rsidR="001420B3" w:rsidRPr="001420B3" w:rsidDel="00EE2BBB" w:rsidRDefault="001420B3" w:rsidP="00CF5E22">
      <w:pPr>
        <w:pStyle w:val="Tabletitle"/>
      </w:pPr>
      <w:bookmarkStart w:id="1" w:name="_Hlk161238322"/>
      <w:r w:rsidRPr="001420B3" w:rsidDel="00EE2BBB">
        <w:t xml:space="preserve">Table </w:t>
      </w:r>
      <w:r w:rsidR="009321E2">
        <w:t>1</w:t>
      </w:r>
      <w:r w:rsidRPr="001420B3" w:rsidDel="00EE2BBB">
        <w:t xml:space="preserve">: </w:t>
      </w:r>
      <w:r w:rsidR="009663B6" w:rsidDel="00EE2BBB">
        <w:t>PB</w:t>
      </w:r>
      <w:r w:rsidR="00D151EB" w:rsidDel="00EE2BBB">
        <w:t xml:space="preserve">S listing of </w:t>
      </w:r>
      <w:r w:rsidR="00BE201E">
        <w:t>semaglutide</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93111F">
        <w:trPr>
          <w:trHeight w:val="552"/>
          <w:tblHeader/>
        </w:trPr>
        <w:tc>
          <w:tcPr>
            <w:tcW w:w="969" w:type="dxa"/>
            <w:shd w:val="clear" w:color="auto" w:fill="auto"/>
          </w:tcPr>
          <w:p w14:paraId="0A3E3442" w14:textId="30C07338" w:rsidR="0093111F" w:rsidRPr="00A35800" w:rsidDel="00EE2BBB" w:rsidRDefault="004204F3" w:rsidP="00A35800">
            <w:pPr>
              <w:pStyle w:val="Tablewriting"/>
            </w:pPr>
            <w:r>
              <w:t>12075M</w:t>
            </w:r>
          </w:p>
        </w:tc>
        <w:tc>
          <w:tcPr>
            <w:tcW w:w="2400" w:type="dxa"/>
            <w:shd w:val="clear" w:color="auto" w:fill="auto"/>
          </w:tcPr>
          <w:p w14:paraId="0F676F51" w14:textId="777C37A5" w:rsidR="0093111F" w:rsidRPr="00A35800" w:rsidDel="00EE2BBB" w:rsidRDefault="007664A4" w:rsidP="00A35800">
            <w:pPr>
              <w:pStyle w:val="Tablewriting"/>
            </w:pPr>
            <w:r w:rsidRPr="007664A4">
              <w:t>semaglutide 1.34 mg/mL injection, 1 x 3 mL pen device</w:t>
            </w:r>
          </w:p>
        </w:tc>
        <w:tc>
          <w:tcPr>
            <w:tcW w:w="1701" w:type="dxa"/>
            <w:shd w:val="clear" w:color="auto" w:fill="auto"/>
          </w:tcPr>
          <w:p w14:paraId="0E2637C4" w14:textId="736FBA50" w:rsidR="0093111F" w:rsidRPr="00A35800" w:rsidDel="00EE2BBB" w:rsidRDefault="007664A4" w:rsidP="00A35800">
            <w:pPr>
              <w:pStyle w:val="Tablewriting"/>
            </w:pPr>
            <w:r>
              <w:t>1</w:t>
            </w:r>
          </w:p>
        </w:tc>
        <w:tc>
          <w:tcPr>
            <w:tcW w:w="850" w:type="dxa"/>
            <w:shd w:val="clear" w:color="auto" w:fill="auto"/>
          </w:tcPr>
          <w:p w14:paraId="6B361CAA" w14:textId="204B7531" w:rsidR="0093111F" w:rsidRPr="00A35800" w:rsidDel="00EE2BBB" w:rsidRDefault="007664A4" w:rsidP="00A35800">
            <w:pPr>
              <w:pStyle w:val="Tablewriting"/>
            </w:pPr>
            <w:r>
              <w:t>5</w:t>
            </w:r>
          </w:p>
        </w:tc>
        <w:tc>
          <w:tcPr>
            <w:tcW w:w="1040" w:type="dxa"/>
            <w:shd w:val="clear" w:color="auto" w:fill="auto"/>
          </w:tcPr>
          <w:p w14:paraId="15F68405" w14:textId="491E98E6" w:rsidR="0093111F" w:rsidRPr="00A35800" w:rsidDel="00EE2BBB" w:rsidRDefault="007664A4" w:rsidP="00A35800">
            <w:pPr>
              <w:pStyle w:val="Tablewriting"/>
            </w:pPr>
            <w:r>
              <w:t>$133.80</w:t>
            </w:r>
          </w:p>
        </w:tc>
        <w:tc>
          <w:tcPr>
            <w:tcW w:w="2104" w:type="dxa"/>
            <w:shd w:val="clear" w:color="auto" w:fill="auto"/>
          </w:tcPr>
          <w:p w14:paraId="2A0B2E97" w14:textId="77777777" w:rsidR="0093111F" w:rsidRDefault="007664A4" w:rsidP="00A35800">
            <w:pPr>
              <w:pStyle w:val="Tablewriting"/>
            </w:pPr>
            <w:r>
              <w:t>Ozempic</w:t>
            </w:r>
          </w:p>
          <w:p w14:paraId="2D337AC6" w14:textId="76B65920" w:rsidR="000D45D2" w:rsidRPr="00A35800" w:rsidDel="00EE2BBB" w:rsidRDefault="000D45D2" w:rsidP="00A35800">
            <w:pPr>
              <w:pStyle w:val="Tablewriting"/>
            </w:pPr>
            <w:r w:rsidRPr="000D45D2">
              <w:t>Novo Nordisk Pharmaceuticals Pty. Limited</w:t>
            </w:r>
          </w:p>
        </w:tc>
      </w:tr>
      <w:tr w:rsidR="00B9185E" w:rsidRPr="00A35800" w:rsidDel="00EE2BBB" w14:paraId="727BDEEF" w14:textId="77777777" w:rsidTr="0093111F">
        <w:trPr>
          <w:trHeight w:val="552"/>
          <w:tblHeader/>
        </w:trPr>
        <w:tc>
          <w:tcPr>
            <w:tcW w:w="969" w:type="dxa"/>
            <w:shd w:val="clear" w:color="auto" w:fill="auto"/>
          </w:tcPr>
          <w:p w14:paraId="6866452A" w14:textId="2DB208B6" w:rsidR="00B9185E" w:rsidRPr="00A35800" w:rsidDel="00EE2BBB" w:rsidRDefault="00B9185E" w:rsidP="00B9185E">
            <w:pPr>
              <w:pStyle w:val="Tablewriting"/>
            </w:pPr>
            <w:r>
              <w:t>12080T</w:t>
            </w:r>
          </w:p>
        </w:tc>
        <w:tc>
          <w:tcPr>
            <w:tcW w:w="2400" w:type="dxa"/>
            <w:shd w:val="clear" w:color="auto" w:fill="auto"/>
          </w:tcPr>
          <w:p w14:paraId="36785D83" w14:textId="40FA4320" w:rsidR="00B9185E" w:rsidRPr="00A35800" w:rsidDel="00EE2BBB" w:rsidRDefault="00B9185E" w:rsidP="00B9185E">
            <w:pPr>
              <w:pStyle w:val="Tablewriting"/>
            </w:pPr>
            <w:r w:rsidRPr="00B9185E">
              <w:t>semaglutide 1.34 mg/mL injection, 1 x 1.5 mL pen device</w:t>
            </w:r>
          </w:p>
        </w:tc>
        <w:tc>
          <w:tcPr>
            <w:tcW w:w="1701" w:type="dxa"/>
            <w:shd w:val="clear" w:color="auto" w:fill="auto"/>
          </w:tcPr>
          <w:p w14:paraId="42A82ABB" w14:textId="5BEDF7AB" w:rsidR="00B9185E" w:rsidRPr="00A35800" w:rsidDel="00EE2BBB" w:rsidRDefault="00B9185E" w:rsidP="00B9185E">
            <w:pPr>
              <w:pStyle w:val="Tablewriting"/>
            </w:pPr>
            <w:r>
              <w:t>1</w:t>
            </w:r>
          </w:p>
        </w:tc>
        <w:tc>
          <w:tcPr>
            <w:tcW w:w="850" w:type="dxa"/>
            <w:shd w:val="clear" w:color="auto" w:fill="auto"/>
          </w:tcPr>
          <w:p w14:paraId="487C0DFE" w14:textId="53433B2E" w:rsidR="00B9185E" w:rsidRPr="00A35800" w:rsidDel="00EE2BBB" w:rsidRDefault="00B9185E" w:rsidP="00B9185E">
            <w:pPr>
              <w:pStyle w:val="Tablewriting"/>
            </w:pPr>
            <w:r>
              <w:t>5</w:t>
            </w:r>
          </w:p>
        </w:tc>
        <w:tc>
          <w:tcPr>
            <w:tcW w:w="1040" w:type="dxa"/>
            <w:shd w:val="clear" w:color="auto" w:fill="auto"/>
          </w:tcPr>
          <w:p w14:paraId="5A319CBE" w14:textId="56D0389D" w:rsidR="00B9185E" w:rsidRPr="00A35800" w:rsidDel="00EE2BBB" w:rsidRDefault="00B9185E" w:rsidP="00B9185E">
            <w:pPr>
              <w:pStyle w:val="Tablewriting"/>
            </w:pPr>
            <w:r>
              <w:t>$133.80</w:t>
            </w:r>
          </w:p>
        </w:tc>
        <w:tc>
          <w:tcPr>
            <w:tcW w:w="2104" w:type="dxa"/>
            <w:shd w:val="clear" w:color="auto" w:fill="auto"/>
          </w:tcPr>
          <w:p w14:paraId="67CCAF4F" w14:textId="77777777" w:rsidR="00B9185E" w:rsidRDefault="00B9185E" w:rsidP="00B9185E">
            <w:pPr>
              <w:pStyle w:val="Tablewriting"/>
            </w:pPr>
            <w:r>
              <w:t>Ozempic</w:t>
            </w:r>
          </w:p>
          <w:p w14:paraId="3C570C33" w14:textId="319D3185" w:rsidR="000D45D2" w:rsidRPr="00A35800" w:rsidDel="00EE2BBB" w:rsidRDefault="000D45D2" w:rsidP="00B9185E">
            <w:pPr>
              <w:pStyle w:val="Tablewriting"/>
            </w:pPr>
            <w:r w:rsidRPr="000D45D2">
              <w:t>Novo Nordisk Pharmaceuticals Pty. Limited</w:t>
            </w:r>
          </w:p>
        </w:tc>
      </w:tr>
    </w:tbl>
    <w:p w14:paraId="1183F151" w14:textId="54CC2378"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80485E" w:rsidRPr="0080485E" w:rsidDel="00EE2BBB">
        <w:t>Special Pricing Arrangement</w:t>
      </w:r>
      <w:r w:rsidR="00CB08B2">
        <w:t>s apply</w:t>
      </w:r>
      <w:r w:rsidR="0080485E" w:rsidRPr="0080485E" w:rsidDel="00EE2BBB">
        <w:t>.</w:t>
      </w:r>
    </w:p>
    <w:bookmarkEnd w:id="1"/>
    <w:p w14:paraId="35DF563C" w14:textId="07ABEAA6" w:rsidR="006033FE" w:rsidRPr="006033FE" w:rsidDel="00EE2BBB" w:rsidRDefault="006033FE" w:rsidP="006033FE">
      <w:pPr>
        <w:pStyle w:val="Tabletitle"/>
      </w:pPr>
      <w:r w:rsidRPr="006033FE" w:rsidDel="00EE2BBB">
        <w:t xml:space="preserve">Table </w:t>
      </w:r>
      <w:r w:rsidR="00E65FFE">
        <w:t>2</w:t>
      </w:r>
      <w:r w:rsidRPr="006033FE" w:rsidDel="00EE2BBB">
        <w:t xml:space="preserve">: PBS listing of </w:t>
      </w:r>
      <w:r>
        <w:t>dul</w:t>
      </w:r>
      <w:r w:rsidRPr="006033FE">
        <w:t>aglutide</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6033FE" w:rsidRPr="006033FE" w:rsidDel="00EE2BBB" w14:paraId="347079FB" w14:textId="77777777" w:rsidTr="004B0AE9">
        <w:trPr>
          <w:trHeight w:val="694"/>
          <w:tblHeader/>
        </w:trPr>
        <w:tc>
          <w:tcPr>
            <w:tcW w:w="969" w:type="dxa"/>
            <w:shd w:val="clear" w:color="auto" w:fill="BFBFBF" w:themeFill="background1" w:themeFillShade="BF"/>
          </w:tcPr>
          <w:p w14:paraId="53FC0873" w14:textId="77777777" w:rsidR="006033FE" w:rsidRPr="006033FE" w:rsidDel="00EE2BBB" w:rsidRDefault="006033FE" w:rsidP="006033FE">
            <w:pPr>
              <w:autoSpaceDE w:val="0"/>
              <w:autoSpaceDN w:val="0"/>
              <w:adjustRightInd w:val="0"/>
              <w:spacing w:before="60" w:after="60"/>
              <w:jc w:val="center"/>
              <w:rPr>
                <w:rFonts w:cs="Calibri"/>
                <w:b/>
                <w:sz w:val="20"/>
                <w:szCs w:val="20"/>
              </w:rPr>
            </w:pPr>
            <w:r w:rsidRPr="006033FE" w:rsidDel="00EE2BBB">
              <w:rPr>
                <w:rFonts w:cs="Calibri"/>
                <w:b/>
                <w:sz w:val="20"/>
                <w:szCs w:val="20"/>
              </w:rPr>
              <w:t>Item</w:t>
            </w:r>
          </w:p>
        </w:tc>
        <w:tc>
          <w:tcPr>
            <w:tcW w:w="2400" w:type="dxa"/>
            <w:shd w:val="clear" w:color="auto" w:fill="BFBFBF" w:themeFill="background1" w:themeFillShade="BF"/>
          </w:tcPr>
          <w:p w14:paraId="06DCF6A7" w14:textId="77777777" w:rsidR="006033FE" w:rsidRPr="006033FE" w:rsidDel="00EE2BBB" w:rsidRDefault="006033FE" w:rsidP="006033FE">
            <w:pPr>
              <w:autoSpaceDE w:val="0"/>
              <w:autoSpaceDN w:val="0"/>
              <w:adjustRightInd w:val="0"/>
              <w:spacing w:before="60" w:after="60"/>
              <w:jc w:val="center"/>
              <w:rPr>
                <w:rFonts w:cs="Calibri"/>
                <w:b/>
                <w:sz w:val="20"/>
                <w:szCs w:val="20"/>
              </w:rPr>
            </w:pPr>
            <w:r w:rsidRPr="006033FE" w:rsidDel="00EE2BBB">
              <w:rPr>
                <w:rFonts w:cs="Calibri"/>
                <w:b/>
                <w:sz w:val="20"/>
                <w:szCs w:val="20"/>
              </w:rPr>
              <w:t>Name, form &amp; strength, pack size</w:t>
            </w:r>
          </w:p>
        </w:tc>
        <w:tc>
          <w:tcPr>
            <w:tcW w:w="1701" w:type="dxa"/>
            <w:shd w:val="clear" w:color="auto" w:fill="BFBFBF" w:themeFill="background1" w:themeFillShade="BF"/>
          </w:tcPr>
          <w:p w14:paraId="65EF1418" w14:textId="55711107" w:rsidR="006033FE" w:rsidRPr="006033FE" w:rsidDel="00EE2BBB" w:rsidRDefault="00B07B9B" w:rsidP="006033FE">
            <w:pPr>
              <w:autoSpaceDE w:val="0"/>
              <w:autoSpaceDN w:val="0"/>
              <w:adjustRightInd w:val="0"/>
              <w:spacing w:before="60" w:after="60"/>
              <w:jc w:val="center"/>
              <w:rPr>
                <w:rFonts w:cs="Calibri"/>
                <w:b/>
                <w:sz w:val="20"/>
                <w:szCs w:val="20"/>
              </w:rPr>
            </w:pPr>
            <w:r w:rsidRPr="00B07B9B">
              <w:rPr>
                <w:rFonts w:cs="Calibri"/>
                <w:b/>
                <w:sz w:val="20"/>
                <w:szCs w:val="20"/>
              </w:rPr>
              <w:t>Max. quant.</w:t>
            </w:r>
          </w:p>
        </w:tc>
        <w:tc>
          <w:tcPr>
            <w:tcW w:w="850" w:type="dxa"/>
            <w:shd w:val="clear" w:color="auto" w:fill="BFBFBF" w:themeFill="background1" w:themeFillShade="BF"/>
          </w:tcPr>
          <w:p w14:paraId="1FE2DC19" w14:textId="77777777" w:rsidR="006033FE" w:rsidRPr="006033FE" w:rsidDel="00EE2BBB" w:rsidRDefault="006033FE" w:rsidP="006033FE">
            <w:pPr>
              <w:autoSpaceDE w:val="0"/>
              <w:autoSpaceDN w:val="0"/>
              <w:adjustRightInd w:val="0"/>
              <w:spacing w:before="60" w:after="60"/>
              <w:jc w:val="center"/>
              <w:rPr>
                <w:rFonts w:cs="Calibri"/>
                <w:b/>
                <w:sz w:val="20"/>
                <w:szCs w:val="20"/>
              </w:rPr>
            </w:pPr>
            <w:r w:rsidRPr="006033FE" w:rsidDel="00EE2BBB">
              <w:rPr>
                <w:rFonts w:cs="Calibri"/>
                <w:b/>
                <w:sz w:val="20"/>
                <w:szCs w:val="20"/>
              </w:rPr>
              <w:t xml:space="preserve">Rpts </w:t>
            </w:r>
          </w:p>
        </w:tc>
        <w:tc>
          <w:tcPr>
            <w:tcW w:w="1040" w:type="dxa"/>
            <w:shd w:val="clear" w:color="auto" w:fill="BFBFBF" w:themeFill="background1" w:themeFillShade="BF"/>
          </w:tcPr>
          <w:p w14:paraId="5D227CD4" w14:textId="77777777" w:rsidR="006033FE" w:rsidRPr="006033FE" w:rsidDel="00EE2BBB" w:rsidRDefault="006033FE" w:rsidP="006033FE">
            <w:pPr>
              <w:autoSpaceDE w:val="0"/>
              <w:autoSpaceDN w:val="0"/>
              <w:adjustRightInd w:val="0"/>
              <w:spacing w:before="60" w:after="60"/>
              <w:jc w:val="center"/>
              <w:rPr>
                <w:rFonts w:cs="Calibri"/>
                <w:b/>
                <w:sz w:val="20"/>
                <w:szCs w:val="20"/>
              </w:rPr>
            </w:pPr>
            <w:r w:rsidRPr="006033FE" w:rsidDel="00EE2BBB">
              <w:rPr>
                <w:rFonts w:cs="Calibri"/>
                <w:b/>
                <w:sz w:val="20"/>
                <w:szCs w:val="20"/>
              </w:rPr>
              <w:t>DPMQ</w:t>
            </w:r>
          </w:p>
        </w:tc>
        <w:tc>
          <w:tcPr>
            <w:tcW w:w="2104" w:type="dxa"/>
            <w:shd w:val="clear" w:color="auto" w:fill="BFBFBF" w:themeFill="background1" w:themeFillShade="BF"/>
          </w:tcPr>
          <w:p w14:paraId="0F1BB160" w14:textId="77777777" w:rsidR="006033FE" w:rsidRPr="006033FE" w:rsidDel="00EE2BBB" w:rsidRDefault="006033FE" w:rsidP="006033FE">
            <w:pPr>
              <w:autoSpaceDE w:val="0"/>
              <w:autoSpaceDN w:val="0"/>
              <w:adjustRightInd w:val="0"/>
              <w:spacing w:before="60" w:after="60"/>
              <w:jc w:val="center"/>
              <w:rPr>
                <w:rFonts w:cs="Calibri"/>
                <w:b/>
                <w:sz w:val="20"/>
                <w:szCs w:val="20"/>
              </w:rPr>
            </w:pPr>
            <w:r w:rsidRPr="006033FE" w:rsidDel="00EE2BBB">
              <w:rPr>
                <w:rFonts w:cs="Calibri"/>
                <w:b/>
                <w:sz w:val="20"/>
                <w:szCs w:val="20"/>
              </w:rPr>
              <w:t>Brand name and manufacturer</w:t>
            </w:r>
          </w:p>
        </w:tc>
      </w:tr>
      <w:tr w:rsidR="006033FE" w:rsidRPr="006033FE" w:rsidDel="00EE2BBB" w14:paraId="7FE7CFF9" w14:textId="77777777" w:rsidTr="004B0AE9">
        <w:trPr>
          <w:trHeight w:val="552"/>
          <w:tblHeader/>
        </w:trPr>
        <w:tc>
          <w:tcPr>
            <w:tcW w:w="969" w:type="dxa"/>
            <w:shd w:val="clear" w:color="auto" w:fill="auto"/>
          </w:tcPr>
          <w:p w14:paraId="5A045E4F" w14:textId="24F26F6E" w:rsidR="006033FE" w:rsidRPr="006033FE" w:rsidDel="00EE2BBB" w:rsidRDefault="00417DA4" w:rsidP="006033FE">
            <w:pPr>
              <w:autoSpaceDE w:val="0"/>
              <w:autoSpaceDN w:val="0"/>
              <w:adjustRightInd w:val="0"/>
              <w:spacing w:before="60" w:after="60"/>
              <w:rPr>
                <w:rFonts w:cs="Calibri"/>
                <w:color w:val="000000"/>
                <w:sz w:val="20"/>
                <w:szCs w:val="20"/>
              </w:rPr>
            </w:pPr>
            <w:r w:rsidRPr="00417DA4">
              <w:rPr>
                <w:rFonts w:cs="Calibri"/>
                <w:color w:val="000000"/>
                <w:sz w:val="20"/>
                <w:szCs w:val="20"/>
              </w:rPr>
              <w:t>11364D</w:t>
            </w:r>
          </w:p>
        </w:tc>
        <w:tc>
          <w:tcPr>
            <w:tcW w:w="2400" w:type="dxa"/>
            <w:shd w:val="clear" w:color="auto" w:fill="auto"/>
          </w:tcPr>
          <w:p w14:paraId="74A2EB84" w14:textId="0FEB38C6" w:rsidR="006033FE" w:rsidRPr="006033FE" w:rsidDel="00EE2BBB" w:rsidRDefault="00B01D74" w:rsidP="006033FE">
            <w:pPr>
              <w:autoSpaceDE w:val="0"/>
              <w:autoSpaceDN w:val="0"/>
              <w:adjustRightInd w:val="0"/>
              <w:spacing w:before="60" w:after="60"/>
              <w:rPr>
                <w:rFonts w:cs="Calibri"/>
                <w:color w:val="000000"/>
                <w:sz w:val="20"/>
                <w:szCs w:val="20"/>
              </w:rPr>
            </w:pPr>
            <w:r w:rsidRPr="00B01D74">
              <w:rPr>
                <w:rFonts w:cs="Calibri"/>
                <w:color w:val="000000"/>
                <w:sz w:val="20"/>
                <w:szCs w:val="20"/>
              </w:rPr>
              <w:t>dulaglutide 1.5 mg/0.5 mL injection, 4 x 0.5 mL pen devices</w:t>
            </w:r>
          </w:p>
        </w:tc>
        <w:tc>
          <w:tcPr>
            <w:tcW w:w="1701" w:type="dxa"/>
            <w:shd w:val="clear" w:color="auto" w:fill="auto"/>
          </w:tcPr>
          <w:p w14:paraId="29321998" w14:textId="18D46CF4" w:rsidR="006033FE" w:rsidRPr="006033FE" w:rsidDel="00EE2BBB" w:rsidRDefault="00417DA4" w:rsidP="006033FE">
            <w:pPr>
              <w:autoSpaceDE w:val="0"/>
              <w:autoSpaceDN w:val="0"/>
              <w:adjustRightInd w:val="0"/>
              <w:spacing w:before="60" w:after="60"/>
              <w:rPr>
                <w:rFonts w:cs="Calibri"/>
                <w:color w:val="000000"/>
                <w:sz w:val="20"/>
                <w:szCs w:val="20"/>
              </w:rPr>
            </w:pPr>
            <w:r>
              <w:rPr>
                <w:rFonts w:cs="Calibri"/>
                <w:color w:val="000000"/>
                <w:sz w:val="20"/>
                <w:szCs w:val="20"/>
              </w:rPr>
              <w:t>4</w:t>
            </w:r>
          </w:p>
        </w:tc>
        <w:tc>
          <w:tcPr>
            <w:tcW w:w="850" w:type="dxa"/>
            <w:shd w:val="clear" w:color="auto" w:fill="auto"/>
          </w:tcPr>
          <w:p w14:paraId="020CB2C4" w14:textId="77777777" w:rsidR="006033FE" w:rsidRPr="006033FE" w:rsidDel="00EE2BBB" w:rsidRDefault="006033FE" w:rsidP="006033FE">
            <w:pPr>
              <w:autoSpaceDE w:val="0"/>
              <w:autoSpaceDN w:val="0"/>
              <w:adjustRightInd w:val="0"/>
              <w:spacing w:before="60" w:after="60"/>
              <w:rPr>
                <w:rFonts w:cs="Calibri"/>
                <w:color w:val="000000"/>
                <w:sz w:val="20"/>
                <w:szCs w:val="20"/>
              </w:rPr>
            </w:pPr>
            <w:r w:rsidRPr="006033FE">
              <w:rPr>
                <w:rFonts w:cs="Calibri"/>
                <w:color w:val="000000"/>
                <w:sz w:val="20"/>
                <w:szCs w:val="20"/>
              </w:rPr>
              <w:t>5</w:t>
            </w:r>
          </w:p>
        </w:tc>
        <w:tc>
          <w:tcPr>
            <w:tcW w:w="1040" w:type="dxa"/>
            <w:shd w:val="clear" w:color="auto" w:fill="auto"/>
          </w:tcPr>
          <w:p w14:paraId="3C32B4D0" w14:textId="77777777" w:rsidR="006033FE" w:rsidRPr="006033FE" w:rsidDel="00EE2BBB" w:rsidRDefault="006033FE" w:rsidP="006033FE">
            <w:pPr>
              <w:autoSpaceDE w:val="0"/>
              <w:autoSpaceDN w:val="0"/>
              <w:adjustRightInd w:val="0"/>
              <w:spacing w:before="60" w:after="60"/>
              <w:rPr>
                <w:rFonts w:cs="Calibri"/>
                <w:color w:val="000000"/>
                <w:sz w:val="20"/>
                <w:szCs w:val="20"/>
              </w:rPr>
            </w:pPr>
            <w:r w:rsidRPr="006033FE">
              <w:rPr>
                <w:rFonts w:cs="Calibri"/>
                <w:color w:val="000000"/>
                <w:sz w:val="20"/>
                <w:szCs w:val="20"/>
              </w:rPr>
              <w:t>$133.80</w:t>
            </w:r>
          </w:p>
        </w:tc>
        <w:tc>
          <w:tcPr>
            <w:tcW w:w="2104" w:type="dxa"/>
            <w:shd w:val="clear" w:color="auto" w:fill="auto"/>
          </w:tcPr>
          <w:p w14:paraId="5DC7EBA1" w14:textId="77777777" w:rsidR="006033FE" w:rsidRDefault="00B07B9B" w:rsidP="006033FE">
            <w:pPr>
              <w:autoSpaceDE w:val="0"/>
              <w:autoSpaceDN w:val="0"/>
              <w:adjustRightInd w:val="0"/>
              <w:spacing w:before="60" w:after="60"/>
              <w:rPr>
                <w:rFonts w:cs="Calibri"/>
                <w:color w:val="000000"/>
                <w:sz w:val="20"/>
                <w:szCs w:val="20"/>
              </w:rPr>
            </w:pPr>
            <w:r w:rsidRPr="00B07B9B">
              <w:rPr>
                <w:rFonts w:cs="Calibri"/>
                <w:color w:val="000000"/>
                <w:sz w:val="20"/>
                <w:szCs w:val="20"/>
              </w:rPr>
              <w:t>Trulicity</w:t>
            </w:r>
          </w:p>
          <w:p w14:paraId="004F5E78" w14:textId="52E9C9EB" w:rsidR="00B07B9B" w:rsidRPr="006033FE" w:rsidDel="00EE2BBB" w:rsidRDefault="00B07B9B" w:rsidP="006033FE">
            <w:pPr>
              <w:autoSpaceDE w:val="0"/>
              <w:autoSpaceDN w:val="0"/>
              <w:adjustRightInd w:val="0"/>
              <w:spacing w:before="60" w:after="60"/>
              <w:rPr>
                <w:rFonts w:cs="Calibri"/>
                <w:color w:val="000000"/>
                <w:sz w:val="20"/>
                <w:szCs w:val="20"/>
              </w:rPr>
            </w:pPr>
            <w:r w:rsidRPr="00B07B9B">
              <w:rPr>
                <w:rFonts w:cs="Calibri"/>
                <w:color w:val="000000"/>
                <w:sz w:val="20"/>
                <w:szCs w:val="20"/>
              </w:rPr>
              <w:t>Eli Lilly Australia Pty Ltd</w:t>
            </w:r>
          </w:p>
        </w:tc>
      </w:tr>
    </w:tbl>
    <w:p w14:paraId="61CB226C" w14:textId="3678D74D" w:rsidR="006033FE" w:rsidRPr="006033FE" w:rsidDel="00EE2BBB" w:rsidRDefault="006033FE" w:rsidP="006033FE">
      <w:pPr>
        <w:rPr>
          <w:rFonts w:cs="Baskerville"/>
          <w:sz w:val="20"/>
          <w:szCs w:val="20"/>
        </w:rPr>
      </w:pPr>
      <w:r w:rsidRPr="006033FE" w:rsidDel="00EE2BBB">
        <w:rPr>
          <w:rFonts w:cs="Baskerville"/>
          <w:sz w:val="20"/>
          <w:szCs w:val="20"/>
        </w:rPr>
        <w:t xml:space="preserve">Source: the </w:t>
      </w:r>
      <w:hyperlink r:id="rId11" w:history="1">
        <w:r w:rsidRPr="006033FE" w:rsidDel="00EE2BBB">
          <w:rPr>
            <w:rFonts w:cs="Baskerville"/>
            <w:color w:val="0000FF" w:themeColor="hyperlink"/>
            <w:sz w:val="20"/>
            <w:szCs w:val="20"/>
            <w:u w:val="single"/>
          </w:rPr>
          <w:t>PBS website</w:t>
        </w:r>
      </w:hyperlink>
      <w:r w:rsidRPr="006033FE" w:rsidDel="00EE2BBB">
        <w:rPr>
          <w:rFonts w:cs="Baskerville"/>
          <w:sz w:val="20"/>
          <w:szCs w:val="20"/>
        </w:rPr>
        <w:t xml:space="preserve">. </w:t>
      </w:r>
      <w:r w:rsidR="009857BF" w:rsidRPr="009857BF">
        <w:rPr>
          <w:rFonts w:cs="Baskerville"/>
          <w:sz w:val="20"/>
          <w:szCs w:val="20"/>
        </w:rPr>
        <w:t>Special Pricing Arrangements apply.</w:t>
      </w:r>
    </w:p>
    <w:p w14:paraId="1AFA1485" w14:textId="233BE52A" w:rsidR="004C3186" w:rsidDel="00EE2BBB" w:rsidRDefault="004C3186" w:rsidP="009857BF">
      <w:pPr>
        <w:pStyle w:val="Heading3"/>
        <w:keepNext/>
      </w:pPr>
      <w:r w:rsidDel="00EE2BBB">
        <w:lastRenderedPageBreak/>
        <w:t>Restriction</w:t>
      </w:r>
    </w:p>
    <w:p w14:paraId="42318F67" w14:textId="70A00671" w:rsidR="00C2241C" w:rsidRPr="009331A4" w:rsidRDefault="00CE6B99" w:rsidP="009857BF">
      <w:pPr>
        <w:keepNext/>
      </w:pPr>
      <w:r w:rsidRPr="009331A4">
        <w:t>Semaglutide</w:t>
      </w:r>
      <w:r w:rsidR="009331A4" w:rsidRPr="009331A4">
        <w:t xml:space="preserve"> and dulaglutide are PBS listed for </w:t>
      </w:r>
      <w:r w:rsidR="009857BF">
        <w:t>T2DM.</w:t>
      </w:r>
    </w:p>
    <w:p w14:paraId="67A9C1E8" w14:textId="32DC2A7A" w:rsidR="00C2241C" w:rsidRDefault="00020F2B" w:rsidP="008C5029">
      <w:pPr>
        <w:pStyle w:val="ListParagraph"/>
        <w:numPr>
          <w:ilvl w:val="0"/>
          <w:numId w:val="6"/>
        </w:numPr>
      </w:pPr>
      <w:r>
        <w:t xml:space="preserve">The treatment must be in combination with metformin; </w:t>
      </w:r>
      <w:r w:rsidR="008C5029">
        <w:t>or</w:t>
      </w:r>
      <w:r>
        <w:t xml:space="preserve"> </w:t>
      </w:r>
      <w:r w:rsidR="00A46475">
        <w:t>t</w:t>
      </w:r>
      <w:r>
        <w:t>he treatment must be in combination with a sulfonylurea,</w:t>
      </w:r>
      <w:r w:rsidR="008C5029">
        <w:t xml:space="preserve"> AND</w:t>
      </w:r>
      <w:r w:rsidR="008C5029">
        <w:br/>
        <w:t>Patient must have a contraindication to a combination of metformin and a sulfonylurea; or Patient must not have tolerated a combination of metformin and a sulfonylurea</w:t>
      </w:r>
      <w:r w:rsidR="00A46475">
        <w:t>.</w:t>
      </w:r>
    </w:p>
    <w:p w14:paraId="0EBEEACC" w14:textId="22B254EC" w:rsidR="00A46475" w:rsidRDefault="00A46475" w:rsidP="009803B4">
      <w:pPr>
        <w:pStyle w:val="ListParagraph"/>
        <w:numPr>
          <w:ilvl w:val="0"/>
          <w:numId w:val="6"/>
        </w:numPr>
      </w:pPr>
      <w:r>
        <w:t>The treatment must be in combination with metformin, AND the treatment must be in combination with a sulfonylurea.</w:t>
      </w:r>
    </w:p>
    <w:p w14:paraId="16F6EEFA" w14:textId="2116FFFA" w:rsidR="003D4052" w:rsidRDefault="003D4052" w:rsidP="000A5487">
      <w:pPr>
        <w:pStyle w:val="ListParagraph"/>
        <w:numPr>
          <w:ilvl w:val="0"/>
          <w:numId w:val="6"/>
        </w:numPr>
      </w:pPr>
      <w:r>
        <w:t>The treatment must be in combination with insulin, AND the treatment must be in combination with metformin unless contraindicated or not tolerated</w:t>
      </w:r>
      <w:r w:rsidR="00C473B1">
        <w:t>.</w:t>
      </w:r>
    </w:p>
    <w:p w14:paraId="22433632" w14:textId="5451455E" w:rsidR="006775F1" w:rsidRPr="006775F1" w:rsidDel="00EE2BBB" w:rsidRDefault="0093459E" w:rsidP="0093459E">
      <w:r w:rsidRPr="0093459E">
        <w:t>For a</w:t>
      </w:r>
      <w:r w:rsidR="009331A4" w:rsidRPr="0093459E">
        <w:t>dditional criteria</w:t>
      </w:r>
      <w:r w:rsidR="0038550B" w:rsidRPr="0093459E">
        <w:t xml:space="preserve"> including HbA1c or blood glucose measurements</w:t>
      </w:r>
      <w:r w:rsidRPr="0093459E">
        <w:t xml:space="preserve">, </w:t>
      </w:r>
      <w:r w:rsidR="0038550B" w:rsidRPr="0093459E">
        <w:t>the f</w:t>
      </w:r>
      <w:r w:rsidR="004C3186" w:rsidRPr="0093459E" w:rsidDel="00EE2BBB">
        <w:t xml:space="preserve">ull wording of the restriction, </w:t>
      </w:r>
      <w:r w:rsidRPr="0093459E">
        <w:t>and</w:t>
      </w:r>
      <w:r w:rsidR="00835337" w:rsidRPr="0093459E" w:rsidDel="00EE2BBB">
        <w:t xml:space="preserve"> the</w:t>
      </w:r>
      <w:r w:rsidR="00835337" w:rsidDel="00EE2BBB">
        <w:t xml:space="preserve"> current PBS listing refer to the </w:t>
      </w:r>
      <w:hyperlink r:id="rId12"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28B25C29" w14:textId="26790EF2" w:rsidR="007C458F" w:rsidRPr="00AB199C" w:rsidDel="00EE2BBB" w:rsidRDefault="007C458F" w:rsidP="00F52C14">
      <w:r w:rsidRPr="007C458F">
        <w:t>Dulaglutide was PBS listed on 1 June 2018 and semaglutide</w:t>
      </w:r>
      <w:r w:rsidR="006A20CA">
        <w:t xml:space="preserve"> (Ozempic) </w:t>
      </w:r>
      <w:r w:rsidRPr="007C458F">
        <w:t>was PBS listed on 1</w:t>
      </w:r>
      <w:r w:rsidR="006A20CA">
        <w:t> </w:t>
      </w:r>
      <w:r w:rsidRPr="007C458F">
        <w:t>July 2020.</w:t>
      </w:r>
      <w:r w:rsidR="006A20CA">
        <w:t xml:space="preserve"> </w:t>
      </w:r>
    </w:p>
    <w:p w14:paraId="39EF75ED" w14:textId="73256AB5" w:rsidR="00675BB1" w:rsidRPr="00675BB1" w:rsidDel="00EE2BBB" w:rsidRDefault="00675BB1" w:rsidP="00CF5E22">
      <w:pPr>
        <w:pStyle w:val="Heading3"/>
      </w:pPr>
      <w:r w:rsidRPr="00675BB1" w:rsidDel="00EE2BBB">
        <w:t>Changes to listing</w:t>
      </w:r>
    </w:p>
    <w:p w14:paraId="232720EF" w14:textId="7DD36A0C" w:rsidR="009C35F2" w:rsidRDefault="00946249" w:rsidP="00946249">
      <w:pPr>
        <w:pStyle w:val="Tabletitle"/>
      </w:pPr>
      <w:r w:rsidRPr="00946249">
        <w:t xml:space="preserve">Table </w:t>
      </w:r>
      <w:r w:rsidR="00E65FFE">
        <w:t>3</w:t>
      </w:r>
      <w:r w:rsidRPr="00946249">
        <w:t>: S</w:t>
      </w:r>
      <w:r w:rsidR="009C35F2" w:rsidRPr="00946249" w:rsidDel="00EE2BBB">
        <w:t xml:space="preserve">ummary of </w:t>
      </w:r>
      <w:r w:rsidRPr="00946249">
        <w:t>changes to the PBS listing of GLP-1s</w:t>
      </w:r>
    </w:p>
    <w:tbl>
      <w:tblPr>
        <w:tblStyle w:val="TableGrid"/>
        <w:tblW w:w="0" w:type="auto"/>
        <w:tblLook w:val="04A0" w:firstRow="1" w:lastRow="0" w:firstColumn="1" w:lastColumn="0" w:noHBand="0" w:noVBand="1"/>
      </w:tblPr>
      <w:tblGrid>
        <w:gridCol w:w="6941"/>
        <w:gridCol w:w="2006"/>
      </w:tblGrid>
      <w:tr w:rsidR="00E15C3C" w:rsidRPr="005C62DB" w14:paraId="2BDD5DFB" w14:textId="204742AE" w:rsidTr="005C62DB">
        <w:tc>
          <w:tcPr>
            <w:tcW w:w="6941" w:type="dxa"/>
            <w:shd w:val="clear" w:color="auto" w:fill="BFBFBF" w:themeFill="background1" w:themeFillShade="BF"/>
          </w:tcPr>
          <w:p w14:paraId="778E5EF2" w14:textId="64746363" w:rsidR="00E15C3C" w:rsidRPr="005C62DB" w:rsidRDefault="00946249" w:rsidP="00CF718A">
            <w:pPr>
              <w:rPr>
                <w:b/>
                <w:bCs/>
                <w:sz w:val="20"/>
                <w:szCs w:val="20"/>
              </w:rPr>
            </w:pPr>
            <w:r w:rsidRPr="005C62DB">
              <w:rPr>
                <w:b/>
                <w:bCs/>
                <w:sz w:val="20"/>
                <w:szCs w:val="20"/>
              </w:rPr>
              <w:t>Change to the PBS</w:t>
            </w:r>
          </w:p>
        </w:tc>
        <w:tc>
          <w:tcPr>
            <w:tcW w:w="2006" w:type="dxa"/>
            <w:shd w:val="clear" w:color="auto" w:fill="BFBFBF" w:themeFill="background1" w:themeFillShade="BF"/>
          </w:tcPr>
          <w:p w14:paraId="68D5C70E" w14:textId="3B77C35B" w:rsidR="00E15C3C" w:rsidRPr="005C62DB" w:rsidRDefault="007E422E" w:rsidP="00CF718A">
            <w:pPr>
              <w:rPr>
                <w:b/>
                <w:bCs/>
                <w:sz w:val="20"/>
                <w:szCs w:val="20"/>
              </w:rPr>
            </w:pPr>
            <w:r w:rsidRPr="005C62DB">
              <w:rPr>
                <w:b/>
                <w:bCs/>
                <w:sz w:val="20"/>
                <w:szCs w:val="20"/>
              </w:rPr>
              <w:t>Date of change</w:t>
            </w:r>
          </w:p>
        </w:tc>
      </w:tr>
      <w:tr w:rsidR="00E15C3C" w:rsidRPr="005C62DB" w14:paraId="672885C6" w14:textId="0A4A206D" w:rsidTr="005C62DB">
        <w:tc>
          <w:tcPr>
            <w:tcW w:w="6941" w:type="dxa"/>
          </w:tcPr>
          <w:p w14:paraId="797A62AD" w14:textId="6920236F" w:rsidR="00E15C3C" w:rsidRPr="005C62DB" w:rsidRDefault="00E15C3C" w:rsidP="00CF718A">
            <w:pPr>
              <w:rPr>
                <w:sz w:val="20"/>
                <w:szCs w:val="20"/>
              </w:rPr>
            </w:pPr>
            <w:r w:rsidRPr="005C62DB">
              <w:rPr>
                <w:sz w:val="20"/>
                <w:szCs w:val="20"/>
              </w:rPr>
              <w:t xml:space="preserve">Exenatide </w:t>
            </w:r>
            <w:r w:rsidR="00946249" w:rsidRPr="005C62DB">
              <w:rPr>
                <w:sz w:val="20"/>
                <w:szCs w:val="20"/>
              </w:rPr>
              <w:t xml:space="preserve">PBS </w:t>
            </w:r>
            <w:r w:rsidRPr="005C62DB">
              <w:rPr>
                <w:sz w:val="20"/>
                <w:szCs w:val="20"/>
              </w:rPr>
              <w:t xml:space="preserve">listed </w:t>
            </w:r>
          </w:p>
        </w:tc>
        <w:tc>
          <w:tcPr>
            <w:tcW w:w="2006" w:type="dxa"/>
          </w:tcPr>
          <w:p w14:paraId="58CAB07D" w14:textId="24C52F86" w:rsidR="00E15C3C" w:rsidRPr="005C62DB" w:rsidRDefault="007B5B95" w:rsidP="00CF718A">
            <w:pPr>
              <w:rPr>
                <w:sz w:val="20"/>
                <w:szCs w:val="20"/>
              </w:rPr>
            </w:pPr>
            <w:r w:rsidRPr="005C62DB">
              <w:rPr>
                <w:sz w:val="20"/>
                <w:szCs w:val="20"/>
              </w:rPr>
              <w:t>1 August 2010</w:t>
            </w:r>
          </w:p>
        </w:tc>
      </w:tr>
      <w:tr w:rsidR="00E15C3C" w:rsidRPr="005C62DB" w14:paraId="37DAE203" w14:textId="6B65650B" w:rsidTr="005C62DB">
        <w:tc>
          <w:tcPr>
            <w:tcW w:w="6941" w:type="dxa"/>
          </w:tcPr>
          <w:p w14:paraId="666B2798" w14:textId="35648C65" w:rsidR="00E15C3C" w:rsidRPr="005C62DB" w:rsidRDefault="00E15C3C" w:rsidP="00CF718A">
            <w:pPr>
              <w:rPr>
                <w:sz w:val="20"/>
                <w:szCs w:val="20"/>
              </w:rPr>
            </w:pPr>
            <w:r w:rsidRPr="005C62DB">
              <w:rPr>
                <w:sz w:val="20"/>
                <w:szCs w:val="20"/>
              </w:rPr>
              <w:t>Dula</w:t>
            </w:r>
            <w:r w:rsidR="00B5609C" w:rsidRPr="005C62DB">
              <w:rPr>
                <w:sz w:val="20"/>
                <w:szCs w:val="20"/>
              </w:rPr>
              <w:t>glutide</w:t>
            </w:r>
            <w:r w:rsidRPr="005C62DB">
              <w:rPr>
                <w:sz w:val="20"/>
                <w:szCs w:val="20"/>
              </w:rPr>
              <w:t xml:space="preserve"> </w:t>
            </w:r>
            <w:r w:rsidR="00946249" w:rsidRPr="005C62DB">
              <w:rPr>
                <w:sz w:val="20"/>
                <w:szCs w:val="20"/>
              </w:rPr>
              <w:t xml:space="preserve">PBS </w:t>
            </w:r>
            <w:r w:rsidRPr="005C62DB">
              <w:rPr>
                <w:sz w:val="20"/>
                <w:szCs w:val="20"/>
              </w:rPr>
              <w:t xml:space="preserve">listed </w:t>
            </w:r>
            <w:r w:rsidR="00A1585D" w:rsidRPr="005C62DB">
              <w:rPr>
                <w:sz w:val="20"/>
                <w:szCs w:val="20"/>
              </w:rPr>
              <w:t xml:space="preserve">either in combination with metformin and </w:t>
            </w:r>
            <w:r w:rsidR="002C0CEB" w:rsidRPr="005C62DB">
              <w:rPr>
                <w:sz w:val="20"/>
                <w:szCs w:val="20"/>
              </w:rPr>
              <w:t xml:space="preserve">a sulfonylurea or to treat patients with a contraindication to a combination of metformin and a sulfonylurea or who could not </w:t>
            </w:r>
            <w:r w:rsidR="001C30D4" w:rsidRPr="005C62DB">
              <w:rPr>
                <w:sz w:val="20"/>
                <w:szCs w:val="20"/>
              </w:rPr>
              <w:t>tolerate a combination of metformin and a sulfonylurea</w:t>
            </w:r>
          </w:p>
        </w:tc>
        <w:tc>
          <w:tcPr>
            <w:tcW w:w="2006" w:type="dxa"/>
          </w:tcPr>
          <w:p w14:paraId="2BE245BE" w14:textId="6F84F096" w:rsidR="00E15C3C" w:rsidRPr="005C62DB" w:rsidRDefault="007B5B95" w:rsidP="00CF718A">
            <w:pPr>
              <w:rPr>
                <w:sz w:val="20"/>
                <w:szCs w:val="20"/>
              </w:rPr>
            </w:pPr>
            <w:r w:rsidRPr="005C62DB">
              <w:rPr>
                <w:sz w:val="20"/>
                <w:szCs w:val="20"/>
              </w:rPr>
              <w:t>1 June 2018</w:t>
            </w:r>
          </w:p>
        </w:tc>
      </w:tr>
      <w:tr w:rsidR="00E15C3C" w:rsidRPr="005C62DB" w14:paraId="7A0E099D" w14:textId="24D99C23" w:rsidTr="005C62DB">
        <w:tc>
          <w:tcPr>
            <w:tcW w:w="6941" w:type="dxa"/>
          </w:tcPr>
          <w:p w14:paraId="631D673A" w14:textId="41B72872" w:rsidR="00E15C3C" w:rsidRPr="005C62DB" w:rsidRDefault="00E15C3C" w:rsidP="00CF718A">
            <w:pPr>
              <w:rPr>
                <w:sz w:val="20"/>
                <w:szCs w:val="20"/>
              </w:rPr>
            </w:pPr>
            <w:r w:rsidRPr="005C62DB">
              <w:rPr>
                <w:sz w:val="20"/>
                <w:szCs w:val="20"/>
              </w:rPr>
              <w:t>Sema</w:t>
            </w:r>
            <w:r w:rsidR="00B5609C" w:rsidRPr="005C62DB">
              <w:rPr>
                <w:sz w:val="20"/>
                <w:szCs w:val="20"/>
              </w:rPr>
              <w:t>glutide</w:t>
            </w:r>
            <w:r w:rsidRPr="005C62DB">
              <w:rPr>
                <w:sz w:val="20"/>
                <w:szCs w:val="20"/>
              </w:rPr>
              <w:t xml:space="preserve"> </w:t>
            </w:r>
            <w:r w:rsidR="00E25115" w:rsidRPr="005C62DB">
              <w:rPr>
                <w:sz w:val="20"/>
                <w:szCs w:val="20"/>
              </w:rPr>
              <w:t>PBS listed either in combination with metformin and a sulfonylurea or to treat patients with a contraindication to a combination of metformin and a sulfonylurea or who could not tolerate a combination of metformin and a sulfonylurea</w:t>
            </w:r>
            <w:r w:rsidRPr="005C62DB">
              <w:rPr>
                <w:sz w:val="20"/>
                <w:szCs w:val="20"/>
              </w:rPr>
              <w:t xml:space="preserve"> </w:t>
            </w:r>
          </w:p>
        </w:tc>
        <w:tc>
          <w:tcPr>
            <w:tcW w:w="2006" w:type="dxa"/>
          </w:tcPr>
          <w:p w14:paraId="4B479FC4" w14:textId="230FB8EF" w:rsidR="00E15C3C" w:rsidRPr="005C62DB" w:rsidRDefault="007B5B95" w:rsidP="00CF718A">
            <w:pPr>
              <w:rPr>
                <w:sz w:val="20"/>
                <w:szCs w:val="20"/>
              </w:rPr>
            </w:pPr>
            <w:r w:rsidRPr="005C62DB">
              <w:rPr>
                <w:sz w:val="20"/>
                <w:szCs w:val="20"/>
              </w:rPr>
              <w:t>1 July 2020</w:t>
            </w:r>
          </w:p>
        </w:tc>
      </w:tr>
      <w:tr w:rsidR="00E15C3C" w:rsidRPr="005C62DB" w14:paraId="49856F22" w14:textId="35CF2ED1" w:rsidTr="005C62DB">
        <w:tc>
          <w:tcPr>
            <w:tcW w:w="6941" w:type="dxa"/>
          </w:tcPr>
          <w:p w14:paraId="0793BB4F" w14:textId="191F80D6" w:rsidR="00E15C3C" w:rsidRPr="005C62DB" w:rsidRDefault="00E15C3C" w:rsidP="002C4AA4">
            <w:pPr>
              <w:rPr>
                <w:sz w:val="20"/>
                <w:szCs w:val="20"/>
              </w:rPr>
            </w:pPr>
            <w:r w:rsidRPr="005C62DB">
              <w:rPr>
                <w:sz w:val="20"/>
                <w:szCs w:val="20"/>
              </w:rPr>
              <w:t>Dula</w:t>
            </w:r>
            <w:r w:rsidR="00B5609C" w:rsidRPr="005C62DB">
              <w:rPr>
                <w:sz w:val="20"/>
                <w:szCs w:val="20"/>
              </w:rPr>
              <w:t>glutide</w:t>
            </w:r>
            <w:r w:rsidRPr="005C62DB">
              <w:rPr>
                <w:sz w:val="20"/>
                <w:szCs w:val="20"/>
              </w:rPr>
              <w:t xml:space="preserve"> listed in combination with insulin and metformin </w:t>
            </w:r>
            <w:r w:rsidR="002C4AA4" w:rsidRPr="005C62DB">
              <w:rPr>
                <w:sz w:val="20"/>
                <w:szCs w:val="20"/>
              </w:rPr>
              <w:t xml:space="preserve">unless metformin </w:t>
            </w:r>
            <w:r w:rsidR="001E3364" w:rsidRPr="005C62DB">
              <w:rPr>
                <w:sz w:val="20"/>
                <w:szCs w:val="20"/>
              </w:rPr>
              <w:t>is</w:t>
            </w:r>
            <w:r w:rsidR="002C4AA4" w:rsidRPr="005C62DB">
              <w:rPr>
                <w:sz w:val="20"/>
                <w:szCs w:val="20"/>
              </w:rPr>
              <w:t xml:space="preserve"> contraindicated or not tolerated</w:t>
            </w:r>
          </w:p>
        </w:tc>
        <w:tc>
          <w:tcPr>
            <w:tcW w:w="2006" w:type="dxa"/>
          </w:tcPr>
          <w:p w14:paraId="6843D673" w14:textId="223A0F2A" w:rsidR="00E15C3C" w:rsidRPr="005C62DB" w:rsidRDefault="007B5B95" w:rsidP="00CF718A">
            <w:pPr>
              <w:rPr>
                <w:sz w:val="20"/>
                <w:szCs w:val="20"/>
              </w:rPr>
            </w:pPr>
            <w:r w:rsidRPr="005C62DB">
              <w:rPr>
                <w:sz w:val="20"/>
                <w:szCs w:val="20"/>
              </w:rPr>
              <w:t>1 March 2021</w:t>
            </w:r>
          </w:p>
        </w:tc>
      </w:tr>
      <w:tr w:rsidR="00E15C3C" w:rsidRPr="005C62DB" w14:paraId="2ACE7CDC" w14:textId="3A6A75D0" w:rsidTr="005C62DB">
        <w:tc>
          <w:tcPr>
            <w:tcW w:w="6941" w:type="dxa"/>
          </w:tcPr>
          <w:p w14:paraId="1F05565A" w14:textId="689E58B2" w:rsidR="00E15C3C" w:rsidRPr="005C62DB" w:rsidRDefault="00E15C3C" w:rsidP="00CF718A">
            <w:pPr>
              <w:rPr>
                <w:sz w:val="20"/>
                <w:szCs w:val="20"/>
              </w:rPr>
            </w:pPr>
            <w:r w:rsidRPr="005C62DB">
              <w:rPr>
                <w:sz w:val="20"/>
                <w:szCs w:val="20"/>
              </w:rPr>
              <w:t>Sema</w:t>
            </w:r>
            <w:r w:rsidR="00B5609C" w:rsidRPr="005C62DB">
              <w:rPr>
                <w:sz w:val="20"/>
                <w:szCs w:val="20"/>
              </w:rPr>
              <w:t>glutide</w:t>
            </w:r>
            <w:r w:rsidRPr="005C62DB">
              <w:rPr>
                <w:sz w:val="20"/>
                <w:szCs w:val="20"/>
              </w:rPr>
              <w:t xml:space="preserve"> </w:t>
            </w:r>
            <w:r w:rsidR="001E3364" w:rsidRPr="005C62DB">
              <w:rPr>
                <w:sz w:val="20"/>
                <w:szCs w:val="20"/>
              </w:rPr>
              <w:t>listed in combination with insulin and metformin unless metformin is contraindicated or not tolerated</w:t>
            </w:r>
          </w:p>
        </w:tc>
        <w:tc>
          <w:tcPr>
            <w:tcW w:w="2006" w:type="dxa"/>
          </w:tcPr>
          <w:p w14:paraId="213672FF" w14:textId="48C31D42" w:rsidR="00E15C3C" w:rsidRPr="005C62DB" w:rsidRDefault="007B5B95" w:rsidP="00CF718A">
            <w:pPr>
              <w:rPr>
                <w:sz w:val="20"/>
                <w:szCs w:val="20"/>
              </w:rPr>
            </w:pPr>
            <w:r w:rsidRPr="005C62DB">
              <w:rPr>
                <w:sz w:val="20"/>
                <w:szCs w:val="20"/>
              </w:rPr>
              <w:t>1 September 2021</w:t>
            </w:r>
          </w:p>
        </w:tc>
      </w:tr>
      <w:tr w:rsidR="00E15C3C" w:rsidRPr="005C62DB" w:rsidDel="00EE2BBB" w14:paraId="55FC9BFD" w14:textId="59EE2F18" w:rsidTr="005C62DB">
        <w:tc>
          <w:tcPr>
            <w:tcW w:w="6941" w:type="dxa"/>
          </w:tcPr>
          <w:p w14:paraId="4E98C64F" w14:textId="1AD55FFD" w:rsidR="00E15C3C" w:rsidRPr="005C62DB" w:rsidDel="00EE2BBB" w:rsidRDefault="00E15C3C" w:rsidP="00CF718A">
            <w:pPr>
              <w:rPr>
                <w:sz w:val="20"/>
                <w:szCs w:val="20"/>
              </w:rPr>
            </w:pPr>
            <w:r w:rsidRPr="005C62DB">
              <w:rPr>
                <w:sz w:val="20"/>
                <w:szCs w:val="20"/>
              </w:rPr>
              <w:t xml:space="preserve">Exenatide delisted </w:t>
            </w:r>
          </w:p>
        </w:tc>
        <w:tc>
          <w:tcPr>
            <w:tcW w:w="2006" w:type="dxa"/>
          </w:tcPr>
          <w:p w14:paraId="21919538" w14:textId="06D01B25" w:rsidR="00E15C3C" w:rsidRPr="005C62DB" w:rsidRDefault="007B5B95" w:rsidP="00CF718A">
            <w:pPr>
              <w:rPr>
                <w:sz w:val="20"/>
                <w:szCs w:val="20"/>
              </w:rPr>
            </w:pPr>
            <w:r w:rsidRPr="005C62DB">
              <w:rPr>
                <w:sz w:val="20"/>
                <w:szCs w:val="20"/>
              </w:rPr>
              <w:t>1 February 2023</w:t>
            </w:r>
          </w:p>
        </w:tc>
      </w:tr>
    </w:tbl>
    <w:p w14:paraId="72BE563C" w14:textId="77777777" w:rsidR="00E15C3C" w:rsidRDefault="00E15C3C" w:rsidP="00BF544D"/>
    <w:p w14:paraId="64C94A85" w14:textId="60107751" w:rsidR="00BF544D" w:rsidRPr="002F61CA" w:rsidDel="00EE2BBB" w:rsidRDefault="00BF544D" w:rsidP="00BF544D">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383E312E" w14:textId="724CF700" w:rsidR="00736041" w:rsidRDefault="00394AEE" w:rsidP="009857BF">
      <w:pPr>
        <w:pStyle w:val="Heading2"/>
        <w:keepNext/>
      </w:pPr>
      <w:r>
        <w:lastRenderedPageBreak/>
        <w:t>Relevant aspects of</w:t>
      </w:r>
      <w:r w:rsidR="00736041" w:rsidRPr="005E22C2">
        <w:t xml:space="preserve"> consideration</w:t>
      </w:r>
      <w:r>
        <w:t xml:space="preserve"> by the Pharmaceutical Benefits Advisory Committee (PBAC)</w:t>
      </w:r>
    </w:p>
    <w:p w14:paraId="37050639" w14:textId="0BCA35BB" w:rsidR="00165E2D" w:rsidRPr="00165E2D" w:rsidRDefault="00165E2D" w:rsidP="009857BF">
      <w:pPr>
        <w:pStyle w:val="Heading3"/>
        <w:keepNext/>
      </w:pPr>
      <w:r>
        <w:t>Dulaglutide</w:t>
      </w:r>
    </w:p>
    <w:p w14:paraId="45045463" w14:textId="72FDEEDD" w:rsidR="001B07EC" w:rsidRPr="006108EC" w:rsidRDefault="00260A58" w:rsidP="009857BF">
      <w:pPr>
        <w:keepNext/>
        <w:rPr>
          <w:u w:val="single"/>
        </w:rPr>
      </w:pPr>
      <w:r w:rsidRPr="006108EC">
        <w:rPr>
          <w:u w:val="single"/>
        </w:rPr>
        <w:t>November 2017</w:t>
      </w:r>
    </w:p>
    <w:p w14:paraId="5F40360A" w14:textId="5E85FDC6" w:rsidR="001B07EC" w:rsidRDefault="001B07EC" w:rsidP="00A91580">
      <w:r w:rsidRPr="006108EC">
        <w:t xml:space="preserve">The PBAC recommended the listing of dulaglutide for the treatment of </w:t>
      </w:r>
      <w:r w:rsidR="00F977D6" w:rsidRPr="00F977D6">
        <w:t xml:space="preserve">T2DM </w:t>
      </w:r>
      <w:r w:rsidRPr="006108EC">
        <w:t>in dual therapy in combination with metformin and in triple therapy in</w:t>
      </w:r>
      <w:r w:rsidR="00260A58">
        <w:t xml:space="preserve"> </w:t>
      </w:r>
      <w:r w:rsidRPr="006108EC">
        <w:t>combination with metformin and a sulfonylurea</w:t>
      </w:r>
      <w:r w:rsidR="00CD70CF">
        <w:t xml:space="preserve"> at its November 2017 meeting, on the basis that </w:t>
      </w:r>
      <w:r w:rsidR="00A91580">
        <w:t xml:space="preserve">it would be acceptably cost-effective if it were cost minimised against </w:t>
      </w:r>
      <w:r w:rsidR="00A91580" w:rsidRPr="00A91580">
        <w:t xml:space="preserve">the </w:t>
      </w:r>
      <w:r w:rsidR="00A91580">
        <w:t>once week</w:t>
      </w:r>
      <w:r w:rsidR="006E64FF">
        <w:t>ly</w:t>
      </w:r>
      <w:r w:rsidR="00A91580" w:rsidRPr="00A91580">
        <w:t xml:space="preserve"> and </w:t>
      </w:r>
      <w:r w:rsidR="006E64FF">
        <w:t>twice daily</w:t>
      </w:r>
      <w:r w:rsidR="00A91580" w:rsidRPr="00A91580">
        <w:t xml:space="preserve"> forms of exenatide (5 mcg + 10 mcg)</w:t>
      </w:r>
      <w:r w:rsidRPr="006108EC">
        <w:t>.</w:t>
      </w:r>
    </w:p>
    <w:p w14:paraId="067568BD" w14:textId="337D50B8" w:rsidR="007444E9" w:rsidRDefault="00D937B0" w:rsidP="007444E9">
      <w:r>
        <w:t>The submission applied a market share approach to estimate the use and financial implications of the requested listing on the PBS.</w:t>
      </w:r>
      <w:r w:rsidR="00F13B53">
        <w:t xml:space="preserve"> </w:t>
      </w:r>
      <w:r w:rsidR="007444E9">
        <w:t xml:space="preserve">The submission estimated dulaglutide would substitute for exenatide </w:t>
      </w:r>
      <w:r w:rsidR="00793433">
        <w:t>once weekly</w:t>
      </w:r>
      <w:r w:rsidR="007444E9">
        <w:t xml:space="preserve"> and exenatide </w:t>
      </w:r>
      <w:r w:rsidR="00793433">
        <w:t>twice daily</w:t>
      </w:r>
      <w:r w:rsidR="007444E9">
        <w:t xml:space="preserve"> (both strengths) at the same rates.</w:t>
      </w:r>
    </w:p>
    <w:p w14:paraId="3EDD9CD2" w14:textId="180F1A73" w:rsidR="007444E9" w:rsidRDefault="007444E9" w:rsidP="007444E9">
      <w:r>
        <w:t xml:space="preserve">The commentary and the PBAC considered these substitution rates may be </w:t>
      </w:r>
      <w:r w:rsidR="009F5C2F">
        <w:t>u</w:t>
      </w:r>
      <w:r>
        <w:t xml:space="preserve">nderestimated, particularly in the earlier years, as the dulaglutide </w:t>
      </w:r>
      <w:r w:rsidR="009F5C2F">
        <w:t>once weekly</w:t>
      </w:r>
      <w:r>
        <w:t xml:space="preserve"> presentation is easier to use than the exenatide </w:t>
      </w:r>
      <w:r w:rsidR="009F5C2F" w:rsidRPr="009F5C2F">
        <w:t xml:space="preserve">once weekly </w:t>
      </w:r>
      <w:r>
        <w:t xml:space="preserve">presentation and it was likely that more patients would switch exenatide </w:t>
      </w:r>
      <w:r w:rsidR="009F5C2F">
        <w:t>twice daily</w:t>
      </w:r>
      <w:r>
        <w:t xml:space="preserve"> to dulaglutide </w:t>
      </w:r>
      <w:r w:rsidR="009F5C2F" w:rsidRPr="009F5C2F">
        <w:t>once weekly</w:t>
      </w:r>
      <w:r>
        <w:t>.</w:t>
      </w:r>
    </w:p>
    <w:p w14:paraId="34495E4C" w14:textId="020289A3" w:rsidR="007444E9" w:rsidRPr="006108EC" w:rsidRDefault="007444E9" w:rsidP="007444E9">
      <w:pPr>
        <w:rPr>
          <w:highlight w:val="yellow"/>
        </w:rPr>
      </w:pPr>
      <w:r>
        <w:t>The PBAC considered that the overall market for GLP</w:t>
      </w:r>
      <w:r w:rsidR="009F5C2F">
        <w:t>-</w:t>
      </w:r>
      <w:r>
        <w:t>1 inhibitors may grow as a result of this listing with the potential for some substitution for insulin glargine.</w:t>
      </w:r>
    </w:p>
    <w:p w14:paraId="6383C197" w14:textId="5A75F51B" w:rsidR="001B07EC" w:rsidRPr="006108EC" w:rsidRDefault="008F1FF0" w:rsidP="00A35800">
      <w:pPr>
        <w:rPr>
          <w:highlight w:val="yellow"/>
        </w:rPr>
      </w:pPr>
      <w:r w:rsidRPr="008F1FF0">
        <w:t xml:space="preserve">For further details refer to the </w:t>
      </w:r>
      <w:hyperlink r:id="rId14" w:history="1">
        <w:r w:rsidRPr="009F070F">
          <w:rPr>
            <w:rStyle w:val="Hyperlink"/>
          </w:rPr>
          <w:t>Public Summary Document</w:t>
        </w:r>
      </w:hyperlink>
      <w:r w:rsidRPr="008F1FF0">
        <w:t xml:space="preserve"> from the November 201</w:t>
      </w:r>
      <w:r w:rsidR="00A5632F">
        <w:t>7</w:t>
      </w:r>
      <w:r w:rsidRPr="008F1FF0">
        <w:t xml:space="preserve"> PBAC meeting.</w:t>
      </w:r>
    </w:p>
    <w:p w14:paraId="08A286C3" w14:textId="6DE8EEAA" w:rsidR="001B07EC" w:rsidRPr="006108EC" w:rsidRDefault="003871F4" w:rsidP="00A35800">
      <w:pPr>
        <w:rPr>
          <w:u w:val="single"/>
        </w:rPr>
      </w:pPr>
      <w:r w:rsidRPr="006108EC">
        <w:rPr>
          <w:u w:val="single"/>
        </w:rPr>
        <w:t>July 2020</w:t>
      </w:r>
    </w:p>
    <w:p w14:paraId="74683BE5" w14:textId="52EC108A" w:rsidR="003871F4" w:rsidRPr="006108EC" w:rsidRDefault="003871F4" w:rsidP="003871F4">
      <w:pPr>
        <w:rPr>
          <w:highlight w:val="yellow"/>
        </w:rPr>
      </w:pPr>
      <w:r>
        <w:t>The PBAC recommended extending the existing listing of dulaglutide to include the treatment of T2DM in combination with insulin and metformin unless contraindicated or not tolerated. The PBAC’s recommendation for listing was based on, among other matters, its assessment, that the cost-effectiveness of dulaglutide 1.5 mg once weekly under the requested restriction would be acceptable if it were cost-minimised against exenatide 10</w:t>
      </w:r>
      <w:r w:rsidR="009857BF">
        <w:t> </w:t>
      </w:r>
      <w:r>
        <w:t>mcg twice daily.</w:t>
      </w:r>
    </w:p>
    <w:p w14:paraId="6C23C348" w14:textId="74FA6E22" w:rsidR="001B07EC" w:rsidRPr="006108EC" w:rsidRDefault="00417A06" w:rsidP="00A35800">
      <w:pPr>
        <w:rPr>
          <w:highlight w:val="yellow"/>
        </w:rPr>
      </w:pPr>
      <w:r w:rsidRPr="006108EC">
        <w:t xml:space="preserve">For further details refer to the </w:t>
      </w:r>
      <w:hyperlink r:id="rId15" w:history="1">
        <w:r w:rsidRPr="006108EC">
          <w:rPr>
            <w:rStyle w:val="Hyperlink"/>
          </w:rPr>
          <w:t>Public Summary Document</w:t>
        </w:r>
      </w:hyperlink>
      <w:r w:rsidRPr="006108EC">
        <w:t xml:space="preserve"> from the </w:t>
      </w:r>
      <w:r w:rsidR="00A5632F">
        <w:t>July 2020</w:t>
      </w:r>
      <w:r w:rsidRPr="006108EC">
        <w:t xml:space="preserve"> PBAC meeting.</w:t>
      </w:r>
    </w:p>
    <w:p w14:paraId="41DF2E63" w14:textId="6C01742D" w:rsidR="00F37400" w:rsidRPr="006108EC" w:rsidRDefault="00117648" w:rsidP="00A35800">
      <w:pPr>
        <w:rPr>
          <w:u w:val="single"/>
        </w:rPr>
      </w:pPr>
      <w:r w:rsidRPr="006108EC">
        <w:rPr>
          <w:u w:val="single"/>
        </w:rPr>
        <w:t>May 2022</w:t>
      </w:r>
    </w:p>
    <w:p w14:paraId="587598D7" w14:textId="7B28EFC8" w:rsidR="00117648" w:rsidRPr="006108EC" w:rsidRDefault="00117648" w:rsidP="00117648">
      <w:pPr>
        <w:rPr>
          <w:highlight w:val="yellow"/>
        </w:rPr>
      </w:pPr>
      <w:r w:rsidRPr="006108EC">
        <w:t>The PBAC recommended the listing of dulaglutide 3.0 mg and 4.5 mg for the treatment</w:t>
      </w:r>
      <w:r w:rsidR="0091565E">
        <w:t xml:space="preserve"> </w:t>
      </w:r>
      <w:r w:rsidRPr="006108EC">
        <w:t xml:space="preserve">of </w:t>
      </w:r>
      <w:r w:rsidR="00F977D6" w:rsidRPr="00F977D6">
        <w:t xml:space="preserve">T2DM </w:t>
      </w:r>
      <w:r w:rsidRPr="006108EC">
        <w:t>in combination with metformin in patients who are</w:t>
      </w:r>
      <w:r w:rsidR="0091565E">
        <w:t xml:space="preserve"> </w:t>
      </w:r>
      <w:r w:rsidRPr="006108EC">
        <w:t>contraindicated or intolerant to a combination of metformin and a sulfonylurea. The</w:t>
      </w:r>
      <w:r w:rsidR="0091565E">
        <w:t xml:space="preserve"> </w:t>
      </w:r>
      <w:r w:rsidRPr="006108EC">
        <w:t>PBAC’s recommendation for listing was based on, among other matters, its</w:t>
      </w:r>
      <w:r w:rsidR="0091565E">
        <w:t xml:space="preserve"> </w:t>
      </w:r>
      <w:r w:rsidRPr="006108EC">
        <w:t>assessment, that the cost-effectiveness of dulaglutide 3.0 mg and 4.5 mg would be</w:t>
      </w:r>
      <w:r w:rsidR="0091565E">
        <w:t xml:space="preserve"> </w:t>
      </w:r>
      <w:r w:rsidRPr="006108EC">
        <w:t>acceptable if it were cost-minimised against dulaglutide 1.5</w:t>
      </w:r>
      <w:r w:rsidR="009857BF">
        <w:t> </w:t>
      </w:r>
      <w:r w:rsidRPr="006108EC">
        <w:t>mg.</w:t>
      </w:r>
    </w:p>
    <w:p w14:paraId="5FF7FAE9" w14:textId="063FF62E" w:rsidR="00F37400" w:rsidRDefault="0091565E" w:rsidP="00A35800">
      <w:r w:rsidRPr="0091565E">
        <w:lastRenderedPageBreak/>
        <w:t xml:space="preserve">For further details refer to the </w:t>
      </w:r>
      <w:hyperlink r:id="rId16" w:history="1">
        <w:r w:rsidRPr="009A2965">
          <w:rPr>
            <w:rStyle w:val="Hyperlink"/>
          </w:rPr>
          <w:t>Public Summary Document</w:t>
        </w:r>
      </w:hyperlink>
      <w:r w:rsidRPr="0091565E">
        <w:t xml:space="preserve"> from the </w:t>
      </w:r>
      <w:r>
        <w:t>March 2022 and May 2022</w:t>
      </w:r>
      <w:r w:rsidRPr="0091565E">
        <w:t xml:space="preserve"> PBAC meeting</w:t>
      </w:r>
      <w:r>
        <w:t>s</w:t>
      </w:r>
      <w:r w:rsidRPr="0091565E">
        <w:t>.</w:t>
      </w:r>
    </w:p>
    <w:p w14:paraId="40F27F6A" w14:textId="4C8F8083" w:rsidR="00E26150" w:rsidRPr="00851399" w:rsidRDefault="001727AE" w:rsidP="00A35800">
      <w:pPr>
        <w:rPr>
          <w:u w:val="single"/>
        </w:rPr>
      </w:pPr>
      <w:r w:rsidRPr="00851399">
        <w:rPr>
          <w:u w:val="single"/>
        </w:rPr>
        <w:t>October 2022 (Out of session)</w:t>
      </w:r>
    </w:p>
    <w:p w14:paraId="39059A48" w14:textId="40CFAB78" w:rsidR="001727AE" w:rsidRDefault="00E06F4E" w:rsidP="00E06F4E">
      <w:r>
        <w:t>The PBAC recommended the temporary listing of the s19A product dulaglutide 1.5 mg/0.5 mL solution for injection prefilled pen (Netherlands), TRULICITY on the PBS at the same ex-manufacturer price (effective price) as the PBS-listed dulaglutide which were in shortage.</w:t>
      </w:r>
    </w:p>
    <w:p w14:paraId="245F8F28" w14:textId="1DE29093" w:rsidR="00E26150" w:rsidRPr="0001392F" w:rsidRDefault="00296509" w:rsidP="00296509">
      <w:pPr>
        <w:rPr>
          <w:highlight w:val="yellow"/>
        </w:rPr>
      </w:pPr>
      <w:r>
        <w:t>The PBAC considered that there was a clinical need to maintain supply of dulaglutide on the PBS. The PBAC considered that the temporary listing should apply for the duration of the subsection 19A(1) approval.</w:t>
      </w:r>
    </w:p>
    <w:p w14:paraId="2DA7D0F2" w14:textId="66FA642C" w:rsidR="00F37400" w:rsidRPr="00851399" w:rsidRDefault="00F37400" w:rsidP="00A35800">
      <w:r w:rsidRPr="00851399">
        <w:t xml:space="preserve">For further details refer to the </w:t>
      </w:r>
      <w:hyperlink r:id="rId17" w:history="1">
        <w:r w:rsidRPr="00851399">
          <w:rPr>
            <w:rStyle w:val="Hyperlink"/>
          </w:rPr>
          <w:t>Public Summary Document</w:t>
        </w:r>
      </w:hyperlink>
      <w:r w:rsidRPr="00851399">
        <w:t xml:space="preserve"> from the </w:t>
      </w:r>
      <w:r w:rsidR="00165E2D" w:rsidRPr="00851399">
        <w:t>October 2022 Out of session</w:t>
      </w:r>
      <w:r w:rsidR="00CA69F9" w:rsidRPr="00851399">
        <w:t xml:space="preserve"> </w:t>
      </w:r>
      <w:r w:rsidRPr="00851399">
        <w:t>PBAC meeting.</w:t>
      </w:r>
    </w:p>
    <w:p w14:paraId="44430A60" w14:textId="64B4DE5C" w:rsidR="00F37400" w:rsidRPr="00851399" w:rsidRDefault="00165E2D" w:rsidP="00851399">
      <w:pPr>
        <w:pStyle w:val="Heading3"/>
        <w:keepNext/>
      </w:pPr>
      <w:r w:rsidRPr="00851399">
        <w:t>Semaglutide</w:t>
      </w:r>
    </w:p>
    <w:p w14:paraId="0C5E7FA1" w14:textId="16ADE219" w:rsidR="00F37400" w:rsidRPr="00851399" w:rsidRDefault="0052739B" w:rsidP="00A35800">
      <w:pPr>
        <w:rPr>
          <w:u w:val="single"/>
        </w:rPr>
      </w:pPr>
      <w:r w:rsidRPr="00851399">
        <w:rPr>
          <w:u w:val="single"/>
        </w:rPr>
        <w:t>November 2019</w:t>
      </w:r>
    </w:p>
    <w:p w14:paraId="4387E6C8" w14:textId="3DDA0EC0" w:rsidR="0052739B" w:rsidRDefault="0052739B" w:rsidP="0052739B">
      <w:r>
        <w:t xml:space="preserve">The PBAC recommended the listing of semaglutide (injectable) for treatment of patients with </w:t>
      </w:r>
      <w:r w:rsidR="000C1F81">
        <w:t>T2DM</w:t>
      </w:r>
      <w:r>
        <w:t xml:space="preserve"> who have inadequate glycaemic control, as dual therapy in combination with metformin or a sulfonylurea where either of these is contraindicated or not tolerated; or triple therapy in combination with metformin and a sulfonylurea.</w:t>
      </w:r>
    </w:p>
    <w:p w14:paraId="6AE3324A" w14:textId="73215F6A" w:rsidR="0052739B" w:rsidRDefault="0052739B" w:rsidP="0052739B">
      <w:r>
        <w:t>The PBAC’s recommendation for listing was based on, among other matters, its assessment, as described above, that the cost-effectiveness of semaglutide would be</w:t>
      </w:r>
      <w:r w:rsidR="00993B53">
        <w:t xml:space="preserve"> </w:t>
      </w:r>
      <w:r>
        <w:t>acceptable if it were cost-minimised against dulaglutide.</w:t>
      </w:r>
    </w:p>
    <w:p w14:paraId="44F687E5" w14:textId="1E944D7B" w:rsidR="00285A95" w:rsidRPr="00851399" w:rsidRDefault="00285A95" w:rsidP="00285A95">
      <w:r>
        <w:t xml:space="preserve">The submission used a market share approach to estimate the utilisation and financial impact of listing semaglutide on the PBS/RPBS as part of dual/triple therapy for </w:t>
      </w:r>
      <w:r w:rsidR="000C1F81" w:rsidRPr="000C1F81">
        <w:t>T2DM</w:t>
      </w:r>
      <w:r>
        <w:t>.</w:t>
      </w:r>
    </w:p>
    <w:p w14:paraId="385F1FC8" w14:textId="12BBE3B3" w:rsidR="00993B53" w:rsidRDefault="00993B53" w:rsidP="00A35800">
      <w:r w:rsidRPr="00993B53">
        <w:t xml:space="preserve">For further details refer to the </w:t>
      </w:r>
      <w:hyperlink r:id="rId18" w:history="1">
        <w:r w:rsidRPr="00993B53">
          <w:rPr>
            <w:rStyle w:val="Hyperlink"/>
          </w:rPr>
          <w:t>Public Summary Document</w:t>
        </w:r>
      </w:hyperlink>
      <w:r w:rsidRPr="00993B53">
        <w:t xml:space="preserve"> from the November 201</w:t>
      </w:r>
      <w:r>
        <w:t>9</w:t>
      </w:r>
      <w:r w:rsidRPr="00993B53">
        <w:t xml:space="preserve"> PBAC meeting.</w:t>
      </w:r>
    </w:p>
    <w:p w14:paraId="442EC77C" w14:textId="73546CDC" w:rsidR="00993B53" w:rsidRPr="00851399" w:rsidRDefault="00D146B8" w:rsidP="00A35800">
      <w:pPr>
        <w:rPr>
          <w:u w:val="single"/>
        </w:rPr>
      </w:pPr>
      <w:r w:rsidRPr="00851399">
        <w:rPr>
          <w:u w:val="single"/>
        </w:rPr>
        <w:t>March 2020</w:t>
      </w:r>
    </w:p>
    <w:p w14:paraId="0DA92CE4" w14:textId="5B77E8A7" w:rsidR="00993B53" w:rsidRDefault="00D146B8" w:rsidP="00A35800">
      <w:r>
        <w:t>The PBAC recommended that semaglutide 0.5 mg should be considered equi-effective to dulaglutide 1.5 mg for treatment of patients with T2DM who have inadequate glycaemic control, as dual therapy in combination with metformin or a sulfonylurea where either of these is contraindicated or not tolerated; or triple therapy in combination with metformin and a sulfonylurea.</w:t>
      </w:r>
    </w:p>
    <w:p w14:paraId="7931192C" w14:textId="31052DFE" w:rsidR="00993B53" w:rsidRDefault="00993B53" w:rsidP="00A35800">
      <w:r w:rsidRPr="00993B53">
        <w:t xml:space="preserve">For further details refer to the </w:t>
      </w:r>
      <w:hyperlink r:id="rId19" w:history="1">
        <w:r w:rsidRPr="004B544E">
          <w:rPr>
            <w:rStyle w:val="Hyperlink"/>
          </w:rPr>
          <w:t>Public Summary Document</w:t>
        </w:r>
      </w:hyperlink>
      <w:r w:rsidRPr="00993B53">
        <w:t xml:space="preserve"> from the </w:t>
      </w:r>
      <w:r w:rsidR="00D146B8">
        <w:t>March 2020</w:t>
      </w:r>
      <w:r w:rsidRPr="00993B53">
        <w:t xml:space="preserve"> PBAC meeting.</w:t>
      </w:r>
    </w:p>
    <w:p w14:paraId="344D266E" w14:textId="19E7A3B7" w:rsidR="00993B53" w:rsidRPr="00851399" w:rsidRDefault="00CF4113" w:rsidP="00A35800">
      <w:pPr>
        <w:rPr>
          <w:u w:val="single"/>
        </w:rPr>
      </w:pPr>
      <w:r w:rsidRPr="00851399">
        <w:rPr>
          <w:u w:val="single"/>
        </w:rPr>
        <w:t>March 2021</w:t>
      </w:r>
    </w:p>
    <w:p w14:paraId="61E322E0" w14:textId="57BAF703" w:rsidR="00993B53" w:rsidRDefault="0025540E" w:rsidP="0025540E">
      <w:r>
        <w:t xml:space="preserve">The PBAC recommended extending the existing listing of semaglutide to include the treatment of T2DM in combination with insulin and metformin unless contraindicated or </w:t>
      </w:r>
      <w:r>
        <w:lastRenderedPageBreak/>
        <w:t>not tolerated. The PBAC’s recommendation for listing was based on, among other matters, its assessment, that the cost-effectiveness of semaglutide (both 0.5 mg once weekly and 1.0 mg once weekly) under the requested restriction would be acceptable if it was cost-minimised against dulaglutide 1.5 mg once weekly.</w:t>
      </w:r>
    </w:p>
    <w:p w14:paraId="1B9EE57F" w14:textId="27DBEFB9" w:rsidR="00993B53" w:rsidRDefault="00993B53" w:rsidP="00A35800">
      <w:r w:rsidRPr="00993B53">
        <w:t xml:space="preserve">For further details refer to the </w:t>
      </w:r>
      <w:hyperlink r:id="rId20" w:history="1">
        <w:r w:rsidRPr="0025540E">
          <w:rPr>
            <w:rStyle w:val="Hyperlink"/>
          </w:rPr>
          <w:t>Public Summary Document</w:t>
        </w:r>
      </w:hyperlink>
      <w:r w:rsidRPr="00993B53">
        <w:t xml:space="preserve"> from the </w:t>
      </w:r>
      <w:r w:rsidR="0025540E">
        <w:t>March 2021</w:t>
      </w:r>
      <w:r w:rsidRPr="00993B53">
        <w:t xml:space="preserve"> PBAC meeting.</w:t>
      </w:r>
    </w:p>
    <w:p w14:paraId="37C26894" w14:textId="61DDD990" w:rsidR="00993B53" w:rsidRPr="00524675" w:rsidRDefault="00534A42" w:rsidP="00A35800">
      <w:pPr>
        <w:rPr>
          <w:u w:val="single"/>
        </w:rPr>
      </w:pPr>
      <w:r w:rsidRPr="00524675">
        <w:rPr>
          <w:u w:val="single"/>
        </w:rPr>
        <w:t>August 2022 (Out of session)</w:t>
      </w:r>
    </w:p>
    <w:p w14:paraId="1E5E7C39" w14:textId="753F02EF" w:rsidR="00534A42" w:rsidRDefault="00534A42" w:rsidP="00534A42">
      <w:r>
        <w:t>The PBAC recommended the temporary listing of the s19A products Ozempic 0.25 mg solution for injection in pre-filled pen (UK) and Ozempic 1 mg solution for injection pre-filled pen (UK) on the PBS at the same ex-manufacturer price as the two forms of PBS-listed semaglutide which were in shortage.</w:t>
      </w:r>
    </w:p>
    <w:p w14:paraId="637E7858" w14:textId="6AD992B2" w:rsidR="00BC5B58" w:rsidRDefault="00BC5B58" w:rsidP="00BC5B58">
      <w:r>
        <w:t xml:space="preserve">The PBAC considered that there </w:t>
      </w:r>
      <w:r w:rsidR="00C76D16">
        <w:t>wa</w:t>
      </w:r>
      <w:r>
        <w:t xml:space="preserve">s a clinical need to maintain </w:t>
      </w:r>
      <w:r w:rsidR="00004DF8">
        <w:t xml:space="preserve">the </w:t>
      </w:r>
      <w:r>
        <w:t>supply of semaglutide on the PBS. The PBAC considered that the temporary listing should apply for the duration of the subsection 19A(1) approval.</w:t>
      </w:r>
    </w:p>
    <w:p w14:paraId="1EDB9384" w14:textId="77777777" w:rsidR="00F058FE" w:rsidRDefault="00F058FE" w:rsidP="00F058FE">
      <w:r>
        <w:t>The PBAC noted reports that the increase in consumer demand for semaglutide has been driven by off-label prescribing for obesity management and this has resulted in the current shortages.</w:t>
      </w:r>
    </w:p>
    <w:p w14:paraId="75D16BCC" w14:textId="0A504709" w:rsidR="00993B53" w:rsidRPr="0001392F" w:rsidRDefault="00993B53" w:rsidP="00A35800">
      <w:pPr>
        <w:rPr>
          <w:highlight w:val="yellow"/>
        </w:rPr>
      </w:pPr>
      <w:r w:rsidRPr="00993B53">
        <w:t xml:space="preserve">For further details refer to the </w:t>
      </w:r>
      <w:hyperlink r:id="rId21" w:history="1">
        <w:r w:rsidRPr="005E6950">
          <w:rPr>
            <w:rStyle w:val="Hyperlink"/>
          </w:rPr>
          <w:t>Public Summary Document</w:t>
        </w:r>
      </w:hyperlink>
      <w:r w:rsidRPr="00993B53">
        <w:t xml:space="preserve"> from the </w:t>
      </w:r>
      <w:r w:rsidR="005E6950">
        <w:t>August 2022</w:t>
      </w:r>
      <w:r w:rsidRPr="00993B53">
        <w:t xml:space="preserve"> PBAC meeting.</w:t>
      </w:r>
    </w:p>
    <w:p w14:paraId="2D3A7619" w14:textId="623D5E7F" w:rsidR="00377305" w:rsidRPr="00524675" w:rsidRDefault="00377305" w:rsidP="00524675">
      <w:pPr>
        <w:pStyle w:val="Heading3"/>
      </w:pPr>
      <w:r w:rsidRPr="00524675">
        <w:t>GLP-1 analogues</w:t>
      </w:r>
    </w:p>
    <w:p w14:paraId="0C89A62D" w14:textId="3A2D3CC9" w:rsidR="00D0020B" w:rsidRPr="00DB5CCF" w:rsidRDefault="00DB5CCF" w:rsidP="00D0020B">
      <w:pPr>
        <w:rPr>
          <w:u w:val="single"/>
        </w:rPr>
      </w:pPr>
      <w:r w:rsidRPr="00DB5CCF">
        <w:rPr>
          <w:u w:val="single"/>
        </w:rPr>
        <w:t>July 2023</w:t>
      </w:r>
    </w:p>
    <w:p w14:paraId="0EAC76B6" w14:textId="5F8FE28A" w:rsidR="00D0020B" w:rsidRDefault="00D0020B" w:rsidP="00D0020B">
      <w:r>
        <w:t xml:space="preserve">The PBAC recommended </w:t>
      </w:r>
      <w:r w:rsidR="00702DCC">
        <w:t xml:space="preserve">the </w:t>
      </w:r>
      <w:r>
        <w:t xml:space="preserve">removal of the requirement for contraindication or intolerance to metformin for patients to use dipeptidyl peptidase 4 (DPP4) inhibitors, sodium-glucose cotransporter 2 (SGLT2) inhibitors and </w:t>
      </w:r>
      <w:r w:rsidR="00432E82">
        <w:t>GLP-1s</w:t>
      </w:r>
      <w:r>
        <w:t xml:space="preserve"> in dual therapy with insulin. The PBAC recommended alignment of the PBS restrictions for DPP4 inhibitors, no longer restricting the use of some of these medicines in combination with insulin or SGLT2 inhibitors.</w:t>
      </w:r>
    </w:p>
    <w:p w14:paraId="423B7501" w14:textId="0BA4DF55" w:rsidR="00F37400" w:rsidRDefault="00D0020B" w:rsidP="00D0020B">
      <w:r>
        <w:t>The PBAC recommended that the Authority Type for GLP-1 RAs, for therapy initiation for all indications, be changed from Authority Required (STREAMLINED) to Authority Required (Telephone/Online), but that continuing access should be via a streamlined authority. The PBAC further recommended that the use of GLP-1</w:t>
      </w:r>
      <w:r w:rsidR="00432E82">
        <w:t>s</w:t>
      </w:r>
      <w:r>
        <w:t xml:space="preserve"> in all T2DM indications should be restricted to patients who are contraindicated or intolerant to an SGLT2 inhibitor, or who do not achieve a clinically meaningful glycaemic response with an SGLT2 inhibitor. The PBAC considered that it may be appropriate to expand the PBS listings for GLP-1</w:t>
      </w:r>
      <w:r w:rsidR="00432E82">
        <w:t>s</w:t>
      </w:r>
      <w:r>
        <w:t xml:space="preserve"> to include use in combination with metformin, a sulfonylurea or insulin, for T2DM patients with a body mass index (BMI) greater than 35 kg/m2, without a requirement to trial an SGLT2 inhibitor. The PBAC requested that the Department provide financial estimates for this expanded listing to be considered at a future meeting.</w:t>
      </w:r>
    </w:p>
    <w:p w14:paraId="0D5C1F63" w14:textId="5F417016" w:rsidR="00F37400" w:rsidRDefault="00F37400" w:rsidP="00A35800">
      <w:pPr>
        <w:rPr>
          <w:highlight w:val="yellow"/>
        </w:rPr>
      </w:pPr>
      <w:r w:rsidRPr="00F37400">
        <w:lastRenderedPageBreak/>
        <w:t xml:space="preserve">For further details refer to the </w:t>
      </w:r>
      <w:hyperlink r:id="rId22" w:history="1">
        <w:r w:rsidR="0094276C" w:rsidRPr="00613A0A">
          <w:rPr>
            <w:rStyle w:val="Hyperlink"/>
          </w:rPr>
          <w:t>PBAC Web Outcomes</w:t>
        </w:r>
      </w:hyperlink>
      <w:r w:rsidR="0094276C">
        <w:t xml:space="preserve"> </w:t>
      </w:r>
      <w:r w:rsidRPr="00F37400">
        <w:t xml:space="preserve">from the </w:t>
      </w:r>
      <w:r w:rsidR="0094276C">
        <w:t xml:space="preserve">July 2023 </w:t>
      </w:r>
      <w:r w:rsidRPr="00F37400">
        <w:t>PBAC meeting.</w:t>
      </w:r>
    </w:p>
    <w:p w14:paraId="0DEBD50F" w14:textId="69B931E7" w:rsidR="00094DCF" w:rsidRDefault="00ED633B" w:rsidP="00CF5E22">
      <w:pPr>
        <w:pStyle w:val="Heading2"/>
      </w:pPr>
      <w:r>
        <w:t xml:space="preserve">Previous reviews by </w:t>
      </w:r>
      <w:r w:rsidR="00177B86">
        <w:t xml:space="preserve">the </w:t>
      </w:r>
      <w:r>
        <w:t>DUSC</w:t>
      </w:r>
    </w:p>
    <w:p w14:paraId="406D1289" w14:textId="137CC058" w:rsidR="00ED633B" w:rsidRDefault="00F50C4D" w:rsidP="00A35800">
      <w:r w:rsidRPr="00F50C4D">
        <w:t xml:space="preserve">DUSC reviewed medicines for the treatment of T2DM </w:t>
      </w:r>
      <w:r w:rsidR="009F3930">
        <w:t>at its</w:t>
      </w:r>
      <w:r w:rsidRPr="00F50C4D">
        <w:t xml:space="preserve"> October 2012</w:t>
      </w:r>
      <w:r w:rsidR="009F3930">
        <w:t xml:space="preserve">, </w:t>
      </w:r>
      <w:r w:rsidRPr="00F50C4D">
        <w:t>February 2013, February 2017</w:t>
      </w:r>
      <w:r w:rsidR="009F3930">
        <w:t xml:space="preserve"> and September 2022 meetings.</w:t>
      </w:r>
    </w:p>
    <w:p w14:paraId="6D8EF062" w14:textId="05822419" w:rsidR="002551BF" w:rsidRDefault="002551BF" w:rsidP="00A35800">
      <w:r>
        <w:t>The 2022 review included analyses of:</w:t>
      </w:r>
    </w:p>
    <w:p w14:paraId="37C3565F" w14:textId="77777777" w:rsidR="00F62C81" w:rsidRPr="00F62C81" w:rsidRDefault="00F62C81" w:rsidP="00F62C81">
      <w:pPr>
        <w:numPr>
          <w:ilvl w:val="0"/>
          <w:numId w:val="7"/>
        </w:numPr>
        <w:spacing w:after="160" w:line="259" w:lineRule="auto"/>
        <w:contextualSpacing/>
        <w:rPr>
          <w:rFonts w:ascii="Calibri" w:eastAsia="Calibri" w:hAnsi="Calibri" w:cs="Calibri"/>
          <w:lang w:eastAsia="en-US"/>
        </w:rPr>
      </w:pPr>
      <w:r w:rsidRPr="00F62C81">
        <w:rPr>
          <w:rFonts w:ascii="Calibri" w:eastAsia="Calibri" w:hAnsi="Calibri" w:cs="Calibri"/>
          <w:lang w:eastAsia="en-US"/>
        </w:rPr>
        <w:t>Use of metformin, SU or insulin prior to GLP-1 RA initiation.</w:t>
      </w:r>
    </w:p>
    <w:p w14:paraId="5BD545AA" w14:textId="77777777" w:rsidR="00F62C81" w:rsidRPr="00F62C81" w:rsidRDefault="00F62C81" w:rsidP="00F62C81">
      <w:pPr>
        <w:numPr>
          <w:ilvl w:val="0"/>
          <w:numId w:val="7"/>
        </w:numPr>
        <w:spacing w:after="160" w:line="259" w:lineRule="auto"/>
        <w:contextualSpacing/>
        <w:rPr>
          <w:rFonts w:ascii="Calibri" w:eastAsia="Calibri" w:hAnsi="Calibri" w:cs="Calibri"/>
          <w:lang w:eastAsia="en-US"/>
        </w:rPr>
      </w:pPr>
      <w:r w:rsidRPr="00F62C81">
        <w:rPr>
          <w:rFonts w:ascii="Calibri" w:eastAsia="Calibri" w:hAnsi="Calibri" w:cs="Calibri"/>
          <w:lang w:eastAsia="en-US"/>
        </w:rPr>
        <w:t>Use of GLP-1 RAs in combination with another GLP-1 RA, an SGLT2 inhibitor or a DPP4 inhibitor.</w:t>
      </w:r>
    </w:p>
    <w:p w14:paraId="1FDE6BB8" w14:textId="77777777" w:rsidR="00F62C81" w:rsidRPr="00F62C81" w:rsidRDefault="00F62C81" w:rsidP="00F62C81">
      <w:pPr>
        <w:numPr>
          <w:ilvl w:val="0"/>
          <w:numId w:val="7"/>
        </w:numPr>
        <w:spacing w:after="160" w:line="259" w:lineRule="auto"/>
        <w:contextualSpacing/>
        <w:rPr>
          <w:rFonts w:ascii="Calibri" w:eastAsia="Calibri" w:hAnsi="Calibri" w:cs="Calibri"/>
          <w:lang w:eastAsia="en-US"/>
        </w:rPr>
      </w:pPr>
      <w:r w:rsidRPr="00F62C81">
        <w:rPr>
          <w:rFonts w:ascii="Calibri" w:eastAsia="Calibri" w:hAnsi="Calibri" w:cs="Calibri"/>
          <w:lang w:eastAsia="en-US"/>
        </w:rPr>
        <w:t>Use of a GLP-1 RA, SGLT2 inhibitor or a DPP4 inhibitor without concomitant use of metformin, a SU or insulin.</w:t>
      </w:r>
    </w:p>
    <w:p w14:paraId="14375816" w14:textId="0E0A1ECB" w:rsidR="00A53AB7" w:rsidRPr="00E12FAB" w:rsidRDefault="00A53AB7" w:rsidP="00A53AB7">
      <w:pPr>
        <w:pStyle w:val="ListParagraph"/>
        <w:numPr>
          <w:ilvl w:val="0"/>
          <w:numId w:val="7"/>
        </w:numPr>
        <w:spacing w:after="160"/>
      </w:pPr>
      <w:r>
        <w:t>It reported that there were</w:t>
      </w:r>
      <w:r w:rsidRPr="00E12FAB">
        <w:t xml:space="preserve"> several examples of apparent use outside the PBS restrictions:</w:t>
      </w:r>
    </w:p>
    <w:p w14:paraId="2A3B00FC" w14:textId="77777777" w:rsidR="00A53AB7" w:rsidRDefault="00A53AB7" w:rsidP="00A53AB7">
      <w:pPr>
        <w:pStyle w:val="ListParagraph"/>
        <w:numPr>
          <w:ilvl w:val="1"/>
          <w:numId w:val="7"/>
        </w:numPr>
        <w:spacing w:after="160"/>
      </w:pPr>
      <w:r>
        <w:t>From 2017 to mid-2022, 18% of people initiating GLP-1 RA therapy were not supplied metformin, a SU or insulin prior to or at initiation, indicating clear use outside of the PBS restrictions. A further 57%</w:t>
      </w:r>
      <w:r w:rsidRPr="00D83712">
        <w:t xml:space="preserve"> </w:t>
      </w:r>
      <w:r>
        <w:t>were supplied only insulin, a SU, or metformin prior to or at initiation of a GLP-1 RA, indicating possible use outside of the PBS restrictions.</w:t>
      </w:r>
    </w:p>
    <w:p w14:paraId="34A197D8" w14:textId="77777777" w:rsidR="00A53AB7" w:rsidRPr="008A4AB4" w:rsidRDefault="00A53AB7" w:rsidP="00A53AB7">
      <w:pPr>
        <w:pStyle w:val="ListParagraph"/>
        <w:numPr>
          <w:ilvl w:val="1"/>
          <w:numId w:val="7"/>
        </w:numPr>
        <w:spacing w:after="160"/>
      </w:pPr>
      <w:r>
        <w:t xml:space="preserve">According to analysis of the prevalent population in 2021, almost 60% of people supplied a GLP-1 RA received this medicine in a regimen that is </w:t>
      </w:r>
      <w:r w:rsidRPr="008A4AB4">
        <w:t>inconsistent with the PBS restrictions:</w:t>
      </w:r>
    </w:p>
    <w:p w14:paraId="364AFA35" w14:textId="77777777" w:rsidR="00A53AB7" w:rsidRPr="008A4AB4" w:rsidRDefault="00A53AB7" w:rsidP="00A53AB7">
      <w:pPr>
        <w:pStyle w:val="ListParagraph"/>
        <w:numPr>
          <w:ilvl w:val="2"/>
          <w:numId w:val="7"/>
        </w:numPr>
        <w:spacing w:after="160"/>
      </w:pPr>
      <w:r w:rsidRPr="008A4AB4">
        <w:t>42% were supplied a GLP-1 RA in combination with another GLP</w:t>
      </w:r>
      <w:r w:rsidRPr="008A4AB4">
        <w:noBreakHyphen/>
        <w:t>1 RA, a DPP4 inhibitor, an SGLT2 inhibitor or a combination of these medicines.</w:t>
      </w:r>
    </w:p>
    <w:p w14:paraId="756D9AB1" w14:textId="77777777" w:rsidR="00A53AB7" w:rsidRPr="008A4AB4" w:rsidRDefault="00A53AB7" w:rsidP="00A53AB7">
      <w:pPr>
        <w:pStyle w:val="ListParagraph"/>
        <w:numPr>
          <w:ilvl w:val="2"/>
          <w:numId w:val="7"/>
        </w:numPr>
        <w:spacing w:after="160"/>
      </w:pPr>
      <w:r w:rsidRPr="008A4AB4">
        <w:t>27% were supplied a GLP-1 RA without concomitant use of metformin, SU or insulin.</w:t>
      </w:r>
    </w:p>
    <w:p w14:paraId="08D47788" w14:textId="77777777" w:rsidR="00A53AB7" w:rsidRPr="008A4AB4" w:rsidRDefault="00A53AB7" w:rsidP="00A53AB7">
      <w:pPr>
        <w:pStyle w:val="ListParagraph"/>
        <w:numPr>
          <w:ilvl w:val="2"/>
          <w:numId w:val="7"/>
        </w:numPr>
        <w:spacing w:after="160"/>
      </w:pPr>
      <w:r w:rsidRPr="008A4AB4">
        <w:t xml:space="preserve">9.5% crossed both above categories and were supplied a GLP-1 RA without concomitant use of metformin, SU or insulin </w:t>
      </w:r>
      <w:r w:rsidRPr="008A4AB4">
        <w:rPr>
          <w:u w:val="single"/>
        </w:rPr>
        <w:t>and</w:t>
      </w:r>
      <w:r w:rsidRPr="008A4AB4">
        <w:t xml:space="preserve"> in combination with another GLP</w:t>
      </w:r>
      <w:r w:rsidRPr="008A4AB4">
        <w:noBreakHyphen/>
        <w:t>1 RA, a DPP4 inhibitor, an SGLT2 inhibitor, or a combination of these medicines.</w:t>
      </w:r>
    </w:p>
    <w:p w14:paraId="5C143877" w14:textId="2834B659" w:rsidR="00E371EA" w:rsidRPr="00ED633B" w:rsidRDefault="009D1ED5" w:rsidP="00A35800">
      <w:r>
        <w:t xml:space="preserve">For details of the DUSC consideration of </w:t>
      </w:r>
      <w:r w:rsidR="000B041E">
        <w:t xml:space="preserve">diabetes medicines </w:t>
      </w:r>
      <w:r>
        <w:t xml:space="preserve">refer to the </w:t>
      </w:r>
      <w:hyperlink r:id="rId23" w:history="1">
        <w:r w:rsidRPr="007358EA">
          <w:rPr>
            <w:rStyle w:val="Hyperlink"/>
          </w:rPr>
          <w:t>Public Release Document</w:t>
        </w:r>
        <w:r w:rsidR="007358EA" w:rsidRPr="007358EA">
          <w:rPr>
            <w:rStyle w:val="Hyperlink"/>
          </w:rPr>
          <w:t>s</w:t>
        </w:r>
      </w:hyperlink>
      <w:r w:rsidR="007358EA">
        <w:t>.</w:t>
      </w:r>
    </w:p>
    <w:p w14:paraId="0312FFEC" w14:textId="5C6A9662" w:rsidR="00E677DD" w:rsidRPr="005E22C2" w:rsidRDefault="00E677DD" w:rsidP="00CF5E22">
      <w:pPr>
        <w:pStyle w:val="Heading1"/>
      </w:pPr>
      <w:r w:rsidRPr="005E22C2">
        <w:t>Method</w:t>
      </w:r>
      <w:r w:rsidR="001B5D37" w:rsidRPr="005E22C2">
        <w:t>s</w:t>
      </w:r>
    </w:p>
    <w:p w14:paraId="6D8C9BF9" w14:textId="2859354E" w:rsidR="006804E0" w:rsidRDefault="006804E0" w:rsidP="00524D13">
      <w:r w:rsidRPr="006804E0">
        <w:t xml:space="preserve">Data extracted from the PBS claims database maintained by the Department of Health and Aged Care and processed by Services Australia were used for the analyses. Prescription data were extracted from </w:t>
      </w:r>
      <w:r w:rsidR="00A83EEE">
        <w:t>1 January 2016</w:t>
      </w:r>
      <w:r w:rsidRPr="006804E0">
        <w:t xml:space="preserve"> up to and including </w:t>
      </w:r>
      <w:r w:rsidR="00311ECE">
        <w:t>31 December 2023</w:t>
      </w:r>
      <w:r w:rsidRPr="006804E0">
        <w:t xml:space="preserve">. </w:t>
      </w:r>
      <w:r w:rsidR="009E63E5" w:rsidRPr="009E63E5">
        <w:t>Patients who were only supplied insulin in this period were excluded as they were likely to be patients with type 1 diabetes.</w:t>
      </w:r>
    </w:p>
    <w:p w14:paraId="0712D9D5" w14:textId="586BBC49" w:rsidR="00524D13" w:rsidRDefault="006804E0" w:rsidP="00524D13">
      <w:r w:rsidRPr="006804E0">
        <w:lastRenderedPageBreak/>
        <w:t>As this analysis uses date of supply prescription data, there may be small differences compared with publicly available Services Australia Medicare date of processing data.</w:t>
      </w:r>
      <w:r w:rsidR="00576B18">
        <w:rPr>
          <w:rStyle w:val="FootnoteReference"/>
        </w:rPr>
        <w:footnoteReference w:id="7"/>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w:t>
      </w:r>
      <w:r w:rsidRPr="006804E0">
        <w:t xml:space="preserve">Services Australia </w:t>
      </w:r>
      <w:r w:rsidR="00DD29A3">
        <w:t>Medicare data used in this report includes under co-payment prescriptions from 1</w:t>
      </w:r>
      <w:r w:rsidR="006B554F">
        <w:t> </w:t>
      </w:r>
      <w:r w:rsidR="00DD29A3">
        <w:t>April 2012.</w:t>
      </w:r>
    </w:p>
    <w:p w14:paraId="02EB4F79" w14:textId="14ADB8A4" w:rsidR="00F3366B" w:rsidRDefault="00F3366B" w:rsidP="00524D13">
      <w:r>
        <w:t xml:space="preserve">Analysis of overall use of the diabetes market excluded prescriptions </w:t>
      </w:r>
      <w:r w:rsidRPr="00F3366B">
        <w:t>of flozins for kidney and cardiac PBS item codes</w:t>
      </w:r>
      <w:r>
        <w:t>.</w:t>
      </w:r>
    </w:p>
    <w:p w14:paraId="6649F437" w14:textId="136B63D8" w:rsidR="00661316" w:rsidRDefault="009C6D07" w:rsidP="00A35800">
      <w:r>
        <w:t>Analy</w:t>
      </w:r>
      <w:r w:rsidR="00E24D01">
        <w:t>s</w:t>
      </w:r>
      <w:r>
        <w:t xml:space="preserve">is of sequence of use for </w:t>
      </w:r>
      <w:r w:rsidR="00372C93" w:rsidRPr="00372C93">
        <w:t xml:space="preserve">GLP-1 patients </w:t>
      </w:r>
      <w:r w:rsidR="00DA3053">
        <w:t xml:space="preserve">and </w:t>
      </w:r>
      <w:r w:rsidR="00D16C65">
        <w:t xml:space="preserve">initiating patients to flozins and gliptins before and after </w:t>
      </w:r>
      <w:r w:rsidR="00A92998">
        <w:t xml:space="preserve">supply of </w:t>
      </w:r>
      <w:r w:rsidR="00D16C65">
        <w:t>GLP-1</w:t>
      </w:r>
      <w:r w:rsidR="00A92998">
        <w:t>s</w:t>
      </w:r>
      <w:r w:rsidR="00D16C65">
        <w:t xml:space="preserve"> </w:t>
      </w:r>
      <w:r w:rsidR="00372C93">
        <w:t xml:space="preserve">used prescriptions of all diabetes medicines in the two years (730 days) prior to the patient initiating either semaglutide or dulaglutide. </w:t>
      </w:r>
      <w:r w:rsidR="00F3366B">
        <w:t>These analyses included p</w:t>
      </w:r>
      <w:r w:rsidR="00F3366B" w:rsidRPr="00F3366B">
        <w:t>rescriptions of flozins for kidney and cardiac PBS item codes</w:t>
      </w:r>
      <w:r w:rsidR="00F3366B">
        <w:t>.</w:t>
      </w:r>
    </w:p>
    <w:p w14:paraId="477E92CA" w14:textId="1F33EAD6" w:rsidR="00E744A0" w:rsidRDefault="00310BE2" w:rsidP="00A35800">
      <w:r>
        <w:t xml:space="preserve">The </w:t>
      </w:r>
      <w:r w:rsidR="00D73051">
        <w:t xml:space="preserve">2022 DUSC Analysis of T2DM </w:t>
      </w:r>
      <w:r w:rsidR="004E356B">
        <w:t xml:space="preserve">medicines </w:t>
      </w:r>
      <w:r w:rsidR="004A43AA">
        <w:t>analysed combination treatment of a GLP-1 with flozins or gliptins.</w:t>
      </w:r>
      <w:r w:rsidR="00CF2910" w:rsidRPr="00CF2910">
        <w:t xml:space="preserve"> Combination treatment was defined as receiving a supply of one drug, drug A (e.g. GLP 1), with supply of another drug within 30 days, drug B (e.g. an alternative GLP 1, </w:t>
      </w:r>
      <w:r w:rsidR="00CF2910">
        <w:t>flozin or gliptin</w:t>
      </w:r>
      <w:r w:rsidR="00CF2910" w:rsidRPr="00CF2910">
        <w:t xml:space="preserve">), and then a supply of drug A again within a subsequent 30 days (e.g. a GLP-1). Same day supply of a GLP-1 with another GLP-1, a </w:t>
      </w:r>
      <w:r w:rsidR="00CF2910">
        <w:t>flozin or a gliptin</w:t>
      </w:r>
      <w:r w:rsidR="00CF2910" w:rsidRPr="00CF2910">
        <w:t xml:space="preserve"> was also considered combination use.</w:t>
      </w:r>
    </w:p>
    <w:p w14:paraId="5CCA58D2" w14:textId="4F087741" w:rsidR="00833A7C" w:rsidRDefault="006B03DB" w:rsidP="00A35800">
      <w:r w:rsidRPr="006B03DB">
        <w:t xml:space="preserve">The 2022 DUSC Analysis of T2DM medicines </w:t>
      </w:r>
      <w:r w:rsidR="004E356B">
        <w:t>cou</w:t>
      </w:r>
      <w:r w:rsidR="00DA2DA3">
        <w:t>nted t</w:t>
      </w:r>
      <w:r w:rsidR="004E356B" w:rsidRPr="004E356B">
        <w:t xml:space="preserve">he number of supplies of GLP-1, </w:t>
      </w:r>
      <w:r w:rsidR="00DA2DA3">
        <w:t>flozins</w:t>
      </w:r>
      <w:r w:rsidR="004E356B" w:rsidRPr="004E356B">
        <w:t xml:space="preserve"> or </w:t>
      </w:r>
      <w:r w:rsidR="00DA2DA3">
        <w:t>gliptins</w:t>
      </w:r>
      <w:r w:rsidR="004E356B" w:rsidRPr="004E356B">
        <w:t xml:space="preserve"> in a row, without supplies of metformin, SU or insulin, for each patient. Patients with three or more supplies of a GLP-1, SGLT2 inhibitor or DPP4 inhibitor in a row following initiation, or a supply of metformin or SU, and patients with five or more supplies of a GLP</w:t>
      </w:r>
      <w:r w:rsidR="0061788A">
        <w:t>-</w:t>
      </w:r>
      <w:r w:rsidR="004E356B" w:rsidRPr="004E356B">
        <w:t>1, SGLT2 inhibitor or DPP4 inhibitor in a row following a supply of insulin were considered to be using the GLP-1, SGLT2 inhibitor or DPP4 inhibitor without concomitant therapy.</w:t>
      </w:r>
      <w:r w:rsidR="00CA17FB">
        <w:t xml:space="preserve"> </w:t>
      </w:r>
      <w:r w:rsidR="00E744A0">
        <w:t>The results from 2021 are represented and compared to the results from 2023.</w:t>
      </w:r>
    </w:p>
    <w:p w14:paraId="4CDE80DE" w14:textId="42987ADD" w:rsidR="0037447B" w:rsidRDefault="001C5483" w:rsidP="001C5483">
      <w:r>
        <w:t xml:space="preserve">Treatment duration was analysed using the Kaplan-Meier method. A patient was censored if they were supplied a prescription within three times the median time to resupply (29 days) prior to 31 December 2023 (i.e. 3×29 days). </w:t>
      </w:r>
    </w:p>
    <w:p w14:paraId="4F91A98A" w14:textId="00180E30"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2999A0EA" w14:textId="0EFEDDA4" w:rsidR="00B3463F" w:rsidRDefault="004556C3" w:rsidP="00A35800">
      <w:r w:rsidRPr="006E5C6B">
        <w:t xml:space="preserve">In </w:t>
      </w:r>
      <w:r w:rsidR="00D55E5B" w:rsidRPr="006E5C6B">
        <w:t xml:space="preserve">2023 there were </w:t>
      </w:r>
      <w:r w:rsidR="006E5C6B" w:rsidRPr="006E5C6B">
        <w:t>approximately</w:t>
      </w:r>
      <w:r w:rsidR="00D55E5B" w:rsidRPr="006E5C6B">
        <w:t xml:space="preserve"> </w:t>
      </w:r>
      <w:r w:rsidR="006E5C6B" w:rsidRPr="006E5C6B">
        <w:t xml:space="preserve">1.6 million patients supplied </w:t>
      </w:r>
      <w:r w:rsidR="00D26528">
        <w:t>one or more</w:t>
      </w:r>
      <w:r w:rsidR="006E5C6B" w:rsidRPr="006E5C6B">
        <w:t xml:space="preserve"> medicine</w:t>
      </w:r>
      <w:r w:rsidR="00D26528">
        <w:t>s</w:t>
      </w:r>
      <w:r w:rsidR="006E5C6B" w:rsidRPr="006E5C6B">
        <w:t xml:space="preserve"> through the PBS for T2DM,</w:t>
      </w:r>
      <w:r w:rsidR="00906A6B">
        <w:t xml:space="preserve"> and </w:t>
      </w:r>
      <w:r w:rsidR="00200341">
        <w:t>326,504</w:t>
      </w:r>
      <w:r w:rsidR="00906A6B">
        <w:t xml:space="preserve"> </w:t>
      </w:r>
      <w:r w:rsidR="00200341">
        <w:t>patients</w:t>
      </w:r>
      <w:r w:rsidR="00906A6B">
        <w:t xml:space="preserve"> who were supplied a GLP-1.</w:t>
      </w:r>
    </w:p>
    <w:p w14:paraId="6C589C37" w14:textId="476979E1" w:rsidR="000D0B1C" w:rsidRDefault="00A236C1" w:rsidP="008C4A87">
      <w:pPr>
        <w:pStyle w:val="Tabletitle"/>
        <w:keepNext/>
      </w:pPr>
      <w:r>
        <w:lastRenderedPageBreak/>
        <w:t xml:space="preserve">Table </w:t>
      </w:r>
      <w:r w:rsidR="00E65FFE">
        <w:t>4</w:t>
      </w:r>
      <w:r>
        <w:t xml:space="preserve">: Number of </w:t>
      </w:r>
      <w:r w:rsidR="00396588">
        <w:t xml:space="preserve">prevalent treated </w:t>
      </w:r>
      <w:r>
        <w:t>patients supplied T2DM medicines and GLP-1s by year</w:t>
      </w:r>
    </w:p>
    <w:tbl>
      <w:tblPr>
        <w:tblW w:w="8784" w:type="dxa"/>
        <w:tblInd w:w="113" w:type="dxa"/>
        <w:tblLayout w:type="fixed"/>
        <w:tblLook w:val="04A0" w:firstRow="1" w:lastRow="0" w:firstColumn="1" w:lastColumn="0" w:noHBand="0" w:noVBand="1"/>
      </w:tblPr>
      <w:tblGrid>
        <w:gridCol w:w="846"/>
        <w:gridCol w:w="1984"/>
        <w:gridCol w:w="1985"/>
        <w:gridCol w:w="1984"/>
        <w:gridCol w:w="1985"/>
      </w:tblGrid>
      <w:tr w:rsidR="008C4A87" w:rsidRPr="008C4A87" w14:paraId="3206FB88" w14:textId="77777777" w:rsidTr="008C4A87">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C6ED1E9" w14:textId="77777777" w:rsidR="008C4A87" w:rsidRPr="008C4A87" w:rsidRDefault="008C4A87" w:rsidP="008C4A87">
            <w:pPr>
              <w:keepNext/>
              <w:spacing w:after="0"/>
              <w:jc w:val="center"/>
              <w:rPr>
                <w:rFonts w:ascii="Calibri" w:eastAsia="Times New Roman" w:hAnsi="Calibri" w:cs="Calibri"/>
                <w:b/>
                <w:bCs/>
                <w:color w:val="000000"/>
                <w:sz w:val="20"/>
                <w:szCs w:val="20"/>
              </w:rPr>
            </w:pPr>
            <w:r w:rsidRPr="008C4A87">
              <w:rPr>
                <w:rFonts w:ascii="Calibri" w:eastAsia="Times New Roman" w:hAnsi="Calibri" w:cs="Calibri"/>
                <w:b/>
                <w:bCs/>
                <w:color w:val="000000"/>
                <w:sz w:val="20"/>
                <w:szCs w:val="20"/>
              </w:rPr>
              <w:t>Year</w:t>
            </w:r>
          </w:p>
        </w:tc>
        <w:tc>
          <w:tcPr>
            <w:tcW w:w="198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2779F21" w14:textId="6FD311EB" w:rsidR="008C4A87" w:rsidRPr="008C4A87" w:rsidRDefault="008C4A87" w:rsidP="008C4A87">
            <w:pPr>
              <w:keepNext/>
              <w:spacing w:after="0"/>
              <w:jc w:val="center"/>
              <w:rPr>
                <w:rFonts w:ascii="Calibri" w:eastAsia="Times New Roman" w:hAnsi="Calibri" w:cs="Calibri"/>
                <w:b/>
                <w:bCs/>
                <w:color w:val="000000"/>
                <w:sz w:val="20"/>
                <w:szCs w:val="20"/>
              </w:rPr>
            </w:pPr>
            <w:r w:rsidRPr="008C4A87">
              <w:rPr>
                <w:rFonts w:ascii="Calibri" w:eastAsia="Times New Roman" w:hAnsi="Calibri" w:cs="Calibri"/>
                <w:b/>
                <w:bCs/>
                <w:color w:val="000000"/>
                <w:sz w:val="20"/>
                <w:szCs w:val="20"/>
              </w:rPr>
              <w:t>Number of patients supplied one of more medicines for T2DM</w:t>
            </w: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2207368" w14:textId="77777777" w:rsidR="008C4A87" w:rsidRPr="008C4A87" w:rsidRDefault="008C4A87" w:rsidP="008C4A87">
            <w:pPr>
              <w:keepNext/>
              <w:spacing w:after="0"/>
              <w:jc w:val="center"/>
              <w:rPr>
                <w:rFonts w:ascii="Calibri" w:eastAsia="Times New Roman" w:hAnsi="Calibri" w:cs="Calibri"/>
                <w:b/>
                <w:bCs/>
                <w:color w:val="000000"/>
                <w:sz w:val="20"/>
                <w:szCs w:val="20"/>
              </w:rPr>
            </w:pPr>
            <w:r w:rsidRPr="008C4A87">
              <w:rPr>
                <w:rFonts w:ascii="Calibri" w:eastAsia="Times New Roman" w:hAnsi="Calibri" w:cs="Calibri"/>
                <w:b/>
                <w:bCs/>
                <w:color w:val="000000"/>
                <w:sz w:val="20"/>
                <w:szCs w:val="20"/>
              </w:rPr>
              <w:t>Number of patients supplied a GLP-1</w:t>
            </w:r>
          </w:p>
        </w:tc>
        <w:tc>
          <w:tcPr>
            <w:tcW w:w="198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F81C06" w14:textId="77777777" w:rsidR="008C4A87" w:rsidRPr="008C4A87" w:rsidRDefault="008C4A87" w:rsidP="008C4A87">
            <w:pPr>
              <w:keepNext/>
              <w:spacing w:after="0"/>
              <w:jc w:val="center"/>
              <w:rPr>
                <w:rFonts w:ascii="Calibri" w:eastAsia="Times New Roman" w:hAnsi="Calibri" w:cs="Calibri"/>
                <w:b/>
                <w:bCs/>
                <w:color w:val="000000"/>
                <w:sz w:val="20"/>
                <w:szCs w:val="20"/>
              </w:rPr>
            </w:pPr>
            <w:r w:rsidRPr="008C4A87">
              <w:rPr>
                <w:rFonts w:ascii="Calibri" w:eastAsia="Times New Roman" w:hAnsi="Calibri" w:cs="Calibri"/>
                <w:b/>
                <w:bCs/>
                <w:color w:val="000000"/>
                <w:sz w:val="20"/>
                <w:szCs w:val="20"/>
              </w:rPr>
              <w:t>Number of patients supplied semaglutide or dulaglutide</w:t>
            </w: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57D158" w14:textId="77777777" w:rsidR="008C4A87" w:rsidRPr="008C4A87" w:rsidRDefault="008C4A87" w:rsidP="008C4A87">
            <w:pPr>
              <w:keepNext/>
              <w:spacing w:after="0"/>
              <w:jc w:val="center"/>
              <w:rPr>
                <w:rFonts w:ascii="Calibri" w:eastAsia="Times New Roman" w:hAnsi="Calibri" w:cs="Calibri"/>
                <w:b/>
                <w:bCs/>
                <w:color w:val="000000"/>
                <w:sz w:val="20"/>
                <w:szCs w:val="20"/>
              </w:rPr>
            </w:pPr>
            <w:r w:rsidRPr="008C4A87">
              <w:rPr>
                <w:rFonts w:ascii="Calibri" w:eastAsia="Times New Roman" w:hAnsi="Calibri" w:cs="Calibri"/>
                <w:b/>
                <w:bCs/>
                <w:color w:val="000000"/>
                <w:sz w:val="20"/>
                <w:szCs w:val="20"/>
              </w:rPr>
              <w:t>Number of initiators to semaglutide or dulaglutide</w:t>
            </w:r>
          </w:p>
        </w:tc>
      </w:tr>
      <w:tr w:rsidR="008C4A87" w:rsidRPr="008C4A87" w14:paraId="2EAF9C31"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EC4CB9" w14:textId="77777777" w:rsidR="008C4A87" w:rsidRPr="008C4A87" w:rsidRDefault="008C4A87" w:rsidP="008C4A87">
            <w:pPr>
              <w:keepNext/>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2017</w:t>
            </w:r>
          </w:p>
        </w:tc>
        <w:tc>
          <w:tcPr>
            <w:tcW w:w="1984" w:type="dxa"/>
            <w:tcBorders>
              <w:top w:val="nil"/>
              <w:left w:val="nil"/>
              <w:bottom w:val="single" w:sz="4" w:space="0" w:color="auto"/>
              <w:right w:val="single" w:sz="4" w:space="0" w:color="auto"/>
            </w:tcBorders>
            <w:shd w:val="clear" w:color="auto" w:fill="auto"/>
            <w:noWrap/>
            <w:vAlign w:val="center"/>
            <w:hideMark/>
          </w:tcPr>
          <w:p w14:paraId="14483784" w14:textId="381586BD"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1,161,228 </w:t>
            </w:r>
          </w:p>
        </w:tc>
        <w:tc>
          <w:tcPr>
            <w:tcW w:w="1985" w:type="dxa"/>
            <w:tcBorders>
              <w:top w:val="nil"/>
              <w:left w:val="nil"/>
              <w:bottom w:val="single" w:sz="4" w:space="0" w:color="auto"/>
              <w:right w:val="single" w:sz="4" w:space="0" w:color="auto"/>
            </w:tcBorders>
            <w:shd w:val="clear" w:color="auto" w:fill="auto"/>
            <w:noWrap/>
            <w:vAlign w:val="center"/>
            <w:hideMark/>
          </w:tcPr>
          <w:p w14:paraId="3186826B" w14:textId="214A445B"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50</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444</w:t>
            </w:r>
          </w:p>
        </w:tc>
        <w:tc>
          <w:tcPr>
            <w:tcW w:w="1984" w:type="dxa"/>
            <w:tcBorders>
              <w:top w:val="nil"/>
              <w:left w:val="nil"/>
              <w:bottom w:val="single" w:sz="4" w:space="0" w:color="auto"/>
              <w:right w:val="single" w:sz="4" w:space="0" w:color="auto"/>
            </w:tcBorders>
            <w:shd w:val="clear" w:color="auto" w:fill="auto"/>
            <w:noWrap/>
            <w:vAlign w:val="center"/>
            <w:hideMark/>
          </w:tcPr>
          <w:p w14:paraId="104616F2" w14:textId="77777777"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6BEAEDBF" w14:textId="77777777"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w:t>
            </w:r>
          </w:p>
        </w:tc>
      </w:tr>
      <w:tr w:rsidR="008C4A87" w:rsidRPr="008C4A87" w14:paraId="03B14475"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07DB8B" w14:textId="77777777" w:rsidR="008C4A87" w:rsidRPr="008C4A87" w:rsidRDefault="008C4A87" w:rsidP="008C4A87">
            <w:pPr>
              <w:keepNext/>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2018</w:t>
            </w:r>
          </w:p>
        </w:tc>
        <w:tc>
          <w:tcPr>
            <w:tcW w:w="1984" w:type="dxa"/>
            <w:tcBorders>
              <w:top w:val="nil"/>
              <w:left w:val="nil"/>
              <w:bottom w:val="single" w:sz="4" w:space="0" w:color="auto"/>
              <w:right w:val="single" w:sz="4" w:space="0" w:color="auto"/>
            </w:tcBorders>
            <w:shd w:val="clear" w:color="auto" w:fill="auto"/>
            <w:noWrap/>
            <w:vAlign w:val="center"/>
            <w:hideMark/>
          </w:tcPr>
          <w:p w14:paraId="227E31E0" w14:textId="2CDED7BA"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1,217,392 </w:t>
            </w:r>
          </w:p>
        </w:tc>
        <w:tc>
          <w:tcPr>
            <w:tcW w:w="1985" w:type="dxa"/>
            <w:tcBorders>
              <w:top w:val="nil"/>
              <w:left w:val="nil"/>
              <w:bottom w:val="single" w:sz="4" w:space="0" w:color="auto"/>
              <w:right w:val="single" w:sz="4" w:space="0" w:color="auto"/>
            </w:tcBorders>
            <w:shd w:val="clear" w:color="auto" w:fill="auto"/>
            <w:noWrap/>
            <w:vAlign w:val="center"/>
            <w:hideMark/>
          </w:tcPr>
          <w:p w14:paraId="5E4C11B3" w14:textId="392D13D4"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60</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491</w:t>
            </w:r>
          </w:p>
        </w:tc>
        <w:tc>
          <w:tcPr>
            <w:tcW w:w="1984" w:type="dxa"/>
            <w:tcBorders>
              <w:top w:val="nil"/>
              <w:left w:val="nil"/>
              <w:bottom w:val="single" w:sz="4" w:space="0" w:color="auto"/>
              <w:right w:val="single" w:sz="4" w:space="0" w:color="auto"/>
            </w:tcBorders>
            <w:shd w:val="clear" w:color="auto" w:fill="auto"/>
            <w:noWrap/>
            <w:vAlign w:val="center"/>
            <w:hideMark/>
          </w:tcPr>
          <w:p w14:paraId="274FEA21" w14:textId="10DF594E"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203</w:t>
            </w:r>
          </w:p>
        </w:tc>
        <w:tc>
          <w:tcPr>
            <w:tcW w:w="1985" w:type="dxa"/>
            <w:tcBorders>
              <w:top w:val="nil"/>
              <w:left w:val="nil"/>
              <w:bottom w:val="single" w:sz="4" w:space="0" w:color="auto"/>
              <w:right w:val="single" w:sz="4" w:space="0" w:color="auto"/>
            </w:tcBorders>
            <w:shd w:val="clear" w:color="auto" w:fill="auto"/>
            <w:noWrap/>
            <w:vAlign w:val="center"/>
            <w:hideMark/>
          </w:tcPr>
          <w:p w14:paraId="3FD5AF42" w14:textId="71E24B83"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203</w:t>
            </w:r>
          </w:p>
        </w:tc>
      </w:tr>
      <w:tr w:rsidR="008C4A87" w:rsidRPr="008C4A87" w14:paraId="3C494D10"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9BE8F0" w14:textId="77777777" w:rsidR="008C4A87" w:rsidRPr="008C4A87" w:rsidRDefault="008C4A87" w:rsidP="008C4A87">
            <w:pPr>
              <w:keepNext/>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2019</w:t>
            </w:r>
          </w:p>
        </w:tc>
        <w:tc>
          <w:tcPr>
            <w:tcW w:w="1984" w:type="dxa"/>
            <w:tcBorders>
              <w:top w:val="nil"/>
              <w:left w:val="nil"/>
              <w:bottom w:val="single" w:sz="4" w:space="0" w:color="auto"/>
              <w:right w:val="single" w:sz="4" w:space="0" w:color="auto"/>
            </w:tcBorders>
            <w:shd w:val="clear" w:color="auto" w:fill="auto"/>
            <w:noWrap/>
            <w:vAlign w:val="center"/>
            <w:hideMark/>
          </w:tcPr>
          <w:p w14:paraId="72440E02" w14:textId="7C06D6F4"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1,265,758 </w:t>
            </w:r>
          </w:p>
        </w:tc>
        <w:tc>
          <w:tcPr>
            <w:tcW w:w="1985" w:type="dxa"/>
            <w:tcBorders>
              <w:top w:val="nil"/>
              <w:left w:val="nil"/>
              <w:bottom w:val="single" w:sz="4" w:space="0" w:color="auto"/>
              <w:right w:val="single" w:sz="4" w:space="0" w:color="auto"/>
            </w:tcBorders>
            <w:shd w:val="clear" w:color="auto" w:fill="auto"/>
            <w:noWrap/>
            <w:vAlign w:val="center"/>
            <w:hideMark/>
          </w:tcPr>
          <w:p w14:paraId="37DA663A" w14:textId="115E6B68"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75</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489</w:t>
            </w:r>
          </w:p>
        </w:tc>
        <w:tc>
          <w:tcPr>
            <w:tcW w:w="1984" w:type="dxa"/>
            <w:tcBorders>
              <w:top w:val="nil"/>
              <w:left w:val="nil"/>
              <w:bottom w:val="single" w:sz="4" w:space="0" w:color="auto"/>
              <w:right w:val="single" w:sz="4" w:space="0" w:color="auto"/>
            </w:tcBorders>
            <w:shd w:val="clear" w:color="auto" w:fill="auto"/>
            <w:noWrap/>
            <w:vAlign w:val="center"/>
            <w:hideMark/>
          </w:tcPr>
          <w:p w14:paraId="50909084" w14:textId="6371BA3C"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40</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198</w:t>
            </w:r>
          </w:p>
        </w:tc>
        <w:tc>
          <w:tcPr>
            <w:tcW w:w="1985" w:type="dxa"/>
            <w:tcBorders>
              <w:top w:val="nil"/>
              <w:left w:val="nil"/>
              <w:bottom w:val="single" w:sz="4" w:space="0" w:color="auto"/>
              <w:right w:val="single" w:sz="4" w:space="0" w:color="auto"/>
            </w:tcBorders>
            <w:shd w:val="clear" w:color="auto" w:fill="auto"/>
            <w:noWrap/>
            <w:vAlign w:val="center"/>
            <w:hideMark/>
          </w:tcPr>
          <w:p w14:paraId="550502CD" w14:textId="1177DC87"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27</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815</w:t>
            </w:r>
          </w:p>
        </w:tc>
      </w:tr>
      <w:tr w:rsidR="008C4A87" w:rsidRPr="008C4A87" w14:paraId="515BFD9A"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1E2970" w14:textId="77777777" w:rsidR="008C4A87" w:rsidRPr="008C4A87" w:rsidRDefault="008C4A87" w:rsidP="008C4A87">
            <w:pPr>
              <w:keepNext/>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2020</w:t>
            </w:r>
          </w:p>
        </w:tc>
        <w:tc>
          <w:tcPr>
            <w:tcW w:w="1984" w:type="dxa"/>
            <w:tcBorders>
              <w:top w:val="nil"/>
              <w:left w:val="nil"/>
              <w:bottom w:val="single" w:sz="4" w:space="0" w:color="auto"/>
              <w:right w:val="single" w:sz="4" w:space="0" w:color="auto"/>
            </w:tcBorders>
            <w:shd w:val="clear" w:color="auto" w:fill="auto"/>
            <w:noWrap/>
            <w:vAlign w:val="center"/>
            <w:hideMark/>
          </w:tcPr>
          <w:p w14:paraId="1728AA99" w14:textId="2D714D6C"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1,341,366 </w:t>
            </w:r>
          </w:p>
        </w:tc>
        <w:tc>
          <w:tcPr>
            <w:tcW w:w="1985" w:type="dxa"/>
            <w:tcBorders>
              <w:top w:val="nil"/>
              <w:left w:val="nil"/>
              <w:bottom w:val="single" w:sz="4" w:space="0" w:color="auto"/>
              <w:right w:val="single" w:sz="4" w:space="0" w:color="auto"/>
            </w:tcBorders>
            <w:shd w:val="clear" w:color="auto" w:fill="auto"/>
            <w:noWrap/>
            <w:vAlign w:val="center"/>
            <w:hideMark/>
          </w:tcPr>
          <w:p w14:paraId="0E255B32" w14:textId="6E4B41E1"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98</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526</w:t>
            </w:r>
          </w:p>
        </w:tc>
        <w:tc>
          <w:tcPr>
            <w:tcW w:w="1984" w:type="dxa"/>
            <w:tcBorders>
              <w:top w:val="nil"/>
              <w:left w:val="nil"/>
              <w:bottom w:val="single" w:sz="4" w:space="0" w:color="auto"/>
              <w:right w:val="single" w:sz="4" w:space="0" w:color="auto"/>
            </w:tcBorders>
            <w:shd w:val="clear" w:color="auto" w:fill="auto"/>
            <w:noWrap/>
            <w:vAlign w:val="center"/>
            <w:hideMark/>
          </w:tcPr>
          <w:p w14:paraId="4A2835B3" w14:textId="1D0272C8"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70</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783</w:t>
            </w:r>
          </w:p>
        </w:tc>
        <w:tc>
          <w:tcPr>
            <w:tcW w:w="1985" w:type="dxa"/>
            <w:tcBorders>
              <w:top w:val="nil"/>
              <w:left w:val="nil"/>
              <w:bottom w:val="single" w:sz="4" w:space="0" w:color="auto"/>
              <w:right w:val="single" w:sz="4" w:space="0" w:color="auto"/>
            </w:tcBorders>
            <w:shd w:val="clear" w:color="auto" w:fill="auto"/>
            <w:noWrap/>
            <w:vAlign w:val="center"/>
            <w:hideMark/>
          </w:tcPr>
          <w:p w14:paraId="03A0F823" w14:textId="3E53DBDE"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37</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657</w:t>
            </w:r>
          </w:p>
        </w:tc>
      </w:tr>
      <w:tr w:rsidR="008C4A87" w:rsidRPr="008C4A87" w14:paraId="77EEBD14"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1CE133" w14:textId="77777777" w:rsidR="008C4A87" w:rsidRPr="008C4A87" w:rsidRDefault="008C4A87" w:rsidP="008C4A87">
            <w:pPr>
              <w:keepNext/>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2021</w:t>
            </w:r>
          </w:p>
        </w:tc>
        <w:tc>
          <w:tcPr>
            <w:tcW w:w="1984" w:type="dxa"/>
            <w:tcBorders>
              <w:top w:val="nil"/>
              <w:left w:val="nil"/>
              <w:bottom w:val="single" w:sz="4" w:space="0" w:color="auto"/>
              <w:right w:val="single" w:sz="4" w:space="0" w:color="auto"/>
            </w:tcBorders>
            <w:shd w:val="clear" w:color="auto" w:fill="auto"/>
            <w:noWrap/>
            <w:vAlign w:val="center"/>
            <w:hideMark/>
          </w:tcPr>
          <w:p w14:paraId="5BF83CB7" w14:textId="6EB3E898"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1,426,753 </w:t>
            </w:r>
          </w:p>
        </w:tc>
        <w:tc>
          <w:tcPr>
            <w:tcW w:w="1985" w:type="dxa"/>
            <w:tcBorders>
              <w:top w:val="nil"/>
              <w:left w:val="nil"/>
              <w:bottom w:val="single" w:sz="4" w:space="0" w:color="auto"/>
              <w:right w:val="single" w:sz="4" w:space="0" w:color="auto"/>
            </w:tcBorders>
            <w:shd w:val="clear" w:color="auto" w:fill="auto"/>
            <w:noWrap/>
            <w:vAlign w:val="center"/>
            <w:hideMark/>
          </w:tcPr>
          <w:p w14:paraId="5D3E147E" w14:textId="582B516B"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172</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055</w:t>
            </w:r>
          </w:p>
        </w:tc>
        <w:tc>
          <w:tcPr>
            <w:tcW w:w="1984" w:type="dxa"/>
            <w:tcBorders>
              <w:top w:val="nil"/>
              <w:left w:val="nil"/>
              <w:bottom w:val="single" w:sz="4" w:space="0" w:color="auto"/>
              <w:right w:val="single" w:sz="4" w:space="0" w:color="auto"/>
            </w:tcBorders>
            <w:shd w:val="clear" w:color="auto" w:fill="auto"/>
            <w:noWrap/>
            <w:vAlign w:val="center"/>
            <w:hideMark/>
          </w:tcPr>
          <w:p w14:paraId="31A501B6" w14:textId="01FA141D"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162</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340</w:t>
            </w:r>
          </w:p>
        </w:tc>
        <w:tc>
          <w:tcPr>
            <w:tcW w:w="1985" w:type="dxa"/>
            <w:tcBorders>
              <w:top w:val="nil"/>
              <w:left w:val="nil"/>
              <w:bottom w:val="single" w:sz="4" w:space="0" w:color="auto"/>
              <w:right w:val="single" w:sz="4" w:space="0" w:color="auto"/>
            </w:tcBorders>
            <w:shd w:val="clear" w:color="auto" w:fill="auto"/>
            <w:noWrap/>
            <w:vAlign w:val="center"/>
            <w:hideMark/>
          </w:tcPr>
          <w:p w14:paraId="223F7817" w14:textId="3226AFA9"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98</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813</w:t>
            </w:r>
          </w:p>
        </w:tc>
      </w:tr>
      <w:tr w:rsidR="008C4A87" w:rsidRPr="008C4A87" w14:paraId="693A2080"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D8A759" w14:textId="77777777" w:rsidR="008C4A87" w:rsidRPr="008C4A87" w:rsidRDefault="008C4A87" w:rsidP="008C4A87">
            <w:pPr>
              <w:keepNext/>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2022</w:t>
            </w:r>
          </w:p>
        </w:tc>
        <w:tc>
          <w:tcPr>
            <w:tcW w:w="1984" w:type="dxa"/>
            <w:tcBorders>
              <w:top w:val="nil"/>
              <w:left w:val="nil"/>
              <w:bottom w:val="single" w:sz="4" w:space="0" w:color="auto"/>
              <w:right w:val="single" w:sz="4" w:space="0" w:color="auto"/>
            </w:tcBorders>
            <w:shd w:val="clear" w:color="auto" w:fill="auto"/>
            <w:noWrap/>
            <w:vAlign w:val="center"/>
            <w:hideMark/>
          </w:tcPr>
          <w:p w14:paraId="3E98B735" w14:textId="06EF108C"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1,516,787 </w:t>
            </w:r>
          </w:p>
        </w:tc>
        <w:tc>
          <w:tcPr>
            <w:tcW w:w="1985" w:type="dxa"/>
            <w:tcBorders>
              <w:top w:val="nil"/>
              <w:left w:val="nil"/>
              <w:bottom w:val="single" w:sz="4" w:space="0" w:color="auto"/>
              <w:right w:val="single" w:sz="4" w:space="0" w:color="auto"/>
            </w:tcBorders>
            <w:shd w:val="clear" w:color="auto" w:fill="auto"/>
            <w:noWrap/>
            <w:vAlign w:val="center"/>
            <w:hideMark/>
          </w:tcPr>
          <w:p w14:paraId="03B936BD" w14:textId="23850BDA"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252</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772</w:t>
            </w:r>
          </w:p>
        </w:tc>
        <w:tc>
          <w:tcPr>
            <w:tcW w:w="1984" w:type="dxa"/>
            <w:tcBorders>
              <w:top w:val="nil"/>
              <w:left w:val="nil"/>
              <w:bottom w:val="single" w:sz="4" w:space="0" w:color="auto"/>
              <w:right w:val="single" w:sz="4" w:space="0" w:color="auto"/>
            </w:tcBorders>
            <w:shd w:val="clear" w:color="auto" w:fill="auto"/>
            <w:noWrap/>
            <w:vAlign w:val="center"/>
            <w:hideMark/>
          </w:tcPr>
          <w:p w14:paraId="737592E6" w14:textId="0E1DF204"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248</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068</w:t>
            </w:r>
          </w:p>
        </w:tc>
        <w:tc>
          <w:tcPr>
            <w:tcW w:w="1985" w:type="dxa"/>
            <w:tcBorders>
              <w:top w:val="nil"/>
              <w:left w:val="nil"/>
              <w:bottom w:val="single" w:sz="4" w:space="0" w:color="auto"/>
              <w:right w:val="single" w:sz="4" w:space="0" w:color="auto"/>
            </w:tcBorders>
            <w:shd w:val="clear" w:color="auto" w:fill="auto"/>
            <w:noWrap/>
            <w:vAlign w:val="center"/>
            <w:hideMark/>
          </w:tcPr>
          <w:p w14:paraId="00918223" w14:textId="2DDA4DEF" w:rsidR="008C4A87" w:rsidRPr="008C4A87" w:rsidRDefault="008C4A87" w:rsidP="008C4A87">
            <w:pPr>
              <w:keepNext/>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103</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633</w:t>
            </w:r>
          </w:p>
        </w:tc>
      </w:tr>
      <w:tr w:rsidR="008C4A87" w:rsidRPr="008C4A87" w14:paraId="33F268CC" w14:textId="77777777" w:rsidTr="008C4A87">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FDB9A5" w14:textId="77777777" w:rsidR="008C4A87" w:rsidRPr="008C4A87" w:rsidRDefault="008C4A87" w:rsidP="008C4A87">
            <w:pPr>
              <w:spacing w:after="0"/>
              <w:rPr>
                <w:rFonts w:ascii="Calibri" w:eastAsia="Times New Roman" w:hAnsi="Calibri" w:cs="Calibri"/>
                <w:color w:val="000000"/>
                <w:sz w:val="20"/>
                <w:szCs w:val="20"/>
              </w:rPr>
            </w:pPr>
            <w:r w:rsidRPr="008C4A87">
              <w:rPr>
                <w:rFonts w:ascii="Calibri" w:eastAsia="Times New Roman" w:hAnsi="Calibri" w:cs="Calibri"/>
                <w:color w:val="000000"/>
                <w:sz w:val="20"/>
                <w:szCs w:val="20"/>
              </w:rPr>
              <w:t>2023</w:t>
            </w:r>
          </w:p>
        </w:tc>
        <w:tc>
          <w:tcPr>
            <w:tcW w:w="1984" w:type="dxa"/>
            <w:tcBorders>
              <w:top w:val="nil"/>
              <w:left w:val="nil"/>
              <w:bottom w:val="single" w:sz="4" w:space="0" w:color="auto"/>
              <w:right w:val="single" w:sz="4" w:space="0" w:color="auto"/>
            </w:tcBorders>
            <w:shd w:val="clear" w:color="auto" w:fill="auto"/>
            <w:noWrap/>
            <w:vAlign w:val="center"/>
            <w:hideMark/>
          </w:tcPr>
          <w:p w14:paraId="21C7F0DF" w14:textId="1C5A921E" w:rsidR="008C4A87" w:rsidRPr="008C4A87" w:rsidRDefault="008C4A87" w:rsidP="008C4A87">
            <w:pPr>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 xml:space="preserve">1,604,963 </w:t>
            </w:r>
          </w:p>
        </w:tc>
        <w:tc>
          <w:tcPr>
            <w:tcW w:w="1985" w:type="dxa"/>
            <w:tcBorders>
              <w:top w:val="nil"/>
              <w:left w:val="nil"/>
              <w:bottom w:val="single" w:sz="4" w:space="0" w:color="auto"/>
              <w:right w:val="single" w:sz="4" w:space="0" w:color="auto"/>
            </w:tcBorders>
            <w:shd w:val="clear" w:color="auto" w:fill="auto"/>
            <w:noWrap/>
            <w:vAlign w:val="center"/>
            <w:hideMark/>
          </w:tcPr>
          <w:p w14:paraId="0E704D4B" w14:textId="42245CEC" w:rsidR="008C4A87" w:rsidRPr="008C4A87" w:rsidRDefault="008C4A87" w:rsidP="008C4A87">
            <w:pPr>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326</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504</w:t>
            </w:r>
          </w:p>
        </w:tc>
        <w:tc>
          <w:tcPr>
            <w:tcW w:w="1984" w:type="dxa"/>
            <w:tcBorders>
              <w:top w:val="nil"/>
              <w:left w:val="nil"/>
              <w:bottom w:val="single" w:sz="4" w:space="0" w:color="auto"/>
              <w:right w:val="single" w:sz="4" w:space="0" w:color="auto"/>
            </w:tcBorders>
            <w:shd w:val="clear" w:color="auto" w:fill="auto"/>
            <w:noWrap/>
            <w:vAlign w:val="center"/>
            <w:hideMark/>
          </w:tcPr>
          <w:p w14:paraId="0551E528" w14:textId="080DA274" w:rsidR="008C4A87" w:rsidRPr="008C4A87" w:rsidRDefault="008C4A87" w:rsidP="008C4A87">
            <w:pPr>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325</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993</w:t>
            </w:r>
          </w:p>
        </w:tc>
        <w:tc>
          <w:tcPr>
            <w:tcW w:w="1985" w:type="dxa"/>
            <w:tcBorders>
              <w:top w:val="nil"/>
              <w:left w:val="nil"/>
              <w:bottom w:val="single" w:sz="4" w:space="0" w:color="auto"/>
              <w:right w:val="single" w:sz="4" w:space="0" w:color="auto"/>
            </w:tcBorders>
            <w:shd w:val="clear" w:color="auto" w:fill="auto"/>
            <w:noWrap/>
            <w:vAlign w:val="center"/>
            <w:hideMark/>
          </w:tcPr>
          <w:p w14:paraId="31D0D7C5" w14:textId="2AEC926E" w:rsidR="008C4A87" w:rsidRPr="008C4A87" w:rsidRDefault="008C4A87" w:rsidP="008C4A87">
            <w:pPr>
              <w:spacing w:after="0"/>
              <w:jc w:val="right"/>
              <w:rPr>
                <w:rFonts w:ascii="Calibri" w:eastAsia="Times New Roman" w:hAnsi="Calibri" w:cs="Calibri"/>
                <w:color w:val="000000"/>
                <w:sz w:val="20"/>
                <w:szCs w:val="20"/>
              </w:rPr>
            </w:pPr>
            <w:r w:rsidRPr="008C4A87">
              <w:rPr>
                <w:rFonts w:ascii="Calibri" w:eastAsia="Times New Roman" w:hAnsi="Calibri" w:cs="Calibri"/>
                <w:color w:val="000000"/>
                <w:sz w:val="20"/>
                <w:szCs w:val="20"/>
              </w:rPr>
              <w:t>120</w:t>
            </w:r>
            <w:r>
              <w:rPr>
                <w:rFonts w:ascii="Calibri" w:eastAsia="Times New Roman" w:hAnsi="Calibri" w:cs="Calibri"/>
                <w:color w:val="000000"/>
                <w:sz w:val="20"/>
                <w:szCs w:val="20"/>
              </w:rPr>
              <w:t>,</w:t>
            </w:r>
            <w:r w:rsidRPr="008C4A87">
              <w:rPr>
                <w:rFonts w:ascii="Calibri" w:eastAsia="Times New Roman" w:hAnsi="Calibri" w:cs="Calibri"/>
                <w:color w:val="000000"/>
                <w:sz w:val="20"/>
                <w:szCs w:val="20"/>
              </w:rPr>
              <w:t>374</w:t>
            </w:r>
          </w:p>
        </w:tc>
      </w:tr>
    </w:tbl>
    <w:p w14:paraId="7933E507" w14:textId="77777777" w:rsidR="000D0B1C" w:rsidRDefault="000D0B1C" w:rsidP="00A35800"/>
    <w:p w14:paraId="55FBE6D3" w14:textId="77777777" w:rsidR="000D0B1C" w:rsidRPr="006E5C6B" w:rsidRDefault="000D0B1C" w:rsidP="00A35800"/>
    <w:p w14:paraId="097CFE9E" w14:textId="4859A6FF" w:rsidR="00F00BF6" w:rsidRDefault="00486075" w:rsidP="00A35800">
      <w:pPr>
        <w:rPr>
          <w:highlight w:val="yellow"/>
        </w:rPr>
      </w:pPr>
      <w:r>
        <w:rPr>
          <w:noProof/>
        </w:rPr>
        <w:drawing>
          <wp:inline distT="0" distB="0" distL="0" distR="0" wp14:anchorId="32686765" wp14:editId="3D134FC5">
            <wp:extent cx="5687695" cy="4893869"/>
            <wp:effectExtent l="0" t="0" r="8255" b="2540"/>
            <wp:docPr id="1" name="Chart 1" descr="Number of patients supplied of T2DM medicines by class, including combinations. Use of metformin per quarter is at least twice that of any other group.">
              <a:extLst xmlns:a="http://schemas.openxmlformats.org/drawingml/2006/main">
                <a:ext uri="{FF2B5EF4-FFF2-40B4-BE49-F238E27FC236}">
                  <a16:creationId xmlns:a16="http://schemas.microsoft.com/office/drawing/2014/main" id="{B2B7F5EB-627B-EFBC-556D-ECBCAD7BB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C4F3C1" w14:textId="5F3579AB" w:rsidR="00895FEF" w:rsidRPr="00A236C1" w:rsidRDefault="00895FEF" w:rsidP="00A236C1">
      <w:pPr>
        <w:pStyle w:val="Figuretitle"/>
      </w:pPr>
      <w:r w:rsidRPr="00A236C1">
        <w:t xml:space="preserve">Figure </w:t>
      </w:r>
      <w:r w:rsidR="00D07437">
        <w:t>1</w:t>
      </w:r>
      <w:r w:rsidRPr="00A236C1">
        <w:t xml:space="preserve">: </w:t>
      </w:r>
      <w:r w:rsidR="00A415B2">
        <w:t>Number of patients supplied</w:t>
      </w:r>
      <w:r w:rsidRPr="00A236C1">
        <w:t xml:space="preserve"> of T2DM medicines by class, including combinations</w:t>
      </w:r>
    </w:p>
    <w:p w14:paraId="4B759AF8" w14:textId="626D4928" w:rsidR="00F00BF6" w:rsidRDefault="00486075" w:rsidP="00A35800">
      <w:pPr>
        <w:rPr>
          <w:highlight w:val="yellow"/>
        </w:rPr>
      </w:pPr>
      <w:r>
        <w:rPr>
          <w:noProof/>
        </w:rPr>
        <w:lastRenderedPageBreak/>
        <w:drawing>
          <wp:inline distT="0" distB="0" distL="0" distR="0" wp14:anchorId="159C7EE7" wp14:editId="782F1414">
            <wp:extent cx="5687695" cy="4601260"/>
            <wp:effectExtent l="0" t="0" r="8255" b="8890"/>
            <wp:docPr id="2" name="Chart 2" descr="Overall use by singular class shows number of patients supplied metformin per quarter at least twice as high as other classes of medicines.">
              <a:extLst xmlns:a="http://schemas.openxmlformats.org/drawingml/2006/main">
                <a:ext uri="{FF2B5EF4-FFF2-40B4-BE49-F238E27FC236}">
                  <a16:creationId xmlns:a16="http://schemas.microsoft.com/office/drawing/2014/main" id="{4E876B81-2005-D68E-AC93-B30F39FBE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B41E2B" w14:textId="1BDA67EF" w:rsidR="00C0001C" w:rsidRDefault="00C0001C" w:rsidP="00A236C1">
      <w:pPr>
        <w:pStyle w:val="Figuretitle"/>
      </w:pPr>
      <w:r>
        <w:t xml:space="preserve">Figure </w:t>
      </w:r>
      <w:r w:rsidR="00D07437">
        <w:t>2</w:t>
      </w:r>
      <w:r>
        <w:t xml:space="preserve">: </w:t>
      </w:r>
      <w:r w:rsidRPr="00C0001C">
        <w:t xml:space="preserve">Overall use by </w:t>
      </w:r>
      <w:r>
        <w:t xml:space="preserve">singular class </w:t>
      </w:r>
    </w:p>
    <w:p w14:paraId="0E449553" w14:textId="65888EB6" w:rsidR="00895FEF" w:rsidRDefault="00C0001C" w:rsidP="00A236C1">
      <w:pPr>
        <w:pStyle w:val="Notes"/>
        <w:rPr>
          <w:highlight w:val="yellow"/>
        </w:rPr>
      </w:pPr>
      <w:r>
        <w:t xml:space="preserve">Note: </w:t>
      </w:r>
      <w:r w:rsidR="00A236C1">
        <w:t xml:space="preserve">A patient supplied a combination medicine is counted in both classes </w:t>
      </w:r>
    </w:p>
    <w:p w14:paraId="2FBFC5BE" w14:textId="77777777" w:rsidR="00FF0518" w:rsidRDefault="00FF0518" w:rsidP="00A35800">
      <w:pPr>
        <w:rPr>
          <w:highlight w:val="yellow"/>
        </w:rPr>
      </w:pPr>
    </w:p>
    <w:p w14:paraId="0E4F4766" w14:textId="41C5C2D2" w:rsidR="00661316" w:rsidRDefault="00661316" w:rsidP="00A35800">
      <w:r w:rsidRPr="00F842F8">
        <w:t>Metformin</w:t>
      </w:r>
      <w:r w:rsidR="003401E6">
        <w:t xml:space="preserve">, including metformin </w:t>
      </w:r>
      <w:r w:rsidR="0056727C">
        <w:t xml:space="preserve">as part of a combination </w:t>
      </w:r>
      <w:r w:rsidR="0062757F">
        <w:t>supply</w:t>
      </w:r>
      <w:r w:rsidR="0056727C">
        <w:t>,</w:t>
      </w:r>
      <w:r w:rsidRPr="00F842F8">
        <w:t xml:space="preserve"> </w:t>
      </w:r>
      <w:r w:rsidR="00B110E1">
        <w:t xml:space="preserve">was supplied to the most patients, </w:t>
      </w:r>
      <w:r w:rsidR="006851D6">
        <w:t>it was supplied to more than one million patients</w:t>
      </w:r>
      <w:r w:rsidR="003401E6">
        <w:t xml:space="preserve"> per quarter</w:t>
      </w:r>
      <w:r w:rsidR="006851D6">
        <w:t xml:space="preserve"> in 2023.</w:t>
      </w:r>
      <w:r w:rsidRPr="00F842F8">
        <w:t xml:space="preserve"> </w:t>
      </w:r>
      <w:r w:rsidR="00305F50">
        <w:t>The number of patients supplied GLP-1s appear</w:t>
      </w:r>
      <w:r w:rsidR="00FF19BB">
        <w:t>ed</w:t>
      </w:r>
      <w:r w:rsidR="00305F50">
        <w:t xml:space="preserve"> to be increasing beyond the number of patients supplied a sul</w:t>
      </w:r>
      <w:r w:rsidR="00C46753">
        <w:t xml:space="preserve">fonylurea, however the GLP medicine shortage may have slowed this </w:t>
      </w:r>
      <w:r w:rsidR="001A3350">
        <w:t>increase. Glitazones were supplied to less than 5</w:t>
      </w:r>
      <w:r w:rsidR="007262BA">
        <w:t>,</w:t>
      </w:r>
      <w:r w:rsidR="001A3350">
        <w:t>000 patients per quarter</w:t>
      </w:r>
      <w:r w:rsidR="00DA6F6F">
        <w:t xml:space="preserve"> in 2023.</w:t>
      </w:r>
    </w:p>
    <w:p w14:paraId="3EC31318" w14:textId="77777777" w:rsidR="00162F0B" w:rsidRDefault="00162F0B" w:rsidP="00A35800"/>
    <w:p w14:paraId="48EE6D34" w14:textId="6FD3DED8" w:rsidR="00162F0B" w:rsidRPr="00F842F8" w:rsidRDefault="00162F0B" w:rsidP="00F842F8">
      <w:pPr>
        <w:pStyle w:val="Heading3"/>
        <w:keepNext/>
      </w:pPr>
      <w:r>
        <w:lastRenderedPageBreak/>
        <w:t>Utilisation of GLP-1s</w:t>
      </w:r>
    </w:p>
    <w:p w14:paraId="1C9AE73D" w14:textId="3E9415E7" w:rsidR="00FF0518" w:rsidRDefault="006C64A8" w:rsidP="00A35800">
      <w:pPr>
        <w:rPr>
          <w:highlight w:val="yellow"/>
        </w:rPr>
      </w:pPr>
      <w:r>
        <w:rPr>
          <w:noProof/>
        </w:rPr>
        <w:drawing>
          <wp:inline distT="0" distB="0" distL="0" distR="0" wp14:anchorId="52190859" wp14:editId="7B6A316A">
            <wp:extent cx="5687695" cy="3792220"/>
            <wp:effectExtent l="0" t="0" r="8255" b="17780"/>
            <wp:docPr id="7" name="Chart 7" descr="Patients supplied GLP-1s by medicine shows a decrease in treated patients in quarter 4 of 2022 and quarter 1 of 2023">
              <a:extLst xmlns:a="http://schemas.openxmlformats.org/drawingml/2006/main">
                <a:ext uri="{FF2B5EF4-FFF2-40B4-BE49-F238E27FC236}">
                  <a16:creationId xmlns:a16="http://schemas.microsoft.com/office/drawing/2014/main" id="{4BD9C864-E0A5-5200-C6CE-93C5520C64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56B6D1" w14:textId="3D56D33D" w:rsidR="00FF0518" w:rsidRPr="00A236C1" w:rsidRDefault="00A236C1" w:rsidP="00A236C1">
      <w:pPr>
        <w:pStyle w:val="Figuretitle"/>
      </w:pPr>
      <w:r w:rsidRPr="00A236C1">
        <w:t xml:space="preserve">Figure </w:t>
      </w:r>
      <w:r w:rsidR="00D07437">
        <w:t>3</w:t>
      </w:r>
      <w:r w:rsidRPr="00A236C1">
        <w:t xml:space="preserve">: </w:t>
      </w:r>
      <w:r w:rsidR="006C64A8">
        <w:t>Patients supplied GLP-</w:t>
      </w:r>
      <w:r w:rsidRPr="00A236C1">
        <w:t xml:space="preserve">1s by </w:t>
      </w:r>
      <w:r w:rsidR="006C64A8">
        <w:t>medicine</w:t>
      </w:r>
    </w:p>
    <w:p w14:paraId="6542CA40" w14:textId="77777777" w:rsidR="00A236C1" w:rsidRDefault="00A236C1" w:rsidP="00A35800">
      <w:pPr>
        <w:rPr>
          <w:highlight w:val="yellow"/>
        </w:rPr>
      </w:pPr>
    </w:p>
    <w:p w14:paraId="51DFB95E" w14:textId="1B76B538" w:rsidR="00A236C1" w:rsidRPr="00F32174" w:rsidRDefault="004541C0" w:rsidP="00A35800">
      <w:r w:rsidRPr="00F32174">
        <w:t xml:space="preserve">Figure </w:t>
      </w:r>
      <w:r w:rsidR="00D07437">
        <w:t>3</w:t>
      </w:r>
      <w:r w:rsidRPr="00F32174">
        <w:t xml:space="preserve"> </w:t>
      </w:r>
      <w:r w:rsidR="003F166A" w:rsidRPr="00F32174">
        <w:t>shows that the use of semaglutide</w:t>
      </w:r>
      <w:r w:rsidR="00301098" w:rsidRPr="00F32174">
        <w:t xml:space="preserve"> and dulagl</w:t>
      </w:r>
      <w:r w:rsidR="009F1B83" w:rsidRPr="00F32174">
        <w:t>utide</w:t>
      </w:r>
      <w:r w:rsidR="00DE00C9" w:rsidRPr="00F32174">
        <w:t xml:space="preserve"> increased </w:t>
      </w:r>
      <w:r w:rsidR="006B63EC">
        <w:t xml:space="preserve">when first </w:t>
      </w:r>
      <w:r w:rsidR="002A7E13">
        <w:t>listed on the</w:t>
      </w:r>
      <w:r w:rsidR="009F1B83" w:rsidRPr="00F32174">
        <w:t xml:space="preserve"> PBS</w:t>
      </w:r>
      <w:r w:rsidR="004908C5" w:rsidRPr="00F32174">
        <w:t xml:space="preserve">, </w:t>
      </w:r>
      <w:r w:rsidR="001C4DEB" w:rsidRPr="00F32174">
        <w:t>with the use of exenatide decreasing from</w:t>
      </w:r>
      <w:r w:rsidR="002B5E35" w:rsidRPr="00F32174">
        <w:t xml:space="preserve"> 2018, when dulaglutide was PBS listed, </w:t>
      </w:r>
      <w:r w:rsidR="001C4DEB" w:rsidRPr="00F32174">
        <w:t xml:space="preserve">until </w:t>
      </w:r>
      <w:r w:rsidR="00044583">
        <w:t>exenatide</w:t>
      </w:r>
      <w:r w:rsidR="001C4DEB" w:rsidRPr="00F32174">
        <w:t xml:space="preserve"> was delisted from the PBS </w:t>
      </w:r>
      <w:r w:rsidR="00181DD1" w:rsidRPr="00F32174">
        <w:t>in 2023.</w:t>
      </w:r>
      <w:r w:rsidR="002B5E35" w:rsidRPr="00F32174">
        <w:t xml:space="preserve"> </w:t>
      </w:r>
      <w:r w:rsidR="00044583" w:rsidRPr="007016C8">
        <w:t xml:space="preserve">The </w:t>
      </w:r>
      <w:r w:rsidR="00044583">
        <w:t>listing</w:t>
      </w:r>
      <w:r w:rsidR="00044583" w:rsidRPr="007016C8">
        <w:t xml:space="preserve"> of semaglutide appear</w:t>
      </w:r>
      <w:r w:rsidR="00AE2420">
        <w:t>ed</w:t>
      </w:r>
      <w:r w:rsidR="00044583" w:rsidRPr="007016C8">
        <w:t xml:space="preserve"> to have taken some market </w:t>
      </w:r>
      <w:r w:rsidR="00044583">
        <w:t xml:space="preserve">share </w:t>
      </w:r>
      <w:r w:rsidR="00044583" w:rsidRPr="007016C8">
        <w:t>from dula</w:t>
      </w:r>
      <w:r w:rsidR="00044583">
        <w:t xml:space="preserve">glutide, however </w:t>
      </w:r>
      <w:r w:rsidR="003C3F89">
        <w:t xml:space="preserve">the </w:t>
      </w:r>
      <w:r w:rsidR="00044583">
        <w:t xml:space="preserve">overall the total </w:t>
      </w:r>
      <w:r w:rsidR="00642576">
        <w:t xml:space="preserve">market </w:t>
      </w:r>
      <w:r w:rsidR="00044583" w:rsidRPr="007016C8">
        <w:t>ha</w:t>
      </w:r>
      <w:r w:rsidR="003C3F89">
        <w:t>d</w:t>
      </w:r>
      <w:r w:rsidR="00044583" w:rsidRPr="007016C8">
        <w:t xml:space="preserve"> increased. </w:t>
      </w:r>
      <w:r w:rsidR="002B5E35" w:rsidRPr="00F32174">
        <w:t xml:space="preserve">The impact of the </w:t>
      </w:r>
      <w:r w:rsidR="005048B0" w:rsidRPr="00F32174">
        <w:t xml:space="preserve">medicines shortage of </w:t>
      </w:r>
      <w:r w:rsidR="005048B0" w:rsidRPr="005048B0">
        <w:t xml:space="preserve">semaglutide and dulaglutide can be </w:t>
      </w:r>
      <w:r w:rsidR="005048B0">
        <w:t xml:space="preserve">seen in 2022, when the </w:t>
      </w:r>
      <w:r w:rsidR="009256E3">
        <w:t>number of patients supplied each medicine f</w:t>
      </w:r>
      <w:r w:rsidR="00B84FAE">
        <w:t>irst appeared to stabilise and then</w:t>
      </w:r>
      <w:r w:rsidR="00181DD1" w:rsidRPr="00F32174">
        <w:t xml:space="preserve"> </w:t>
      </w:r>
      <w:r w:rsidR="004908C5" w:rsidRPr="00F32174">
        <w:t>decrease</w:t>
      </w:r>
      <w:r w:rsidR="001C4DEB" w:rsidRPr="00F32174">
        <w:t>d</w:t>
      </w:r>
      <w:r w:rsidR="00EE6D3A" w:rsidRPr="00F32174">
        <w:t xml:space="preserve">. </w:t>
      </w:r>
      <w:r w:rsidR="000906DE">
        <w:t xml:space="preserve">The </w:t>
      </w:r>
      <w:r w:rsidR="000906DE" w:rsidRPr="000906DE">
        <w:t xml:space="preserve">temporary listing of s19A products </w:t>
      </w:r>
      <w:r w:rsidR="00BC3501">
        <w:t xml:space="preserve">may have reduced the number of affected patients, </w:t>
      </w:r>
      <w:r w:rsidR="006356EC">
        <w:t>however i</w:t>
      </w:r>
      <w:r w:rsidR="00647ED4" w:rsidRPr="00F32174">
        <w:t xml:space="preserve">t is </w:t>
      </w:r>
      <w:r w:rsidR="00BC3501">
        <w:t>possible</w:t>
      </w:r>
      <w:r w:rsidR="00647ED4" w:rsidRPr="00F32174">
        <w:t xml:space="preserve"> that use would have been</w:t>
      </w:r>
      <w:r w:rsidR="00B52EB9" w:rsidRPr="00F32174">
        <w:t xml:space="preserve"> higher </w:t>
      </w:r>
      <w:r w:rsidR="006356EC">
        <w:t xml:space="preserve">if </w:t>
      </w:r>
      <w:r w:rsidR="000D315D">
        <w:t>dulaglutide and semaglutide</w:t>
      </w:r>
      <w:r w:rsidR="006356EC">
        <w:t xml:space="preserve"> had not been </w:t>
      </w:r>
      <w:r w:rsidR="000D315D">
        <w:t xml:space="preserve">subject to the </w:t>
      </w:r>
      <w:r w:rsidR="006356EC">
        <w:t>shortage</w:t>
      </w:r>
      <w:r w:rsidR="00B52EB9" w:rsidRPr="00F32174">
        <w:t>.</w:t>
      </w:r>
    </w:p>
    <w:p w14:paraId="556C3979" w14:textId="77777777" w:rsidR="00DE00C9" w:rsidRDefault="00DE00C9" w:rsidP="00A35800">
      <w:pPr>
        <w:rPr>
          <w:highlight w:val="yellow"/>
        </w:rPr>
      </w:pPr>
    </w:p>
    <w:p w14:paraId="4E50D61A" w14:textId="77777777" w:rsidR="002C6328" w:rsidRDefault="002C6328" w:rsidP="002C6328">
      <w:pPr>
        <w:rPr>
          <w:highlight w:val="yellow"/>
        </w:rPr>
      </w:pPr>
      <w:r>
        <w:rPr>
          <w:noProof/>
        </w:rPr>
        <w:lastRenderedPageBreak/>
        <w:drawing>
          <wp:inline distT="0" distB="0" distL="0" distR="0" wp14:anchorId="1B037AF3" wp14:editId="39CC36DF">
            <wp:extent cx="5687695" cy="4426585"/>
            <wp:effectExtent l="0" t="0" r="8255" b="12065"/>
            <wp:docPr id="5" name="Chart 5" descr="Number of initiating and treated patients for semaglutide and dulaglutide shows an increase in patients treated with dulaglutide in quarter 2 of 2022 and quarter 3 of 2022.">
              <a:extLst xmlns:a="http://schemas.openxmlformats.org/drawingml/2006/main">
                <a:ext uri="{FF2B5EF4-FFF2-40B4-BE49-F238E27FC236}">
                  <a16:creationId xmlns:a16="http://schemas.microsoft.com/office/drawing/2014/main" id="{A97D83A5-661D-3571-C9E7-FFE62A3762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E3290D8" w14:textId="79B78A32" w:rsidR="002C6328" w:rsidRPr="00E8347C" w:rsidRDefault="002C6328" w:rsidP="002C6328">
      <w:pPr>
        <w:pStyle w:val="Figuretitle"/>
      </w:pPr>
      <w:r w:rsidRPr="00E8347C">
        <w:t xml:space="preserve">Figure </w:t>
      </w:r>
      <w:r w:rsidR="00D07437">
        <w:t>4</w:t>
      </w:r>
      <w:r w:rsidRPr="00E8347C">
        <w:t>: Number of initiating and treated patients for semaglutide and dulaglutide</w:t>
      </w:r>
    </w:p>
    <w:p w14:paraId="44EB6970" w14:textId="77777777" w:rsidR="002C6328" w:rsidRDefault="002C6328" w:rsidP="00E8347C">
      <w:pPr>
        <w:rPr>
          <w:highlight w:val="yellow"/>
        </w:rPr>
      </w:pPr>
    </w:p>
    <w:p w14:paraId="73D1D2AA" w14:textId="61F73E52" w:rsidR="00C16BD0" w:rsidRPr="0055180E" w:rsidRDefault="00C807D9" w:rsidP="00C16BD0">
      <w:r w:rsidRPr="00E8347C">
        <w:t xml:space="preserve">Figure </w:t>
      </w:r>
      <w:r w:rsidR="00D07437">
        <w:t>4</w:t>
      </w:r>
      <w:r w:rsidR="00760092" w:rsidRPr="00E8347C">
        <w:t xml:space="preserve"> shows the </w:t>
      </w:r>
      <w:r w:rsidR="00760092" w:rsidRPr="00CF496C">
        <w:t>number of initiating and treated patients for semaglutide and</w:t>
      </w:r>
      <w:r w:rsidR="00760092" w:rsidRPr="00760092">
        <w:t xml:space="preserve"> dulaglutide</w:t>
      </w:r>
      <w:r w:rsidR="009879B6">
        <w:t xml:space="preserve">, in which initiating patients </w:t>
      </w:r>
      <w:r w:rsidR="001B7EAA">
        <w:t>we</w:t>
      </w:r>
      <w:r w:rsidR="009879B6">
        <w:t>re counted once</w:t>
      </w:r>
      <w:r w:rsidR="007C7BEF">
        <w:t xml:space="preserve"> for the first of the two medicines they were supplied</w:t>
      </w:r>
      <w:r w:rsidR="00760092">
        <w:t xml:space="preserve">. </w:t>
      </w:r>
      <w:r w:rsidR="00E523F5">
        <w:t>In 2023</w:t>
      </w:r>
      <w:r w:rsidR="00781D02">
        <w:t xml:space="preserve">, 94% </w:t>
      </w:r>
      <w:r w:rsidR="00721184">
        <w:t>(113,058)</w:t>
      </w:r>
      <w:r w:rsidR="00541BBC">
        <w:t xml:space="preserve"> </w:t>
      </w:r>
      <w:r w:rsidR="00781D02">
        <w:t xml:space="preserve">of the patients who </w:t>
      </w:r>
      <w:r w:rsidR="00721184">
        <w:t>were supplied one of these medicines for the first time</w:t>
      </w:r>
      <w:r w:rsidR="009879B6">
        <w:t xml:space="preserve"> </w:t>
      </w:r>
      <w:r w:rsidR="00721184">
        <w:t>(</w:t>
      </w:r>
      <w:r w:rsidR="00541BBC">
        <w:t>120,374) were supplied semaglutide</w:t>
      </w:r>
      <w:r w:rsidR="0061011E">
        <w:t xml:space="preserve">, compared to </w:t>
      </w:r>
      <w:r w:rsidR="007B7C5E">
        <w:t>6% (</w:t>
      </w:r>
      <w:r w:rsidR="001131D7">
        <w:t>7,316) who were supplied</w:t>
      </w:r>
      <w:r w:rsidR="00541BBC">
        <w:t xml:space="preserve"> </w:t>
      </w:r>
      <w:r w:rsidR="009879B6">
        <w:t>dula</w:t>
      </w:r>
      <w:r w:rsidR="007C7BEF">
        <w:t>glutide</w:t>
      </w:r>
      <w:r w:rsidR="001131D7">
        <w:t>.</w:t>
      </w:r>
      <w:r w:rsidR="007C7BEF">
        <w:t xml:space="preserve"> </w:t>
      </w:r>
    </w:p>
    <w:p w14:paraId="3CFA39B1" w14:textId="77777777" w:rsidR="00743ECB" w:rsidRDefault="00743ECB" w:rsidP="00743ECB">
      <w:pPr>
        <w:rPr>
          <w:highlight w:val="yellow"/>
        </w:rPr>
      </w:pPr>
    </w:p>
    <w:p w14:paraId="66840A46" w14:textId="77777777" w:rsidR="00743ECB" w:rsidRDefault="00743ECB" w:rsidP="00743ECB">
      <w:pPr>
        <w:rPr>
          <w:highlight w:val="yellow"/>
        </w:rPr>
      </w:pPr>
      <w:r>
        <w:rPr>
          <w:noProof/>
        </w:rPr>
        <w:lastRenderedPageBreak/>
        <w:drawing>
          <wp:inline distT="0" distB="0" distL="0" distR="0" wp14:anchorId="4C111095" wp14:editId="60907615">
            <wp:extent cx="5687695" cy="3981450"/>
            <wp:effectExtent l="0" t="0" r="8255" b="0"/>
            <wp:docPr id="10" name="Chart 10" descr="Initiating patients before and after treatment with semaglutide or dulaglutide shows a decrease in initiating patients in quarter 4 of 2022 with a corresponding increase in the number of initiators to flozins or gliptins after treatment with semaglutide or dulaglutide.">
              <a:extLst xmlns:a="http://schemas.openxmlformats.org/drawingml/2006/main">
                <a:ext uri="{FF2B5EF4-FFF2-40B4-BE49-F238E27FC236}">
                  <a16:creationId xmlns:a16="http://schemas.microsoft.com/office/drawing/2014/main" id="{80976C86-11D5-882E-0BC0-1C3B8E6818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28B0A80" w14:textId="4006ED7F" w:rsidR="00743ECB" w:rsidRDefault="00743ECB" w:rsidP="00743ECB">
      <w:pPr>
        <w:pStyle w:val="Tabletitle"/>
      </w:pPr>
      <w:r w:rsidRPr="007C6269">
        <w:t xml:space="preserve">Figure </w:t>
      </w:r>
      <w:r w:rsidR="00D07437">
        <w:t>5</w:t>
      </w:r>
      <w:r w:rsidRPr="007C6269">
        <w:t>: Initiating patients before and after treatment with semaglutide or dulaglutide</w:t>
      </w:r>
    </w:p>
    <w:p w14:paraId="5B1EBFFE" w14:textId="77777777" w:rsidR="00743ECB" w:rsidRDefault="00743ECB" w:rsidP="00743ECB"/>
    <w:p w14:paraId="45B857E7" w14:textId="35AE4620" w:rsidR="00743ECB" w:rsidRPr="007C6269" w:rsidRDefault="00743ECB" w:rsidP="00743ECB">
      <w:r>
        <w:t xml:space="preserve">Figure </w:t>
      </w:r>
      <w:r w:rsidR="00D07437">
        <w:t>5</w:t>
      </w:r>
      <w:r>
        <w:t xml:space="preserve"> shows the number of patients initiating semaglutide or dulaglutide, and the number of patients who initiated a flozin or gliptin either before or after treatment with </w:t>
      </w:r>
      <w:r w:rsidRPr="007B7E82">
        <w:t>semaglutide or dulaglutide</w:t>
      </w:r>
      <w:r>
        <w:t xml:space="preserve">. A patient may be counted multiple times when they initiated </w:t>
      </w:r>
      <w:r w:rsidRPr="00030E61">
        <w:t>semaglutide or dulaglutide</w:t>
      </w:r>
      <w:r>
        <w:t xml:space="preserve">, a flozin and a gliptin, but they were not counted twice as before and after </w:t>
      </w:r>
      <w:r w:rsidRPr="0005312C">
        <w:t>treatment with semaglutide or dulaglutide</w:t>
      </w:r>
      <w:r>
        <w:t xml:space="preserve">. This figure shows that there was an increase in the number of patients who initiated flozins and gliptins after treatment with </w:t>
      </w:r>
      <w:r w:rsidRPr="004F4E28">
        <w:t>semaglutide or dulaglutide</w:t>
      </w:r>
      <w:r>
        <w:t xml:space="preserve"> in 2022, which peaked in the fourth quarter of 2022. </w:t>
      </w:r>
      <w:r w:rsidR="004C45FF">
        <w:t xml:space="preserve">In the fourth quarter of 2022, </w:t>
      </w:r>
      <w:r w:rsidR="00221A42">
        <w:t>7,</w:t>
      </w:r>
      <w:r w:rsidR="00496148">
        <w:t xml:space="preserve">978 patients initiated a flozin and 8,459 patients initiated a gliptin following treatment with </w:t>
      </w:r>
      <w:r w:rsidR="00496148" w:rsidRPr="00496148">
        <w:t xml:space="preserve">semaglutide </w:t>
      </w:r>
      <w:r w:rsidR="00496148">
        <w:t>or</w:t>
      </w:r>
      <w:r w:rsidR="00496148" w:rsidRPr="00496148">
        <w:t xml:space="preserve"> dulaglutide</w:t>
      </w:r>
      <w:r w:rsidR="00496148">
        <w:t xml:space="preserve">, compared to </w:t>
      </w:r>
      <w:r w:rsidR="0070478D">
        <w:t>3,092 patients</w:t>
      </w:r>
      <w:r w:rsidR="00496148" w:rsidRPr="00496148">
        <w:t xml:space="preserve"> </w:t>
      </w:r>
      <w:r w:rsidR="0070478D">
        <w:t xml:space="preserve">who initiated a flozin and 1,515 patients who initiated a gliptin </w:t>
      </w:r>
      <w:r w:rsidR="0070478D" w:rsidRPr="0070478D">
        <w:t xml:space="preserve">following treatment with semaglutide or dulaglutide </w:t>
      </w:r>
      <w:r w:rsidR="008E2ED2">
        <w:t xml:space="preserve">in the fourth quarter of 2021. However, patients may be counted </w:t>
      </w:r>
      <w:r w:rsidR="005853A5">
        <w:t>twice in a quarter if they trialled a flozin and gliptin in the same quarter</w:t>
      </w:r>
      <w:r w:rsidR="006C4409">
        <w:t xml:space="preserve">. </w:t>
      </w:r>
      <w:r w:rsidR="002F5D59" w:rsidRPr="002F5D59">
        <w:t xml:space="preserve">There were 16,077 patients who initiated a flozin or a gliptin after treatment with semaglutide </w:t>
      </w:r>
      <w:r w:rsidR="00580CD0">
        <w:t>or</w:t>
      </w:r>
      <w:r w:rsidR="002F5D59" w:rsidRPr="002F5D59">
        <w:t xml:space="preserve"> dulaglutide in the fourth quarter of 2022, compared with 4,574 patients in the fourth quarter of 2021.</w:t>
      </w:r>
      <w:r w:rsidR="006C4409">
        <w:t xml:space="preserve"> </w:t>
      </w:r>
      <w:r>
        <w:t xml:space="preserve">This suggests there may have been some patients previously treated with </w:t>
      </w:r>
      <w:r w:rsidRPr="00695396">
        <w:t>semaglutide or dulaglutide</w:t>
      </w:r>
      <w:r>
        <w:t xml:space="preserve"> who initiated a flozin or gliptin due to the medicines shortage.</w:t>
      </w:r>
    </w:p>
    <w:p w14:paraId="2E1D34E3" w14:textId="77777777" w:rsidR="00CD4833" w:rsidRDefault="00CD4833" w:rsidP="00CD4833">
      <w:pPr>
        <w:rPr>
          <w:highlight w:val="yellow"/>
        </w:rPr>
      </w:pPr>
      <w:r>
        <w:rPr>
          <w:noProof/>
        </w:rPr>
        <w:lastRenderedPageBreak/>
        <w:drawing>
          <wp:inline distT="0" distB="0" distL="0" distR="0" wp14:anchorId="380C5EDE" wp14:editId="641FFA8C">
            <wp:extent cx="5687695" cy="4148455"/>
            <wp:effectExtent l="0" t="0" r="8255" b="4445"/>
            <wp:docPr id="13" name="Chart 13" descr="Number of patients and prescriptions of semaglutide by strength shows there was generally higher supply of the higher dose.">
              <a:extLst xmlns:a="http://schemas.openxmlformats.org/drawingml/2006/main">
                <a:ext uri="{FF2B5EF4-FFF2-40B4-BE49-F238E27FC236}">
                  <a16:creationId xmlns:a16="http://schemas.microsoft.com/office/drawing/2014/main" id="{1CBFFAE4-D4D6-FFC8-6F14-C27E31927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82B950" w14:textId="4133151F" w:rsidR="00CD4833" w:rsidRDefault="00CD4833" w:rsidP="00CD4833">
      <w:pPr>
        <w:pStyle w:val="Figuretitle"/>
      </w:pPr>
      <w:r w:rsidRPr="003F5317">
        <w:t xml:space="preserve">Figure </w:t>
      </w:r>
      <w:r w:rsidR="00D07437">
        <w:t>6</w:t>
      </w:r>
      <w:r w:rsidRPr="003F5317">
        <w:t>: Number of patients and prescriptions of semaglutide by strength</w:t>
      </w:r>
    </w:p>
    <w:p w14:paraId="7F0C0B86" w14:textId="77777777" w:rsidR="00CD4833" w:rsidRDefault="00CD4833" w:rsidP="00CD4833"/>
    <w:p w14:paraId="0C230F3D" w14:textId="316A256F" w:rsidR="00CD4833" w:rsidRDefault="00CD4833" w:rsidP="00CD4833">
      <w:r>
        <w:t xml:space="preserve">Figure </w:t>
      </w:r>
      <w:r w:rsidR="00D07437">
        <w:t>6</w:t>
      </w:r>
      <w:r>
        <w:t xml:space="preserve"> shows that there was generally </w:t>
      </w:r>
      <w:r w:rsidR="002E5751">
        <w:t xml:space="preserve">a </w:t>
      </w:r>
      <w:r>
        <w:t>higher supply of the higher dose, however this difference decreased between quarter 4 of 2022 and quarter 2 of 2023. The product information for s</w:t>
      </w:r>
      <w:r w:rsidRPr="004629A1">
        <w:t xml:space="preserve">emaglutide </w:t>
      </w:r>
      <w:r>
        <w:t>recommend</w:t>
      </w:r>
      <w:r w:rsidR="008E2794">
        <w:t>ed</w:t>
      </w:r>
      <w:r>
        <w:t xml:space="preserve"> a </w:t>
      </w:r>
      <w:r w:rsidRPr="004629A1">
        <w:t xml:space="preserve">starting dose </w:t>
      </w:r>
      <w:r>
        <w:t>of</w:t>
      </w:r>
      <w:r w:rsidRPr="004629A1">
        <w:t xml:space="preserve"> 0.25 mg once weekly</w:t>
      </w:r>
      <w:r>
        <w:t xml:space="preserve">, which should be </w:t>
      </w:r>
      <w:r w:rsidRPr="004629A1">
        <w:t xml:space="preserve">increased to 0.5 mg once weekly </w:t>
      </w:r>
      <w:r>
        <w:t xml:space="preserve">after </w:t>
      </w:r>
      <w:r w:rsidRPr="004629A1">
        <w:t>4 weeks. After at least 4 weeks with a dose of 0.5 mg once weekly, the dose can be increased to 1 mg once weekly to further improve glycaemic control.</w:t>
      </w:r>
      <w:r>
        <w:t xml:space="preserve"> It is possible that during 2022 when the medicine shortage began, fewer patients were initiated to treatment, or patients were supplied lower doses of semaglutide. Figure </w:t>
      </w:r>
      <w:r w:rsidR="00D07437">
        <w:t>6</w:t>
      </w:r>
      <w:r>
        <w:t xml:space="preserve"> also shows that more distinct patients were supplied the lower dose during 2023, which may be due to new patients initiating on the lower dose.</w:t>
      </w:r>
    </w:p>
    <w:p w14:paraId="1633453C" w14:textId="18AB5797" w:rsidR="00F456D7" w:rsidRDefault="00F456D7" w:rsidP="00F65D71">
      <w:pPr>
        <w:pStyle w:val="Notes"/>
        <w:rPr>
          <w:highlight w:val="yellow"/>
        </w:rPr>
      </w:pPr>
    </w:p>
    <w:p w14:paraId="4CB52327" w14:textId="6C42D484" w:rsidR="00FD0CE5" w:rsidRDefault="002B1E26" w:rsidP="00A35800">
      <w:pPr>
        <w:rPr>
          <w:highlight w:val="yellow"/>
        </w:rPr>
      </w:pPr>
      <w:r>
        <w:rPr>
          <w:noProof/>
        </w:rPr>
        <w:lastRenderedPageBreak/>
        <w:drawing>
          <wp:inline distT="0" distB="0" distL="0" distR="0" wp14:anchorId="5ADFCEC7" wp14:editId="06F7CB64">
            <wp:extent cx="5687695" cy="3630295"/>
            <wp:effectExtent l="0" t="0" r="8255" b="8255"/>
            <wp:docPr id="3" name="Chart 3" descr="Age and gender of GLP-1 patients treated in 2023 shows that there were proportionally more female patients younger than 60 years old treated in 2023, and proportionally more male patients 60 years and older treated in 2023. The group with the most patients treated in 2023 was 60 to 64 year olds.">
              <a:extLst xmlns:a="http://schemas.openxmlformats.org/drawingml/2006/main">
                <a:ext uri="{FF2B5EF4-FFF2-40B4-BE49-F238E27FC236}">
                  <a16:creationId xmlns:a16="http://schemas.microsoft.com/office/drawing/2014/main" id="{1DFCE4DB-80F7-6345-6044-7A851AFCC2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A5386D" w14:textId="1992880E" w:rsidR="00D1628B" w:rsidRDefault="008709E2" w:rsidP="006E6AA7">
      <w:pPr>
        <w:pStyle w:val="Figuretitle"/>
      </w:pPr>
      <w:r w:rsidRPr="006E6AA7">
        <w:t xml:space="preserve">Figure </w:t>
      </w:r>
      <w:r w:rsidR="00D07437">
        <w:t>7</w:t>
      </w:r>
      <w:r w:rsidRPr="006E6AA7">
        <w:t xml:space="preserve">: </w:t>
      </w:r>
      <w:r w:rsidR="00AD4789" w:rsidRPr="006E6AA7">
        <w:t xml:space="preserve">Age and gender of </w:t>
      </w:r>
      <w:r w:rsidR="00894E37">
        <w:t xml:space="preserve">GLP-1 </w:t>
      </w:r>
      <w:r w:rsidR="00AD4789" w:rsidRPr="006E6AA7">
        <w:t>patients treated in 2023</w:t>
      </w:r>
    </w:p>
    <w:p w14:paraId="143FCF75" w14:textId="7F38AC25" w:rsidR="00E77FCF" w:rsidRDefault="0005469A" w:rsidP="0005469A">
      <w:pPr>
        <w:pStyle w:val="Notes"/>
      </w:pPr>
      <w:r>
        <w:t>Note: Using the age of the patient at the first supply in 2023</w:t>
      </w:r>
      <w:r w:rsidR="00BA5E08">
        <w:t>, for semaglutide and dulaglutide only</w:t>
      </w:r>
    </w:p>
    <w:p w14:paraId="0F7C3A88" w14:textId="2E91E72E" w:rsidR="00A81184" w:rsidRPr="006E6AA7" w:rsidRDefault="00A81184" w:rsidP="00A81184">
      <w:pPr>
        <w:pStyle w:val="Tabletitle"/>
      </w:pPr>
      <w:r>
        <w:t xml:space="preserve">Table </w:t>
      </w:r>
      <w:r w:rsidR="00E65FFE">
        <w:t>5</w:t>
      </w:r>
      <w:r>
        <w:t xml:space="preserve">: Mean and median age of </w:t>
      </w:r>
      <w:r w:rsidR="00894E37" w:rsidRPr="00894E37">
        <w:t xml:space="preserve">GLP-1 </w:t>
      </w:r>
      <w:r>
        <w:t>patients treated in 2023</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630"/>
        <w:gridCol w:w="1630"/>
        <w:gridCol w:w="1631"/>
      </w:tblGrid>
      <w:tr w:rsidR="00D1628B" w:rsidRPr="002B52E7" w14:paraId="5C81F2AA" w14:textId="77777777" w:rsidTr="00E00B9C">
        <w:trPr>
          <w:trHeight w:val="300"/>
        </w:trPr>
        <w:tc>
          <w:tcPr>
            <w:tcW w:w="1630" w:type="dxa"/>
            <w:shd w:val="clear" w:color="auto" w:fill="BFBFBF" w:themeFill="background1" w:themeFillShade="BF"/>
            <w:noWrap/>
            <w:vAlign w:val="center"/>
            <w:hideMark/>
          </w:tcPr>
          <w:p w14:paraId="47561AF1" w14:textId="5C9FB4BA" w:rsidR="00D1628B" w:rsidRPr="002B52E7" w:rsidRDefault="00E77FCF" w:rsidP="00E77FCF">
            <w:pPr>
              <w:spacing w:after="0"/>
              <w:jc w:val="center"/>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Gender</w:t>
            </w:r>
          </w:p>
        </w:tc>
        <w:tc>
          <w:tcPr>
            <w:tcW w:w="1630" w:type="dxa"/>
            <w:shd w:val="clear" w:color="auto" w:fill="BFBFBF" w:themeFill="background1" w:themeFillShade="BF"/>
            <w:noWrap/>
            <w:vAlign w:val="center"/>
            <w:hideMark/>
          </w:tcPr>
          <w:p w14:paraId="4D546C63" w14:textId="3378CCE2" w:rsidR="00D1628B" w:rsidRPr="002B52E7" w:rsidRDefault="00E77FCF" w:rsidP="00E77FCF">
            <w:pPr>
              <w:spacing w:after="0"/>
              <w:jc w:val="center"/>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Number of patients</w:t>
            </w:r>
          </w:p>
        </w:tc>
        <w:tc>
          <w:tcPr>
            <w:tcW w:w="1630" w:type="dxa"/>
            <w:shd w:val="clear" w:color="auto" w:fill="BFBFBF" w:themeFill="background1" w:themeFillShade="BF"/>
            <w:noWrap/>
            <w:vAlign w:val="center"/>
            <w:hideMark/>
          </w:tcPr>
          <w:p w14:paraId="3ACEEDD4" w14:textId="0D8B149F" w:rsidR="00D1628B" w:rsidRPr="002B52E7" w:rsidRDefault="00E77FCF" w:rsidP="00E77FCF">
            <w:pPr>
              <w:spacing w:after="0"/>
              <w:jc w:val="center"/>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Mean</w:t>
            </w:r>
          </w:p>
        </w:tc>
        <w:tc>
          <w:tcPr>
            <w:tcW w:w="1631" w:type="dxa"/>
            <w:shd w:val="clear" w:color="auto" w:fill="BFBFBF" w:themeFill="background1" w:themeFillShade="BF"/>
            <w:noWrap/>
            <w:vAlign w:val="center"/>
            <w:hideMark/>
          </w:tcPr>
          <w:p w14:paraId="2F86AC04" w14:textId="3A7D3AA0" w:rsidR="00D1628B" w:rsidRPr="002B52E7" w:rsidRDefault="00E77FCF" w:rsidP="00E77FCF">
            <w:pPr>
              <w:spacing w:after="0"/>
              <w:jc w:val="center"/>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Median</w:t>
            </w:r>
          </w:p>
        </w:tc>
      </w:tr>
      <w:tr w:rsidR="00D1628B" w:rsidRPr="002B52E7" w14:paraId="597D3B65" w14:textId="77777777" w:rsidTr="00E00B9C">
        <w:trPr>
          <w:trHeight w:val="300"/>
        </w:trPr>
        <w:tc>
          <w:tcPr>
            <w:tcW w:w="1630" w:type="dxa"/>
            <w:shd w:val="clear" w:color="auto" w:fill="auto"/>
            <w:noWrap/>
            <w:vAlign w:val="center"/>
            <w:hideMark/>
          </w:tcPr>
          <w:p w14:paraId="00473C1A" w14:textId="54C5387D" w:rsidR="00D1628B" w:rsidRPr="002B52E7" w:rsidRDefault="00D1628B" w:rsidP="00E77FCF">
            <w:pPr>
              <w:spacing w:after="0"/>
              <w:rPr>
                <w:rFonts w:ascii="Calibri" w:eastAsia="Times New Roman" w:hAnsi="Calibri" w:cs="Calibri"/>
                <w:color w:val="000000"/>
                <w:sz w:val="20"/>
                <w:szCs w:val="20"/>
              </w:rPr>
            </w:pPr>
            <w:r w:rsidRPr="002B52E7">
              <w:rPr>
                <w:rFonts w:ascii="Calibri" w:eastAsia="Times New Roman" w:hAnsi="Calibri" w:cs="Calibri"/>
                <w:color w:val="000000"/>
                <w:sz w:val="20"/>
                <w:szCs w:val="20"/>
              </w:rPr>
              <w:t>F</w:t>
            </w:r>
            <w:r w:rsidR="00E77FCF" w:rsidRPr="002B52E7">
              <w:rPr>
                <w:rFonts w:ascii="Calibri" w:eastAsia="Times New Roman" w:hAnsi="Calibri" w:cs="Calibri"/>
                <w:color w:val="000000"/>
                <w:sz w:val="20"/>
                <w:szCs w:val="20"/>
              </w:rPr>
              <w:t>emale</w:t>
            </w:r>
          </w:p>
        </w:tc>
        <w:tc>
          <w:tcPr>
            <w:tcW w:w="1630" w:type="dxa"/>
            <w:shd w:val="clear" w:color="auto" w:fill="auto"/>
            <w:noWrap/>
            <w:vAlign w:val="center"/>
            <w:hideMark/>
          </w:tcPr>
          <w:p w14:paraId="47D96AD7" w14:textId="160630A2"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164,411</w:t>
            </w:r>
          </w:p>
        </w:tc>
        <w:tc>
          <w:tcPr>
            <w:tcW w:w="1630" w:type="dxa"/>
            <w:shd w:val="clear" w:color="auto" w:fill="auto"/>
            <w:noWrap/>
            <w:vAlign w:val="center"/>
            <w:hideMark/>
          </w:tcPr>
          <w:p w14:paraId="7AE49930" w14:textId="0CFEB57A"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58.84</w:t>
            </w:r>
          </w:p>
        </w:tc>
        <w:tc>
          <w:tcPr>
            <w:tcW w:w="1631" w:type="dxa"/>
            <w:shd w:val="clear" w:color="auto" w:fill="auto"/>
            <w:noWrap/>
            <w:vAlign w:val="center"/>
            <w:hideMark/>
          </w:tcPr>
          <w:p w14:paraId="2ED5C1EC" w14:textId="77777777"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60</w:t>
            </w:r>
          </w:p>
        </w:tc>
      </w:tr>
      <w:tr w:rsidR="00D1628B" w:rsidRPr="002B52E7" w14:paraId="09316489" w14:textId="77777777" w:rsidTr="00E00B9C">
        <w:trPr>
          <w:trHeight w:val="300"/>
        </w:trPr>
        <w:tc>
          <w:tcPr>
            <w:tcW w:w="1630" w:type="dxa"/>
            <w:shd w:val="clear" w:color="auto" w:fill="auto"/>
            <w:noWrap/>
            <w:vAlign w:val="center"/>
            <w:hideMark/>
          </w:tcPr>
          <w:p w14:paraId="345C8887" w14:textId="60BCD08B" w:rsidR="00D1628B" w:rsidRPr="002B52E7" w:rsidRDefault="00D1628B" w:rsidP="00E77FCF">
            <w:pPr>
              <w:spacing w:after="0"/>
              <w:rPr>
                <w:rFonts w:ascii="Calibri" w:eastAsia="Times New Roman" w:hAnsi="Calibri" w:cs="Calibri"/>
                <w:color w:val="000000"/>
                <w:sz w:val="20"/>
                <w:szCs w:val="20"/>
              </w:rPr>
            </w:pPr>
            <w:r w:rsidRPr="002B52E7">
              <w:rPr>
                <w:rFonts w:ascii="Calibri" w:eastAsia="Times New Roman" w:hAnsi="Calibri" w:cs="Calibri"/>
                <w:color w:val="000000"/>
                <w:sz w:val="20"/>
                <w:szCs w:val="20"/>
              </w:rPr>
              <w:t>M</w:t>
            </w:r>
            <w:r w:rsidR="00E77FCF" w:rsidRPr="002B52E7">
              <w:rPr>
                <w:rFonts w:ascii="Calibri" w:eastAsia="Times New Roman" w:hAnsi="Calibri" w:cs="Calibri"/>
                <w:color w:val="000000"/>
                <w:sz w:val="20"/>
                <w:szCs w:val="20"/>
              </w:rPr>
              <w:t>ale</w:t>
            </w:r>
          </w:p>
        </w:tc>
        <w:tc>
          <w:tcPr>
            <w:tcW w:w="1630" w:type="dxa"/>
            <w:shd w:val="clear" w:color="auto" w:fill="auto"/>
            <w:noWrap/>
            <w:vAlign w:val="center"/>
            <w:hideMark/>
          </w:tcPr>
          <w:p w14:paraId="5CEE8007" w14:textId="06848528"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161,582</w:t>
            </w:r>
          </w:p>
        </w:tc>
        <w:tc>
          <w:tcPr>
            <w:tcW w:w="1630" w:type="dxa"/>
            <w:shd w:val="clear" w:color="auto" w:fill="auto"/>
            <w:noWrap/>
            <w:vAlign w:val="center"/>
            <w:hideMark/>
          </w:tcPr>
          <w:p w14:paraId="44B27657" w14:textId="2284CC29"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60.98</w:t>
            </w:r>
          </w:p>
        </w:tc>
        <w:tc>
          <w:tcPr>
            <w:tcW w:w="1631" w:type="dxa"/>
            <w:shd w:val="clear" w:color="auto" w:fill="auto"/>
            <w:noWrap/>
            <w:vAlign w:val="center"/>
            <w:hideMark/>
          </w:tcPr>
          <w:p w14:paraId="0D72D3BB" w14:textId="77777777"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62</w:t>
            </w:r>
          </w:p>
        </w:tc>
      </w:tr>
      <w:tr w:rsidR="00D1628B" w:rsidRPr="002B52E7" w14:paraId="6D008315" w14:textId="77777777" w:rsidTr="00E00B9C">
        <w:trPr>
          <w:trHeight w:val="300"/>
        </w:trPr>
        <w:tc>
          <w:tcPr>
            <w:tcW w:w="1630" w:type="dxa"/>
            <w:shd w:val="clear" w:color="auto" w:fill="auto"/>
            <w:noWrap/>
            <w:vAlign w:val="center"/>
            <w:hideMark/>
          </w:tcPr>
          <w:p w14:paraId="16E809C3" w14:textId="76CFEB74" w:rsidR="00D1628B" w:rsidRPr="002B52E7" w:rsidRDefault="00E77FCF" w:rsidP="00E77FCF">
            <w:pPr>
              <w:spacing w:after="0"/>
              <w:rPr>
                <w:rFonts w:ascii="Calibri" w:eastAsia="Times New Roman" w:hAnsi="Calibri" w:cs="Calibri"/>
                <w:color w:val="000000"/>
                <w:sz w:val="20"/>
                <w:szCs w:val="20"/>
              </w:rPr>
            </w:pPr>
            <w:r w:rsidRPr="002B52E7">
              <w:rPr>
                <w:rFonts w:ascii="Calibri" w:eastAsia="Times New Roman" w:hAnsi="Calibri" w:cs="Calibri"/>
                <w:color w:val="000000"/>
                <w:sz w:val="20"/>
                <w:szCs w:val="20"/>
              </w:rPr>
              <w:t>Overall</w:t>
            </w:r>
          </w:p>
        </w:tc>
        <w:tc>
          <w:tcPr>
            <w:tcW w:w="1630" w:type="dxa"/>
            <w:shd w:val="clear" w:color="auto" w:fill="auto"/>
            <w:noWrap/>
            <w:vAlign w:val="center"/>
            <w:hideMark/>
          </w:tcPr>
          <w:p w14:paraId="5ECB2EB1" w14:textId="24F4FBE4"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325,993</w:t>
            </w:r>
          </w:p>
        </w:tc>
        <w:tc>
          <w:tcPr>
            <w:tcW w:w="1630" w:type="dxa"/>
            <w:shd w:val="clear" w:color="auto" w:fill="auto"/>
            <w:noWrap/>
            <w:vAlign w:val="center"/>
            <w:hideMark/>
          </w:tcPr>
          <w:p w14:paraId="33CB26A0" w14:textId="5B98F545"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59.90</w:t>
            </w:r>
          </w:p>
        </w:tc>
        <w:tc>
          <w:tcPr>
            <w:tcW w:w="1631" w:type="dxa"/>
            <w:shd w:val="clear" w:color="auto" w:fill="auto"/>
            <w:noWrap/>
            <w:vAlign w:val="center"/>
            <w:hideMark/>
          </w:tcPr>
          <w:p w14:paraId="1395984D" w14:textId="77777777" w:rsidR="00D1628B" w:rsidRPr="002B52E7" w:rsidRDefault="00D1628B" w:rsidP="00E77FCF">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61</w:t>
            </w:r>
          </w:p>
        </w:tc>
      </w:tr>
    </w:tbl>
    <w:p w14:paraId="4D45DB10" w14:textId="77777777" w:rsidR="00D1628B" w:rsidRDefault="00D1628B" w:rsidP="00A35800">
      <w:pPr>
        <w:rPr>
          <w:highlight w:val="yellow"/>
        </w:rPr>
      </w:pPr>
    </w:p>
    <w:p w14:paraId="24C1CEC6" w14:textId="42C392D1" w:rsidR="00AD585B" w:rsidRDefault="00AD585B" w:rsidP="00A35800">
      <w:pPr>
        <w:rPr>
          <w:highlight w:val="yellow"/>
        </w:rPr>
      </w:pPr>
      <w:r w:rsidRPr="004A66C8">
        <w:t xml:space="preserve">Figure </w:t>
      </w:r>
      <w:r w:rsidR="001E6851">
        <w:t>7</w:t>
      </w:r>
      <w:r w:rsidRPr="004A66C8">
        <w:t xml:space="preserve"> suggests th</w:t>
      </w:r>
      <w:r w:rsidR="000F33DC" w:rsidRPr="004A66C8">
        <w:t xml:space="preserve">at </w:t>
      </w:r>
      <w:r w:rsidR="0071486D" w:rsidRPr="004A66C8">
        <w:t xml:space="preserve">there were proportionally more female </w:t>
      </w:r>
      <w:r w:rsidR="000F33DC" w:rsidRPr="004A66C8">
        <w:t xml:space="preserve">patients </w:t>
      </w:r>
      <w:r w:rsidR="006E40F6" w:rsidRPr="004A66C8">
        <w:t>younger than 60 years old</w:t>
      </w:r>
      <w:r w:rsidR="0071486D" w:rsidRPr="004A66C8">
        <w:t xml:space="preserve"> treated in 2023</w:t>
      </w:r>
      <w:r w:rsidR="006E40F6" w:rsidRPr="004A66C8">
        <w:t xml:space="preserve">, and </w:t>
      </w:r>
      <w:r w:rsidR="006E40F6" w:rsidRPr="00174052">
        <w:t>proportionally more male patien</w:t>
      </w:r>
      <w:r w:rsidR="000E2912" w:rsidRPr="00174052">
        <w:t xml:space="preserve">ts </w:t>
      </w:r>
      <w:r w:rsidR="006E40F6" w:rsidRPr="00174052">
        <w:t xml:space="preserve">60 years </w:t>
      </w:r>
      <w:r w:rsidR="000E2912" w:rsidRPr="00174052">
        <w:t xml:space="preserve">and </w:t>
      </w:r>
      <w:r w:rsidR="006E40F6" w:rsidRPr="00174052">
        <w:t>old</w:t>
      </w:r>
      <w:r w:rsidR="000E2912" w:rsidRPr="00174052">
        <w:t>er</w:t>
      </w:r>
      <w:r w:rsidR="006E40F6" w:rsidRPr="00174052">
        <w:t xml:space="preserve"> treated in 2023</w:t>
      </w:r>
      <w:r w:rsidR="000E2912" w:rsidRPr="00174052">
        <w:t>. The mean and median</w:t>
      </w:r>
      <w:r w:rsidR="000E2912">
        <w:t xml:space="preserve"> ages of patients treated in 2023 confirms that </w:t>
      </w:r>
      <w:r w:rsidR="00174052">
        <w:t>the mean and median of female patients was approximately two years younger than those of male patients.</w:t>
      </w:r>
      <w:r w:rsidR="006E40F6">
        <w:t xml:space="preserve"> </w:t>
      </w:r>
    </w:p>
    <w:p w14:paraId="5BD1053D" w14:textId="7808C876" w:rsidR="00E21872" w:rsidRDefault="003B37DF" w:rsidP="00A35800">
      <w:pPr>
        <w:rPr>
          <w:highlight w:val="yellow"/>
        </w:rPr>
      </w:pPr>
      <w:r>
        <w:rPr>
          <w:noProof/>
        </w:rPr>
        <w:lastRenderedPageBreak/>
        <w:drawing>
          <wp:inline distT="0" distB="0" distL="0" distR="0" wp14:anchorId="03FF4C82" wp14:editId="194C021C">
            <wp:extent cx="5687695" cy="3868420"/>
            <wp:effectExtent l="0" t="0" r="8255" b="17780"/>
            <wp:docPr id="8" name="Chart 8" descr="Age at initiation to semaglutide or dulaglutide by year of initiation shows there may be more younger patients initiating these medicines as the mean age decreased in every year except 2021">
              <a:extLst xmlns:a="http://schemas.openxmlformats.org/drawingml/2006/main">
                <a:ext uri="{FF2B5EF4-FFF2-40B4-BE49-F238E27FC236}">
                  <a16:creationId xmlns:a16="http://schemas.microsoft.com/office/drawing/2014/main" id="{29883033-3C5E-543F-1322-693C1834D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BE8829" w14:textId="4A634338" w:rsidR="003B37DF" w:rsidRPr="00F34952" w:rsidRDefault="003B37DF" w:rsidP="003B37DF">
      <w:pPr>
        <w:pStyle w:val="Figuretitle"/>
      </w:pPr>
      <w:r w:rsidRPr="00F34952">
        <w:t xml:space="preserve">Figure </w:t>
      </w:r>
      <w:r w:rsidR="00D07437">
        <w:t>8</w:t>
      </w:r>
      <w:r w:rsidRPr="00F34952">
        <w:t xml:space="preserve">: Age at initiation </w:t>
      </w:r>
      <w:r w:rsidR="000C26FC">
        <w:t xml:space="preserve">to </w:t>
      </w:r>
      <w:r w:rsidR="00067852" w:rsidRPr="00067852">
        <w:t xml:space="preserve">semaglutide </w:t>
      </w:r>
      <w:r w:rsidR="00067852">
        <w:t>or</w:t>
      </w:r>
      <w:r w:rsidR="00067852" w:rsidRPr="00067852">
        <w:t xml:space="preserve"> dulaglutide </w:t>
      </w:r>
      <w:r w:rsidRPr="00F34952">
        <w:t xml:space="preserve">by </w:t>
      </w:r>
      <w:r w:rsidR="00AA57FA" w:rsidRPr="00F34952">
        <w:t xml:space="preserve">year of </w:t>
      </w:r>
      <w:r w:rsidRPr="00F34952">
        <w:t>initiation</w:t>
      </w:r>
    </w:p>
    <w:p w14:paraId="32D1DA30" w14:textId="5AC30675" w:rsidR="003B37DF" w:rsidRPr="005F0B89" w:rsidRDefault="003B37DF" w:rsidP="005F0B89">
      <w:pPr>
        <w:pStyle w:val="Notes"/>
      </w:pPr>
    </w:p>
    <w:p w14:paraId="440A1CF2" w14:textId="2FDBE3A0" w:rsidR="0091571E" w:rsidRDefault="0091571E" w:rsidP="003B37DF">
      <w:pPr>
        <w:pStyle w:val="Figuretitle"/>
        <w:rPr>
          <w:highlight w:val="yellow"/>
        </w:rPr>
      </w:pPr>
      <w:r w:rsidRPr="0091571E">
        <w:t xml:space="preserve">Table </w:t>
      </w:r>
      <w:r w:rsidR="00E65FFE">
        <w:t>6</w:t>
      </w:r>
      <w:r w:rsidRPr="0091571E">
        <w:t xml:space="preserve">: Mean and median age of </w:t>
      </w:r>
      <w:r w:rsidR="00C27C12" w:rsidRPr="00C27C12">
        <w:t>semaglutide and dulaglutide</w:t>
      </w:r>
      <w:r w:rsidR="00C27C12" w:rsidRPr="00C27C12" w:rsidDel="00C27C12">
        <w:t xml:space="preserve"> </w:t>
      </w:r>
      <w:r w:rsidRPr="0091571E">
        <w:t xml:space="preserve">patients </w:t>
      </w:r>
      <w:r>
        <w:t xml:space="preserve">at initiation by </w:t>
      </w:r>
      <w:r w:rsidR="00AA57FA">
        <w:t xml:space="preserve">year of </w:t>
      </w:r>
      <w:r>
        <w:t xml:space="preserve">initiation </w:t>
      </w:r>
    </w:p>
    <w:tbl>
      <w:tblPr>
        <w:tblW w:w="3840" w:type="dxa"/>
        <w:tblInd w:w="113" w:type="dxa"/>
        <w:tblLook w:val="04A0" w:firstRow="1" w:lastRow="0" w:firstColumn="1" w:lastColumn="0" w:noHBand="0" w:noVBand="1"/>
      </w:tblPr>
      <w:tblGrid>
        <w:gridCol w:w="960"/>
        <w:gridCol w:w="960"/>
        <w:gridCol w:w="960"/>
        <w:gridCol w:w="960"/>
      </w:tblGrid>
      <w:tr w:rsidR="0091571E" w:rsidRPr="0091571E" w14:paraId="5601E4AB" w14:textId="77777777" w:rsidTr="0074572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C2127B0" w14:textId="77777777" w:rsidR="0091571E" w:rsidRPr="0091571E" w:rsidRDefault="0091571E" w:rsidP="0091571E">
            <w:pPr>
              <w:spacing w:after="0"/>
              <w:rPr>
                <w:rFonts w:ascii="Calibri" w:eastAsia="Times New Roman" w:hAnsi="Calibri" w:cs="Calibri"/>
                <w:b/>
                <w:bCs/>
                <w:color w:val="000000"/>
                <w:sz w:val="20"/>
                <w:szCs w:val="20"/>
              </w:rPr>
            </w:pPr>
            <w:r w:rsidRPr="0091571E">
              <w:rPr>
                <w:rFonts w:ascii="Calibri" w:eastAsia="Times New Roman" w:hAnsi="Calibri" w:cs="Calibri"/>
                <w:b/>
                <w:bCs/>
                <w:color w:val="000000"/>
                <w:sz w:val="20"/>
                <w:szCs w:val="20"/>
              </w:rPr>
              <w:t>Year</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EFC902A" w14:textId="77777777" w:rsidR="0091571E" w:rsidRPr="0091571E" w:rsidRDefault="0091571E" w:rsidP="0091571E">
            <w:pPr>
              <w:spacing w:after="0"/>
              <w:rPr>
                <w:rFonts w:ascii="Calibri" w:eastAsia="Times New Roman" w:hAnsi="Calibri" w:cs="Calibri"/>
                <w:b/>
                <w:bCs/>
                <w:color w:val="000000"/>
                <w:sz w:val="20"/>
                <w:szCs w:val="20"/>
              </w:rPr>
            </w:pPr>
            <w:r w:rsidRPr="0091571E">
              <w:rPr>
                <w:rFonts w:ascii="Calibri" w:eastAsia="Times New Roman" w:hAnsi="Calibri" w:cs="Calibri"/>
                <w:b/>
                <w:bCs/>
                <w:color w:val="000000"/>
                <w:sz w:val="20"/>
                <w:szCs w:val="20"/>
              </w:rPr>
              <w:t>Number of patients</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A334D3C" w14:textId="77777777" w:rsidR="0091571E" w:rsidRPr="0091571E" w:rsidRDefault="0091571E" w:rsidP="0091571E">
            <w:pPr>
              <w:spacing w:after="0"/>
              <w:rPr>
                <w:rFonts w:ascii="Calibri" w:eastAsia="Times New Roman" w:hAnsi="Calibri" w:cs="Calibri"/>
                <w:b/>
                <w:bCs/>
                <w:color w:val="000000"/>
                <w:sz w:val="20"/>
                <w:szCs w:val="20"/>
              </w:rPr>
            </w:pPr>
            <w:r w:rsidRPr="0091571E">
              <w:rPr>
                <w:rFonts w:ascii="Calibri" w:eastAsia="Times New Roman" w:hAnsi="Calibri" w:cs="Calibri"/>
                <w:b/>
                <w:bCs/>
                <w:color w:val="000000"/>
                <w:sz w:val="20"/>
                <w:szCs w:val="20"/>
              </w:rPr>
              <w:t>Mean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26D68D" w14:textId="77777777" w:rsidR="0091571E" w:rsidRPr="0091571E" w:rsidRDefault="0091571E" w:rsidP="0091571E">
            <w:pPr>
              <w:spacing w:after="0"/>
              <w:rPr>
                <w:rFonts w:ascii="Calibri" w:eastAsia="Times New Roman" w:hAnsi="Calibri" w:cs="Calibri"/>
                <w:b/>
                <w:bCs/>
                <w:color w:val="000000"/>
                <w:sz w:val="20"/>
                <w:szCs w:val="20"/>
              </w:rPr>
            </w:pPr>
            <w:r w:rsidRPr="0091571E">
              <w:rPr>
                <w:rFonts w:ascii="Calibri" w:eastAsia="Times New Roman" w:hAnsi="Calibri" w:cs="Calibri"/>
                <w:b/>
                <w:bCs/>
                <w:color w:val="000000"/>
                <w:sz w:val="20"/>
                <w:szCs w:val="20"/>
              </w:rPr>
              <w:t>Median</w:t>
            </w:r>
          </w:p>
        </w:tc>
      </w:tr>
      <w:tr w:rsidR="0091571E" w:rsidRPr="0091571E" w14:paraId="38D8FBBC" w14:textId="77777777" w:rsidTr="0091571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AE614B"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39D746AC" w14:textId="5CE4E1E1"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14</w:t>
            </w:r>
            <w:r w:rsidR="003C17B6">
              <w:rPr>
                <w:rFonts w:ascii="Calibri" w:eastAsia="Times New Roman" w:hAnsi="Calibri" w:cs="Calibri"/>
                <w:color w:val="000000"/>
                <w:sz w:val="20"/>
                <w:szCs w:val="20"/>
              </w:rPr>
              <w:t>,</w:t>
            </w:r>
            <w:r w:rsidRPr="0091571E">
              <w:rPr>
                <w:rFonts w:ascii="Calibri" w:eastAsia="Times New Roman" w:hAnsi="Calibri" w:cs="Calibri"/>
                <w:color w:val="000000"/>
                <w:sz w:val="20"/>
                <w:szCs w:val="20"/>
              </w:rPr>
              <w:t>199</w:t>
            </w:r>
          </w:p>
        </w:tc>
        <w:tc>
          <w:tcPr>
            <w:tcW w:w="960" w:type="dxa"/>
            <w:tcBorders>
              <w:top w:val="nil"/>
              <w:left w:val="nil"/>
              <w:bottom w:val="single" w:sz="4" w:space="0" w:color="auto"/>
              <w:right w:val="single" w:sz="4" w:space="0" w:color="auto"/>
            </w:tcBorders>
            <w:shd w:val="clear" w:color="auto" w:fill="auto"/>
            <w:noWrap/>
            <w:vAlign w:val="bottom"/>
            <w:hideMark/>
          </w:tcPr>
          <w:p w14:paraId="12BF18D1"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59.95</w:t>
            </w:r>
          </w:p>
        </w:tc>
        <w:tc>
          <w:tcPr>
            <w:tcW w:w="960" w:type="dxa"/>
            <w:tcBorders>
              <w:top w:val="nil"/>
              <w:left w:val="nil"/>
              <w:bottom w:val="single" w:sz="4" w:space="0" w:color="auto"/>
              <w:right w:val="single" w:sz="4" w:space="0" w:color="auto"/>
            </w:tcBorders>
            <w:shd w:val="clear" w:color="auto" w:fill="auto"/>
            <w:noWrap/>
            <w:vAlign w:val="bottom"/>
            <w:hideMark/>
          </w:tcPr>
          <w:p w14:paraId="4827C5B8"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61</w:t>
            </w:r>
          </w:p>
        </w:tc>
      </w:tr>
      <w:tr w:rsidR="0091571E" w:rsidRPr="0091571E" w14:paraId="4860F27D" w14:textId="77777777" w:rsidTr="0091571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3E379B"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28E82D1F" w14:textId="1B9BA556"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27</w:t>
            </w:r>
            <w:r w:rsidR="003C17B6">
              <w:rPr>
                <w:rFonts w:ascii="Calibri" w:eastAsia="Times New Roman" w:hAnsi="Calibri" w:cs="Calibri"/>
                <w:color w:val="000000"/>
                <w:sz w:val="20"/>
                <w:szCs w:val="20"/>
              </w:rPr>
              <w:t>,</w:t>
            </w:r>
            <w:r w:rsidRPr="0091571E">
              <w:rPr>
                <w:rFonts w:ascii="Calibri" w:eastAsia="Times New Roman" w:hAnsi="Calibri" w:cs="Calibri"/>
                <w:color w:val="000000"/>
                <w:sz w:val="20"/>
                <w:szCs w:val="20"/>
              </w:rPr>
              <w:t>809</w:t>
            </w:r>
          </w:p>
        </w:tc>
        <w:tc>
          <w:tcPr>
            <w:tcW w:w="960" w:type="dxa"/>
            <w:tcBorders>
              <w:top w:val="nil"/>
              <w:left w:val="nil"/>
              <w:bottom w:val="single" w:sz="4" w:space="0" w:color="auto"/>
              <w:right w:val="single" w:sz="4" w:space="0" w:color="auto"/>
            </w:tcBorders>
            <w:shd w:val="clear" w:color="auto" w:fill="auto"/>
            <w:noWrap/>
            <w:vAlign w:val="bottom"/>
            <w:hideMark/>
          </w:tcPr>
          <w:p w14:paraId="6E17C2D2"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59.66</w:t>
            </w:r>
          </w:p>
        </w:tc>
        <w:tc>
          <w:tcPr>
            <w:tcW w:w="960" w:type="dxa"/>
            <w:tcBorders>
              <w:top w:val="nil"/>
              <w:left w:val="nil"/>
              <w:bottom w:val="single" w:sz="4" w:space="0" w:color="auto"/>
              <w:right w:val="single" w:sz="4" w:space="0" w:color="auto"/>
            </w:tcBorders>
            <w:shd w:val="clear" w:color="auto" w:fill="auto"/>
            <w:noWrap/>
            <w:vAlign w:val="bottom"/>
            <w:hideMark/>
          </w:tcPr>
          <w:p w14:paraId="2099D3D9"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61</w:t>
            </w:r>
          </w:p>
        </w:tc>
      </w:tr>
      <w:tr w:rsidR="0091571E" w:rsidRPr="0091571E" w14:paraId="3FFD9D44" w14:textId="77777777" w:rsidTr="0091571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438A43"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2020</w:t>
            </w:r>
          </w:p>
        </w:tc>
        <w:tc>
          <w:tcPr>
            <w:tcW w:w="960" w:type="dxa"/>
            <w:tcBorders>
              <w:top w:val="nil"/>
              <w:left w:val="nil"/>
              <w:bottom w:val="single" w:sz="4" w:space="0" w:color="auto"/>
              <w:right w:val="single" w:sz="4" w:space="0" w:color="auto"/>
            </w:tcBorders>
            <w:shd w:val="clear" w:color="auto" w:fill="auto"/>
            <w:noWrap/>
            <w:vAlign w:val="bottom"/>
            <w:hideMark/>
          </w:tcPr>
          <w:p w14:paraId="1C1C18EA" w14:textId="28F45143"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37</w:t>
            </w:r>
            <w:r w:rsidR="003C17B6">
              <w:rPr>
                <w:rFonts w:ascii="Calibri" w:eastAsia="Times New Roman" w:hAnsi="Calibri" w:cs="Calibri"/>
                <w:color w:val="000000"/>
                <w:sz w:val="20"/>
                <w:szCs w:val="20"/>
              </w:rPr>
              <w:t>,</w:t>
            </w:r>
            <w:r w:rsidRPr="0091571E">
              <w:rPr>
                <w:rFonts w:ascii="Calibri" w:eastAsia="Times New Roman" w:hAnsi="Calibri" w:cs="Calibri"/>
                <w:color w:val="000000"/>
                <w:sz w:val="20"/>
                <w:szCs w:val="20"/>
              </w:rPr>
              <w:t>652</w:t>
            </w:r>
          </w:p>
        </w:tc>
        <w:tc>
          <w:tcPr>
            <w:tcW w:w="960" w:type="dxa"/>
            <w:tcBorders>
              <w:top w:val="nil"/>
              <w:left w:val="nil"/>
              <w:bottom w:val="single" w:sz="4" w:space="0" w:color="auto"/>
              <w:right w:val="single" w:sz="4" w:space="0" w:color="auto"/>
            </w:tcBorders>
            <w:shd w:val="clear" w:color="auto" w:fill="auto"/>
            <w:noWrap/>
            <w:vAlign w:val="bottom"/>
            <w:hideMark/>
          </w:tcPr>
          <w:p w14:paraId="7CF4840C"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59.56</w:t>
            </w:r>
          </w:p>
        </w:tc>
        <w:tc>
          <w:tcPr>
            <w:tcW w:w="960" w:type="dxa"/>
            <w:tcBorders>
              <w:top w:val="nil"/>
              <w:left w:val="nil"/>
              <w:bottom w:val="single" w:sz="4" w:space="0" w:color="auto"/>
              <w:right w:val="single" w:sz="4" w:space="0" w:color="auto"/>
            </w:tcBorders>
            <w:shd w:val="clear" w:color="auto" w:fill="auto"/>
            <w:noWrap/>
            <w:vAlign w:val="bottom"/>
            <w:hideMark/>
          </w:tcPr>
          <w:p w14:paraId="4B7AC5A8"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61</w:t>
            </w:r>
          </w:p>
        </w:tc>
      </w:tr>
      <w:tr w:rsidR="0091571E" w:rsidRPr="0091571E" w14:paraId="7A476D7A" w14:textId="77777777" w:rsidTr="0091571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870E5E"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2021</w:t>
            </w:r>
          </w:p>
        </w:tc>
        <w:tc>
          <w:tcPr>
            <w:tcW w:w="960" w:type="dxa"/>
            <w:tcBorders>
              <w:top w:val="nil"/>
              <w:left w:val="nil"/>
              <w:bottom w:val="single" w:sz="4" w:space="0" w:color="auto"/>
              <w:right w:val="single" w:sz="4" w:space="0" w:color="auto"/>
            </w:tcBorders>
            <w:shd w:val="clear" w:color="auto" w:fill="auto"/>
            <w:noWrap/>
            <w:vAlign w:val="bottom"/>
            <w:hideMark/>
          </w:tcPr>
          <w:p w14:paraId="7B3F3617" w14:textId="62A12FBB"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98</w:t>
            </w:r>
            <w:r w:rsidR="003C17B6">
              <w:rPr>
                <w:rFonts w:ascii="Calibri" w:eastAsia="Times New Roman" w:hAnsi="Calibri" w:cs="Calibri"/>
                <w:color w:val="000000"/>
                <w:sz w:val="20"/>
                <w:szCs w:val="20"/>
              </w:rPr>
              <w:t>,</w:t>
            </w:r>
            <w:r w:rsidRPr="0091571E">
              <w:rPr>
                <w:rFonts w:ascii="Calibri" w:eastAsia="Times New Roman" w:hAnsi="Calibri" w:cs="Calibri"/>
                <w:color w:val="000000"/>
                <w:sz w:val="20"/>
                <w:szCs w:val="20"/>
              </w:rPr>
              <w:t>813</w:t>
            </w:r>
          </w:p>
        </w:tc>
        <w:tc>
          <w:tcPr>
            <w:tcW w:w="960" w:type="dxa"/>
            <w:tcBorders>
              <w:top w:val="nil"/>
              <w:left w:val="nil"/>
              <w:bottom w:val="single" w:sz="4" w:space="0" w:color="auto"/>
              <w:right w:val="single" w:sz="4" w:space="0" w:color="auto"/>
            </w:tcBorders>
            <w:shd w:val="clear" w:color="auto" w:fill="auto"/>
            <w:noWrap/>
            <w:vAlign w:val="bottom"/>
            <w:hideMark/>
          </w:tcPr>
          <w:p w14:paraId="430AF9A1"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59.82</w:t>
            </w:r>
          </w:p>
        </w:tc>
        <w:tc>
          <w:tcPr>
            <w:tcW w:w="960" w:type="dxa"/>
            <w:tcBorders>
              <w:top w:val="nil"/>
              <w:left w:val="nil"/>
              <w:bottom w:val="single" w:sz="4" w:space="0" w:color="auto"/>
              <w:right w:val="single" w:sz="4" w:space="0" w:color="auto"/>
            </w:tcBorders>
            <w:shd w:val="clear" w:color="auto" w:fill="auto"/>
            <w:noWrap/>
            <w:vAlign w:val="bottom"/>
            <w:hideMark/>
          </w:tcPr>
          <w:p w14:paraId="17177746"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61</w:t>
            </w:r>
          </w:p>
        </w:tc>
      </w:tr>
      <w:tr w:rsidR="0091571E" w:rsidRPr="0091571E" w14:paraId="38190806" w14:textId="77777777" w:rsidTr="0091571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3FD23D"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2022</w:t>
            </w:r>
          </w:p>
        </w:tc>
        <w:tc>
          <w:tcPr>
            <w:tcW w:w="960" w:type="dxa"/>
            <w:tcBorders>
              <w:top w:val="nil"/>
              <w:left w:val="nil"/>
              <w:bottom w:val="single" w:sz="4" w:space="0" w:color="auto"/>
              <w:right w:val="single" w:sz="4" w:space="0" w:color="auto"/>
            </w:tcBorders>
            <w:shd w:val="clear" w:color="auto" w:fill="auto"/>
            <w:noWrap/>
            <w:vAlign w:val="bottom"/>
            <w:hideMark/>
          </w:tcPr>
          <w:p w14:paraId="28713DD0" w14:textId="55B3A608"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103</w:t>
            </w:r>
            <w:r w:rsidR="003C17B6">
              <w:rPr>
                <w:rFonts w:ascii="Calibri" w:eastAsia="Times New Roman" w:hAnsi="Calibri" w:cs="Calibri"/>
                <w:color w:val="000000"/>
                <w:sz w:val="20"/>
                <w:szCs w:val="20"/>
              </w:rPr>
              <w:t>,</w:t>
            </w:r>
            <w:r w:rsidRPr="0091571E">
              <w:rPr>
                <w:rFonts w:ascii="Calibri" w:eastAsia="Times New Roman" w:hAnsi="Calibri" w:cs="Calibri"/>
                <w:color w:val="000000"/>
                <w:sz w:val="20"/>
                <w:szCs w:val="20"/>
              </w:rPr>
              <w:t>633</w:t>
            </w:r>
          </w:p>
        </w:tc>
        <w:tc>
          <w:tcPr>
            <w:tcW w:w="960" w:type="dxa"/>
            <w:tcBorders>
              <w:top w:val="nil"/>
              <w:left w:val="nil"/>
              <w:bottom w:val="single" w:sz="4" w:space="0" w:color="auto"/>
              <w:right w:val="single" w:sz="4" w:space="0" w:color="auto"/>
            </w:tcBorders>
            <w:shd w:val="clear" w:color="auto" w:fill="auto"/>
            <w:noWrap/>
            <w:vAlign w:val="bottom"/>
            <w:hideMark/>
          </w:tcPr>
          <w:p w14:paraId="1B5D0B43"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58.29</w:t>
            </w:r>
          </w:p>
        </w:tc>
        <w:tc>
          <w:tcPr>
            <w:tcW w:w="960" w:type="dxa"/>
            <w:tcBorders>
              <w:top w:val="nil"/>
              <w:left w:val="nil"/>
              <w:bottom w:val="single" w:sz="4" w:space="0" w:color="auto"/>
              <w:right w:val="single" w:sz="4" w:space="0" w:color="auto"/>
            </w:tcBorders>
            <w:shd w:val="clear" w:color="auto" w:fill="auto"/>
            <w:noWrap/>
            <w:vAlign w:val="bottom"/>
            <w:hideMark/>
          </w:tcPr>
          <w:p w14:paraId="5B85D3BE"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59</w:t>
            </w:r>
          </w:p>
        </w:tc>
      </w:tr>
      <w:tr w:rsidR="0091571E" w:rsidRPr="0091571E" w14:paraId="08B1D7CB" w14:textId="77777777" w:rsidTr="0091571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55AC84"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2023</w:t>
            </w:r>
          </w:p>
        </w:tc>
        <w:tc>
          <w:tcPr>
            <w:tcW w:w="960" w:type="dxa"/>
            <w:tcBorders>
              <w:top w:val="nil"/>
              <w:left w:val="nil"/>
              <w:bottom w:val="single" w:sz="4" w:space="0" w:color="auto"/>
              <w:right w:val="single" w:sz="4" w:space="0" w:color="auto"/>
            </w:tcBorders>
            <w:shd w:val="clear" w:color="auto" w:fill="auto"/>
            <w:noWrap/>
            <w:vAlign w:val="bottom"/>
            <w:hideMark/>
          </w:tcPr>
          <w:p w14:paraId="78C811BA" w14:textId="06330DC4"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120</w:t>
            </w:r>
            <w:r w:rsidR="003C17B6">
              <w:rPr>
                <w:rFonts w:ascii="Calibri" w:eastAsia="Times New Roman" w:hAnsi="Calibri" w:cs="Calibri"/>
                <w:color w:val="000000"/>
                <w:sz w:val="20"/>
                <w:szCs w:val="20"/>
              </w:rPr>
              <w:t>,</w:t>
            </w:r>
            <w:r w:rsidRPr="0091571E">
              <w:rPr>
                <w:rFonts w:ascii="Calibri" w:eastAsia="Times New Roman" w:hAnsi="Calibri" w:cs="Calibri"/>
                <w:color w:val="000000"/>
                <w:sz w:val="20"/>
                <w:szCs w:val="20"/>
              </w:rPr>
              <w:t>374</w:t>
            </w:r>
          </w:p>
        </w:tc>
        <w:tc>
          <w:tcPr>
            <w:tcW w:w="960" w:type="dxa"/>
            <w:tcBorders>
              <w:top w:val="nil"/>
              <w:left w:val="nil"/>
              <w:bottom w:val="single" w:sz="4" w:space="0" w:color="auto"/>
              <w:right w:val="single" w:sz="4" w:space="0" w:color="auto"/>
            </w:tcBorders>
            <w:shd w:val="clear" w:color="auto" w:fill="auto"/>
            <w:noWrap/>
            <w:vAlign w:val="bottom"/>
            <w:hideMark/>
          </w:tcPr>
          <w:p w14:paraId="2E5CFB3E"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57.91</w:t>
            </w:r>
          </w:p>
        </w:tc>
        <w:tc>
          <w:tcPr>
            <w:tcW w:w="960" w:type="dxa"/>
            <w:tcBorders>
              <w:top w:val="nil"/>
              <w:left w:val="nil"/>
              <w:bottom w:val="single" w:sz="4" w:space="0" w:color="auto"/>
              <w:right w:val="single" w:sz="4" w:space="0" w:color="auto"/>
            </w:tcBorders>
            <w:shd w:val="clear" w:color="auto" w:fill="auto"/>
            <w:noWrap/>
            <w:vAlign w:val="bottom"/>
            <w:hideMark/>
          </w:tcPr>
          <w:p w14:paraId="401F37F0" w14:textId="77777777" w:rsidR="0091571E" w:rsidRPr="0091571E" w:rsidRDefault="0091571E" w:rsidP="0091571E">
            <w:pPr>
              <w:spacing w:after="0"/>
              <w:jc w:val="right"/>
              <w:rPr>
                <w:rFonts w:ascii="Calibri" w:eastAsia="Times New Roman" w:hAnsi="Calibri" w:cs="Calibri"/>
                <w:color w:val="000000"/>
                <w:sz w:val="20"/>
                <w:szCs w:val="20"/>
              </w:rPr>
            </w:pPr>
            <w:r w:rsidRPr="0091571E">
              <w:rPr>
                <w:rFonts w:ascii="Calibri" w:eastAsia="Times New Roman" w:hAnsi="Calibri" w:cs="Calibri"/>
                <w:color w:val="000000"/>
                <w:sz w:val="20"/>
                <w:szCs w:val="20"/>
              </w:rPr>
              <w:t>59</w:t>
            </w:r>
          </w:p>
        </w:tc>
      </w:tr>
    </w:tbl>
    <w:p w14:paraId="66C2F26F" w14:textId="77777777" w:rsidR="003B37DF" w:rsidRDefault="003B37DF" w:rsidP="005F0B89">
      <w:pPr>
        <w:rPr>
          <w:highlight w:val="yellow"/>
        </w:rPr>
      </w:pPr>
    </w:p>
    <w:p w14:paraId="5D083F28" w14:textId="57E76618" w:rsidR="00BA0C35" w:rsidRPr="005F0B89" w:rsidRDefault="00BA0C35" w:rsidP="005F0B89">
      <w:r w:rsidRPr="005F0B89">
        <w:t xml:space="preserve">Figure </w:t>
      </w:r>
      <w:r w:rsidR="001E6851">
        <w:t>8</w:t>
      </w:r>
      <w:r w:rsidRPr="005F0B89">
        <w:t xml:space="preserve"> and Table </w:t>
      </w:r>
      <w:r w:rsidR="001E6851">
        <w:t>6</w:t>
      </w:r>
      <w:r w:rsidRPr="005F0B89">
        <w:t xml:space="preserve"> </w:t>
      </w:r>
      <w:r w:rsidR="006236A1" w:rsidRPr="005F0B89">
        <w:t xml:space="preserve">show the age of patients at initiation to </w:t>
      </w:r>
      <w:r w:rsidR="006236A1" w:rsidRPr="006236A1">
        <w:t>semaglutide and dulaglutide</w:t>
      </w:r>
      <w:r w:rsidR="00B556DB">
        <w:t>. It appear</w:t>
      </w:r>
      <w:r w:rsidR="004F16A0">
        <w:t>ed</w:t>
      </w:r>
      <w:r w:rsidR="00A44850">
        <w:t xml:space="preserve"> there may be more younger patients initiating these medicines</w:t>
      </w:r>
      <w:r w:rsidR="002C57A1">
        <w:t xml:space="preserve"> as the mean age </w:t>
      </w:r>
      <w:r w:rsidR="009D00EB">
        <w:t>decreased in every year</w:t>
      </w:r>
      <w:r w:rsidR="002C57A1">
        <w:t xml:space="preserve"> except 2021. </w:t>
      </w:r>
      <w:r w:rsidR="00821EE5">
        <w:t xml:space="preserve">The </w:t>
      </w:r>
      <w:r w:rsidR="002446CF">
        <w:t>percentage</w:t>
      </w:r>
      <w:r w:rsidR="00077E2B">
        <w:t xml:space="preserve"> of patients in the </w:t>
      </w:r>
      <w:r w:rsidR="00821EE5">
        <w:t xml:space="preserve">20-39 year </w:t>
      </w:r>
      <w:r w:rsidR="002446CF">
        <w:t xml:space="preserve">old </w:t>
      </w:r>
      <w:r w:rsidR="00821EE5">
        <w:t>group</w:t>
      </w:r>
      <w:r w:rsidR="002446CF">
        <w:t xml:space="preserve"> has almost doubled from 2018, with 5.8% of patients aged 20-39 years old in 2018 and </w:t>
      </w:r>
      <w:r w:rsidR="007E650C">
        <w:t xml:space="preserve">9.8% </w:t>
      </w:r>
      <w:r w:rsidR="007E650C" w:rsidRPr="007E650C">
        <w:t>of patients aged 20-39 years old in</w:t>
      </w:r>
      <w:r w:rsidR="007E650C">
        <w:t xml:space="preserve"> 2023.</w:t>
      </w:r>
    </w:p>
    <w:p w14:paraId="4C11B75E" w14:textId="77777777" w:rsidR="002B1D35" w:rsidRDefault="002B1D35" w:rsidP="00B47BE4"/>
    <w:p w14:paraId="1F766EFA" w14:textId="6DAA409E" w:rsidR="004B2118" w:rsidRDefault="004B2118" w:rsidP="00B47BE4">
      <w:r>
        <w:rPr>
          <w:noProof/>
        </w:rPr>
        <w:lastRenderedPageBreak/>
        <w:drawing>
          <wp:inline distT="0" distB="0" distL="0" distR="0" wp14:anchorId="377DE343" wp14:editId="1AD8A96A">
            <wp:extent cx="5687695" cy="3569335"/>
            <wp:effectExtent l="0" t="0" r="8255" b="12065"/>
            <wp:docPr id="9" name="Chart 9" descr="Prescriber type for initiating prescriptions of semaglutide and dulaglutide over time shows that GP prescribing of semaglutide and dulaglutide to initiating patients has increased and prescribing by specialists has decreased">
              <a:extLst xmlns:a="http://schemas.openxmlformats.org/drawingml/2006/main">
                <a:ext uri="{FF2B5EF4-FFF2-40B4-BE49-F238E27FC236}">
                  <a16:creationId xmlns:a16="http://schemas.microsoft.com/office/drawing/2014/main" id="{CEDB34F4-C22F-0827-2304-55D7985E3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BA15043" w14:textId="1E0D7F18" w:rsidR="002B1D35" w:rsidRDefault="00CF5155" w:rsidP="00CF5155">
      <w:pPr>
        <w:pStyle w:val="Figuretitle"/>
      </w:pPr>
      <w:r>
        <w:t xml:space="preserve">Figure </w:t>
      </w:r>
      <w:r w:rsidR="00D07437">
        <w:t>9</w:t>
      </w:r>
      <w:r>
        <w:t xml:space="preserve">: </w:t>
      </w:r>
      <w:r w:rsidR="002B1D35">
        <w:t>Prescriber type</w:t>
      </w:r>
      <w:r>
        <w:t xml:space="preserve"> for initiating prescriptions </w:t>
      </w:r>
      <w:r w:rsidR="00D37CA2">
        <w:t xml:space="preserve">of semaglutide and dulaglutide </w:t>
      </w:r>
      <w:r w:rsidR="002B1D35">
        <w:t>over time</w:t>
      </w:r>
    </w:p>
    <w:p w14:paraId="44262C26" w14:textId="77777777" w:rsidR="00481F92" w:rsidRDefault="00481F92" w:rsidP="00B47BE4"/>
    <w:p w14:paraId="4C32836B" w14:textId="0441D7B4" w:rsidR="00D82AA3" w:rsidRDefault="00D82AA3" w:rsidP="00B47BE4">
      <w:r>
        <w:rPr>
          <w:noProof/>
        </w:rPr>
        <w:drawing>
          <wp:inline distT="0" distB="0" distL="0" distR="0" wp14:anchorId="6CFCC385" wp14:editId="1BDECC41">
            <wp:extent cx="5518150" cy="3498850"/>
            <wp:effectExtent l="0" t="0" r="6350" b="6350"/>
            <wp:docPr id="11" name="Chart 11" descr="Prescriber type for initiating prescriptions of semaglutide and dulaglutide over time shows that GP prescribing for overall prescriptions of semaglutide and dulaglutide has increased and prescribing by specialists has decreased">
              <a:extLst xmlns:a="http://schemas.openxmlformats.org/drawingml/2006/main">
                <a:ext uri="{FF2B5EF4-FFF2-40B4-BE49-F238E27FC236}">
                  <a16:creationId xmlns:a16="http://schemas.microsoft.com/office/drawing/2014/main" id="{245E339E-861D-3C43-9B35-F7F64DC05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0C990EC" w14:textId="44AD99F9" w:rsidR="00D82AA3" w:rsidRDefault="00D82AA3" w:rsidP="00D82AA3">
      <w:pPr>
        <w:pStyle w:val="Figuretitle"/>
      </w:pPr>
      <w:r w:rsidRPr="00D82AA3">
        <w:t xml:space="preserve">Figure </w:t>
      </w:r>
      <w:r w:rsidR="00D07437">
        <w:t>10</w:t>
      </w:r>
      <w:r w:rsidRPr="00D82AA3">
        <w:t xml:space="preserve">: Prescriber type for </w:t>
      </w:r>
      <w:r>
        <w:t>all</w:t>
      </w:r>
      <w:r w:rsidRPr="00D82AA3">
        <w:t xml:space="preserve"> prescriptions of semaglutide and dulaglutide over time</w:t>
      </w:r>
    </w:p>
    <w:p w14:paraId="6FDEDF4E" w14:textId="77777777" w:rsidR="00CE5525" w:rsidRDefault="00CE5525" w:rsidP="00B47BE4">
      <w:pPr>
        <w:rPr>
          <w:highlight w:val="yellow"/>
        </w:rPr>
      </w:pPr>
    </w:p>
    <w:p w14:paraId="2999997D" w14:textId="7EC91816" w:rsidR="00CF5155" w:rsidRDefault="00CE5525" w:rsidP="00B47BE4">
      <w:r w:rsidRPr="00481CA6">
        <w:lastRenderedPageBreak/>
        <w:t>It appear</w:t>
      </w:r>
      <w:r w:rsidR="00C233F4">
        <w:t>ed</w:t>
      </w:r>
      <w:r w:rsidRPr="00481CA6">
        <w:t xml:space="preserve"> that</w:t>
      </w:r>
      <w:r w:rsidR="00026353">
        <w:t xml:space="preserve"> GP</w:t>
      </w:r>
      <w:r w:rsidRPr="00481CA6">
        <w:t xml:space="preserve"> p</w:t>
      </w:r>
      <w:r w:rsidR="00D37CA2" w:rsidRPr="00481CA6">
        <w:t>resc</w:t>
      </w:r>
      <w:r w:rsidR="004164AA" w:rsidRPr="00481CA6">
        <w:t xml:space="preserve">ribing of </w:t>
      </w:r>
      <w:r w:rsidRPr="00CE5525">
        <w:t xml:space="preserve">semaglutide and dulaglutide to </w:t>
      </w:r>
      <w:r w:rsidR="00EB3D51" w:rsidRPr="00481CA6">
        <w:t xml:space="preserve">initiating patients and </w:t>
      </w:r>
      <w:r w:rsidR="00704695">
        <w:t>over</w:t>
      </w:r>
      <w:r w:rsidR="00EB3D51" w:rsidRPr="00481CA6">
        <w:t xml:space="preserve">all </w:t>
      </w:r>
      <w:r w:rsidR="00D82AA3" w:rsidRPr="00481CA6">
        <w:t>prescriptions</w:t>
      </w:r>
      <w:r w:rsidR="00704695">
        <w:t xml:space="preserve"> </w:t>
      </w:r>
      <w:r w:rsidR="00026353">
        <w:t>for</w:t>
      </w:r>
      <w:r w:rsidR="00704695">
        <w:t xml:space="preserve"> all treated patients</w:t>
      </w:r>
      <w:r w:rsidR="00EB3D51" w:rsidRPr="00481CA6">
        <w:t xml:space="preserve"> </w:t>
      </w:r>
      <w:r w:rsidR="00026353">
        <w:t>ha</w:t>
      </w:r>
      <w:r w:rsidR="00AA6C84">
        <w:t>d</w:t>
      </w:r>
      <w:r w:rsidR="00026353" w:rsidRPr="00481CA6">
        <w:t xml:space="preserve"> </w:t>
      </w:r>
      <w:r w:rsidR="00026353">
        <w:t>increased</w:t>
      </w:r>
      <w:r w:rsidR="00EB3D51" w:rsidRPr="00481CA6">
        <w:t xml:space="preserve"> and </w:t>
      </w:r>
      <w:r w:rsidR="00AB427C">
        <w:t>prescribing by specialists ha</w:t>
      </w:r>
      <w:r w:rsidR="005B748D">
        <w:t>d</w:t>
      </w:r>
      <w:r w:rsidR="00AB427C">
        <w:t xml:space="preserve"> decreased.</w:t>
      </w:r>
      <w:r w:rsidR="00C32C0F">
        <w:t xml:space="preserve"> </w:t>
      </w:r>
      <w:r w:rsidR="000D0446">
        <w:t xml:space="preserve">This </w:t>
      </w:r>
      <w:r w:rsidR="000D57D0">
        <w:t>wa</w:t>
      </w:r>
      <w:r w:rsidR="000D0446">
        <w:t xml:space="preserve">s not </w:t>
      </w:r>
      <w:r w:rsidR="00594A98">
        <w:t xml:space="preserve">restricted under the PBS restriction, however </w:t>
      </w:r>
      <w:r w:rsidR="00034A11">
        <w:t xml:space="preserve">the reason for this increase </w:t>
      </w:r>
      <w:r w:rsidR="00437943">
        <w:t>wa</w:t>
      </w:r>
      <w:r w:rsidR="00C32C0F">
        <w:t>s unclear</w:t>
      </w:r>
      <w:r w:rsidR="00034A11">
        <w:t>.</w:t>
      </w:r>
      <w:r w:rsidR="00594A98">
        <w:t xml:space="preserve"> </w:t>
      </w:r>
    </w:p>
    <w:p w14:paraId="4C316201" w14:textId="12DC1DDC" w:rsidR="00140A24" w:rsidRPr="00481CA6" w:rsidRDefault="00242EA2" w:rsidP="00481CA6">
      <w:pPr>
        <w:pStyle w:val="Heading3"/>
      </w:pPr>
      <w:r w:rsidRPr="00481CA6">
        <w:t xml:space="preserve">Use of GLP-1s outside </w:t>
      </w:r>
      <w:r w:rsidR="000A1C07">
        <w:t>P</w:t>
      </w:r>
      <w:r w:rsidRPr="00481CA6">
        <w:t xml:space="preserve">BS restrictions </w:t>
      </w:r>
    </w:p>
    <w:p w14:paraId="1D89A8F7" w14:textId="47AD6F71" w:rsidR="00140A24" w:rsidRPr="00C8123A" w:rsidRDefault="00140A24" w:rsidP="00140A24">
      <w:r w:rsidRPr="00C8123A">
        <w:t xml:space="preserve">Table </w:t>
      </w:r>
      <w:r w:rsidR="00036533">
        <w:t>7</w:t>
      </w:r>
      <w:r w:rsidRPr="00C8123A">
        <w:t xml:space="preserve"> summarises </w:t>
      </w:r>
      <w:r w:rsidR="00001F12">
        <w:t xml:space="preserve">the </w:t>
      </w:r>
      <w:r w:rsidRPr="00C8123A">
        <w:t>medicine sequence of use by whether the patient was supplied semaglutide or any other medicine (including dulaglutide</w:t>
      </w:r>
      <w:r>
        <w:t xml:space="preserve"> and flozins listed for non-diabetes indications</w:t>
      </w:r>
      <w:r w:rsidRPr="00C8123A">
        <w:t>) first.</w:t>
      </w:r>
      <w:r>
        <w:t xml:space="preserve"> It appear</w:t>
      </w:r>
      <w:r w:rsidR="004E3A18">
        <w:t>ed</w:t>
      </w:r>
      <w:r>
        <w:t xml:space="preserve"> the proportion of patients who were supplied semaglutide before any other diabetes medicine </w:t>
      </w:r>
      <w:r w:rsidR="00260945">
        <w:t>wa</w:t>
      </w:r>
      <w:r>
        <w:t>s increasing, with 1</w:t>
      </w:r>
      <w:r w:rsidR="000A3BEF">
        <w:t>2</w:t>
      </w:r>
      <w:r>
        <w:t xml:space="preserve">% of initiating patients in 2023 supplied semaglutide before </w:t>
      </w:r>
      <w:r w:rsidRPr="009D1824">
        <w:t>any other diabetes medicine</w:t>
      </w:r>
      <w:r>
        <w:t xml:space="preserve">. </w:t>
      </w:r>
    </w:p>
    <w:p w14:paraId="4523D516" w14:textId="4D7E02D7" w:rsidR="00140A24" w:rsidRPr="00256A90" w:rsidRDefault="00140A24" w:rsidP="00140A24">
      <w:pPr>
        <w:pStyle w:val="Tabletitle"/>
      </w:pPr>
      <w:r w:rsidRPr="00256A90">
        <w:t xml:space="preserve">Table </w:t>
      </w:r>
      <w:r w:rsidR="00E65FFE">
        <w:t>7</w:t>
      </w:r>
      <w:r w:rsidRPr="00256A90">
        <w:t>: Number and proportion of GLP-1 patients supplied semaglutide first</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588"/>
        <w:gridCol w:w="1587"/>
        <w:gridCol w:w="1588"/>
        <w:gridCol w:w="1588"/>
      </w:tblGrid>
      <w:tr w:rsidR="00140A24" w:rsidRPr="002B52E7" w14:paraId="7D0763B6" w14:textId="77777777" w:rsidTr="00C8123A">
        <w:trPr>
          <w:trHeight w:val="300"/>
        </w:trPr>
        <w:tc>
          <w:tcPr>
            <w:tcW w:w="1587" w:type="dxa"/>
            <w:shd w:val="clear" w:color="auto" w:fill="BFBFBF" w:themeFill="background1" w:themeFillShade="BF"/>
            <w:noWrap/>
            <w:vAlign w:val="bottom"/>
            <w:hideMark/>
          </w:tcPr>
          <w:p w14:paraId="0AB2802B" w14:textId="77777777" w:rsidR="00140A24" w:rsidRPr="002B52E7" w:rsidRDefault="00140A24" w:rsidP="00C8123A">
            <w:pPr>
              <w:spacing w:after="0"/>
              <w:rPr>
                <w:rFonts w:ascii="Times New Roman" w:eastAsia="Times New Roman" w:hAnsi="Times New Roman" w:cs="Times New Roman"/>
                <w:b/>
                <w:bCs/>
                <w:sz w:val="20"/>
                <w:szCs w:val="20"/>
              </w:rPr>
            </w:pPr>
          </w:p>
        </w:tc>
        <w:tc>
          <w:tcPr>
            <w:tcW w:w="4763" w:type="dxa"/>
            <w:gridSpan w:val="3"/>
            <w:shd w:val="clear" w:color="auto" w:fill="BFBFBF" w:themeFill="background1" w:themeFillShade="BF"/>
            <w:noWrap/>
            <w:vAlign w:val="bottom"/>
            <w:hideMark/>
          </w:tcPr>
          <w:p w14:paraId="7CEB968F"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First supplied medicine</w:t>
            </w:r>
          </w:p>
        </w:tc>
        <w:tc>
          <w:tcPr>
            <w:tcW w:w="1588" w:type="dxa"/>
            <w:shd w:val="clear" w:color="auto" w:fill="BFBFBF" w:themeFill="background1" w:themeFillShade="BF"/>
            <w:noWrap/>
            <w:vAlign w:val="bottom"/>
            <w:hideMark/>
          </w:tcPr>
          <w:p w14:paraId="74FBDAD7" w14:textId="77777777" w:rsidR="00140A24" w:rsidRPr="002B52E7" w:rsidRDefault="00140A24" w:rsidP="00C8123A">
            <w:pPr>
              <w:spacing w:after="0"/>
              <w:rPr>
                <w:rFonts w:ascii="Calibri" w:eastAsia="Times New Roman" w:hAnsi="Calibri" w:cs="Calibri"/>
                <w:b/>
                <w:bCs/>
                <w:color w:val="000000"/>
                <w:sz w:val="20"/>
                <w:szCs w:val="20"/>
              </w:rPr>
            </w:pPr>
          </w:p>
        </w:tc>
      </w:tr>
      <w:tr w:rsidR="00140A24" w:rsidRPr="002B52E7" w14:paraId="06C94BB1" w14:textId="77777777" w:rsidTr="00C8123A">
        <w:trPr>
          <w:trHeight w:val="300"/>
        </w:trPr>
        <w:tc>
          <w:tcPr>
            <w:tcW w:w="1587" w:type="dxa"/>
            <w:shd w:val="clear" w:color="auto" w:fill="BFBFBF" w:themeFill="background1" w:themeFillShade="BF"/>
            <w:noWrap/>
            <w:vAlign w:val="bottom"/>
            <w:hideMark/>
          </w:tcPr>
          <w:p w14:paraId="1F8935D4"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Year</w:t>
            </w:r>
          </w:p>
        </w:tc>
        <w:tc>
          <w:tcPr>
            <w:tcW w:w="1588" w:type="dxa"/>
            <w:shd w:val="clear" w:color="auto" w:fill="BFBFBF" w:themeFill="background1" w:themeFillShade="BF"/>
            <w:noWrap/>
            <w:vAlign w:val="bottom"/>
            <w:hideMark/>
          </w:tcPr>
          <w:p w14:paraId="6DE2D177"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OTHER</w:t>
            </w:r>
          </w:p>
        </w:tc>
        <w:tc>
          <w:tcPr>
            <w:tcW w:w="3175" w:type="dxa"/>
            <w:gridSpan w:val="2"/>
            <w:shd w:val="clear" w:color="auto" w:fill="BFBFBF" w:themeFill="background1" w:themeFillShade="BF"/>
            <w:noWrap/>
            <w:vAlign w:val="bottom"/>
            <w:hideMark/>
          </w:tcPr>
          <w:p w14:paraId="318ABF10"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SEMAGLUTIDE</w:t>
            </w:r>
          </w:p>
        </w:tc>
        <w:tc>
          <w:tcPr>
            <w:tcW w:w="1588" w:type="dxa"/>
            <w:shd w:val="clear" w:color="auto" w:fill="BFBFBF" w:themeFill="background1" w:themeFillShade="BF"/>
            <w:noWrap/>
            <w:vAlign w:val="bottom"/>
            <w:hideMark/>
          </w:tcPr>
          <w:p w14:paraId="32D093F7"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TOTAL</w:t>
            </w:r>
          </w:p>
        </w:tc>
      </w:tr>
      <w:tr w:rsidR="00140A24" w:rsidRPr="002B52E7" w14:paraId="01BEA92E" w14:textId="77777777" w:rsidTr="00C8123A">
        <w:trPr>
          <w:trHeight w:val="300"/>
        </w:trPr>
        <w:tc>
          <w:tcPr>
            <w:tcW w:w="1587" w:type="dxa"/>
            <w:shd w:val="clear" w:color="auto" w:fill="BFBFBF" w:themeFill="background1" w:themeFillShade="BF"/>
            <w:noWrap/>
            <w:vAlign w:val="bottom"/>
          </w:tcPr>
          <w:p w14:paraId="73697A6C" w14:textId="77777777" w:rsidR="00140A24" w:rsidRPr="002B52E7" w:rsidRDefault="00140A24" w:rsidP="00C8123A">
            <w:pPr>
              <w:spacing w:after="0"/>
              <w:rPr>
                <w:rFonts w:ascii="Calibri" w:eastAsia="Times New Roman" w:hAnsi="Calibri" w:cs="Calibri"/>
                <w:b/>
                <w:bCs/>
                <w:color w:val="000000"/>
                <w:sz w:val="20"/>
                <w:szCs w:val="20"/>
              </w:rPr>
            </w:pPr>
          </w:p>
        </w:tc>
        <w:tc>
          <w:tcPr>
            <w:tcW w:w="1588" w:type="dxa"/>
            <w:shd w:val="clear" w:color="auto" w:fill="BFBFBF" w:themeFill="background1" w:themeFillShade="BF"/>
            <w:noWrap/>
            <w:vAlign w:val="bottom"/>
          </w:tcPr>
          <w:p w14:paraId="308A791F" w14:textId="77777777" w:rsidR="00140A24" w:rsidRPr="002B52E7" w:rsidRDefault="00140A24" w:rsidP="00C8123A">
            <w:pPr>
              <w:spacing w:after="0"/>
              <w:rPr>
                <w:rFonts w:ascii="Calibri" w:eastAsia="Times New Roman" w:hAnsi="Calibri" w:cs="Calibri"/>
                <w:b/>
                <w:bCs/>
                <w:color w:val="000000"/>
                <w:sz w:val="20"/>
                <w:szCs w:val="20"/>
              </w:rPr>
            </w:pPr>
          </w:p>
        </w:tc>
        <w:tc>
          <w:tcPr>
            <w:tcW w:w="1587" w:type="dxa"/>
            <w:shd w:val="clear" w:color="auto" w:fill="BFBFBF" w:themeFill="background1" w:themeFillShade="BF"/>
            <w:noWrap/>
            <w:vAlign w:val="bottom"/>
          </w:tcPr>
          <w:p w14:paraId="4B5565B7"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Number</w:t>
            </w:r>
          </w:p>
        </w:tc>
        <w:tc>
          <w:tcPr>
            <w:tcW w:w="1588" w:type="dxa"/>
            <w:shd w:val="clear" w:color="auto" w:fill="BFBFBF" w:themeFill="background1" w:themeFillShade="BF"/>
            <w:noWrap/>
            <w:vAlign w:val="bottom"/>
          </w:tcPr>
          <w:p w14:paraId="262BF3F3" w14:textId="77777777" w:rsidR="00140A24" w:rsidRPr="002B52E7" w:rsidRDefault="00140A24" w:rsidP="00C8123A">
            <w:pPr>
              <w:spacing w:after="0"/>
              <w:rPr>
                <w:rFonts w:ascii="Calibri" w:eastAsia="Times New Roman" w:hAnsi="Calibri" w:cs="Calibri"/>
                <w:b/>
                <w:bCs/>
                <w:color w:val="000000"/>
                <w:sz w:val="20"/>
                <w:szCs w:val="20"/>
              </w:rPr>
            </w:pPr>
            <w:r w:rsidRPr="002B52E7">
              <w:rPr>
                <w:rFonts w:ascii="Calibri" w:eastAsia="Times New Roman" w:hAnsi="Calibri" w:cs="Calibri"/>
                <w:b/>
                <w:bCs/>
                <w:color w:val="000000"/>
                <w:sz w:val="20"/>
                <w:szCs w:val="20"/>
              </w:rPr>
              <w:t>Percent of total</w:t>
            </w:r>
          </w:p>
        </w:tc>
        <w:tc>
          <w:tcPr>
            <w:tcW w:w="1588" w:type="dxa"/>
            <w:shd w:val="clear" w:color="auto" w:fill="BFBFBF" w:themeFill="background1" w:themeFillShade="BF"/>
            <w:noWrap/>
            <w:vAlign w:val="bottom"/>
          </w:tcPr>
          <w:p w14:paraId="7F3A7C47" w14:textId="77777777" w:rsidR="00140A24" w:rsidRPr="002B52E7" w:rsidRDefault="00140A24" w:rsidP="00C8123A">
            <w:pPr>
              <w:spacing w:after="0"/>
              <w:rPr>
                <w:rFonts w:ascii="Calibri" w:eastAsia="Times New Roman" w:hAnsi="Calibri" w:cs="Calibri"/>
                <w:b/>
                <w:bCs/>
                <w:color w:val="000000"/>
                <w:sz w:val="20"/>
                <w:szCs w:val="20"/>
              </w:rPr>
            </w:pPr>
          </w:p>
        </w:tc>
      </w:tr>
      <w:tr w:rsidR="00C8261A" w:rsidRPr="002B52E7" w14:paraId="5B6F8B97" w14:textId="77777777" w:rsidTr="00C8123A">
        <w:trPr>
          <w:trHeight w:val="300"/>
        </w:trPr>
        <w:tc>
          <w:tcPr>
            <w:tcW w:w="1587" w:type="dxa"/>
            <w:shd w:val="clear" w:color="auto" w:fill="auto"/>
            <w:noWrap/>
            <w:vAlign w:val="bottom"/>
            <w:hideMark/>
          </w:tcPr>
          <w:p w14:paraId="0A6D0715" w14:textId="77777777"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2018</w:t>
            </w:r>
          </w:p>
        </w:tc>
        <w:tc>
          <w:tcPr>
            <w:tcW w:w="1588" w:type="dxa"/>
            <w:shd w:val="clear" w:color="auto" w:fill="auto"/>
            <w:noWrap/>
            <w:vAlign w:val="bottom"/>
            <w:hideMark/>
          </w:tcPr>
          <w:p w14:paraId="13B55B0B" w14:textId="23D334E0"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14,203</w:t>
            </w:r>
          </w:p>
        </w:tc>
        <w:tc>
          <w:tcPr>
            <w:tcW w:w="1587" w:type="dxa"/>
            <w:shd w:val="clear" w:color="auto" w:fill="auto"/>
            <w:noWrap/>
            <w:vAlign w:val="bottom"/>
            <w:hideMark/>
          </w:tcPr>
          <w:p w14:paraId="2F727820" w14:textId="0D8F8F1C" w:rsidR="00C8261A" w:rsidRPr="002B52E7" w:rsidRDefault="00C8261A" w:rsidP="00C8261A">
            <w:pPr>
              <w:spacing w:after="0"/>
              <w:rPr>
                <w:rFonts w:ascii="Calibri" w:eastAsia="Times New Roman" w:hAnsi="Calibri" w:cs="Calibri"/>
                <w:color w:val="000000"/>
                <w:sz w:val="20"/>
                <w:szCs w:val="20"/>
              </w:rPr>
            </w:pPr>
          </w:p>
        </w:tc>
        <w:tc>
          <w:tcPr>
            <w:tcW w:w="1588" w:type="dxa"/>
            <w:shd w:val="clear" w:color="auto" w:fill="auto"/>
            <w:noWrap/>
            <w:vAlign w:val="bottom"/>
            <w:hideMark/>
          </w:tcPr>
          <w:p w14:paraId="557724A0" w14:textId="440FFB4E"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0%</w:t>
            </w:r>
          </w:p>
        </w:tc>
        <w:tc>
          <w:tcPr>
            <w:tcW w:w="1588" w:type="dxa"/>
            <w:shd w:val="clear" w:color="auto" w:fill="auto"/>
            <w:noWrap/>
            <w:vAlign w:val="bottom"/>
            <w:hideMark/>
          </w:tcPr>
          <w:p w14:paraId="56C4EAC6" w14:textId="6A3C8535"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14,203</w:t>
            </w:r>
          </w:p>
        </w:tc>
      </w:tr>
      <w:tr w:rsidR="00C8261A" w:rsidRPr="002B52E7" w14:paraId="4282A25C" w14:textId="77777777" w:rsidTr="00C8123A">
        <w:trPr>
          <w:trHeight w:val="300"/>
        </w:trPr>
        <w:tc>
          <w:tcPr>
            <w:tcW w:w="1587" w:type="dxa"/>
            <w:shd w:val="clear" w:color="auto" w:fill="auto"/>
            <w:noWrap/>
            <w:vAlign w:val="bottom"/>
            <w:hideMark/>
          </w:tcPr>
          <w:p w14:paraId="614AFBA4" w14:textId="77777777"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2019</w:t>
            </w:r>
          </w:p>
        </w:tc>
        <w:tc>
          <w:tcPr>
            <w:tcW w:w="1588" w:type="dxa"/>
            <w:shd w:val="clear" w:color="auto" w:fill="auto"/>
            <w:noWrap/>
            <w:vAlign w:val="bottom"/>
            <w:hideMark/>
          </w:tcPr>
          <w:p w14:paraId="14A4AFFA" w14:textId="78A04000"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27,815</w:t>
            </w:r>
          </w:p>
        </w:tc>
        <w:tc>
          <w:tcPr>
            <w:tcW w:w="1587" w:type="dxa"/>
            <w:shd w:val="clear" w:color="auto" w:fill="auto"/>
            <w:noWrap/>
            <w:vAlign w:val="bottom"/>
            <w:hideMark/>
          </w:tcPr>
          <w:p w14:paraId="0CFFC4CB" w14:textId="1F597BC3" w:rsidR="00C8261A" w:rsidRPr="002B52E7" w:rsidRDefault="00C8261A" w:rsidP="00C8261A">
            <w:pPr>
              <w:spacing w:after="0"/>
              <w:rPr>
                <w:rFonts w:ascii="Calibri" w:eastAsia="Times New Roman" w:hAnsi="Calibri" w:cs="Calibri"/>
                <w:color w:val="000000"/>
                <w:sz w:val="20"/>
                <w:szCs w:val="20"/>
              </w:rPr>
            </w:pPr>
          </w:p>
        </w:tc>
        <w:tc>
          <w:tcPr>
            <w:tcW w:w="1588" w:type="dxa"/>
            <w:shd w:val="clear" w:color="auto" w:fill="auto"/>
            <w:noWrap/>
            <w:vAlign w:val="bottom"/>
            <w:hideMark/>
          </w:tcPr>
          <w:p w14:paraId="4B2D5159" w14:textId="2688ABC9"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0%</w:t>
            </w:r>
          </w:p>
        </w:tc>
        <w:tc>
          <w:tcPr>
            <w:tcW w:w="1588" w:type="dxa"/>
            <w:shd w:val="clear" w:color="auto" w:fill="auto"/>
            <w:noWrap/>
            <w:vAlign w:val="bottom"/>
            <w:hideMark/>
          </w:tcPr>
          <w:p w14:paraId="2496A69D" w14:textId="2ECF32F3"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27,815</w:t>
            </w:r>
          </w:p>
        </w:tc>
      </w:tr>
      <w:tr w:rsidR="00C8261A" w:rsidRPr="002B52E7" w14:paraId="56C92C37" w14:textId="77777777" w:rsidTr="00C8123A">
        <w:trPr>
          <w:trHeight w:val="300"/>
        </w:trPr>
        <w:tc>
          <w:tcPr>
            <w:tcW w:w="1587" w:type="dxa"/>
            <w:shd w:val="clear" w:color="auto" w:fill="auto"/>
            <w:noWrap/>
            <w:vAlign w:val="bottom"/>
            <w:hideMark/>
          </w:tcPr>
          <w:p w14:paraId="289B8EA5" w14:textId="77777777"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2020</w:t>
            </w:r>
          </w:p>
        </w:tc>
        <w:tc>
          <w:tcPr>
            <w:tcW w:w="1588" w:type="dxa"/>
            <w:shd w:val="clear" w:color="auto" w:fill="auto"/>
            <w:noWrap/>
            <w:vAlign w:val="bottom"/>
            <w:hideMark/>
          </w:tcPr>
          <w:p w14:paraId="72BC2701" w14:textId="36C43CE8"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37,381</w:t>
            </w:r>
          </w:p>
        </w:tc>
        <w:tc>
          <w:tcPr>
            <w:tcW w:w="1587" w:type="dxa"/>
            <w:shd w:val="clear" w:color="auto" w:fill="auto"/>
            <w:noWrap/>
            <w:vAlign w:val="bottom"/>
            <w:hideMark/>
          </w:tcPr>
          <w:p w14:paraId="3731541D" w14:textId="3F5EE798"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276</w:t>
            </w:r>
          </w:p>
        </w:tc>
        <w:tc>
          <w:tcPr>
            <w:tcW w:w="1588" w:type="dxa"/>
            <w:shd w:val="clear" w:color="auto" w:fill="auto"/>
            <w:noWrap/>
            <w:vAlign w:val="bottom"/>
            <w:hideMark/>
          </w:tcPr>
          <w:p w14:paraId="7A74B506" w14:textId="6C006C9A"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w:t>
            </w:r>
          </w:p>
        </w:tc>
        <w:tc>
          <w:tcPr>
            <w:tcW w:w="1588" w:type="dxa"/>
            <w:shd w:val="clear" w:color="auto" w:fill="auto"/>
            <w:noWrap/>
            <w:vAlign w:val="bottom"/>
            <w:hideMark/>
          </w:tcPr>
          <w:p w14:paraId="6A5194DF" w14:textId="5DE24EF2"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37,657</w:t>
            </w:r>
          </w:p>
        </w:tc>
      </w:tr>
      <w:tr w:rsidR="00C8261A" w:rsidRPr="002B52E7" w14:paraId="3F769EA4" w14:textId="77777777" w:rsidTr="00C8123A">
        <w:trPr>
          <w:trHeight w:val="300"/>
        </w:trPr>
        <w:tc>
          <w:tcPr>
            <w:tcW w:w="1587" w:type="dxa"/>
            <w:shd w:val="clear" w:color="auto" w:fill="auto"/>
            <w:noWrap/>
            <w:vAlign w:val="bottom"/>
            <w:hideMark/>
          </w:tcPr>
          <w:p w14:paraId="7EB227D2" w14:textId="77777777"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2021</w:t>
            </w:r>
          </w:p>
        </w:tc>
        <w:tc>
          <w:tcPr>
            <w:tcW w:w="1588" w:type="dxa"/>
            <w:shd w:val="clear" w:color="auto" w:fill="auto"/>
            <w:noWrap/>
            <w:vAlign w:val="bottom"/>
            <w:hideMark/>
          </w:tcPr>
          <w:p w14:paraId="13AEAE6F" w14:textId="21616254"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94,740</w:t>
            </w:r>
          </w:p>
        </w:tc>
        <w:tc>
          <w:tcPr>
            <w:tcW w:w="1587" w:type="dxa"/>
            <w:shd w:val="clear" w:color="auto" w:fill="auto"/>
            <w:noWrap/>
            <w:vAlign w:val="bottom"/>
            <w:hideMark/>
          </w:tcPr>
          <w:p w14:paraId="2F6697A4" w14:textId="2C88F11F"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4,073</w:t>
            </w:r>
          </w:p>
        </w:tc>
        <w:tc>
          <w:tcPr>
            <w:tcW w:w="1588" w:type="dxa"/>
            <w:shd w:val="clear" w:color="auto" w:fill="auto"/>
            <w:noWrap/>
            <w:vAlign w:val="bottom"/>
            <w:hideMark/>
          </w:tcPr>
          <w:p w14:paraId="0DD434B7" w14:textId="69BF920E"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4%</w:t>
            </w:r>
          </w:p>
        </w:tc>
        <w:tc>
          <w:tcPr>
            <w:tcW w:w="1588" w:type="dxa"/>
            <w:shd w:val="clear" w:color="auto" w:fill="auto"/>
            <w:noWrap/>
            <w:vAlign w:val="bottom"/>
            <w:hideMark/>
          </w:tcPr>
          <w:p w14:paraId="20F7048F" w14:textId="4DFB7C5F"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98,813</w:t>
            </w:r>
          </w:p>
        </w:tc>
      </w:tr>
      <w:tr w:rsidR="00C8261A" w:rsidRPr="002B52E7" w14:paraId="586982F6" w14:textId="77777777" w:rsidTr="00C8123A">
        <w:trPr>
          <w:trHeight w:val="300"/>
        </w:trPr>
        <w:tc>
          <w:tcPr>
            <w:tcW w:w="1587" w:type="dxa"/>
            <w:shd w:val="clear" w:color="auto" w:fill="auto"/>
            <w:noWrap/>
            <w:vAlign w:val="bottom"/>
            <w:hideMark/>
          </w:tcPr>
          <w:p w14:paraId="44B0D85D" w14:textId="77777777"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2022</w:t>
            </w:r>
          </w:p>
        </w:tc>
        <w:tc>
          <w:tcPr>
            <w:tcW w:w="1588" w:type="dxa"/>
            <w:shd w:val="clear" w:color="auto" w:fill="auto"/>
            <w:noWrap/>
            <w:vAlign w:val="bottom"/>
            <w:hideMark/>
          </w:tcPr>
          <w:p w14:paraId="4F693902" w14:textId="30060662"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93,303</w:t>
            </w:r>
          </w:p>
        </w:tc>
        <w:tc>
          <w:tcPr>
            <w:tcW w:w="1587" w:type="dxa"/>
            <w:shd w:val="clear" w:color="auto" w:fill="auto"/>
            <w:noWrap/>
            <w:vAlign w:val="bottom"/>
            <w:hideMark/>
          </w:tcPr>
          <w:p w14:paraId="12BCD7AC" w14:textId="1C96ECA2"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10,330</w:t>
            </w:r>
          </w:p>
        </w:tc>
        <w:tc>
          <w:tcPr>
            <w:tcW w:w="1588" w:type="dxa"/>
            <w:shd w:val="clear" w:color="auto" w:fill="auto"/>
            <w:noWrap/>
            <w:vAlign w:val="bottom"/>
            <w:hideMark/>
          </w:tcPr>
          <w:p w14:paraId="71AAA212" w14:textId="1FE1FD19"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10%</w:t>
            </w:r>
          </w:p>
        </w:tc>
        <w:tc>
          <w:tcPr>
            <w:tcW w:w="1588" w:type="dxa"/>
            <w:shd w:val="clear" w:color="auto" w:fill="auto"/>
            <w:noWrap/>
            <w:vAlign w:val="bottom"/>
            <w:hideMark/>
          </w:tcPr>
          <w:p w14:paraId="3A187C68" w14:textId="43DF15EA"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103,633</w:t>
            </w:r>
          </w:p>
        </w:tc>
      </w:tr>
      <w:tr w:rsidR="00C8261A" w:rsidRPr="002B52E7" w14:paraId="0E1DD9EA" w14:textId="77777777" w:rsidTr="00C8123A">
        <w:trPr>
          <w:trHeight w:val="300"/>
        </w:trPr>
        <w:tc>
          <w:tcPr>
            <w:tcW w:w="1587" w:type="dxa"/>
            <w:shd w:val="clear" w:color="auto" w:fill="auto"/>
            <w:noWrap/>
            <w:vAlign w:val="bottom"/>
            <w:hideMark/>
          </w:tcPr>
          <w:p w14:paraId="62D207C2" w14:textId="77777777"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eastAsia="Times New Roman" w:hAnsi="Calibri" w:cs="Calibri"/>
                <w:color w:val="000000"/>
                <w:sz w:val="20"/>
                <w:szCs w:val="20"/>
              </w:rPr>
              <w:t>2023</w:t>
            </w:r>
          </w:p>
        </w:tc>
        <w:tc>
          <w:tcPr>
            <w:tcW w:w="1588" w:type="dxa"/>
            <w:shd w:val="clear" w:color="auto" w:fill="auto"/>
            <w:noWrap/>
            <w:vAlign w:val="bottom"/>
            <w:hideMark/>
          </w:tcPr>
          <w:p w14:paraId="2E808900" w14:textId="722FBD95"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105,542</w:t>
            </w:r>
          </w:p>
        </w:tc>
        <w:tc>
          <w:tcPr>
            <w:tcW w:w="1587" w:type="dxa"/>
            <w:shd w:val="clear" w:color="auto" w:fill="auto"/>
            <w:noWrap/>
            <w:vAlign w:val="bottom"/>
            <w:hideMark/>
          </w:tcPr>
          <w:p w14:paraId="14149194" w14:textId="6500C96F"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14,832</w:t>
            </w:r>
          </w:p>
        </w:tc>
        <w:tc>
          <w:tcPr>
            <w:tcW w:w="1588" w:type="dxa"/>
            <w:shd w:val="clear" w:color="auto" w:fill="auto"/>
            <w:noWrap/>
            <w:vAlign w:val="bottom"/>
            <w:hideMark/>
          </w:tcPr>
          <w:p w14:paraId="7421A6AA" w14:textId="5058AB99"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12%</w:t>
            </w:r>
          </w:p>
        </w:tc>
        <w:tc>
          <w:tcPr>
            <w:tcW w:w="1588" w:type="dxa"/>
            <w:shd w:val="clear" w:color="auto" w:fill="auto"/>
            <w:noWrap/>
            <w:vAlign w:val="bottom"/>
            <w:hideMark/>
          </w:tcPr>
          <w:p w14:paraId="4A03C809" w14:textId="60587DD5" w:rsidR="00C8261A" w:rsidRPr="002B52E7" w:rsidRDefault="00C8261A" w:rsidP="00C8261A">
            <w:pPr>
              <w:spacing w:after="0"/>
              <w:jc w:val="right"/>
              <w:rPr>
                <w:rFonts w:ascii="Calibri" w:eastAsia="Times New Roman" w:hAnsi="Calibri" w:cs="Calibri"/>
                <w:color w:val="000000"/>
                <w:sz w:val="20"/>
                <w:szCs w:val="20"/>
              </w:rPr>
            </w:pPr>
            <w:r w:rsidRPr="002B52E7">
              <w:rPr>
                <w:rFonts w:ascii="Calibri" w:hAnsi="Calibri" w:cs="Calibri"/>
                <w:color w:val="000000"/>
                <w:sz w:val="20"/>
                <w:szCs w:val="20"/>
              </w:rPr>
              <w:t>120,374</w:t>
            </w:r>
          </w:p>
        </w:tc>
      </w:tr>
    </w:tbl>
    <w:p w14:paraId="2A3D94EA" w14:textId="77777777" w:rsidR="00140A24" w:rsidRDefault="00140A24" w:rsidP="00140A24">
      <w:pPr>
        <w:pStyle w:val="Notes"/>
      </w:pPr>
      <w:r w:rsidRPr="00F65D71">
        <w:t>Note: Using a 2 year look back from initiation of semaglutide or dulaglutide, same day supplies were sorted with semaglutide last</w:t>
      </w:r>
    </w:p>
    <w:p w14:paraId="1786A39C" w14:textId="77777777" w:rsidR="00140A24" w:rsidRPr="00F456D7" w:rsidRDefault="00140A24" w:rsidP="00140A24">
      <w:pPr>
        <w:rPr>
          <w:highlight w:val="yellow"/>
        </w:rPr>
      </w:pPr>
    </w:p>
    <w:p w14:paraId="233F5FE8" w14:textId="2D9C3FC5" w:rsidR="00140A24" w:rsidRPr="00F456D7" w:rsidRDefault="00140A24" w:rsidP="00140A24">
      <w:pPr>
        <w:spacing w:before="60" w:after="60"/>
        <w:outlineLvl w:val="3"/>
        <w:rPr>
          <w:b/>
          <w:lang w:val="en-US"/>
        </w:rPr>
      </w:pPr>
      <w:r w:rsidRPr="00F456D7">
        <w:rPr>
          <w:b/>
          <w:lang w:val="en-US"/>
        </w:rPr>
        <w:t xml:space="preserve">Table </w:t>
      </w:r>
      <w:r w:rsidR="00E65FFE">
        <w:rPr>
          <w:b/>
          <w:lang w:val="en-US"/>
        </w:rPr>
        <w:t>8</w:t>
      </w:r>
      <w:r w:rsidRPr="00F456D7">
        <w:rPr>
          <w:b/>
          <w:lang w:val="en-US"/>
        </w:rPr>
        <w:t>: Analysis of the prevalent treated population</w:t>
      </w:r>
    </w:p>
    <w:tbl>
      <w:tblPr>
        <w:tblStyle w:val="TableGrid"/>
        <w:tblW w:w="0" w:type="auto"/>
        <w:tblLook w:val="04A0" w:firstRow="1" w:lastRow="0" w:firstColumn="1" w:lastColumn="0" w:noHBand="0" w:noVBand="1"/>
      </w:tblPr>
      <w:tblGrid>
        <w:gridCol w:w="6034"/>
        <w:gridCol w:w="1454"/>
        <w:gridCol w:w="1459"/>
      </w:tblGrid>
      <w:tr w:rsidR="00140A24" w:rsidRPr="00F456D7" w14:paraId="1205FBF0" w14:textId="77777777" w:rsidTr="00C8123A">
        <w:tc>
          <w:tcPr>
            <w:tcW w:w="6204" w:type="dxa"/>
            <w:shd w:val="clear" w:color="auto" w:fill="BFBFBF" w:themeFill="background1" w:themeFillShade="BF"/>
          </w:tcPr>
          <w:p w14:paraId="514EFEA7" w14:textId="77777777" w:rsidR="00140A24" w:rsidRPr="00F456D7" w:rsidRDefault="00140A24" w:rsidP="00C8123A">
            <w:pPr>
              <w:spacing w:after="200"/>
              <w:rPr>
                <w:b/>
                <w:bCs/>
                <w:sz w:val="20"/>
                <w:szCs w:val="20"/>
                <w:highlight w:val="yellow"/>
              </w:rPr>
            </w:pPr>
          </w:p>
        </w:tc>
        <w:tc>
          <w:tcPr>
            <w:tcW w:w="1484" w:type="dxa"/>
            <w:shd w:val="clear" w:color="auto" w:fill="BFBFBF" w:themeFill="background1" w:themeFillShade="BF"/>
          </w:tcPr>
          <w:p w14:paraId="5E8C2F6C" w14:textId="77777777" w:rsidR="00140A24" w:rsidRPr="00F456D7" w:rsidRDefault="00140A24" w:rsidP="00C8123A">
            <w:pPr>
              <w:spacing w:after="200"/>
              <w:rPr>
                <w:b/>
                <w:bCs/>
                <w:sz w:val="20"/>
                <w:szCs w:val="20"/>
              </w:rPr>
            </w:pPr>
            <w:r w:rsidRPr="00F456D7">
              <w:rPr>
                <w:b/>
                <w:bCs/>
                <w:sz w:val="20"/>
                <w:szCs w:val="20"/>
              </w:rPr>
              <w:t>2021</w:t>
            </w:r>
          </w:p>
        </w:tc>
        <w:tc>
          <w:tcPr>
            <w:tcW w:w="1485" w:type="dxa"/>
            <w:shd w:val="clear" w:color="auto" w:fill="BFBFBF" w:themeFill="background1" w:themeFillShade="BF"/>
          </w:tcPr>
          <w:p w14:paraId="43042B82" w14:textId="77777777" w:rsidR="00140A24" w:rsidRPr="00F456D7" w:rsidRDefault="00140A24" w:rsidP="00C8123A">
            <w:pPr>
              <w:spacing w:after="200"/>
              <w:rPr>
                <w:b/>
                <w:bCs/>
                <w:sz w:val="20"/>
                <w:szCs w:val="20"/>
              </w:rPr>
            </w:pPr>
            <w:r w:rsidRPr="00F456D7">
              <w:rPr>
                <w:b/>
                <w:bCs/>
                <w:sz w:val="20"/>
                <w:szCs w:val="20"/>
              </w:rPr>
              <w:t>2023</w:t>
            </w:r>
          </w:p>
        </w:tc>
      </w:tr>
      <w:tr w:rsidR="00140A24" w:rsidRPr="00F456D7" w14:paraId="16FBBD53" w14:textId="77777777" w:rsidTr="00C8123A">
        <w:tc>
          <w:tcPr>
            <w:tcW w:w="6204" w:type="dxa"/>
          </w:tcPr>
          <w:p w14:paraId="0A9ED446" w14:textId="77777777" w:rsidR="00140A24" w:rsidRPr="00F456D7" w:rsidRDefault="00140A24" w:rsidP="00C8123A">
            <w:pPr>
              <w:spacing w:after="200"/>
              <w:rPr>
                <w:sz w:val="20"/>
                <w:szCs w:val="20"/>
                <w:highlight w:val="yellow"/>
              </w:rPr>
            </w:pPr>
            <w:r w:rsidRPr="00F456D7">
              <w:rPr>
                <w:sz w:val="20"/>
                <w:szCs w:val="20"/>
              </w:rPr>
              <w:t>Supplied a GLP-1 RA in combination with another GLP 1 RA, a DPP4 inhibitor, an SGLT2 inhibitor or a combination of these medicines</w:t>
            </w:r>
          </w:p>
        </w:tc>
        <w:tc>
          <w:tcPr>
            <w:tcW w:w="1484" w:type="dxa"/>
          </w:tcPr>
          <w:p w14:paraId="0A4229BF" w14:textId="77777777" w:rsidR="00140A24" w:rsidRPr="00F456D7" w:rsidRDefault="00140A24" w:rsidP="00C8123A">
            <w:pPr>
              <w:spacing w:after="200"/>
              <w:rPr>
                <w:sz w:val="20"/>
                <w:szCs w:val="20"/>
              </w:rPr>
            </w:pPr>
            <w:r w:rsidRPr="00F456D7">
              <w:rPr>
                <w:sz w:val="20"/>
                <w:szCs w:val="20"/>
              </w:rPr>
              <w:t>42%</w:t>
            </w:r>
          </w:p>
        </w:tc>
        <w:tc>
          <w:tcPr>
            <w:tcW w:w="1485" w:type="dxa"/>
          </w:tcPr>
          <w:p w14:paraId="27482D39" w14:textId="77777777" w:rsidR="00140A24" w:rsidRPr="00F456D7" w:rsidRDefault="00140A24" w:rsidP="00C8123A">
            <w:pPr>
              <w:spacing w:after="200"/>
              <w:rPr>
                <w:sz w:val="20"/>
                <w:szCs w:val="20"/>
              </w:rPr>
            </w:pPr>
            <w:r w:rsidRPr="00F456D7">
              <w:rPr>
                <w:sz w:val="20"/>
                <w:szCs w:val="20"/>
              </w:rPr>
              <w:t>44%</w:t>
            </w:r>
          </w:p>
        </w:tc>
      </w:tr>
      <w:tr w:rsidR="00140A24" w:rsidRPr="00F456D7" w14:paraId="30BADBE4" w14:textId="77777777" w:rsidTr="00C8123A">
        <w:tc>
          <w:tcPr>
            <w:tcW w:w="6204" w:type="dxa"/>
          </w:tcPr>
          <w:p w14:paraId="529AD5EB" w14:textId="77777777" w:rsidR="00140A24" w:rsidRPr="00F456D7" w:rsidRDefault="00140A24" w:rsidP="00C8123A">
            <w:pPr>
              <w:spacing w:after="200"/>
              <w:rPr>
                <w:sz w:val="20"/>
                <w:szCs w:val="20"/>
                <w:highlight w:val="yellow"/>
              </w:rPr>
            </w:pPr>
            <w:r w:rsidRPr="00F456D7">
              <w:rPr>
                <w:sz w:val="20"/>
                <w:szCs w:val="20"/>
              </w:rPr>
              <w:t>Supplied a GLP-1 RA without concomitant use of metformin, SU or insulin</w:t>
            </w:r>
          </w:p>
        </w:tc>
        <w:tc>
          <w:tcPr>
            <w:tcW w:w="1484" w:type="dxa"/>
          </w:tcPr>
          <w:p w14:paraId="190D7E20" w14:textId="77777777" w:rsidR="00140A24" w:rsidRPr="00F456D7" w:rsidRDefault="00140A24" w:rsidP="00C8123A">
            <w:pPr>
              <w:spacing w:after="200"/>
              <w:rPr>
                <w:sz w:val="20"/>
                <w:szCs w:val="20"/>
              </w:rPr>
            </w:pPr>
            <w:r w:rsidRPr="00F456D7">
              <w:rPr>
                <w:sz w:val="20"/>
                <w:szCs w:val="20"/>
              </w:rPr>
              <w:t>27%</w:t>
            </w:r>
          </w:p>
        </w:tc>
        <w:tc>
          <w:tcPr>
            <w:tcW w:w="1485" w:type="dxa"/>
          </w:tcPr>
          <w:p w14:paraId="35AC5EBA" w14:textId="77777777" w:rsidR="00140A24" w:rsidRPr="00F456D7" w:rsidRDefault="00140A24" w:rsidP="00C8123A">
            <w:pPr>
              <w:spacing w:after="200"/>
              <w:rPr>
                <w:sz w:val="20"/>
                <w:szCs w:val="20"/>
              </w:rPr>
            </w:pPr>
            <w:r w:rsidRPr="00F456D7">
              <w:rPr>
                <w:sz w:val="20"/>
                <w:szCs w:val="20"/>
              </w:rPr>
              <w:t>42%</w:t>
            </w:r>
          </w:p>
        </w:tc>
      </w:tr>
      <w:tr w:rsidR="00140A24" w:rsidRPr="00F456D7" w14:paraId="5AE06814" w14:textId="77777777" w:rsidTr="00C8123A">
        <w:tc>
          <w:tcPr>
            <w:tcW w:w="6204" w:type="dxa"/>
          </w:tcPr>
          <w:p w14:paraId="0B9276E6" w14:textId="77777777" w:rsidR="00140A24" w:rsidRPr="00F456D7" w:rsidRDefault="00140A24" w:rsidP="00C8123A">
            <w:pPr>
              <w:spacing w:after="200"/>
              <w:rPr>
                <w:sz w:val="20"/>
                <w:szCs w:val="20"/>
                <w:highlight w:val="yellow"/>
              </w:rPr>
            </w:pPr>
            <w:r w:rsidRPr="00F456D7">
              <w:rPr>
                <w:sz w:val="20"/>
                <w:szCs w:val="20"/>
              </w:rPr>
              <w:t>Crossed both above categories and were supplied a GLP-1 RA without concomitant use of metformin, SU or insulin and in combination with another GLP 1 RA, a DPP4 inhibitor, an SGLT2 inhibitor, or a combination of these medicines</w:t>
            </w:r>
          </w:p>
        </w:tc>
        <w:tc>
          <w:tcPr>
            <w:tcW w:w="1484" w:type="dxa"/>
          </w:tcPr>
          <w:p w14:paraId="0CE80A75" w14:textId="77777777" w:rsidR="00140A24" w:rsidRPr="00F456D7" w:rsidRDefault="00140A24" w:rsidP="00C8123A">
            <w:pPr>
              <w:spacing w:after="200"/>
              <w:rPr>
                <w:sz w:val="20"/>
                <w:szCs w:val="20"/>
              </w:rPr>
            </w:pPr>
            <w:r w:rsidRPr="00F456D7">
              <w:rPr>
                <w:sz w:val="20"/>
                <w:szCs w:val="20"/>
              </w:rPr>
              <w:t>9.5%</w:t>
            </w:r>
          </w:p>
        </w:tc>
        <w:tc>
          <w:tcPr>
            <w:tcW w:w="1485" w:type="dxa"/>
          </w:tcPr>
          <w:p w14:paraId="3CE5E71F" w14:textId="77777777" w:rsidR="00140A24" w:rsidRPr="00F456D7" w:rsidRDefault="00140A24" w:rsidP="00C8123A">
            <w:pPr>
              <w:spacing w:after="200"/>
              <w:rPr>
                <w:sz w:val="20"/>
                <w:szCs w:val="20"/>
              </w:rPr>
            </w:pPr>
            <w:r w:rsidRPr="00F456D7">
              <w:rPr>
                <w:sz w:val="20"/>
                <w:szCs w:val="20"/>
              </w:rPr>
              <w:t>15.9%</w:t>
            </w:r>
          </w:p>
        </w:tc>
      </w:tr>
      <w:tr w:rsidR="00140A24" w:rsidRPr="00F456D7" w14:paraId="298A6CB4" w14:textId="77777777" w:rsidTr="00C8123A">
        <w:tc>
          <w:tcPr>
            <w:tcW w:w="6204" w:type="dxa"/>
          </w:tcPr>
          <w:p w14:paraId="6E059C9B" w14:textId="77777777" w:rsidR="00140A24" w:rsidRPr="00F456D7" w:rsidRDefault="00140A24" w:rsidP="00C8123A">
            <w:pPr>
              <w:spacing w:after="200"/>
              <w:rPr>
                <w:sz w:val="20"/>
                <w:szCs w:val="20"/>
                <w:highlight w:val="yellow"/>
              </w:rPr>
            </w:pPr>
            <w:r w:rsidRPr="00F456D7">
              <w:rPr>
                <w:sz w:val="20"/>
                <w:szCs w:val="20"/>
              </w:rPr>
              <w:t>Proportion of patients supplied GLP-1 who received this medicine in a regimen that is inconsistent with the PBS restrictions</w:t>
            </w:r>
          </w:p>
        </w:tc>
        <w:tc>
          <w:tcPr>
            <w:tcW w:w="1484" w:type="dxa"/>
          </w:tcPr>
          <w:p w14:paraId="6855E23D" w14:textId="77777777" w:rsidR="00140A24" w:rsidRPr="00F456D7" w:rsidRDefault="00140A24" w:rsidP="00C8123A">
            <w:pPr>
              <w:spacing w:after="200"/>
              <w:rPr>
                <w:sz w:val="20"/>
                <w:szCs w:val="20"/>
              </w:rPr>
            </w:pPr>
            <w:r w:rsidRPr="00F456D7">
              <w:rPr>
                <w:sz w:val="20"/>
                <w:szCs w:val="20"/>
              </w:rPr>
              <w:t>60%</w:t>
            </w:r>
          </w:p>
        </w:tc>
        <w:tc>
          <w:tcPr>
            <w:tcW w:w="1485" w:type="dxa"/>
          </w:tcPr>
          <w:p w14:paraId="41D528C9" w14:textId="77777777" w:rsidR="00140A24" w:rsidRPr="00F456D7" w:rsidRDefault="00140A24" w:rsidP="00C8123A">
            <w:pPr>
              <w:spacing w:after="200"/>
              <w:rPr>
                <w:sz w:val="20"/>
                <w:szCs w:val="20"/>
              </w:rPr>
            </w:pPr>
            <w:r w:rsidRPr="00F456D7">
              <w:rPr>
                <w:sz w:val="20"/>
                <w:szCs w:val="20"/>
              </w:rPr>
              <w:t>70%</w:t>
            </w:r>
          </w:p>
        </w:tc>
      </w:tr>
    </w:tbl>
    <w:p w14:paraId="3E790C62" w14:textId="77777777" w:rsidR="00140A24" w:rsidRPr="00F456D7" w:rsidRDefault="00140A24" w:rsidP="00140A24">
      <w:pPr>
        <w:rPr>
          <w:highlight w:val="yellow"/>
        </w:rPr>
      </w:pPr>
    </w:p>
    <w:p w14:paraId="44DCE105" w14:textId="30A60EEC" w:rsidR="00140A24" w:rsidRPr="00F456D7" w:rsidRDefault="00140A24" w:rsidP="00140A24">
      <w:r w:rsidRPr="00F456D7">
        <w:t xml:space="preserve">The comparison of 2021 to 2023 suggests the number of patients using GLP-1s outside PBS restrictions may </w:t>
      </w:r>
      <w:r w:rsidR="00833613">
        <w:t xml:space="preserve">have </w:t>
      </w:r>
      <w:r w:rsidRPr="00F456D7">
        <w:t>be</w:t>
      </w:r>
      <w:r w:rsidR="00833613">
        <w:t>en</w:t>
      </w:r>
      <w:r w:rsidRPr="00F456D7">
        <w:t xml:space="preserve"> increasing</w:t>
      </w:r>
      <w:r w:rsidR="00A25379">
        <w:t>.</w:t>
      </w:r>
      <w:r w:rsidR="00337EBF">
        <w:t xml:space="preserve"> </w:t>
      </w:r>
      <w:r w:rsidR="00A25379">
        <w:t xml:space="preserve">The TGA </w:t>
      </w:r>
      <w:r w:rsidR="009F2A90">
        <w:t xml:space="preserve">reported </w:t>
      </w:r>
      <w:r w:rsidR="00347FA0">
        <w:t>that</w:t>
      </w:r>
      <w:r w:rsidR="002A1F9D">
        <w:t xml:space="preserve"> d</w:t>
      </w:r>
      <w:r w:rsidR="009F2A90">
        <w:t xml:space="preserve">emand </w:t>
      </w:r>
      <w:r w:rsidR="00771A2B">
        <w:t xml:space="preserve">for semaglutide </w:t>
      </w:r>
      <w:r w:rsidR="009F2A90" w:rsidRPr="009F2A90">
        <w:t xml:space="preserve">had accelerated in </w:t>
      </w:r>
      <w:r w:rsidR="009F2A90">
        <w:t>2023</w:t>
      </w:r>
      <w:r w:rsidR="009F2A90" w:rsidRPr="009F2A90">
        <w:t xml:space="preserve">, particularly for the low-dose (0.25/0.5 mg) </w:t>
      </w:r>
      <w:r w:rsidR="00A25379">
        <w:t>product</w:t>
      </w:r>
      <w:r w:rsidR="009F2A90" w:rsidRPr="009F2A90">
        <w:t xml:space="preserve">. This additional </w:t>
      </w:r>
      <w:r w:rsidR="009F2A90" w:rsidRPr="009F2A90">
        <w:lastRenderedPageBreak/>
        <w:t xml:space="preserve">demand </w:t>
      </w:r>
      <w:r w:rsidR="00771A2B">
        <w:t>wa</w:t>
      </w:r>
      <w:r w:rsidR="009F2A90" w:rsidRPr="009F2A90">
        <w:t>s caused mainly by a rapid increase in prescribing for ‘off-label’ use (prescriptions to treat conditions other than those approved by the TGA).</w:t>
      </w:r>
      <w:bookmarkStart w:id="2" w:name="_Ref166065466"/>
      <w:r w:rsidR="008D5057">
        <w:rPr>
          <w:rStyle w:val="FootnoteReference"/>
        </w:rPr>
        <w:footnoteReference w:id="8"/>
      </w:r>
      <w:bookmarkEnd w:id="2"/>
      <w:r w:rsidR="00FF4E83" w:rsidRPr="008370F6">
        <w:rPr>
          <w:vertAlign w:val="superscript"/>
        </w:rPr>
        <w:t>,</w:t>
      </w:r>
      <w:r w:rsidR="00406CF1" w:rsidRPr="008370F6">
        <w:rPr>
          <w:vertAlign w:val="superscript"/>
        </w:rPr>
        <w:t xml:space="preserve"> </w:t>
      </w:r>
      <w:bookmarkStart w:id="3" w:name="_Ref166078204"/>
      <w:r w:rsidR="009407B5">
        <w:rPr>
          <w:rStyle w:val="FootnoteReference"/>
        </w:rPr>
        <w:footnoteReference w:id="9"/>
      </w:r>
      <w:bookmarkEnd w:id="3"/>
    </w:p>
    <w:p w14:paraId="68B1595A" w14:textId="77777777" w:rsidR="00140A24" w:rsidRDefault="00140A24" w:rsidP="00140A24">
      <w:pPr>
        <w:pStyle w:val="Notes"/>
      </w:pPr>
    </w:p>
    <w:p w14:paraId="59E00614" w14:textId="1DA07841" w:rsidR="00CF5155" w:rsidRPr="003F5317" w:rsidRDefault="00140A24" w:rsidP="00481CA6">
      <w:pPr>
        <w:pStyle w:val="Heading3"/>
      </w:pPr>
      <w:r>
        <w:t>Length of treatment</w:t>
      </w:r>
    </w:p>
    <w:p w14:paraId="66445C48" w14:textId="32D9FBFF" w:rsidR="00A51126" w:rsidRDefault="0061583F" w:rsidP="00A35800">
      <w:pPr>
        <w:rPr>
          <w:highlight w:val="yellow"/>
        </w:rPr>
      </w:pPr>
      <w:r>
        <w:rPr>
          <w:noProof/>
        </w:rPr>
        <w:drawing>
          <wp:inline distT="0" distB="0" distL="0" distR="0" wp14:anchorId="6FA52FAA" wp14:editId="7A56223F">
            <wp:extent cx="5687695" cy="3903980"/>
            <wp:effectExtent l="0" t="0" r="8255" b="1270"/>
            <wp:docPr id="6" name="Picture 6" descr="Length of treatment for semaglutide and dulaglutide using Kaplan Meier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ength of treatment for semaglutide and dulaglutide using Kaplan Meier method."/>
                    <pic:cNvPicPr/>
                  </pic:nvPicPr>
                  <pic:blipFill>
                    <a:blip r:embed="rId34"/>
                    <a:stretch>
                      <a:fillRect/>
                    </a:stretch>
                  </pic:blipFill>
                  <pic:spPr>
                    <a:xfrm>
                      <a:off x="0" y="0"/>
                      <a:ext cx="5687695" cy="3903980"/>
                    </a:xfrm>
                    <a:prstGeom prst="rect">
                      <a:avLst/>
                    </a:prstGeom>
                  </pic:spPr>
                </pic:pic>
              </a:graphicData>
            </a:graphic>
          </wp:inline>
        </w:drawing>
      </w:r>
    </w:p>
    <w:p w14:paraId="6008D379" w14:textId="17963F4B" w:rsidR="00A51126" w:rsidRPr="002012CF" w:rsidRDefault="00CD67A8" w:rsidP="002012CF">
      <w:pPr>
        <w:pStyle w:val="Figuretitle"/>
      </w:pPr>
      <w:r w:rsidRPr="002012CF">
        <w:t xml:space="preserve">Figure </w:t>
      </w:r>
      <w:r w:rsidR="00D07437">
        <w:t>11</w:t>
      </w:r>
      <w:r w:rsidRPr="002012CF">
        <w:t>: Length of tre</w:t>
      </w:r>
      <w:r w:rsidR="00E11B96" w:rsidRPr="002012CF">
        <w:t>atment</w:t>
      </w:r>
      <w:r w:rsidR="00F33F55" w:rsidRPr="002012CF">
        <w:t xml:space="preserve"> for semaglutide and dulaglutide</w:t>
      </w:r>
    </w:p>
    <w:p w14:paraId="29200994" w14:textId="77777777" w:rsidR="000A406C" w:rsidRDefault="000A406C" w:rsidP="00A35800">
      <w:pPr>
        <w:rPr>
          <w:highlight w:val="yellow"/>
        </w:rPr>
      </w:pPr>
    </w:p>
    <w:p w14:paraId="4C791282" w14:textId="566BA5F4" w:rsidR="00685ACA" w:rsidRDefault="0091363D" w:rsidP="00A35800">
      <w:pPr>
        <w:rPr>
          <w:highlight w:val="yellow"/>
        </w:rPr>
      </w:pPr>
      <w:r>
        <w:t>Of 402,453 patients included in the analysis, 61% (</w:t>
      </w:r>
      <w:r w:rsidR="00957DA7">
        <w:t>246,524) were considered to be continuing treatment at the end 2023</w:t>
      </w:r>
      <w:r w:rsidR="00574A7F">
        <w:t xml:space="preserve"> and were </w:t>
      </w:r>
      <w:r w:rsidR="00574A7F" w:rsidRPr="00574A7F">
        <w:t>censored.</w:t>
      </w:r>
      <w:r w:rsidR="00574A7F" w:rsidRPr="00DC58A8">
        <w:t xml:space="preserve"> The length of treatment was estimated to have a mean and median of 3 years, however it was noted that </w:t>
      </w:r>
      <w:r w:rsidR="00574A7F" w:rsidRPr="00574A7F">
        <w:t>the mean length of treatment and its standard error were underestimated because</w:t>
      </w:r>
      <w:r w:rsidR="00574A7F" w:rsidRPr="00CA623A">
        <w:t xml:space="preserve"> the largest observation was censored and the estimation was restricted to the largest event time</w:t>
      </w:r>
      <w:r w:rsidR="00574A7F">
        <w:t>.</w:t>
      </w:r>
    </w:p>
    <w:p w14:paraId="2C463B04" w14:textId="774E0F88" w:rsidR="00F35ECA" w:rsidRDefault="00D25B05" w:rsidP="00B37F6B">
      <w:pPr>
        <w:pStyle w:val="Tabletitle"/>
        <w:keepNext/>
      </w:pPr>
      <w:r>
        <w:lastRenderedPageBreak/>
        <w:t xml:space="preserve">Table </w:t>
      </w:r>
      <w:r w:rsidR="00E65FFE">
        <w:t>9</w:t>
      </w:r>
      <w:r>
        <w:t xml:space="preserve">: </w:t>
      </w:r>
      <w:r w:rsidR="00F35ECA">
        <w:t>Quartile Estimates</w:t>
      </w:r>
      <w:r>
        <w:t xml:space="preserve"> from Kaplan Meier analysis</w:t>
      </w:r>
    </w:p>
    <w:tbl>
      <w:tblPr>
        <w:tblStyle w:val="TableGrid"/>
        <w:tblW w:w="0" w:type="auto"/>
        <w:tblLook w:val="04A0" w:firstRow="1" w:lastRow="0" w:firstColumn="1" w:lastColumn="0" w:noHBand="0" w:noVBand="1"/>
      </w:tblPr>
      <w:tblGrid>
        <w:gridCol w:w="1789"/>
        <w:gridCol w:w="1789"/>
        <w:gridCol w:w="1789"/>
        <w:gridCol w:w="1790"/>
        <w:gridCol w:w="1790"/>
      </w:tblGrid>
      <w:tr w:rsidR="00723662" w:rsidRPr="00723662" w14:paraId="0B05A8F2" w14:textId="77777777" w:rsidTr="00DC58A8">
        <w:tc>
          <w:tcPr>
            <w:tcW w:w="1789" w:type="dxa"/>
            <w:shd w:val="clear" w:color="auto" w:fill="BFBFBF" w:themeFill="background1" w:themeFillShade="BF"/>
          </w:tcPr>
          <w:p w14:paraId="0F3D43C4" w14:textId="77777777" w:rsidR="00723662" w:rsidRPr="00DC58A8" w:rsidRDefault="00723662" w:rsidP="00B37F6B">
            <w:pPr>
              <w:keepNext/>
              <w:rPr>
                <w:b/>
                <w:bCs/>
                <w:sz w:val="20"/>
                <w:szCs w:val="20"/>
              </w:rPr>
            </w:pPr>
            <w:r w:rsidRPr="00DC58A8">
              <w:rPr>
                <w:b/>
                <w:bCs/>
                <w:sz w:val="20"/>
                <w:szCs w:val="20"/>
              </w:rPr>
              <w:t>Percent</w:t>
            </w:r>
          </w:p>
        </w:tc>
        <w:tc>
          <w:tcPr>
            <w:tcW w:w="1789" w:type="dxa"/>
            <w:shd w:val="clear" w:color="auto" w:fill="BFBFBF" w:themeFill="background1" w:themeFillShade="BF"/>
          </w:tcPr>
          <w:p w14:paraId="3C5D7B96" w14:textId="77777777" w:rsidR="00723662" w:rsidRPr="00DC58A8" w:rsidRDefault="00723662" w:rsidP="00B37F6B">
            <w:pPr>
              <w:keepNext/>
              <w:rPr>
                <w:b/>
                <w:bCs/>
                <w:sz w:val="20"/>
                <w:szCs w:val="20"/>
              </w:rPr>
            </w:pPr>
            <w:r w:rsidRPr="00DC58A8">
              <w:rPr>
                <w:b/>
                <w:bCs/>
                <w:sz w:val="20"/>
                <w:szCs w:val="20"/>
              </w:rPr>
              <w:t>Point Estimate</w:t>
            </w:r>
          </w:p>
        </w:tc>
        <w:tc>
          <w:tcPr>
            <w:tcW w:w="1789" w:type="dxa"/>
            <w:shd w:val="clear" w:color="auto" w:fill="BFBFBF" w:themeFill="background1" w:themeFillShade="BF"/>
          </w:tcPr>
          <w:p w14:paraId="695B0AF9" w14:textId="677D8E81" w:rsidR="00723662" w:rsidRPr="00DC58A8" w:rsidRDefault="00723662" w:rsidP="00B37F6B">
            <w:pPr>
              <w:keepNext/>
              <w:rPr>
                <w:b/>
                <w:bCs/>
                <w:sz w:val="20"/>
                <w:szCs w:val="20"/>
              </w:rPr>
            </w:pPr>
            <w:r w:rsidRPr="00DC58A8">
              <w:rPr>
                <w:b/>
                <w:bCs/>
                <w:sz w:val="20"/>
                <w:szCs w:val="20"/>
              </w:rPr>
              <w:t>Transform</w:t>
            </w:r>
          </w:p>
        </w:tc>
        <w:tc>
          <w:tcPr>
            <w:tcW w:w="3580" w:type="dxa"/>
            <w:gridSpan w:val="2"/>
            <w:shd w:val="clear" w:color="auto" w:fill="BFBFBF" w:themeFill="background1" w:themeFillShade="BF"/>
          </w:tcPr>
          <w:p w14:paraId="55391C75" w14:textId="41632DDB" w:rsidR="00723662" w:rsidRPr="00DC58A8" w:rsidRDefault="00723662" w:rsidP="00B37F6B">
            <w:pPr>
              <w:keepNext/>
              <w:rPr>
                <w:b/>
                <w:bCs/>
                <w:sz w:val="20"/>
                <w:szCs w:val="20"/>
              </w:rPr>
            </w:pPr>
            <w:r w:rsidRPr="00DC58A8">
              <w:rPr>
                <w:b/>
                <w:bCs/>
                <w:sz w:val="20"/>
                <w:szCs w:val="20"/>
              </w:rPr>
              <w:t>95% Confidence Interval</w:t>
            </w:r>
          </w:p>
        </w:tc>
      </w:tr>
      <w:tr w:rsidR="00B27CFF" w:rsidRPr="00723662" w14:paraId="72CA4F8F" w14:textId="77777777" w:rsidTr="00DC58A8">
        <w:tc>
          <w:tcPr>
            <w:tcW w:w="1789" w:type="dxa"/>
            <w:shd w:val="clear" w:color="auto" w:fill="BFBFBF" w:themeFill="background1" w:themeFillShade="BF"/>
          </w:tcPr>
          <w:p w14:paraId="732F09BA" w14:textId="2E0A9832" w:rsidR="00B27CFF" w:rsidRPr="00DC58A8" w:rsidRDefault="00B27CFF" w:rsidP="00B37F6B">
            <w:pPr>
              <w:keepNext/>
              <w:rPr>
                <w:b/>
                <w:bCs/>
                <w:sz w:val="20"/>
                <w:szCs w:val="20"/>
              </w:rPr>
            </w:pPr>
          </w:p>
        </w:tc>
        <w:tc>
          <w:tcPr>
            <w:tcW w:w="1789" w:type="dxa"/>
            <w:shd w:val="clear" w:color="auto" w:fill="BFBFBF" w:themeFill="background1" w:themeFillShade="BF"/>
          </w:tcPr>
          <w:p w14:paraId="6E951F27" w14:textId="4ECA9414" w:rsidR="00B27CFF" w:rsidRPr="00DC58A8" w:rsidRDefault="00B27CFF" w:rsidP="00B37F6B">
            <w:pPr>
              <w:keepNext/>
              <w:rPr>
                <w:b/>
                <w:bCs/>
                <w:sz w:val="20"/>
                <w:szCs w:val="20"/>
              </w:rPr>
            </w:pPr>
          </w:p>
        </w:tc>
        <w:tc>
          <w:tcPr>
            <w:tcW w:w="1789" w:type="dxa"/>
            <w:shd w:val="clear" w:color="auto" w:fill="BFBFBF" w:themeFill="background1" w:themeFillShade="BF"/>
          </w:tcPr>
          <w:p w14:paraId="69D8FB4C" w14:textId="1D2FD351" w:rsidR="00B27CFF" w:rsidRPr="00DC58A8" w:rsidRDefault="00B27CFF" w:rsidP="00B37F6B">
            <w:pPr>
              <w:keepNext/>
              <w:rPr>
                <w:b/>
                <w:bCs/>
                <w:sz w:val="20"/>
                <w:szCs w:val="20"/>
              </w:rPr>
            </w:pPr>
          </w:p>
        </w:tc>
        <w:tc>
          <w:tcPr>
            <w:tcW w:w="1790" w:type="dxa"/>
            <w:shd w:val="clear" w:color="auto" w:fill="BFBFBF" w:themeFill="background1" w:themeFillShade="BF"/>
          </w:tcPr>
          <w:p w14:paraId="442D949C" w14:textId="295942FC" w:rsidR="00B27CFF" w:rsidRPr="00DC58A8" w:rsidRDefault="00B27CFF" w:rsidP="00B37F6B">
            <w:pPr>
              <w:keepNext/>
              <w:rPr>
                <w:b/>
                <w:bCs/>
                <w:sz w:val="20"/>
                <w:szCs w:val="20"/>
              </w:rPr>
            </w:pPr>
            <w:r w:rsidRPr="00DC58A8">
              <w:rPr>
                <w:b/>
                <w:bCs/>
                <w:sz w:val="20"/>
                <w:szCs w:val="20"/>
              </w:rPr>
              <w:t>Lower</w:t>
            </w:r>
          </w:p>
        </w:tc>
        <w:tc>
          <w:tcPr>
            <w:tcW w:w="1790" w:type="dxa"/>
            <w:shd w:val="clear" w:color="auto" w:fill="BFBFBF" w:themeFill="background1" w:themeFillShade="BF"/>
          </w:tcPr>
          <w:p w14:paraId="23AB0422" w14:textId="53C28FCC" w:rsidR="00B27CFF" w:rsidRPr="00DC58A8" w:rsidRDefault="00B27CFF" w:rsidP="00B37F6B">
            <w:pPr>
              <w:keepNext/>
              <w:rPr>
                <w:b/>
                <w:bCs/>
                <w:sz w:val="20"/>
                <w:szCs w:val="20"/>
              </w:rPr>
            </w:pPr>
            <w:r w:rsidRPr="00DC58A8">
              <w:rPr>
                <w:b/>
                <w:bCs/>
                <w:sz w:val="20"/>
                <w:szCs w:val="20"/>
              </w:rPr>
              <w:t>Upper</w:t>
            </w:r>
          </w:p>
        </w:tc>
      </w:tr>
      <w:tr w:rsidR="00B27CFF" w:rsidRPr="00723662" w14:paraId="4750F0AC" w14:textId="77777777" w:rsidTr="00DC58A8">
        <w:tc>
          <w:tcPr>
            <w:tcW w:w="1789" w:type="dxa"/>
          </w:tcPr>
          <w:p w14:paraId="565B1E87" w14:textId="77777777" w:rsidR="00B27CFF" w:rsidRPr="00DC58A8" w:rsidRDefault="00B27CFF" w:rsidP="00B37F6B">
            <w:pPr>
              <w:keepNext/>
              <w:rPr>
                <w:sz w:val="20"/>
                <w:szCs w:val="20"/>
              </w:rPr>
            </w:pPr>
            <w:r w:rsidRPr="00DC58A8">
              <w:rPr>
                <w:sz w:val="20"/>
                <w:szCs w:val="20"/>
              </w:rPr>
              <w:t>75</w:t>
            </w:r>
          </w:p>
        </w:tc>
        <w:tc>
          <w:tcPr>
            <w:tcW w:w="1789" w:type="dxa"/>
            <w:vAlign w:val="center"/>
          </w:tcPr>
          <w:p w14:paraId="00AF0B5F" w14:textId="1314E2AC" w:rsidR="00B27CFF" w:rsidRPr="00DC58A8" w:rsidRDefault="00B27CFF" w:rsidP="00B37F6B">
            <w:pPr>
              <w:keepNext/>
              <w:jc w:val="center"/>
              <w:rPr>
                <w:sz w:val="20"/>
                <w:szCs w:val="20"/>
              </w:rPr>
            </w:pPr>
          </w:p>
        </w:tc>
        <w:tc>
          <w:tcPr>
            <w:tcW w:w="1789" w:type="dxa"/>
            <w:vAlign w:val="center"/>
          </w:tcPr>
          <w:p w14:paraId="5653E552" w14:textId="77777777" w:rsidR="00B27CFF" w:rsidRPr="00DC58A8" w:rsidRDefault="00B27CFF" w:rsidP="00B37F6B">
            <w:pPr>
              <w:keepNext/>
              <w:jc w:val="center"/>
              <w:rPr>
                <w:sz w:val="20"/>
                <w:szCs w:val="20"/>
              </w:rPr>
            </w:pPr>
            <w:r w:rsidRPr="00DC58A8">
              <w:rPr>
                <w:sz w:val="20"/>
                <w:szCs w:val="20"/>
              </w:rPr>
              <w:t>LOGLOG</w:t>
            </w:r>
          </w:p>
        </w:tc>
        <w:tc>
          <w:tcPr>
            <w:tcW w:w="1790" w:type="dxa"/>
            <w:vAlign w:val="center"/>
          </w:tcPr>
          <w:p w14:paraId="6B916244" w14:textId="77777777" w:rsidR="00B27CFF" w:rsidRPr="00DC58A8" w:rsidRDefault="00B27CFF" w:rsidP="00B37F6B">
            <w:pPr>
              <w:keepNext/>
              <w:jc w:val="center"/>
              <w:rPr>
                <w:sz w:val="20"/>
                <w:szCs w:val="20"/>
              </w:rPr>
            </w:pPr>
            <w:r w:rsidRPr="00DC58A8">
              <w:rPr>
                <w:sz w:val="20"/>
                <w:szCs w:val="20"/>
              </w:rPr>
              <w:t>.</w:t>
            </w:r>
          </w:p>
        </w:tc>
        <w:tc>
          <w:tcPr>
            <w:tcW w:w="1790" w:type="dxa"/>
            <w:vAlign w:val="center"/>
          </w:tcPr>
          <w:p w14:paraId="4373AA16" w14:textId="77777777" w:rsidR="00B27CFF" w:rsidRPr="00DC58A8" w:rsidRDefault="00B27CFF" w:rsidP="00B37F6B">
            <w:pPr>
              <w:keepNext/>
              <w:jc w:val="center"/>
              <w:rPr>
                <w:sz w:val="20"/>
                <w:szCs w:val="20"/>
              </w:rPr>
            </w:pPr>
            <w:r w:rsidRPr="00DC58A8">
              <w:rPr>
                <w:sz w:val="20"/>
                <w:szCs w:val="20"/>
              </w:rPr>
              <w:t>.</w:t>
            </w:r>
          </w:p>
        </w:tc>
      </w:tr>
      <w:tr w:rsidR="00B27CFF" w:rsidRPr="00723662" w14:paraId="48504E46" w14:textId="77777777" w:rsidTr="00DC58A8">
        <w:tc>
          <w:tcPr>
            <w:tcW w:w="1789" w:type="dxa"/>
          </w:tcPr>
          <w:p w14:paraId="072DD8CB" w14:textId="77777777" w:rsidR="00B27CFF" w:rsidRPr="00DC58A8" w:rsidRDefault="00B27CFF" w:rsidP="00B37F6B">
            <w:pPr>
              <w:keepNext/>
              <w:rPr>
                <w:sz w:val="20"/>
                <w:szCs w:val="20"/>
              </w:rPr>
            </w:pPr>
            <w:r w:rsidRPr="00DC58A8">
              <w:rPr>
                <w:sz w:val="20"/>
                <w:szCs w:val="20"/>
              </w:rPr>
              <w:t>50</w:t>
            </w:r>
          </w:p>
        </w:tc>
        <w:tc>
          <w:tcPr>
            <w:tcW w:w="1789" w:type="dxa"/>
            <w:vAlign w:val="center"/>
          </w:tcPr>
          <w:p w14:paraId="04E2A337" w14:textId="461D5125" w:rsidR="00B27CFF" w:rsidRPr="00DC58A8" w:rsidRDefault="00B27CFF" w:rsidP="00B37F6B">
            <w:pPr>
              <w:keepNext/>
              <w:jc w:val="center"/>
              <w:rPr>
                <w:sz w:val="20"/>
                <w:szCs w:val="20"/>
              </w:rPr>
            </w:pPr>
            <w:r w:rsidRPr="00DC58A8">
              <w:rPr>
                <w:sz w:val="20"/>
                <w:szCs w:val="20"/>
              </w:rPr>
              <w:t>3.07</w:t>
            </w:r>
          </w:p>
        </w:tc>
        <w:tc>
          <w:tcPr>
            <w:tcW w:w="1789" w:type="dxa"/>
            <w:vAlign w:val="center"/>
          </w:tcPr>
          <w:p w14:paraId="059C22B1" w14:textId="77777777" w:rsidR="00B27CFF" w:rsidRPr="00DC58A8" w:rsidRDefault="00B27CFF" w:rsidP="00B37F6B">
            <w:pPr>
              <w:keepNext/>
              <w:jc w:val="center"/>
              <w:rPr>
                <w:sz w:val="20"/>
                <w:szCs w:val="20"/>
              </w:rPr>
            </w:pPr>
            <w:r w:rsidRPr="00DC58A8">
              <w:rPr>
                <w:sz w:val="20"/>
                <w:szCs w:val="20"/>
              </w:rPr>
              <w:t>LOGLOG</w:t>
            </w:r>
          </w:p>
        </w:tc>
        <w:tc>
          <w:tcPr>
            <w:tcW w:w="1790" w:type="dxa"/>
            <w:vAlign w:val="center"/>
          </w:tcPr>
          <w:p w14:paraId="51EB8C22" w14:textId="6DBEC29E" w:rsidR="00B27CFF" w:rsidRPr="00DC58A8" w:rsidRDefault="00B27CFF" w:rsidP="00B37F6B">
            <w:pPr>
              <w:keepNext/>
              <w:jc w:val="center"/>
              <w:rPr>
                <w:sz w:val="20"/>
                <w:szCs w:val="20"/>
              </w:rPr>
            </w:pPr>
            <w:r w:rsidRPr="00DC58A8">
              <w:rPr>
                <w:sz w:val="20"/>
                <w:szCs w:val="20"/>
              </w:rPr>
              <w:t>3.05</w:t>
            </w:r>
          </w:p>
        </w:tc>
        <w:tc>
          <w:tcPr>
            <w:tcW w:w="1790" w:type="dxa"/>
            <w:vAlign w:val="center"/>
          </w:tcPr>
          <w:p w14:paraId="546BD828" w14:textId="4A3D20DB" w:rsidR="00B27CFF" w:rsidRPr="00DC58A8" w:rsidRDefault="00B27CFF" w:rsidP="00B37F6B">
            <w:pPr>
              <w:keepNext/>
              <w:jc w:val="center"/>
              <w:rPr>
                <w:sz w:val="20"/>
                <w:szCs w:val="20"/>
              </w:rPr>
            </w:pPr>
            <w:r w:rsidRPr="00DC58A8">
              <w:rPr>
                <w:sz w:val="20"/>
                <w:szCs w:val="20"/>
              </w:rPr>
              <w:t>3.10</w:t>
            </w:r>
          </w:p>
        </w:tc>
      </w:tr>
      <w:tr w:rsidR="00B27CFF" w:rsidRPr="00723662" w14:paraId="7C0E0D32" w14:textId="77777777" w:rsidTr="00DC58A8">
        <w:tc>
          <w:tcPr>
            <w:tcW w:w="1789" w:type="dxa"/>
          </w:tcPr>
          <w:p w14:paraId="4BD7A1CE" w14:textId="77777777" w:rsidR="00B27CFF" w:rsidRPr="00DC58A8" w:rsidRDefault="00B27CFF" w:rsidP="00B27CFF">
            <w:pPr>
              <w:rPr>
                <w:sz w:val="20"/>
                <w:szCs w:val="20"/>
              </w:rPr>
            </w:pPr>
            <w:r w:rsidRPr="00DC58A8">
              <w:rPr>
                <w:sz w:val="20"/>
                <w:szCs w:val="20"/>
              </w:rPr>
              <w:t>25</w:t>
            </w:r>
          </w:p>
        </w:tc>
        <w:tc>
          <w:tcPr>
            <w:tcW w:w="1789" w:type="dxa"/>
            <w:vAlign w:val="center"/>
          </w:tcPr>
          <w:p w14:paraId="2A673587" w14:textId="26225C55" w:rsidR="00B27CFF" w:rsidRPr="00DC58A8" w:rsidRDefault="00B27CFF" w:rsidP="00DC58A8">
            <w:pPr>
              <w:jc w:val="center"/>
              <w:rPr>
                <w:sz w:val="20"/>
                <w:szCs w:val="20"/>
              </w:rPr>
            </w:pPr>
            <w:r w:rsidRPr="00DC58A8">
              <w:rPr>
                <w:sz w:val="20"/>
                <w:szCs w:val="20"/>
              </w:rPr>
              <w:t>0.95</w:t>
            </w:r>
          </w:p>
        </w:tc>
        <w:tc>
          <w:tcPr>
            <w:tcW w:w="1789" w:type="dxa"/>
            <w:vAlign w:val="center"/>
          </w:tcPr>
          <w:p w14:paraId="547D3FC7" w14:textId="77777777" w:rsidR="00B27CFF" w:rsidRPr="00DC58A8" w:rsidRDefault="00B27CFF" w:rsidP="00DC58A8">
            <w:pPr>
              <w:jc w:val="center"/>
              <w:rPr>
                <w:sz w:val="20"/>
                <w:szCs w:val="20"/>
              </w:rPr>
            </w:pPr>
            <w:r w:rsidRPr="00DC58A8">
              <w:rPr>
                <w:sz w:val="20"/>
                <w:szCs w:val="20"/>
              </w:rPr>
              <w:t>LOGLOG</w:t>
            </w:r>
          </w:p>
        </w:tc>
        <w:tc>
          <w:tcPr>
            <w:tcW w:w="1790" w:type="dxa"/>
            <w:vAlign w:val="center"/>
          </w:tcPr>
          <w:p w14:paraId="640496EC" w14:textId="0F3CFC81" w:rsidR="00B27CFF" w:rsidRPr="00DC58A8" w:rsidRDefault="00B27CFF" w:rsidP="00DC58A8">
            <w:pPr>
              <w:jc w:val="center"/>
              <w:rPr>
                <w:sz w:val="20"/>
                <w:szCs w:val="20"/>
              </w:rPr>
            </w:pPr>
            <w:r w:rsidRPr="00DC58A8">
              <w:rPr>
                <w:sz w:val="20"/>
                <w:szCs w:val="20"/>
              </w:rPr>
              <w:t>0.93</w:t>
            </w:r>
          </w:p>
        </w:tc>
        <w:tc>
          <w:tcPr>
            <w:tcW w:w="1790" w:type="dxa"/>
            <w:vAlign w:val="center"/>
          </w:tcPr>
          <w:p w14:paraId="1F1ECF93" w14:textId="31AF8940" w:rsidR="00B27CFF" w:rsidRPr="00DC58A8" w:rsidRDefault="00B27CFF" w:rsidP="00DC58A8">
            <w:pPr>
              <w:jc w:val="center"/>
              <w:rPr>
                <w:sz w:val="20"/>
                <w:szCs w:val="20"/>
              </w:rPr>
            </w:pPr>
            <w:r w:rsidRPr="00DC58A8">
              <w:rPr>
                <w:sz w:val="20"/>
                <w:szCs w:val="20"/>
              </w:rPr>
              <w:t>0.95</w:t>
            </w:r>
          </w:p>
        </w:tc>
      </w:tr>
    </w:tbl>
    <w:p w14:paraId="6C6F73EF" w14:textId="050D9AF7" w:rsidR="005F2970" w:rsidRDefault="005F2970" w:rsidP="00EC6200">
      <w:pPr>
        <w:tabs>
          <w:tab w:val="left" w:pos="2961"/>
          <w:tab w:val="left" w:pos="4984"/>
          <w:tab w:val="left" w:pos="7054"/>
        </w:tabs>
        <w:ind w:left="113"/>
      </w:pPr>
    </w:p>
    <w:p w14:paraId="0CACEA1F" w14:textId="021CDC44" w:rsidR="00723662" w:rsidRPr="00F508A0" w:rsidRDefault="00723662" w:rsidP="00F508A0">
      <w:pPr>
        <w:pStyle w:val="Tabletitle"/>
      </w:pPr>
      <w:r w:rsidRPr="00F508A0">
        <w:t xml:space="preserve">Table </w:t>
      </w:r>
      <w:r w:rsidR="00E65FFE">
        <w:t>10</w:t>
      </w:r>
      <w:r w:rsidRPr="00F508A0">
        <w:t xml:space="preserve">: Estimated mean from </w:t>
      </w:r>
      <w:r w:rsidRPr="00723662">
        <w:t>Kaplan Meier analysis</w:t>
      </w:r>
    </w:p>
    <w:tbl>
      <w:tblPr>
        <w:tblStyle w:val="TableGrid"/>
        <w:tblW w:w="0" w:type="auto"/>
        <w:tblLook w:val="04A0" w:firstRow="1" w:lastRow="0" w:firstColumn="1" w:lastColumn="0" w:noHBand="0" w:noVBand="1"/>
      </w:tblPr>
      <w:tblGrid>
        <w:gridCol w:w="1838"/>
        <w:gridCol w:w="2410"/>
      </w:tblGrid>
      <w:tr w:rsidR="005F2970" w:rsidRPr="00723662" w14:paraId="38A09FFC" w14:textId="77777777" w:rsidTr="00F508A0">
        <w:tc>
          <w:tcPr>
            <w:tcW w:w="1838" w:type="dxa"/>
            <w:shd w:val="clear" w:color="auto" w:fill="BFBFBF" w:themeFill="background1" w:themeFillShade="BF"/>
          </w:tcPr>
          <w:p w14:paraId="20CD159F" w14:textId="77777777" w:rsidR="005F2970" w:rsidRPr="00F508A0" w:rsidRDefault="005F2970" w:rsidP="00257E06">
            <w:pPr>
              <w:rPr>
                <w:b/>
                <w:bCs/>
                <w:sz w:val="20"/>
                <w:szCs w:val="20"/>
              </w:rPr>
            </w:pPr>
            <w:r w:rsidRPr="00F508A0">
              <w:rPr>
                <w:b/>
                <w:bCs/>
                <w:sz w:val="20"/>
                <w:szCs w:val="20"/>
              </w:rPr>
              <w:t>Mean</w:t>
            </w:r>
          </w:p>
        </w:tc>
        <w:tc>
          <w:tcPr>
            <w:tcW w:w="2410" w:type="dxa"/>
            <w:shd w:val="clear" w:color="auto" w:fill="BFBFBF" w:themeFill="background1" w:themeFillShade="BF"/>
          </w:tcPr>
          <w:p w14:paraId="76C32816" w14:textId="77777777" w:rsidR="005F2970" w:rsidRPr="00F508A0" w:rsidRDefault="005F2970" w:rsidP="00257E06">
            <w:pPr>
              <w:rPr>
                <w:b/>
                <w:bCs/>
                <w:sz w:val="20"/>
                <w:szCs w:val="20"/>
              </w:rPr>
            </w:pPr>
            <w:r w:rsidRPr="00F508A0">
              <w:rPr>
                <w:b/>
                <w:bCs/>
                <w:sz w:val="20"/>
                <w:szCs w:val="20"/>
              </w:rPr>
              <w:t>Standard Error</w:t>
            </w:r>
          </w:p>
        </w:tc>
      </w:tr>
      <w:tr w:rsidR="005F2970" w:rsidRPr="00723662" w14:paraId="26EA733F" w14:textId="77777777" w:rsidTr="00F508A0">
        <w:tc>
          <w:tcPr>
            <w:tcW w:w="1838" w:type="dxa"/>
          </w:tcPr>
          <w:p w14:paraId="05266A93" w14:textId="3631326B" w:rsidR="005F2970" w:rsidRPr="00F508A0" w:rsidRDefault="005F2970" w:rsidP="00257E06">
            <w:pPr>
              <w:rPr>
                <w:sz w:val="20"/>
                <w:szCs w:val="20"/>
              </w:rPr>
            </w:pPr>
            <w:r w:rsidRPr="00F508A0">
              <w:rPr>
                <w:sz w:val="20"/>
                <w:szCs w:val="20"/>
              </w:rPr>
              <w:t>3.04</w:t>
            </w:r>
          </w:p>
        </w:tc>
        <w:tc>
          <w:tcPr>
            <w:tcW w:w="2410" w:type="dxa"/>
          </w:tcPr>
          <w:p w14:paraId="2DD3480B" w14:textId="1868085E" w:rsidR="005F2970" w:rsidRPr="00F508A0" w:rsidRDefault="005F2970" w:rsidP="00257E06">
            <w:pPr>
              <w:rPr>
                <w:sz w:val="20"/>
                <w:szCs w:val="20"/>
              </w:rPr>
            </w:pPr>
            <w:r w:rsidRPr="00F508A0">
              <w:rPr>
                <w:sz w:val="20"/>
                <w:szCs w:val="20"/>
              </w:rPr>
              <w:t>0.004</w:t>
            </w:r>
          </w:p>
        </w:tc>
      </w:tr>
    </w:tbl>
    <w:p w14:paraId="274030B5" w14:textId="6DCD3E5A" w:rsidR="000A406C" w:rsidRPr="00062AC3" w:rsidRDefault="00A9467E" w:rsidP="00062AC3">
      <w:pPr>
        <w:pStyle w:val="Notes"/>
      </w:pPr>
      <w:r w:rsidRPr="00A9467E">
        <w:t>Note:</w:t>
      </w:r>
      <w:r w:rsidR="001D7901">
        <w:t xml:space="preserve"> </w:t>
      </w:r>
      <w:r w:rsidRPr="00A9467E">
        <w:t xml:space="preserve">The mean </w:t>
      </w:r>
      <w:r w:rsidR="00CA623A">
        <w:t>length of treatment</w:t>
      </w:r>
      <w:r w:rsidRPr="00A9467E">
        <w:t xml:space="preserve"> and its standard error were underestimated because the largest observation was censored and the estimation was restricted to the largest event time.</w:t>
      </w:r>
    </w:p>
    <w:p w14:paraId="3555DFBA" w14:textId="60E8E761" w:rsidR="00591512" w:rsidRDefault="00AB3733" w:rsidP="00F73113">
      <w:pPr>
        <w:pStyle w:val="Heading1"/>
      </w:pPr>
      <w:r>
        <w:t>D</w:t>
      </w:r>
      <w:r w:rsidR="007346C7" w:rsidRPr="005E22C2">
        <w:t>iscussion</w:t>
      </w:r>
    </w:p>
    <w:p w14:paraId="0901511C" w14:textId="2B6BFDFC" w:rsidR="00285CE0" w:rsidRDefault="00E05E1E" w:rsidP="00F1132C">
      <w:r w:rsidRPr="00527E03">
        <w:t xml:space="preserve">Despite the medicines shortages of semaglutide and </w:t>
      </w:r>
      <w:r w:rsidR="00C96E8D" w:rsidRPr="00527E03">
        <w:t xml:space="preserve">dulaglutide, the use of </w:t>
      </w:r>
      <w:r w:rsidR="00C96E8D" w:rsidRPr="0084057D">
        <w:t>GLP-1s w</w:t>
      </w:r>
      <w:r w:rsidR="00C96E8D" w:rsidRPr="00527E03">
        <w:t xml:space="preserve">ithin the </w:t>
      </w:r>
      <w:r w:rsidR="006E5194" w:rsidRPr="006E5194">
        <w:t xml:space="preserve">T2DM </w:t>
      </w:r>
      <w:r w:rsidR="00C96E8D" w:rsidRPr="00527E03">
        <w:t xml:space="preserve">market </w:t>
      </w:r>
      <w:r w:rsidR="00BF096D">
        <w:t>wa</w:t>
      </w:r>
      <w:r w:rsidR="00C96E8D" w:rsidRPr="0084057D">
        <w:t>s increasing</w:t>
      </w:r>
      <w:r w:rsidR="00285CE0" w:rsidRPr="00285CE0">
        <w:t xml:space="preserve"> </w:t>
      </w:r>
      <w:r w:rsidR="00285CE0">
        <w:t xml:space="preserve">and </w:t>
      </w:r>
      <w:r w:rsidR="00285CE0" w:rsidRPr="0084057D">
        <w:t xml:space="preserve">the </w:t>
      </w:r>
      <w:r w:rsidR="00285CE0">
        <w:t xml:space="preserve">number of supplied prescriptions and patients treated with </w:t>
      </w:r>
      <w:r w:rsidR="00285CE0" w:rsidRPr="0084057D">
        <w:t>these medicines ha</w:t>
      </w:r>
      <w:r w:rsidR="00730EB4">
        <w:t>d</w:t>
      </w:r>
      <w:r w:rsidR="00285CE0" w:rsidRPr="0084057D">
        <w:t xml:space="preserve"> increased beyond the</w:t>
      </w:r>
      <w:r w:rsidR="00285CE0">
        <w:t xml:space="preserve"> previous use of exenatide</w:t>
      </w:r>
      <w:r w:rsidR="00C96E8D" w:rsidRPr="0084057D">
        <w:t xml:space="preserve">. </w:t>
      </w:r>
      <w:r w:rsidR="00A645EF" w:rsidRPr="006772FF">
        <w:t xml:space="preserve">Semaglutide </w:t>
      </w:r>
      <w:r w:rsidR="005740C2">
        <w:t>wa</w:t>
      </w:r>
      <w:r w:rsidR="00A645EF" w:rsidRPr="006772FF">
        <w:t xml:space="preserve">s the most used GLP-1, accounting for 83% of the prescriptions supplied in 2023. </w:t>
      </w:r>
    </w:p>
    <w:p w14:paraId="6765DF5C" w14:textId="2D893361" w:rsidR="00C6263C" w:rsidRDefault="00C6263C" w:rsidP="00F1132C">
      <w:r w:rsidRPr="0084057D">
        <w:t>Semaglutide and dulaglutide were both recommended on a cost minimisation basis</w:t>
      </w:r>
      <w:r>
        <w:t xml:space="preserve">, </w:t>
      </w:r>
      <w:r w:rsidR="002822C3">
        <w:t>although in its first recommendation of dulaglutide the PB</w:t>
      </w:r>
      <w:r w:rsidR="004E3515">
        <w:t>AC</w:t>
      </w:r>
      <w:r w:rsidR="002822C3">
        <w:t xml:space="preserve"> did consider that </w:t>
      </w:r>
      <w:r w:rsidR="002822C3" w:rsidRPr="002822C3">
        <w:t xml:space="preserve">the overall market for GLP-1 inhibitors may grow as a result of </w:t>
      </w:r>
      <w:r w:rsidR="004E3515">
        <w:t>the PBS listing of dulaglutide.</w:t>
      </w:r>
    </w:p>
    <w:p w14:paraId="33E1B5D2" w14:textId="6FCBCE20" w:rsidR="00E027AE" w:rsidRDefault="00E027AE" w:rsidP="00F1132C">
      <w:r w:rsidRPr="00E027AE">
        <w:t>It appear</w:t>
      </w:r>
      <w:r w:rsidR="00F51448">
        <w:t>ed</w:t>
      </w:r>
      <w:r w:rsidRPr="00E027AE">
        <w:t xml:space="preserve"> that GP prescribing of semaglutide and dulaglutide ha</w:t>
      </w:r>
      <w:r w:rsidR="00CD0437">
        <w:t>d</w:t>
      </w:r>
      <w:r w:rsidRPr="00E027AE">
        <w:t xml:space="preserve"> increased and prescribing by specialists ha</w:t>
      </w:r>
      <w:r w:rsidR="00F667E6">
        <w:t>d</w:t>
      </w:r>
      <w:r w:rsidRPr="00E027AE">
        <w:t xml:space="preserve"> decreased</w:t>
      </w:r>
      <w:r w:rsidR="00CE0ECA">
        <w:t xml:space="preserve"> over the last six years</w:t>
      </w:r>
      <w:r w:rsidRPr="00E027AE">
        <w:t>.</w:t>
      </w:r>
      <w:r w:rsidR="00D02E9F">
        <w:t xml:space="preserve"> </w:t>
      </w:r>
      <w:r w:rsidR="00A92680">
        <w:t>I</w:t>
      </w:r>
      <w:r w:rsidR="00D02E9F" w:rsidRPr="00D02E9F">
        <w:t xml:space="preserve">n 2018, 46% </w:t>
      </w:r>
      <w:r w:rsidR="00A92680">
        <w:t xml:space="preserve">of patients initiated to dulaglutide </w:t>
      </w:r>
      <w:r w:rsidR="00D02E9F" w:rsidRPr="00D02E9F">
        <w:t>were initiated by GPs and 50% of patients were initiated by Endocrinology or Internal Medicine specialists</w:t>
      </w:r>
      <w:r w:rsidR="00A92680">
        <w:t>. O</w:t>
      </w:r>
      <w:r w:rsidR="00D02E9F" w:rsidRPr="00D02E9F">
        <w:t xml:space="preserve">f the patients who initiated </w:t>
      </w:r>
      <w:r w:rsidR="00A92680" w:rsidRPr="00A92680">
        <w:t xml:space="preserve">semaglutide </w:t>
      </w:r>
      <w:r w:rsidR="00A92680">
        <w:t>or</w:t>
      </w:r>
      <w:r w:rsidR="00A92680" w:rsidRPr="00A92680">
        <w:t xml:space="preserve"> dulaglutide </w:t>
      </w:r>
      <w:r w:rsidR="00D02E9F" w:rsidRPr="00D02E9F">
        <w:t>in 2023, 81% were initiated by GPs and 13% of patients were initiated by Endocrinology or Internal Medicine specialists.</w:t>
      </w:r>
      <w:r w:rsidR="00D02E9F">
        <w:t xml:space="preserve"> </w:t>
      </w:r>
      <w:r w:rsidR="006F26A0">
        <w:t xml:space="preserve">The PBS restrictions for </w:t>
      </w:r>
      <w:r w:rsidR="006F26A0" w:rsidRPr="006F26A0">
        <w:t>semaglutide and dulaglutide</w:t>
      </w:r>
      <w:r w:rsidR="006F26A0">
        <w:t xml:space="preserve"> do not limit prescribing to specialists, however the reason for this increase is unclear.</w:t>
      </w:r>
    </w:p>
    <w:p w14:paraId="5FE09A42" w14:textId="261D8EF0" w:rsidR="005251BF" w:rsidRDefault="0062387F" w:rsidP="00F1132C">
      <w:r w:rsidRPr="0062387F">
        <w:t>It appears there may be more younger patients initiating these medicines as the mean age decreased in every year except 2021. The percentage of patients in the 20-39 year old group ha</w:t>
      </w:r>
      <w:r w:rsidR="00B041B2">
        <w:t>d</w:t>
      </w:r>
      <w:r w:rsidRPr="0062387F">
        <w:t xml:space="preserve"> almost doubled from 2018, with 5.8% of patients aged 20-39 years old in 2018 and 9.8% of patients aged 20-39 years old in 2023.</w:t>
      </w:r>
      <w:r>
        <w:t xml:space="preserve"> This </w:t>
      </w:r>
      <w:r w:rsidR="000A6D38">
        <w:t xml:space="preserve">may be due to </w:t>
      </w:r>
      <w:r w:rsidR="00267E5B">
        <w:t xml:space="preserve">a combination of factors such as </w:t>
      </w:r>
      <w:r w:rsidR="000A6D38">
        <w:t xml:space="preserve">younger patients </w:t>
      </w:r>
      <w:r w:rsidR="000B74E9">
        <w:t xml:space="preserve">being diagnosed </w:t>
      </w:r>
      <w:r w:rsidR="00267E5B">
        <w:t>with T2DM, and</w:t>
      </w:r>
      <w:r w:rsidR="00FD7BF4">
        <w:t xml:space="preserve"> </w:t>
      </w:r>
      <w:r w:rsidR="00920F82">
        <w:t xml:space="preserve">younger people being exposed to </w:t>
      </w:r>
      <w:r w:rsidR="0023359F">
        <w:t>information regarding weight loss due to semaglutide through</w:t>
      </w:r>
      <w:r w:rsidR="00267E5B">
        <w:t xml:space="preserve"> social media</w:t>
      </w:r>
      <w:r w:rsidR="0023359F">
        <w:t>.</w:t>
      </w:r>
      <w:r w:rsidR="00B27076" w:rsidRPr="003A134F">
        <w:rPr>
          <w:vertAlign w:val="superscript"/>
        </w:rPr>
        <w:fldChar w:fldCharType="begin"/>
      </w:r>
      <w:r w:rsidR="00B27076" w:rsidRPr="003A134F">
        <w:rPr>
          <w:vertAlign w:val="superscript"/>
        </w:rPr>
        <w:instrText xml:space="preserve"> NOTEREF _Ref166065466 \h </w:instrText>
      </w:r>
      <w:r w:rsidR="009B7C57">
        <w:rPr>
          <w:vertAlign w:val="superscript"/>
        </w:rPr>
        <w:instrText xml:space="preserve"> \* MERGEFORMAT </w:instrText>
      </w:r>
      <w:r w:rsidR="00B27076" w:rsidRPr="003A134F">
        <w:rPr>
          <w:vertAlign w:val="superscript"/>
        </w:rPr>
      </w:r>
      <w:r w:rsidR="00B27076" w:rsidRPr="003A134F">
        <w:rPr>
          <w:vertAlign w:val="superscript"/>
        </w:rPr>
        <w:fldChar w:fldCharType="separate"/>
      </w:r>
      <w:r w:rsidR="004A0573">
        <w:rPr>
          <w:vertAlign w:val="superscript"/>
        </w:rPr>
        <w:t>8</w:t>
      </w:r>
      <w:r w:rsidR="00B27076" w:rsidRPr="003A134F">
        <w:rPr>
          <w:vertAlign w:val="superscript"/>
        </w:rPr>
        <w:fldChar w:fldCharType="end"/>
      </w:r>
      <w:r w:rsidR="00FF4E83">
        <w:rPr>
          <w:vertAlign w:val="superscript"/>
        </w:rPr>
        <w:t>,</w:t>
      </w:r>
      <w:r w:rsidR="00454C19">
        <w:rPr>
          <w:vertAlign w:val="superscript"/>
        </w:rPr>
        <w:fldChar w:fldCharType="begin"/>
      </w:r>
      <w:r w:rsidR="00454C19">
        <w:rPr>
          <w:vertAlign w:val="superscript"/>
        </w:rPr>
        <w:instrText xml:space="preserve"> NOTEREF _Ref166078204 \h </w:instrText>
      </w:r>
      <w:r w:rsidR="00454C19">
        <w:rPr>
          <w:vertAlign w:val="superscript"/>
        </w:rPr>
      </w:r>
      <w:r w:rsidR="00454C19">
        <w:rPr>
          <w:vertAlign w:val="superscript"/>
        </w:rPr>
        <w:fldChar w:fldCharType="separate"/>
      </w:r>
      <w:r w:rsidR="004A0573">
        <w:rPr>
          <w:vertAlign w:val="superscript"/>
        </w:rPr>
        <w:t>9</w:t>
      </w:r>
      <w:r w:rsidR="00454C19">
        <w:rPr>
          <w:vertAlign w:val="superscript"/>
        </w:rPr>
        <w:fldChar w:fldCharType="end"/>
      </w:r>
    </w:p>
    <w:p w14:paraId="486E0513" w14:textId="0C70B4B2" w:rsidR="00ED48F4" w:rsidRPr="00527E03" w:rsidRDefault="00C96608" w:rsidP="00F1132C">
      <w:r w:rsidRPr="00527E03">
        <w:t xml:space="preserve">The shortage </w:t>
      </w:r>
      <w:r w:rsidR="00EE740A" w:rsidRPr="00527E03">
        <w:t>of semaglutide and dulaglutide</w:t>
      </w:r>
      <w:r w:rsidR="00E03FA6">
        <w:t>,</w:t>
      </w:r>
      <w:r w:rsidR="00EE740A" w:rsidRPr="00527E03">
        <w:t xml:space="preserve"> </w:t>
      </w:r>
      <w:r w:rsidR="00C2212B">
        <w:t xml:space="preserve">which </w:t>
      </w:r>
      <w:r w:rsidR="00E03FA6">
        <w:t xml:space="preserve">was </w:t>
      </w:r>
      <w:r w:rsidR="00C2212B">
        <w:t>first reported in 2022</w:t>
      </w:r>
      <w:r w:rsidR="00E03FA6">
        <w:t>,</w:t>
      </w:r>
      <w:r w:rsidR="00C2212B">
        <w:t xml:space="preserve"> </w:t>
      </w:r>
      <w:r w:rsidR="00EE740A" w:rsidRPr="00527E03">
        <w:t>appear</w:t>
      </w:r>
      <w:r w:rsidR="00EB4EF9">
        <w:t>ed</w:t>
      </w:r>
      <w:r w:rsidR="00EE740A" w:rsidRPr="00527E03">
        <w:t xml:space="preserve"> to have </w:t>
      </w:r>
      <w:r w:rsidR="00032C40" w:rsidRPr="00527E03">
        <w:t xml:space="preserve">impacted use, by reducing the number of initiating </w:t>
      </w:r>
      <w:r w:rsidR="00194D83" w:rsidRPr="00527E03">
        <w:t>and treated patients, and causing</w:t>
      </w:r>
      <w:r w:rsidR="00E663EA">
        <w:t xml:space="preserve"> an increase in the number of patients </w:t>
      </w:r>
      <w:r w:rsidR="00F06B6F">
        <w:t>initiating</w:t>
      </w:r>
      <w:r w:rsidR="00194D83" w:rsidRPr="00527E03">
        <w:t xml:space="preserve"> flozins and gliptins </w:t>
      </w:r>
      <w:r w:rsidR="00F06B6F">
        <w:t>following supplies of GL</w:t>
      </w:r>
      <w:r w:rsidR="000D5501">
        <w:t>P</w:t>
      </w:r>
      <w:r w:rsidR="000D5501">
        <w:noBreakHyphen/>
      </w:r>
      <w:r w:rsidR="00F06B6F">
        <w:t>1</w:t>
      </w:r>
      <w:r w:rsidR="000D5501">
        <w:t>s</w:t>
      </w:r>
      <w:r w:rsidR="00194D83" w:rsidRPr="00527E03">
        <w:t xml:space="preserve">. </w:t>
      </w:r>
    </w:p>
    <w:p w14:paraId="4ED21B10" w14:textId="75921DA3" w:rsidR="00FD34C5" w:rsidRDefault="00855FAA" w:rsidP="00F1132C">
      <w:pPr>
        <w:rPr>
          <w:highlight w:val="yellow"/>
        </w:rPr>
      </w:pPr>
      <w:r w:rsidRPr="00E03FA6">
        <w:lastRenderedPageBreak/>
        <w:t>It appear</w:t>
      </w:r>
      <w:r w:rsidR="00D41C55">
        <w:t>ed</w:t>
      </w:r>
      <w:r w:rsidRPr="00E03FA6">
        <w:t xml:space="preserve"> that</w:t>
      </w:r>
      <w:r w:rsidR="002C1277">
        <w:t xml:space="preserve"> there</w:t>
      </w:r>
      <w:r w:rsidRPr="00E03FA6">
        <w:t xml:space="preserve"> </w:t>
      </w:r>
      <w:r w:rsidR="00D84DDC">
        <w:t>ha</w:t>
      </w:r>
      <w:r w:rsidR="003468D9">
        <w:t>d</w:t>
      </w:r>
      <w:r w:rsidR="00D84DDC">
        <w:t xml:space="preserve"> likely been</w:t>
      </w:r>
      <w:r w:rsidRPr="00E03FA6">
        <w:t xml:space="preserve"> </w:t>
      </w:r>
      <w:r w:rsidR="00D84DDC">
        <w:t>use</w:t>
      </w:r>
      <w:r w:rsidRPr="00E03FA6">
        <w:t xml:space="preserve"> of GLP</w:t>
      </w:r>
      <w:r w:rsidR="00700EAC">
        <w:t>-</w:t>
      </w:r>
      <w:r w:rsidRPr="00E03FA6">
        <w:t xml:space="preserve">1s outside the PBS restrictions, as </w:t>
      </w:r>
      <w:r w:rsidR="00E839C8" w:rsidRPr="00E03FA6">
        <w:t>1</w:t>
      </w:r>
      <w:r w:rsidR="00575AE5">
        <w:t>2</w:t>
      </w:r>
      <w:r w:rsidR="00E839C8" w:rsidRPr="00E03FA6">
        <w:t xml:space="preserve">% of patients who initiated semaglutide in 2023 had no </w:t>
      </w:r>
      <w:r w:rsidR="00816B85" w:rsidRPr="00E03FA6">
        <w:t xml:space="preserve">prior </w:t>
      </w:r>
      <w:r w:rsidR="00E839C8" w:rsidRPr="00E03FA6">
        <w:t>supplies of any other diabetes medicine</w:t>
      </w:r>
      <w:r w:rsidR="00883AA1" w:rsidRPr="00E03FA6">
        <w:t>, including metformin and insulin</w:t>
      </w:r>
      <w:r w:rsidR="00D15518" w:rsidRPr="00E03FA6">
        <w:t xml:space="preserve">, and </w:t>
      </w:r>
      <w:r w:rsidR="006B3877" w:rsidRPr="00E03FA6">
        <w:t>42%</w:t>
      </w:r>
      <w:r w:rsidR="00D703B8" w:rsidRPr="00E03FA6">
        <w:t xml:space="preserve"> of patients supplied </w:t>
      </w:r>
      <w:r w:rsidR="00D703B8" w:rsidRPr="008C20BB">
        <w:t xml:space="preserve">a GLP-1 </w:t>
      </w:r>
      <w:r w:rsidR="00D15518" w:rsidRPr="008C20BB">
        <w:t>in 2023</w:t>
      </w:r>
      <w:r w:rsidR="008B14BA" w:rsidRPr="008C20BB">
        <w:t xml:space="preserve"> were not supplied</w:t>
      </w:r>
      <w:r w:rsidR="00D15518" w:rsidRPr="008C20BB">
        <w:t xml:space="preserve"> </w:t>
      </w:r>
      <w:r w:rsidR="00D703B8" w:rsidRPr="008C20BB">
        <w:t>concomitant use of metformin, SU or insulin</w:t>
      </w:r>
      <w:r w:rsidR="0044645E" w:rsidRPr="008C20BB">
        <w:t xml:space="preserve">. This may </w:t>
      </w:r>
      <w:r w:rsidR="002C1277">
        <w:t xml:space="preserve">indicate </w:t>
      </w:r>
      <w:r w:rsidR="0044645E" w:rsidRPr="008C20BB">
        <w:t>that there were</w:t>
      </w:r>
      <w:r w:rsidR="0044645E">
        <w:t xml:space="preserve"> patients supplied </w:t>
      </w:r>
      <w:r w:rsidR="00E37F02">
        <w:t>a GLP-1 through the PBS for a reason other than diabetes management.</w:t>
      </w:r>
      <w:r w:rsidR="0044645E">
        <w:t xml:space="preserve"> </w:t>
      </w:r>
    </w:p>
    <w:p w14:paraId="11D01172" w14:textId="729755CF" w:rsidR="008B506C" w:rsidRDefault="008B506C" w:rsidP="008B506C">
      <w:pPr>
        <w:rPr>
          <w:highlight w:val="yellow"/>
        </w:rPr>
      </w:pPr>
      <w:r w:rsidRPr="00165CA7">
        <w:t xml:space="preserve">In July 2023, the PBAC recommended that </w:t>
      </w:r>
      <w:r w:rsidRPr="009C38A7">
        <w:t>the Authority</w:t>
      </w:r>
      <w:r w:rsidRPr="00D75E0A">
        <w:t xml:space="preserve"> </w:t>
      </w:r>
      <w:r w:rsidR="00F93CEC">
        <w:t>t</w:t>
      </w:r>
      <w:r w:rsidRPr="00D75E0A">
        <w:t>ype for GLP-1s, for therapy initiation for all indications, be changed from Authority Required (STREAMLINED) to Authority Required (Telephone/Online), but that continuing access should be via a streamlined authority</w:t>
      </w:r>
      <w:r>
        <w:t>. These changes ha</w:t>
      </w:r>
      <w:r w:rsidR="00FA3ED8">
        <w:t>d</w:t>
      </w:r>
      <w:r>
        <w:t xml:space="preserve"> not </w:t>
      </w:r>
      <w:r w:rsidRPr="001F7CC8">
        <w:t xml:space="preserve">yet </w:t>
      </w:r>
      <w:r w:rsidRPr="00165CA7">
        <w:t>been implemented</w:t>
      </w:r>
      <w:r>
        <w:t xml:space="preserve"> and may help to ensure GLP1-s are used to treat T2DM patients who require improved glycaemic control</w:t>
      </w:r>
      <w:r w:rsidRPr="00165CA7">
        <w:t>.</w:t>
      </w:r>
    </w:p>
    <w:p w14:paraId="47319491" w14:textId="77777777" w:rsidR="0045392B" w:rsidRDefault="0045392B" w:rsidP="0045392B">
      <w:pPr>
        <w:pStyle w:val="Heading1"/>
      </w:pPr>
      <w:r>
        <w:t>DUSC consideration</w:t>
      </w:r>
    </w:p>
    <w:p w14:paraId="0BEAFEE5" w14:textId="60903C12"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DUSC noted that the number of supplied prescriptions of GLP-1s ha</w:t>
      </w:r>
      <w:r w:rsidR="00255AC2">
        <w:rPr>
          <w:rFonts w:ascii="Calibri" w:eastAsia="Times New Roman" w:hAnsi="Calibri" w:cs="Calibri"/>
          <w:lang w:eastAsia="en-US"/>
        </w:rPr>
        <w:t>d</w:t>
      </w:r>
      <w:r w:rsidRPr="00230BEF">
        <w:rPr>
          <w:rFonts w:ascii="Calibri" w:eastAsia="Times New Roman" w:hAnsi="Calibri" w:cs="Calibri"/>
          <w:lang w:eastAsia="en-US"/>
        </w:rPr>
        <w:t xml:space="preserve"> increased over time, despite a temporary decrease in the fourth quarter of 2022 and the first quarter of 2023. DUSC noted that there were more prescriptions of GLP-1s than of sulfonylurea supplied in the third quarter of 2023, that the use of semaglutide and dulaglutide ha</w:t>
      </w:r>
      <w:r w:rsidR="00D531F5">
        <w:rPr>
          <w:rFonts w:ascii="Calibri" w:eastAsia="Times New Roman" w:hAnsi="Calibri" w:cs="Calibri"/>
          <w:lang w:eastAsia="en-US"/>
        </w:rPr>
        <w:t>d</w:t>
      </w:r>
      <w:r w:rsidRPr="00230BEF">
        <w:rPr>
          <w:rFonts w:ascii="Calibri" w:eastAsia="Times New Roman" w:hAnsi="Calibri" w:cs="Calibri"/>
          <w:lang w:eastAsia="en-US"/>
        </w:rPr>
        <w:t xml:space="preserve"> increased beyond the projected use of exenatide, and that semaglutide has a high proportion of the market share.</w:t>
      </w:r>
    </w:p>
    <w:p w14:paraId="51415156" w14:textId="77777777" w:rsidR="00740F2F" w:rsidRPr="00230BEF" w:rsidRDefault="00740F2F" w:rsidP="00740F2F">
      <w:pPr>
        <w:spacing w:after="0"/>
        <w:rPr>
          <w:rFonts w:ascii="Calibri" w:eastAsia="Times New Roman" w:hAnsi="Calibri" w:cs="Calibri"/>
          <w:lang w:eastAsia="en-US"/>
        </w:rPr>
      </w:pPr>
    </w:p>
    <w:p w14:paraId="51DA2848" w14:textId="77777777"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The report showed that there were 16,077 patients who initiated a flozin or a gliptin after treatment with semaglutide or dulaglutide in the fourth quarter of 2022, compared with 4,574 patients in the fourth quarter of 2021. DUSC agreed that it appeared there were patients previously treated with semaglutide or dulaglutide who initiated a flozin or gliptin due to the medicines shortage.</w:t>
      </w:r>
    </w:p>
    <w:p w14:paraId="39483C68" w14:textId="77777777" w:rsidR="00740F2F" w:rsidRPr="00230BEF" w:rsidRDefault="00740F2F" w:rsidP="00740F2F">
      <w:pPr>
        <w:spacing w:after="0"/>
        <w:rPr>
          <w:rFonts w:ascii="Calibri" w:eastAsia="Times New Roman" w:hAnsi="Calibri" w:cs="Calibri"/>
          <w:lang w:eastAsia="en-US"/>
        </w:rPr>
      </w:pPr>
    </w:p>
    <w:p w14:paraId="23422AFD" w14:textId="77777777"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 xml:space="preserve">The report showed that there were proportionally more female patients younger than 60 years old treated in 2023, and proportionally more male patients 60 years and older treated in 2023. The percentage of patients in the 20-39 year old group almost doubled from 2018, with 5.8% of patients aged 20-39 years old in 2018 and 9.8% of patients aged 20-39 years old in 2023. </w:t>
      </w:r>
    </w:p>
    <w:p w14:paraId="3C77F125" w14:textId="77777777" w:rsidR="00740F2F" w:rsidRPr="00230BEF" w:rsidRDefault="00740F2F" w:rsidP="00740F2F">
      <w:pPr>
        <w:spacing w:after="0"/>
        <w:rPr>
          <w:rFonts w:ascii="Calibri" w:eastAsia="Times New Roman" w:hAnsi="Calibri" w:cs="Calibri"/>
          <w:lang w:eastAsia="en-US"/>
        </w:rPr>
      </w:pPr>
    </w:p>
    <w:p w14:paraId="606AEBFC" w14:textId="32CC8C96"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The response from Eli Lilly Australia Pty Ltd, the sponsor of dulaglutide, noted, “Globally, there is a growing body of evidence highlighting a substantial increase in the prevalence of T2DM in patients aged &lt;40 years, also referred to as young-onset T2DM (Sadat, 2023; Xie et al., 2022). Furthermore, patients with young-onset T2DM experience a greater disease burden and higher lifetime risk of developing T2DM-associated complications than patients diagnosed with T2DM at later stages in life (Magliano et al., 2020).” DUSC disagreed with the sponsor and noted that the published epidemiology suggests the prevalence in patients under the age of 40 is much lower than PBS use.</w:t>
      </w:r>
      <w:r w:rsidRPr="00230BEF">
        <w:rPr>
          <w:rFonts w:ascii="Calibri" w:eastAsia="Times New Roman" w:hAnsi="Calibri" w:cs="Calibri"/>
          <w:vertAlign w:val="superscript"/>
          <w:lang w:eastAsia="en-US"/>
        </w:rPr>
        <w:t xml:space="preserve"> </w:t>
      </w:r>
      <w:r w:rsidRPr="00230BEF">
        <w:rPr>
          <w:rFonts w:ascii="Calibri" w:eastAsia="Times New Roman" w:hAnsi="Calibri" w:cs="Calibri"/>
          <w:vertAlign w:val="superscript"/>
          <w:lang w:eastAsia="en-US"/>
        </w:rPr>
        <w:footnoteReference w:id="10"/>
      </w:r>
      <w:r w:rsidRPr="00230BEF">
        <w:rPr>
          <w:rFonts w:ascii="Calibri" w:eastAsia="Times New Roman" w:hAnsi="Calibri" w:cs="Calibri"/>
          <w:lang w:eastAsia="en-US"/>
        </w:rPr>
        <w:t xml:space="preserve"> DUSC commented that social media had </w:t>
      </w:r>
      <w:r w:rsidRPr="00230BEF">
        <w:rPr>
          <w:rFonts w:ascii="Calibri" w:eastAsia="Times New Roman" w:hAnsi="Calibri" w:cs="Calibri"/>
          <w:lang w:eastAsia="en-US"/>
        </w:rPr>
        <w:lastRenderedPageBreak/>
        <w:t>a strong impact on the use of GLP-1 medicines in young people, and suggested patients in the 20-39 age range may try to access semaglutide to treat diabetes and for weight loss, and for other reasons such as fertility.</w:t>
      </w:r>
    </w:p>
    <w:p w14:paraId="00EC10B2" w14:textId="77777777" w:rsidR="00740F2F" w:rsidRPr="00230BEF" w:rsidRDefault="00740F2F" w:rsidP="00740F2F">
      <w:pPr>
        <w:spacing w:after="0"/>
        <w:rPr>
          <w:rFonts w:ascii="Calibri" w:eastAsia="Times New Roman" w:hAnsi="Calibri" w:cs="Calibri"/>
          <w:lang w:eastAsia="en-US"/>
        </w:rPr>
      </w:pPr>
    </w:p>
    <w:p w14:paraId="7B493096" w14:textId="29ABDB81"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GP prescribing of semaglutide and dulaglutide to initiating patients and overall prescriptions for all treated patients ha</w:t>
      </w:r>
      <w:r w:rsidR="003C02F2">
        <w:rPr>
          <w:rFonts w:ascii="Calibri" w:eastAsia="Times New Roman" w:hAnsi="Calibri" w:cs="Calibri"/>
          <w:lang w:eastAsia="en-US"/>
        </w:rPr>
        <w:t>d</w:t>
      </w:r>
      <w:r w:rsidRPr="00230BEF">
        <w:rPr>
          <w:rFonts w:ascii="Calibri" w:eastAsia="Times New Roman" w:hAnsi="Calibri" w:cs="Calibri"/>
          <w:lang w:eastAsia="en-US"/>
        </w:rPr>
        <w:t xml:space="preserve"> increased and prescribing by specialists ha</w:t>
      </w:r>
      <w:r w:rsidR="00BA3F2C">
        <w:rPr>
          <w:rFonts w:ascii="Calibri" w:eastAsia="Times New Roman" w:hAnsi="Calibri" w:cs="Calibri"/>
          <w:lang w:eastAsia="en-US"/>
        </w:rPr>
        <w:t>d</w:t>
      </w:r>
      <w:r w:rsidRPr="00230BEF">
        <w:rPr>
          <w:rFonts w:ascii="Calibri" w:eastAsia="Times New Roman" w:hAnsi="Calibri" w:cs="Calibri"/>
          <w:lang w:eastAsia="en-US"/>
        </w:rPr>
        <w:t xml:space="preserve"> decreased. DUSC noted that the PBS restriction d</w:t>
      </w:r>
      <w:r w:rsidR="001069C8">
        <w:rPr>
          <w:rFonts w:ascii="Calibri" w:eastAsia="Times New Roman" w:hAnsi="Calibri" w:cs="Calibri"/>
          <w:lang w:eastAsia="en-US"/>
        </w:rPr>
        <w:t>id</w:t>
      </w:r>
      <w:r w:rsidRPr="00230BEF">
        <w:rPr>
          <w:rFonts w:ascii="Calibri" w:eastAsia="Times New Roman" w:hAnsi="Calibri" w:cs="Calibri"/>
          <w:lang w:eastAsia="en-US"/>
        </w:rPr>
        <w:t xml:space="preserve"> not limit GP prescribing of GLP-1s but suggested that as prescribing from endocrinologists ha</w:t>
      </w:r>
      <w:r w:rsidR="001069C8">
        <w:rPr>
          <w:rFonts w:ascii="Calibri" w:eastAsia="Times New Roman" w:hAnsi="Calibri" w:cs="Calibri"/>
          <w:lang w:eastAsia="en-US"/>
        </w:rPr>
        <w:t>d</w:t>
      </w:r>
      <w:r w:rsidRPr="00230BEF">
        <w:rPr>
          <w:rFonts w:ascii="Calibri" w:eastAsia="Times New Roman" w:hAnsi="Calibri" w:cs="Calibri"/>
          <w:lang w:eastAsia="en-US"/>
        </w:rPr>
        <w:t xml:space="preserve"> not increased in line with the use of GLP-1s, the increase in the supply of GLP-1s may not be for patients with complex diabetes. </w:t>
      </w:r>
    </w:p>
    <w:p w14:paraId="41D9E5FA" w14:textId="77777777" w:rsidR="00740F2F" w:rsidRPr="00230BEF" w:rsidRDefault="00740F2F" w:rsidP="00740F2F">
      <w:pPr>
        <w:spacing w:after="0"/>
        <w:rPr>
          <w:rFonts w:ascii="Calibri" w:eastAsia="Times New Roman" w:hAnsi="Calibri" w:cs="Calibri"/>
          <w:lang w:eastAsia="en-US"/>
        </w:rPr>
      </w:pPr>
    </w:p>
    <w:p w14:paraId="5F587405" w14:textId="5069F2F3"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DUSC noted that the proportion of patients who were supplied semaglutide before any other diabetes medicine ha</w:t>
      </w:r>
      <w:r w:rsidR="001416CF">
        <w:rPr>
          <w:rFonts w:ascii="Calibri" w:eastAsia="Times New Roman" w:hAnsi="Calibri" w:cs="Calibri"/>
          <w:lang w:eastAsia="en-US"/>
        </w:rPr>
        <w:t>d</w:t>
      </w:r>
      <w:r w:rsidRPr="00230BEF">
        <w:rPr>
          <w:rFonts w:ascii="Calibri" w:eastAsia="Times New Roman" w:hAnsi="Calibri" w:cs="Calibri"/>
          <w:lang w:eastAsia="en-US"/>
        </w:rPr>
        <w:t xml:space="preserve"> increased, with 13% of initiating patients in 2023 supplied semaglutide before any other diabetes medicine. DUSC noted that the demand for semaglutide had accelerated in 2023, particularly for the low-dose (0.25/0.5 mg) product, and considered this was likely due to an increase in prescribing for ‘off-label’ use.</w:t>
      </w:r>
    </w:p>
    <w:p w14:paraId="5F67D99A" w14:textId="77777777" w:rsidR="00740F2F" w:rsidRPr="00230BEF" w:rsidRDefault="00740F2F" w:rsidP="00740F2F">
      <w:pPr>
        <w:spacing w:after="0"/>
        <w:rPr>
          <w:rFonts w:ascii="Calibri" w:eastAsia="Times New Roman" w:hAnsi="Calibri" w:cs="Calibri"/>
          <w:lang w:eastAsia="en-US"/>
        </w:rPr>
      </w:pPr>
    </w:p>
    <w:p w14:paraId="2E13D777" w14:textId="2D42B1AE"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DUSC considered that the supply of semaglutide to diabetic patients outside of the PBS restrictions was a lesser concern than non-diabetic patients being supplied semaglutide through the PBS. DUSC commented that it ha</w:t>
      </w:r>
      <w:r w:rsidR="00501105">
        <w:rPr>
          <w:rFonts w:ascii="Calibri" w:eastAsia="Times New Roman" w:hAnsi="Calibri" w:cs="Calibri"/>
          <w:lang w:eastAsia="en-US"/>
        </w:rPr>
        <w:t>d</w:t>
      </w:r>
      <w:r w:rsidRPr="00230BEF">
        <w:rPr>
          <w:rFonts w:ascii="Calibri" w:eastAsia="Times New Roman" w:hAnsi="Calibri" w:cs="Calibri"/>
          <w:lang w:eastAsia="en-US"/>
        </w:rPr>
        <w:t xml:space="preserve"> not been shown to be cost-effective for these patients, and it may mean that eligible patients were not able to access treatment. </w:t>
      </w:r>
    </w:p>
    <w:p w14:paraId="4A3DC6FF" w14:textId="77777777" w:rsidR="00740F2F" w:rsidRPr="00230BEF" w:rsidRDefault="00740F2F" w:rsidP="00740F2F">
      <w:pPr>
        <w:spacing w:after="0"/>
        <w:rPr>
          <w:rFonts w:ascii="Calibri" w:eastAsia="Times New Roman" w:hAnsi="Calibri" w:cs="Calibri"/>
          <w:lang w:eastAsia="en-US"/>
        </w:rPr>
      </w:pPr>
    </w:p>
    <w:p w14:paraId="3F080B83" w14:textId="5EBBF12C" w:rsidR="00740F2F" w:rsidRPr="00230BEF"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DUSC commented that the prevalence of diabetes ha</w:t>
      </w:r>
      <w:r w:rsidR="001E6A67">
        <w:rPr>
          <w:rFonts w:ascii="Calibri" w:eastAsia="Times New Roman" w:hAnsi="Calibri" w:cs="Calibri"/>
          <w:lang w:eastAsia="en-US"/>
        </w:rPr>
        <w:t>d</w:t>
      </w:r>
      <w:r w:rsidRPr="00230BEF">
        <w:rPr>
          <w:rFonts w:ascii="Calibri" w:eastAsia="Times New Roman" w:hAnsi="Calibri" w:cs="Calibri"/>
          <w:lang w:eastAsia="en-US"/>
        </w:rPr>
        <w:t xml:space="preserve"> been reported as approximately 40% in central Australia</w:t>
      </w:r>
      <w:r w:rsidRPr="00230BEF">
        <w:rPr>
          <w:rFonts w:ascii="Calibri" w:eastAsia="Times New Roman" w:hAnsi="Calibri" w:cs="Calibri"/>
          <w:vertAlign w:val="superscript"/>
          <w:lang w:eastAsia="en-US"/>
        </w:rPr>
        <w:footnoteReference w:id="11"/>
      </w:r>
      <w:r w:rsidRPr="00230BEF">
        <w:rPr>
          <w:rFonts w:ascii="Calibri" w:eastAsia="Times New Roman" w:hAnsi="Calibri" w:cs="Calibri"/>
          <w:lang w:eastAsia="en-US"/>
        </w:rPr>
        <w:t xml:space="preserve">, and considered there may be a demand for this medicine among the Aboriginal </w:t>
      </w:r>
      <w:r w:rsidR="00771A4B">
        <w:rPr>
          <w:rFonts w:ascii="Calibri" w:eastAsia="Times New Roman" w:hAnsi="Calibri" w:cs="Calibri"/>
          <w:lang w:eastAsia="en-US"/>
        </w:rPr>
        <w:t xml:space="preserve">and Torres Strait Islander </w:t>
      </w:r>
      <w:r w:rsidRPr="00230BEF">
        <w:rPr>
          <w:rFonts w:ascii="Calibri" w:eastAsia="Times New Roman" w:hAnsi="Calibri" w:cs="Calibri"/>
          <w:lang w:eastAsia="en-US"/>
        </w:rPr>
        <w:t>population which cannot be met due to shortages and use outside the restriction.</w:t>
      </w:r>
    </w:p>
    <w:p w14:paraId="32AE897E" w14:textId="77777777" w:rsidR="00740F2F" w:rsidRPr="00230BEF" w:rsidRDefault="00740F2F" w:rsidP="00740F2F">
      <w:pPr>
        <w:spacing w:after="0"/>
        <w:rPr>
          <w:rFonts w:ascii="Calibri" w:eastAsia="Times New Roman" w:hAnsi="Calibri" w:cs="Calibri"/>
          <w:lang w:eastAsia="en-US"/>
        </w:rPr>
      </w:pPr>
    </w:p>
    <w:p w14:paraId="6CDD65A3" w14:textId="77777777" w:rsidR="00740F2F" w:rsidRPr="00230BEF" w:rsidRDefault="00740F2F" w:rsidP="00740F2F">
      <w:pPr>
        <w:keepNext/>
        <w:spacing w:after="0"/>
        <w:rPr>
          <w:rFonts w:ascii="Calibri" w:eastAsia="Times New Roman" w:hAnsi="Calibri" w:cs="Calibri"/>
          <w:lang w:eastAsia="en-US"/>
        </w:rPr>
      </w:pPr>
      <w:r w:rsidRPr="00230BEF">
        <w:rPr>
          <w:rFonts w:ascii="Calibri" w:eastAsia="Times New Roman" w:hAnsi="Calibri" w:cs="Calibri"/>
          <w:lang w:eastAsia="en-US"/>
        </w:rPr>
        <w:t>DUSC noted that the response from Eli Lilly Australia considered there were issues with the methods used, in particular that:</w:t>
      </w:r>
    </w:p>
    <w:p w14:paraId="04910745" w14:textId="77777777" w:rsidR="00740F2F" w:rsidRPr="00230BEF" w:rsidRDefault="00740F2F" w:rsidP="00740F2F">
      <w:pPr>
        <w:numPr>
          <w:ilvl w:val="0"/>
          <w:numId w:val="13"/>
        </w:numPr>
        <w:spacing w:after="160" w:line="259" w:lineRule="auto"/>
        <w:contextualSpacing/>
        <w:rPr>
          <w:rFonts w:ascii="Calibri" w:eastAsia="Times New Roman" w:hAnsi="Calibri" w:cs="Calibri"/>
          <w:lang w:eastAsia="en-US"/>
        </w:rPr>
      </w:pPr>
      <w:r w:rsidRPr="00230BEF">
        <w:rPr>
          <w:rFonts w:ascii="Calibri" w:eastAsia="Times New Roman" w:hAnsi="Calibri" w:cs="Calibri"/>
          <w:lang w:eastAsia="en-US"/>
        </w:rPr>
        <w:t>Analysis of PBS dispensing data provides insights into the medicines a patient has been supplied; it does not consider the medications prescribed to a patient by a health care provider or the medicines a patient consumes.</w:t>
      </w:r>
    </w:p>
    <w:p w14:paraId="4AD088A7" w14:textId="77777777" w:rsidR="00740F2F" w:rsidRPr="00230BEF" w:rsidRDefault="00740F2F" w:rsidP="00740F2F">
      <w:pPr>
        <w:numPr>
          <w:ilvl w:val="0"/>
          <w:numId w:val="13"/>
        </w:numPr>
        <w:spacing w:after="160" w:line="259" w:lineRule="auto"/>
        <w:contextualSpacing/>
        <w:rPr>
          <w:rFonts w:ascii="Calibri" w:eastAsia="Times New Roman" w:hAnsi="Calibri" w:cs="Calibri"/>
          <w:lang w:eastAsia="en-US"/>
        </w:rPr>
      </w:pPr>
      <w:r w:rsidRPr="00230BEF">
        <w:rPr>
          <w:rFonts w:ascii="Calibri" w:eastAsia="Times New Roman" w:hAnsi="Calibri" w:cs="Calibri"/>
          <w:lang w:eastAsia="en-US"/>
        </w:rPr>
        <w:t>Failure to consider overlap in the supplies of medicines when patients switch from one line of therapy to the next is likely to overestimate the use of GLP-1 RAs in combination with DPP4 inhibitors and SGLT2 inhibitors.</w:t>
      </w:r>
    </w:p>
    <w:p w14:paraId="3D175D6A" w14:textId="77777777" w:rsidR="00740F2F" w:rsidRPr="00230BEF" w:rsidRDefault="00740F2F" w:rsidP="00740F2F">
      <w:pPr>
        <w:numPr>
          <w:ilvl w:val="0"/>
          <w:numId w:val="13"/>
        </w:numPr>
        <w:spacing w:after="160" w:line="259" w:lineRule="auto"/>
        <w:contextualSpacing/>
        <w:rPr>
          <w:rFonts w:ascii="Calibri" w:eastAsia="Times New Roman" w:hAnsi="Calibri" w:cs="Calibri"/>
          <w:lang w:eastAsia="en-US"/>
        </w:rPr>
      </w:pPr>
      <w:r w:rsidRPr="00230BEF">
        <w:rPr>
          <w:rFonts w:ascii="Calibri" w:eastAsia="Times New Roman" w:hAnsi="Calibri" w:cs="Calibri"/>
          <w:lang w:eastAsia="en-US"/>
        </w:rPr>
        <w:t xml:space="preserve">The use of median standard coverage days to determine co-medication thresholds is likely to underestimate GLP-1 RA co-medication with metformin, sulfonylureas, and insulin as there is considerable variation in the time between purchases for patients utilising these medicines. Misclassification of GLP-1 RA supply without concomitant metformin, sulfonylurea or insulin is likely further exacerbated as there is a failure </w:t>
      </w:r>
      <w:r w:rsidRPr="00230BEF">
        <w:rPr>
          <w:rFonts w:ascii="Calibri" w:eastAsia="Times New Roman" w:hAnsi="Calibri" w:cs="Calibri"/>
          <w:lang w:eastAsia="en-US"/>
        </w:rPr>
        <w:lastRenderedPageBreak/>
        <w:t>to account for dose modifications which can further extend the time between supplies of metformin, sulfonylureas, and insulin.</w:t>
      </w:r>
    </w:p>
    <w:p w14:paraId="446770D1" w14:textId="77777777" w:rsidR="00740F2F" w:rsidRPr="00230BEF" w:rsidRDefault="00740F2F" w:rsidP="00740F2F">
      <w:pPr>
        <w:spacing w:after="0"/>
        <w:rPr>
          <w:rFonts w:ascii="Calibri" w:eastAsia="Times New Roman" w:hAnsi="Calibri" w:cs="Calibri"/>
          <w:lang w:eastAsia="en-US"/>
        </w:rPr>
      </w:pPr>
    </w:p>
    <w:p w14:paraId="4A22685C" w14:textId="73CD9B66" w:rsidR="00B979C6" w:rsidRDefault="00740F2F" w:rsidP="00740F2F">
      <w:pPr>
        <w:spacing w:after="0"/>
        <w:rPr>
          <w:rFonts w:ascii="Calibri" w:eastAsia="Times New Roman" w:hAnsi="Calibri" w:cs="Calibri"/>
          <w:lang w:eastAsia="en-US"/>
        </w:rPr>
      </w:pPr>
      <w:r w:rsidRPr="00230BEF">
        <w:rPr>
          <w:rFonts w:ascii="Calibri" w:eastAsia="Times New Roman" w:hAnsi="Calibri" w:cs="Calibri"/>
          <w:lang w:eastAsia="en-US"/>
        </w:rPr>
        <w:t>DUSC noted that different standard coverage days were used for different classes of medicine to determine co-prescribing. DUSC considered other factors described in the report, such as the number of patients supplied semaglutide before any other diabetes medicine, suggest that there ha</w:t>
      </w:r>
      <w:r w:rsidR="00A66018">
        <w:rPr>
          <w:rFonts w:ascii="Calibri" w:eastAsia="Times New Roman" w:hAnsi="Calibri" w:cs="Calibri"/>
          <w:lang w:eastAsia="en-US"/>
        </w:rPr>
        <w:t>d</w:t>
      </w:r>
      <w:r w:rsidRPr="00230BEF">
        <w:rPr>
          <w:rFonts w:ascii="Calibri" w:eastAsia="Times New Roman" w:hAnsi="Calibri" w:cs="Calibri"/>
          <w:lang w:eastAsia="en-US"/>
        </w:rPr>
        <w:t xml:space="preserve"> been use outside the PBS restriction. </w:t>
      </w:r>
    </w:p>
    <w:p w14:paraId="1E56DD45" w14:textId="77777777" w:rsidR="00B979C6" w:rsidRDefault="00B979C6" w:rsidP="00740F2F">
      <w:pPr>
        <w:spacing w:after="0"/>
        <w:rPr>
          <w:rFonts w:ascii="Calibri" w:eastAsia="Times New Roman" w:hAnsi="Calibri" w:cs="Calibri"/>
          <w:lang w:eastAsia="en-US"/>
        </w:rPr>
      </w:pPr>
    </w:p>
    <w:p w14:paraId="4F5FDC70" w14:textId="1852F9E1" w:rsidR="00740F2F" w:rsidRPr="00230BEF" w:rsidRDefault="00B979C6" w:rsidP="00740F2F">
      <w:pPr>
        <w:spacing w:after="0"/>
        <w:rPr>
          <w:rFonts w:ascii="Calibri" w:eastAsia="Times New Roman" w:hAnsi="Calibri" w:cs="Calibri"/>
          <w:lang w:eastAsia="en-US"/>
        </w:rPr>
      </w:pPr>
      <w:r w:rsidRPr="00B979C6">
        <w:rPr>
          <w:rFonts w:ascii="Calibri" w:eastAsia="Times New Roman" w:hAnsi="Calibri" w:cs="Calibri"/>
          <w:lang w:eastAsia="en-US"/>
        </w:rPr>
        <w:t xml:space="preserve">DUSC commented that future analyses using linked PBS and MBS data could be considered to determine what proportion of patients had their HbA1C tested and were likely diabetic. </w:t>
      </w:r>
    </w:p>
    <w:p w14:paraId="07661446" w14:textId="77777777" w:rsidR="0045392B" w:rsidRDefault="0045392B" w:rsidP="0045392B">
      <w:pPr>
        <w:pStyle w:val="Heading1"/>
      </w:pPr>
      <w:r>
        <w:t>DUSC actions</w:t>
      </w:r>
    </w:p>
    <w:p w14:paraId="722465B1" w14:textId="72FF1B6A" w:rsidR="0045392B" w:rsidRPr="00832324" w:rsidRDefault="00106975" w:rsidP="0045392B">
      <w:pPr>
        <w:rPr>
          <w:highlight w:val="yellow"/>
        </w:rPr>
      </w:pPr>
      <w:r w:rsidRPr="00106975">
        <w:t>DUSC requested that the report be provided to the PBAC for consideration.</w:t>
      </w:r>
    </w:p>
    <w:p w14:paraId="795E3434" w14:textId="77777777" w:rsidR="0045392B" w:rsidRDefault="0045392B" w:rsidP="0045392B">
      <w:pPr>
        <w:pStyle w:val="Heading1"/>
      </w:pPr>
      <w:r w:rsidRPr="0092516A">
        <w:t>Context for analysis</w:t>
      </w:r>
    </w:p>
    <w:p w14:paraId="2E05A74D" w14:textId="77777777" w:rsidR="0045392B" w:rsidRDefault="0045392B" w:rsidP="0045392B">
      <w:r>
        <w:t>The DUSC is a Sub Committee of the Pharmaceutical Benefits Advisory Committee (PBAC). The DUSC assesses estimates on projected usage and financial cost of medicines.</w:t>
      </w:r>
    </w:p>
    <w:p w14:paraId="29F00AEB" w14:textId="77777777" w:rsidR="0045392B" w:rsidRDefault="0045392B" w:rsidP="0045392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8DF99F5" w14:textId="77777777" w:rsidR="0045392B" w:rsidRDefault="0045392B" w:rsidP="0045392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5223BDF" w14:textId="77777777" w:rsidR="0045392B" w:rsidRDefault="0045392B" w:rsidP="0045392B">
      <w:r>
        <w:t>The utilisation analysis report was provided to the pharmaceutical sponsors of each drug and comments on the report were provided to DUSC prior to its consideration of the analysis.</w:t>
      </w:r>
    </w:p>
    <w:p w14:paraId="7D5FBB31" w14:textId="77777777" w:rsidR="0045392B" w:rsidRDefault="0045392B" w:rsidP="0045392B">
      <w:pPr>
        <w:pStyle w:val="Heading1"/>
      </w:pPr>
      <w:r>
        <w:t>Sponsor</w:t>
      </w:r>
      <w:r w:rsidRPr="0092516A">
        <w:t>s</w:t>
      </w:r>
      <w:r>
        <w:t>’</w:t>
      </w:r>
      <w:r w:rsidRPr="0092516A">
        <w:t xml:space="preserve"> comments</w:t>
      </w:r>
    </w:p>
    <w:p w14:paraId="5C9D3731" w14:textId="0E6D0798" w:rsidR="0045392B" w:rsidRDefault="00AA0D6D" w:rsidP="0045392B">
      <w:r w:rsidRPr="00AA0D6D">
        <w:t>Novo Nordisk Pharmaceuticals Pty. Limited:</w:t>
      </w:r>
      <w:r w:rsidR="0045392B" w:rsidRPr="00AA0D6D">
        <w:t xml:space="preserve"> The sponsor ha</w:t>
      </w:r>
      <w:r w:rsidR="00765447">
        <w:t>d</w:t>
      </w:r>
      <w:r w:rsidR="0045392B" w:rsidRPr="00AA0D6D">
        <w:t xml:space="preserve"> no comment.</w:t>
      </w:r>
    </w:p>
    <w:p w14:paraId="53D305A8" w14:textId="47847CF9" w:rsidR="00AA0D6D" w:rsidRDefault="00AA0D6D" w:rsidP="0045392B">
      <w:r w:rsidRPr="00AA0D6D">
        <w:t>Eli Lilly Australia Pty Ltd</w:t>
      </w:r>
      <w:r>
        <w:t xml:space="preserve">: </w:t>
      </w:r>
      <w:r w:rsidRPr="00AA0D6D">
        <w:t>The sponsor ha</w:t>
      </w:r>
      <w:r w:rsidR="00765447">
        <w:t>d</w:t>
      </w:r>
      <w:r w:rsidRPr="00AA0D6D">
        <w:t xml:space="preserve"> no comment.</w:t>
      </w:r>
    </w:p>
    <w:p w14:paraId="165B3E53" w14:textId="77777777" w:rsidR="0045392B" w:rsidRDefault="0045392B" w:rsidP="0045392B">
      <w:pPr>
        <w:pStyle w:val="Heading1"/>
      </w:pPr>
      <w:r w:rsidRPr="00A4020E">
        <w:t>Disclaimer</w:t>
      </w:r>
    </w:p>
    <w:p w14:paraId="4572C2BB" w14:textId="2E9B8E09" w:rsidR="0045392B" w:rsidRDefault="0045392B" w:rsidP="0045392B">
      <w:r>
        <w:t xml:space="preserve">The information provided in this report does not constitute medical advice and is not intended to take the place of professional medical advice or care.  It is not intended to </w:t>
      </w:r>
      <w:r>
        <w:lastRenderedPageBreak/>
        <w:t>define what constitutes reasonable, appropriate or best care for any individual for any given health issue. The information should not be used as a substitute for the judgement and skill of a medical practitioner.</w:t>
      </w:r>
    </w:p>
    <w:p w14:paraId="5EA54BD6" w14:textId="20A4BDCC" w:rsidR="0045392B" w:rsidRDefault="0045392B" w:rsidP="0045392B">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065B2AA9" w14:textId="77777777" w:rsidR="0045392B" w:rsidRDefault="0045392B" w:rsidP="0045392B">
      <w:r>
        <w:t xml:space="preserve">To the extent provided by law, the Department of Health and Aged Care makes no warranties or representations as to accuracy or completeness of information contained in this report. </w:t>
      </w:r>
    </w:p>
    <w:p w14:paraId="728047AB" w14:textId="77777777" w:rsidR="0045392B" w:rsidRDefault="0045392B" w:rsidP="0045392B">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5D65B04" w14:textId="132359D7" w:rsidR="00FE645A" w:rsidRDefault="00FE645A">
      <w:pPr>
        <w:spacing w:line="276" w:lineRule="auto"/>
      </w:pPr>
    </w:p>
    <w:sectPr w:rsidR="00FE645A" w:rsidSect="00DD188C">
      <w:headerReference w:type="even" r:id="rId35"/>
      <w:headerReference w:type="default" r:id="rId36"/>
      <w:footerReference w:type="even" r:id="rId37"/>
      <w:footerReference w:type="default" r:id="rId38"/>
      <w:headerReference w:type="first" r:id="rId39"/>
      <w:footerReference w:type="first" r:id="rId4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07C13" w14:textId="77777777" w:rsidR="002E73FF" w:rsidRDefault="002E73FF" w:rsidP="00A35800">
      <w:r>
        <w:separator/>
      </w:r>
    </w:p>
  </w:endnote>
  <w:endnote w:type="continuationSeparator" w:id="0">
    <w:p w14:paraId="38785F11" w14:textId="77777777" w:rsidR="002E73FF" w:rsidRDefault="002E73F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61E9DAA0" w:rsidR="000E72C6" w:rsidRPr="000E72C6" w:rsidRDefault="00605815" w:rsidP="000E72C6">
            <w:pPr>
              <w:pStyle w:val="Footer"/>
              <w:jc w:val="center"/>
              <w:rPr>
                <w:i/>
                <w:sz w:val="20"/>
              </w:rPr>
            </w:pPr>
            <w:r w:rsidRPr="00605815">
              <w:rPr>
                <w:i/>
                <w:sz w:val="20"/>
              </w:rPr>
              <w:t xml:space="preserve">Public Release Document, </w:t>
            </w:r>
            <w:r w:rsidR="006318C9">
              <w:rPr>
                <w:i/>
                <w:sz w:val="20"/>
              </w:rPr>
              <w:t>June 2024</w:t>
            </w:r>
            <w:r w:rsidRPr="00605815">
              <w:rPr>
                <w:i/>
                <w:sz w:val="20"/>
              </w:rPr>
              <w:t xml:space="preserve">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AD51D" w14:textId="77777777" w:rsidR="002E73FF" w:rsidRDefault="002E73FF" w:rsidP="00A35800">
      <w:r>
        <w:separator/>
      </w:r>
    </w:p>
  </w:footnote>
  <w:footnote w:type="continuationSeparator" w:id="0">
    <w:p w14:paraId="2622DBCF" w14:textId="77777777" w:rsidR="002E73FF" w:rsidRDefault="002E73FF" w:rsidP="00A35800">
      <w:r>
        <w:continuationSeparator/>
      </w:r>
    </w:p>
  </w:footnote>
  <w:footnote w:id="1">
    <w:p w14:paraId="3C0C7E95" w14:textId="0FD7BECA" w:rsidR="008E3BB3" w:rsidRDefault="008E3BB3">
      <w:pPr>
        <w:pStyle w:val="FootnoteText"/>
      </w:pPr>
      <w:r>
        <w:rPr>
          <w:rStyle w:val="FootnoteReference"/>
        </w:rPr>
        <w:footnoteRef/>
      </w:r>
      <w:r>
        <w:t xml:space="preserve"> </w:t>
      </w:r>
      <w:r w:rsidRPr="008E3BB3">
        <w:t>Goyal R, Singhal M, Jialal I. Type 2 Diabetes. [Updated 2023 Jun 23]. In: StatPearls [Internet]. Treasure Island (FL): StatPearls Publishing; 2024 Jan-. Available from: https://www.ncbi.nlm.nih.gov/books/NBK513253/</w:t>
      </w:r>
    </w:p>
  </w:footnote>
  <w:footnote w:id="2">
    <w:p w14:paraId="77D3D504" w14:textId="733A98B7" w:rsidR="00B96D18" w:rsidRDefault="00B96D18">
      <w:pPr>
        <w:pStyle w:val="FootnoteText"/>
      </w:pPr>
      <w:r>
        <w:rPr>
          <w:rStyle w:val="FootnoteReference"/>
        </w:rPr>
        <w:footnoteRef/>
      </w:r>
      <w:r>
        <w:t xml:space="preserve"> </w:t>
      </w:r>
      <w:r w:rsidRPr="00B96D18">
        <w:t>Collins L, Costello RA. Glucagon-Like Peptide-1 Receptor Agonists. [Updated 2023 Jan 13]. In: StatPearls [Internet]. Treasure Island (FL): StatPearls Publishing; 2024 Jan-. Available from: https://www.ncbi.nlm.nih.gov/books/NBK551568/</w:t>
      </w:r>
    </w:p>
  </w:footnote>
  <w:footnote w:id="3">
    <w:p w14:paraId="3CD173DA" w14:textId="0A32DAA4" w:rsidR="000D4049" w:rsidRDefault="000D4049">
      <w:pPr>
        <w:pStyle w:val="FootnoteText"/>
      </w:pPr>
      <w:r>
        <w:rPr>
          <w:rStyle w:val="FootnoteReference"/>
        </w:rPr>
        <w:footnoteRef/>
      </w:r>
      <w:r>
        <w:t xml:space="preserve"> </w:t>
      </w:r>
      <w:r w:rsidR="002707DF" w:rsidRPr="002707DF">
        <w:t>The Department of Health and Aged Care</w:t>
      </w:r>
      <w:r w:rsidR="002707DF">
        <w:t xml:space="preserve">, Therapeutic Goods Administration, Medicine shortage reports database, accessed </w:t>
      </w:r>
      <w:r w:rsidR="00A6791D">
        <w:t>2</w:t>
      </w:r>
      <w:r w:rsidR="003A3D3F">
        <w:t xml:space="preserve"> May</w:t>
      </w:r>
      <w:r w:rsidR="002707DF">
        <w:t xml:space="preserve"> 2024 </w:t>
      </w:r>
      <w:r w:rsidR="002707DF" w:rsidRPr="002707DF">
        <w:t xml:space="preserve"> </w:t>
      </w:r>
      <w:r w:rsidRPr="000D4049">
        <w:t>https://apps.tga.gov.au/Prod/msi/Search/Index?shortagetype=All</w:t>
      </w:r>
    </w:p>
  </w:footnote>
  <w:footnote w:id="4">
    <w:p w14:paraId="6B7951BE" w14:textId="469299CE" w:rsidR="006D2AF2" w:rsidRDefault="006D2AF2">
      <w:pPr>
        <w:pStyle w:val="FootnoteText"/>
      </w:pPr>
      <w:r>
        <w:rPr>
          <w:rStyle w:val="FootnoteReference"/>
        </w:rPr>
        <w:footnoteRef/>
      </w:r>
      <w:r>
        <w:t xml:space="preserve"> </w:t>
      </w:r>
      <w:r w:rsidR="0079755C" w:rsidRPr="0079755C">
        <w:t>Andreasen CR, Andersen A, Knop FK, Vilsbøll T. How glucagon-like peptide 1 receptor agonists work. Endocr Connect. 2021 Jul 17;10(7):R200-R212. doi: 10.1530/EC-21-0130. PMID: 34137731; PMCID: PMC8346189.</w:t>
      </w:r>
    </w:p>
  </w:footnote>
  <w:footnote w:id="5">
    <w:p w14:paraId="4BB0C188" w14:textId="0638C8D1" w:rsidR="007D2DF2" w:rsidRDefault="007D2DF2">
      <w:pPr>
        <w:pStyle w:val="FootnoteText"/>
      </w:pPr>
      <w:r>
        <w:rPr>
          <w:rStyle w:val="FootnoteReference"/>
        </w:rPr>
        <w:footnoteRef/>
      </w:r>
      <w:r>
        <w:t xml:space="preserve"> </w:t>
      </w:r>
      <w:r w:rsidRPr="007D2DF2">
        <w:t>(Ozempic) semaglutide Australian Approved Product Information. North Sydney: Novo Nordisk Pharmaceuticals Pty Limited. Approved 28 August 2019, updated 26 October 2023. Available from  https://www.ebs.tga.gov.au/ebs/picmi/picmirepository.nsf/pdf?OpenAgent&amp;id=CP-2019-PI-01881-1&amp;d=20240507172310101</w:t>
      </w:r>
    </w:p>
  </w:footnote>
  <w:footnote w:id="6">
    <w:p w14:paraId="679055C1" w14:textId="7014A5C4" w:rsidR="007D2DF2" w:rsidRDefault="007D2DF2">
      <w:pPr>
        <w:pStyle w:val="FootnoteText"/>
      </w:pPr>
      <w:r>
        <w:rPr>
          <w:rStyle w:val="FootnoteReference"/>
        </w:rPr>
        <w:footnoteRef/>
      </w:r>
      <w:r>
        <w:t xml:space="preserve"> </w:t>
      </w:r>
      <w:r w:rsidRPr="007D2DF2">
        <w:t>(Trulicity) dulaglutide Australian Approved Product Information. Sydney: Eli Lilly Australia Pty. Ltd. Approved 19 January 2015, updated 8 May 2023. Available fromhttps://www.ebs.tga.gov.au/ebs/picmi/picmirepository.nsf/pdf?OpenAgent&amp;id=CP-2015-PI-01412-1</w:t>
      </w:r>
    </w:p>
  </w:footnote>
  <w:footnote w:id="7">
    <w:p w14:paraId="0A4DD767" w14:textId="112DC256"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xml:space="preserve">. Canberra. Available from </w:t>
      </w:r>
      <w:r w:rsidR="008C4A87">
        <w:rPr>
          <w:sz w:val="20"/>
        </w:rPr>
        <w:t>,</w:t>
      </w:r>
      <w:r>
        <w:rPr>
          <w:sz w:val="20"/>
        </w:rPr>
        <w:t>&lt;</w:t>
      </w:r>
      <w:hyperlink r:id="rId1" w:history="1">
        <w:r>
          <w:rPr>
            <w:rStyle w:val="Hyperlink"/>
            <w:sz w:val="20"/>
          </w:rPr>
          <w:t>http://www.medicareaustralia.gov.au/provider/pbs/stats.jsp</w:t>
        </w:r>
      </w:hyperlink>
      <w:r>
        <w:rPr>
          <w:sz w:val="20"/>
        </w:rPr>
        <w:t>&gt;.</w:t>
      </w:r>
    </w:p>
  </w:footnote>
  <w:footnote w:id="8">
    <w:p w14:paraId="2090B550" w14:textId="1E7A3BA4" w:rsidR="008D5057" w:rsidRPr="001C3930" w:rsidRDefault="008D5057">
      <w:pPr>
        <w:pStyle w:val="FootnoteText"/>
      </w:pPr>
      <w:r>
        <w:rPr>
          <w:rStyle w:val="FootnoteReference"/>
        </w:rPr>
        <w:footnoteRef/>
      </w:r>
      <w:r>
        <w:t xml:space="preserve"> </w:t>
      </w:r>
      <w:r w:rsidR="00A6791D" w:rsidRPr="00A6791D">
        <w:t xml:space="preserve">The Department of Health and Aged Care, Therapeutic Goods Administration, </w:t>
      </w:r>
      <w:r w:rsidR="00347FA0" w:rsidRPr="00347FA0">
        <w:t>Information about major medicine shortages</w:t>
      </w:r>
      <w:r w:rsidR="00A6791D" w:rsidRPr="00A6791D">
        <w:t xml:space="preserve">, accessed </w:t>
      </w:r>
      <w:r w:rsidR="00A6791D">
        <w:t>2 May</w:t>
      </w:r>
      <w:r w:rsidR="00A6791D" w:rsidRPr="00A6791D">
        <w:t xml:space="preserve"> 2024</w:t>
      </w:r>
      <w:r w:rsidR="00A6791D">
        <w:t>, updated 21 September 2023</w:t>
      </w:r>
      <w:r w:rsidR="00347FA0">
        <w:t>. Available from:</w:t>
      </w:r>
      <w:r w:rsidR="00A6791D" w:rsidRPr="00A6791D">
        <w:t xml:space="preserve"> </w:t>
      </w:r>
      <w:r w:rsidR="00F41689" w:rsidRPr="00F41689">
        <w:t>https://www.tga.gov.au/safety/shortages/information-about-major-medicine-shortages/about-ozempic-semaglutide-shortage-2022</w:t>
      </w:r>
      <w:r w:rsidR="00F41689" w:rsidRPr="001C3930">
        <w:t>-and-2023</w:t>
      </w:r>
    </w:p>
  </w:footnote>
  <w:footnote w:id="9">
    <w:p w14:paraId="39C7DE8C" w14:textId="557A9A5B" w:rsidR="009407B5" w:rsidRPr="00B37F6B" w:rsidRDefault="009407B5">
      <w:pPr>
        <w:pStyle w:val="FootnoteText"/>
        <w:rPr>
          <w:rFonts w:cstheme="minorHAnsi"/>
        </w:rPr>
      </w:pPr>
      <w:r w:rsidRPr="001C3930">
        <w:rPr>
          <w:rStyle w:val="FootnoteReference"/>
          <w:rFonts w:cstheme="minorHAnsi"/>
        </w:rPr>
        <w:footnoteRef/>
      </w:r>
      <w:r w:rsidRPr="001C3930">
        <w:rPr>
          <w:rFonts w:cstheme="minorHAnsi"/>
        </w:rPr>
        <w:t xml:space="preserve"> </w:t>
      </w:r>
      <w:r w:rsidR="00F62B59" w:rsidRPr="001C3930">
        <w:rPr>
          <w:rFonts w:cstheme="minorHAnsi"/>
        </w:rPr>
        <w:t>Day RO. Ongoing challenges of off-label prescribing. Aust Prescr 2023;46:86-9.</w:t>
      </w:r>
      <w:r w:rsidR="00EB49DB" w:rsidRPr="001C3930">
        <w:rPr>
          <w:rFonts w:cstheme="minorHAnsi"/>
        </w:rPr>
        <w:t xml:space="preserve"> </w:t>
      </w:r>
      <w:hyperlink r:id="rId2" w:history="1">
        <w:r w:rsidR="00454C19" w:rsidRPr="00B37F6B">
          <w:rPr>
            <w:rStyle w:val="Hyperlink"/>
            <w:rFonts w:cstheme="minorHAnsi"/>
            <w:color w:val="auto"/>
            <w:u w:val="none"/>
            <w:bdr w:val="none" w:sz="0" w:space="0" w:color="auto" w:frame="1"/>
          </w:rPr>
          <w:t>https://doi.org/10.18773/austprescr.2023.022</w:t>
        </w:r>
      </w:hyperlink>
    </w:p>
  </w:footnote>
  <w:footnote w:id="10">
    <w:p w14:paraId="2B989EB6" w14:textId="77777777" w:rsidR="00740F2F" w:rsidRDefault="00740F2F" w:rsidP="00740F2F">
      <w:pPr>
        <w:pStyle w:val="FootnoteText"/>
      </w:pPr>
      <w:r>
        <w:rPr>
          <w:rStyle w:val="FootnoteReference"/>
        </w:rPr>
        <w:footnoteRef/>
      </w:r>
      <w:r>
        <w:t xml:space="preserve"> </w:t>
      </w:r>
      <w:r w:rsidRPr="008809E0">
        <w:t>Australian Institute of Health and Welfare. Diabetes: Australian facts [Internet]. Canberra: Australian Institute of Health and Welfare, 2024 [cited 2024 Jun. 28]. Available from: https://www.aihw.gov.au/reports/diabetes/diabetes</w:t>
      </w:r>
    </w:p>
  </w:footnote>
  <w:footnote w:id="11">
    <w:p w14:paraId="190D86C8" w14:textId="77777777" w:rsidR="00740F2F" w:rsidRPr="000842CE" w:rsidRDefault="00740F2F" w:rsidP="00740F2F">
      <w:pPr>
        <w:pStyle w:val="FootnoteText"/>
      </w:pPr>
      <w:r w:rsidRPr="000842CE">
        <w:rPr>
          <w:rStyle w:val="FootnoteReference"/>
        </w:rPr>
        <w:footnoteRef/>
      </w:r>
      <w:r w:rsidRPr="000842CE">
        <w:t xml:space="preserve"> Hare MJL, Zhao Y, Guthridge S, Burgess P, Barr ELM, Ellis E, Butler D, Rosser A, Falhammar H, Maple-Brown LJ. Prevalence and incidence of diabetes among Aboriginal people in remote communities of the Northern Territory, Australia: a retrospective, longitudinal data-linkage study. BMJ Open. 2022 May 15;12(5):e059716. doi: 10.1136/bmjopen-2021-059716. PMID: 35569825; PMCID: PMC9125760.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3F878" w14:textId="77777777" w:rsidR="00DD188C" w:rsidRDefault="00DD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87C54" w14:textId="77777777" w:rsidR="00DD188C" w:rsidRDefault="00DD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D6CD4"/>
    <w:multiLevelType w:val="hybridMultilevel"/>
    <w:tmpl w:val="ABCC5B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A32B03"/>
    <w:multiLevelType w:val="hybridMultilevel"/>
    <w:tmpl w:val="91EA4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E663EBD"/>
    <w:multiLevelType w:val="hybridMultilevel"/>
    <w:tmpl w:val="201C4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EB873AB"/>
    <w:multiLevelType w:val="hybridMultilevel"/>
    <w:tmpl w:val="BA0AC40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405501E"/>
    <w:multiLevelType w:val="hybridMultilevel"/>
    <w:tmpl w:val="6FBCE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8BE05E0"/>
    <w:multiLevelType w:val="hybridMultilevel"/>
    <w:tmpl w:val="43929C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880EB7"/>
    <w:multiLevelType w:val="hybridMultilevel"/>
    <w:tmpl w:val="5BF4F3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4401F4C"/>
    <w:multiLevelType w:val="hybridMultilevel"/>
    <w:tmpl w:val="BD12E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BD3F03"/>
    <w:multiLevelType w:val="hybridMultilevel"/>
    <w:tmpl w:val="B858A04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D3E7B5F"/>
    <w:multiLevelType w:val="hybridMultilevel"/>
    <w:tmpl w:val="ACC0B8D8"/>
    <w:lvl w:ilvl="0" w:tplc="BFB29BC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C2030E"/>
    <w:multiLevelType w:val="hybridMultilevel"/>
    <w:tmpl w:val="A93E5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967695">
    <w:abstractNumId w:val="8"/>
  </w:num>
  <w:num w:numId="2" w16cid:durableId="260070959">
    <w:abstractNumId w:val="5"/>
  </w:num>
  <w:num w:numId="3" w16cid:durableId="1809349519">
    <w:abstractNumId w:val="1"/>
  </w:num>
  <w:num w:numId="4" w16cid:durableId="1649045386">
    <w:abstractNumId w:val="11"/>
  </w:num>
  <w:num w:numId="5" w16cid:durableId="402685385">
    <w:abstractNumId w:val="10"/>
  </w:num>
  <w:num w:numId="6" w16cid:durableId="988247524">
    <w:abstractNumId w:val="12"/>
  </w:num>
  <w:num w:numId="7" w16cid:durableId="2119905267">
    <w:abstractNumId w:val="2"/>
  </w:num>
  <w:num w:numId="8" w16cid:durableId="2116552663">
    <w:abstractNumId w:val="6"/>
  </w:num>
  <w:num w:numId="9" w16cid:durableId="511184395">
    <w:abstractNumId w:val="7"/>
  </w:num>
  <w:num w:numId="10" w16cid:durableId="1952778357">
    <w:abstractNumId w:val="0"/>
  </w:num>
  <w:num w:numId="11" w16cid:durableId="873495739">
    <w:abstractNumId w:val="4"/>
  </w:num>
  <w:num w:numId="12" w16cid:durableId="974680771">
    <w:abstractNumId w:val="9"/>
  </w:num>
  <w:num w:numId="13" w16cid:durableId="1550455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1F12"/>
    <w:rsid w:val="000043EE"/>
    <w:rsid w:val="00004DF8"/>
    <w:rsid w:val="00006FA3"/>
    <w:rsid w:val="00007E85"/>
    <w:rsid w:val="00013465"/>
    <w:rsid w:val="0001392F"/>
    <w:rsid w:val="000144DB"/>
    <w:rsid w:val="00020F2B"/>
    <w:rsid w:val="00021A51"/>
    <w:rsid w:val="000226B3"/>
    <w:rsid w:val="00024549"/>
    <w:rsid w:val="00026353"/>
    <w:rsid w:val="00027309"/>
    <w:rsid w:val="00030D69"/>
    <w:rsid w:val="00030E61"/>
    <w:rsid w:val="0003134D"/>
    <w:rsid w:val="00032C40"/>
    <w:rsid w:val="00034A11"/>
    <w:rsid w:val="00036533"/>
    <w:rsid w:val="00041845"/>
    <w:rsid w:val="00043544"/>
    <w:rsid w:val="00044583"/>
    <w:rsid w:val="00046EE0"/>
    <w:rsid w:val="00051776"/>
    <w:rsid w:val="000520FB"/>
    <w:rsid w:val="0005312C"/>
    <w:rsid w:val="00053E8B"/>
    <w:rsid w:val="0005400E"/>
    <w:rsid w:val="000544B6"/>
    <w:rsid w:val="0005469A"/>
    <w:rsid w:val="00054C25"/>
    <w:rsid w:val="00055169"/>
    <w:rsid w:val="000555E4"/>
    <w:rsid w:val="00055C46"/>
    <w:rsid w:val="000604AF"/>
    <w:rsid w:val="000608AC"/>
    <w:rsid w:val="00062AC3"/>
    <w:rsid w:val="00062FE0"/>
    <w:rsid w:val="00064067"/>
    <w:rsid w:val="00066340"/>
    <w:rsid w:val="00067852"/>
    <w:rsid w:val="00077E2B"/>
    <w:rsid w:val="00080C11"/>
    <w:rsid w:val="00081E0C"/>
    <w:rsid w:val="000833C7"/>
    <w:rsid w:val="0008612A"/>
    <w:rsid w:val="000865D0"/>
    <w:rsid w:val="00086C11"/>
    <w:rsid w:val="000906DE"/>
    <w:rsid w:val="00091559"/>
    <w:rsid w:val="000934E9"/>
    <w:rsid w:val="00094DCF"/>
    <w:rsid w:val="000A1C07"/>
    <w:rsid w:val="000A2CB7"/>
    <w:rsid w:val="000A3BEF"/>
    <w:rsid w:val="000A406C"/>
    <w:rsid w:val="000A6CFD"/>
    <w:rsid w:val="000A6D38"/>
    <w:rsid w:val="000B041E"/>
    <w:rsid w:val="000B0982"/>
    <w:rsid w:val="000B27BB"/>
    <w:rsid w:val="000B74E9"/>
    <w:rsid w:val="000B796C"/>
    <w:rsid w:val="000C1F81"/>
    <w:rsid w:val="000C26FC"/>
    <w:rsid w:val="000C46BB"/>
    <w:rsid w:val="000C4D9D"/>
    <w:rsid w:val="000C58D0"/>
    <w:rsid w:val="000C7C4B"/>
    <w:rsid w:val="000C7D8B"/>
    <w:rsid w:val="000D0446"/>
    <w:rsid w:val="000D0B1C"/>
    <w:rsid w:val="000D315D"/>
    <w:rsid w:val="000D4049"/>
    <w:rsid w:val="000D45D2"/>
    <w:rsid w:val="000D5501"/>
    <w:rsid w:val="000D57D0"/>
    <w:rsid w:val="000E2912"/>
    <w:rsid w:val="000E485D"/>
    <w:rsid w:val="000E72C6"/>
    <w:rsid w:val="000F1893"/>
    <w:rsid w:val="000F2F51"/>
    <w:rsid w:val="000F33DC"/>
    <w:rsid w:val="00104DEA"/>
    <w:rsid w:val="00105B4E"/>
    <w:rsid w:val="00106975"/>
    <w:rsid w:val="001069C8"/>
    <w:rsid w:val="001074B6"/>
    <w:rsid w:val="001131D7"/>
    <w:rsid w:val="00113371"/>
    <w:rsid w:val="00113CD3"/>
    <w:rsid w:val="00113CF8"/>
    <w:rsid w:val="00113D74"/>
    <w:rsid w:val="00117648"/>
    <w:rsid w:val="00117C5C"/>
    <w:rsid w:val="001202AE"/>
    <w:rsid w:val="00120DE9"/>
    <w:rsid w:val="001310AE"/>
    <w:rsid w:val="0013453B"/>
    <w:rsid w:val="00140A24"/>
    <w:rsid w:val="001416CF"/>
    <w:rsid w:val="001420B3"/>
    <w:rsid w:val="00145EED"/>
    <w:rsid w:val="001460C4"/>
    <w:rsid w:val="00155FC0"/>
    <w:rsid w:val="0015691C"/>
    <w:rsid w:val="0016091A"/>
    <w:rsid w:val="001621F7"/>
    <w:rsid w:val="001624D7"/>
    <w:rsid w:val="00162F0B"/>
    <w:rsid w:val="00163D01"/>
    <w:rsid w:val="00165E2D"/>
    <w:rsid w:val="00172549"/>
    <w:rsid w:val="001727AE"/>
    <w:rsid w:val="00174052"/>
    <w:rsid w:val="00177B86"/>
    <w:rsid w:val="00181DD1"/>
    <w:rsid w:val="00182585"/>
    <w:rsid w:val="00186981"/>
    <w:rsid w:val="00190860"/>
    <w:rsid w:val="00190AC0"/>
    <w:rsid w:val="00191182"/>
    <w:rsid w:val="001925CA"/>
    <w:rsid w:val="00194148"/>
    <w:rsid w:val="00194D83"/>
    <w:rsid w:val="0019664D"/>
    <w:rsid w:val="001A3350"/>
    <w:rsid w:val="001A5483"/>
    <w:rsid w:val="001A6103"/>
    <w:rsid w:val="001B07EC"/>
    <w:rsid w:val="001B0874"/>
    <w:rsid w:val="001B2871"/>
    <w:rsid w:val="001B5C45"/>
    <w:rsid w:val="001B5D37"/>
    <w:rsid w:val="001B7EAA"/>
    <w:rsid w:val="001C02EE"/>
    <w:rsid w:val="001C2940"/>
    <w:rsid w:val="001C30D4"/>
    <w:rsid w:val="001C3930"/>
    <w:rsid w:val="001C4016"/>
    <w:rsid w:val="001C4DEB"/>
    <w:rsid w:val="001C5483"/>
    <w:rsid w:val="001C548D"/>
    <w:rsid w:val="001C64CA"/>
    <w:rsid w:val="001C67C5"/>
    <w:rsid w:val="001C6A5D"/>
    <w:rsid w:val="001D3F9D"/>
    <w:rsid w:val="001D7901"/>
    <w:rsid w:val="001E21F3"/>
    <w:rsid w:val="001E306F"/>
    <w:rsid w:val="001E31A6"/>
    <w:rsid w:val="001E3364"/>
    <w:rsid w:val="001E42C7"/>
    <w:rsid w:val="001E4CAB"/>
    <w:rsid w:val="001E6851"/>
    <w:rsid w:val="001E6A67"/>
    <w:rsid w:val="001E712C"/>
    <w:rsid w:val="001E72F4"/>
    <w:rsid w:val="001E7954"/>
    <w:rsid w:val="001F0A4E"/>
    <w:rsid w:val="001F2F3E"/>
    <w:rsid w:val="001F4906"/>
    <w:rsid w:val="001F7C4A"/>
    <w:rsid w:val="001F7CC8"/>
    <w:rsid w:val="00200341"/>
    <w:rsid w:val="00200794"/>
    <w:rsid w:val="002012CF"/>
    <w:rsid w:val="00203874"/>
    <w:rsid w:val="0020578A"/>
    <w:rsid w:val="00207631"/>
    <w:rsid w:val="00214013"/>
    <w:rsid w:val="002157DA"/>
    <w:rsid w:val="00220FC1"/>
    <w:rsid w:val="00221A42"/>
    <w:rsid w:val="00222E9A"/>
    <w:rsid w:val="00224078"/>
    <w:rsid w:val="00224970"/>
    <w:rsid w:val="00225096"/>
    <w:rsid w:val="00230BEF"/>
    <w:rsid w:val="0023179D"/>
    <w:rsid w:val="0023359F"/>
    <w:rsid w:val="00235990"/>
    <w:rsid w:val="00240F7D"/>
    <w:rsid w:val="002412E0"/>
    <w:rsid w:val="00242EA2"/>
    <w:rsid w:val="002431EB"/>
    <w:rsid w:val="002446CF"/>
    <w:rsid w:val="00245B6C"/>
    <w:rsid w:val="00245C34"/>
    <w:rsid w:val="00250649"/>
    <w:rsid w:val="0025389D"/>
    <w:rsid w:val="00254E02"/>
    <w:rsid w:val="002551BF"/>
    <w:rsid w:val="0025540E"/>
    <w:rsid w:val="00255AC2"/>
    <w:rsid w:val="00256A90"/>
    <w:rsid w:val="00260945"/>
    <w:rsid w:val="00260A58"/>
    <w:rsid w:val="0026265F"/>
    <w:rsid w:val="00262E4D"/>
    <w:rsid w:val="00262FA7"/>
    <w:rsid w:val="00264C3C"/>
    <w:rsid w:val="00267E5B"/>
    <w:rsid w:val="002707DF"/>
    <w:rsid w:val="00272E7A"/>
    <w:rsid w:val="002804B1"/>
    <w:rsid w:val="00280B98"/>
    <w:rsid w:val="002822C3"/>
    <w:rsid w:val="00285A95"/>
    <w:rsid w:val="00285CE0"/>
    <w:rsid w:val="00286C3A"/>
    <w:rsid w:val="002930F5"/>
    <w:rsid w:val="00296509"/>
    <w:rsid w:val="002975CA"/>
    <w:rsid w:val="002A06B7"/>
    <w:rsid w:val="002A1F9D"/>
    <w:rsid w:val="002A4698"/>
    <w:rsid w:val="002A7E13"/>
    <w:rsid w:val="002B178E"/>
    <w:rsid w:val="002B1D35"/>
    <w:rsid w:val="002B1E26"/>
    <w:rsid w:val="002B39BC"/>
    <w:rsid w:val="002B48BD"/>
    <w:rsid w:val="002B52E7"/>
    <w:rsid w:val="002B5E35"/>
    <w:rsid w:val="002C0CEB"/>
    <w:rsid w:val="002C1277"/>
    <w:rsid w:val="002C3FD6"/>
    <w:rsid w:val="002C4AA4"/>
    <w:rsid w:val="002C57A1"/>
    <w:rsid w:val="002C6328"/>
    <w:rsid w:val="002C6E0C"/>
    <w:rsid w:val="002D144A"/>
    <w:rsid w:val="002E19A3"/>
    <w:rsid w:val="002E212B"/>
    <w:rsid w:val="002E3337"/>
    <w:rsid w:val="002E5751"/>
    <w:rsid w:val="002E6BB8"/>
    <w:rsid w:val="002E6D03"/>
    <w:rsid w:val="002E73FF"/>
    <w:rsid w:val="002E7D4B"/>
    <w:rsid w:val="002F069E"/>
    <w:rsid w:val="002F17D8"/>
    <w:rsid w:val="002F49A8"/>
    <w:rsid w:val="002F5D59"/>
    <w:rsid w:val="002F5E66"/>
    <w:rsid w:val="002F61CA"/>
    <w:rsid w:val="0030010D"/>
    <w:rsid w:val="00301098"/>
    <w:rsid w:val="00304B27"/>
    <w:rsid w:val="00305F50"/>
    <w:rsid w:val="00310BE2"/>
    <w:rsid w:val="00311DE0"/>
    <w:rsid w:val="00311ECE"/>
    <w:rsid w:val="00316E2D"/>
    <w:rsid w:val="0031757D"/>
    <w:rsid w:val="0032051E"/>
    <w:rsid w:val="00320A48"/>
    <w:rsid w:val="0032208A"/>
    <w:rsid w:val="003239BC"/>
    <w:rsid w:val="003248D6"/>
    <w:rsid w:val="0033095A"/>
    <w:rsid w:val="0033504C"/>
    <w:rsid w:val="00336816"/>
    <w:rsid w:val="003370D0"/>
    <w:rsid w:val="00337355"/>
    <w:rsid w:val="00337B26"/>
    <w:rsid w:val="00337EBF"/>
    <w:rsid w:val="003401E6"/>
    <w:rsid w:val="003402E4"/>
    <w:rsid w:val="00340F95"/>
    <w:rsid w:val="00343232"/>
    <w:rsid w:val="00345926"/>
    <w:rsid w:val="003468D9"/>
    <w:rsid w:val="00346ABA"/>
    <w:rsid w:val="00347FA0"/>
    <w:rsid w:val="003502E6"/>
    <w:rsid w:val="003531ED"/>
    <w:rsid w:val="00353CB6"/>
    <w:rsid w:val="00354F2C"/>
    <w:rsid w:val="00360B9A"/>
    <w:rsid w:val="0036224B"/>
    <w:rsid w:val="003676A7"/>
    <w:rsid w:val="003720FB"/>
    <w:rsid w:val="00372C93"/>
    <w:rsid w:val="0037447B"/>
    <w:rsid w:val="00377305"/>
    <w:rsid w:val="003841DD"/>
    <w:rsid w:val="0038550B"/>
    <w:rsid w:val="003871F4"/>
    <w:rsid w:val="0039017F"/>
    <w:rsid w:val="00394AEE"/>
    <w:rsid w:val="00394CEF"/>
    <w:rsid w:val="0039651B"/>
    <w:rsid w:val="00396588"/>
    <w:rsid w:val="003A134F"/>
    <w:rsid w:val="003A310A"/>
    <w:rsid w:val="003A3180"/>
    <w:rsid w:val="003A3D3F"/>
    <w:rsid w:val="003A5643"/>
    <w:rsid w:val="003B0C1A"/>
    <w:rsid w:val="003B37DF"/>
    <w:rsid w:val="003B6BEB"/>
    <w:rsid w:val="003C02F2"/>
    <w:rsid w:val="003C17B6"/>
    <w:rsid w:val="003C2D98"/>
    <w:rsid w:val="003C3F89"/>
    <w:rsid w:val="003C4928"/>
    <w:rsid w:val="003D0ECD"/>
    <w:rsid w:val="003D2B99"/>
    <w:rsid w:val="003D3A96"/>
    <w:rsid w:val="003D3B9C"/>
    <w:rsid w:val="003D4052"/>
    <w:rsid w:val="003D53C9"/>
    <w:rsid w:val="003D6E7D"/>
    <w:rsid w:val="003D7746"/>
    <w:rsid w:val="003F166A"/>
    <w:rsid w:val="003F211E"/>
    <w:rsid w:val="003F4E46"/>
    <w:rsid w:val="003F5317"/>
    <w:rsid w:val="003F5508"/>
    <w:rsid w:val="00404971"/>
    <w:rsid w:val="00404D53"/>
    <w:rsid w:val="00404F03"/>
    <w:rsid w:val="00406CF1"/>
    <w:rsid w:val="00406D9D"/>
    <w:rsid w:val="00410E59"/>
    <w:rsid w:val="00412051"/>
    <w:rsid w:val="004164AA"/>
    <w:rsid w:val="00417A06"/>
    <w:rsid w:val="00417DA4"/>
    <w:rsid w:val="004204F3"/>
    <w:rsid w:val="00423B94"/>
    <w:rsid w:val="00424195"/>
    <w:rsid w:val="00430A41"/>
    <w:rsid w:val="00430EBB"/>
    <w:rsid w:val="00431238"/>
    <w:rsid w:val="00432E82"/>
    <w:rsid w:val="00437943"/>
    <w:rsid w:val="004405EF"/>
    <w:rsid w:val="00442A05"/>
    <w:rsid w:val="0044645E"/>
    <w:rsid w:val="0045392B"/>
    <w:rsid w:val="004541C0"/>
    <w:rsid w:val="00454679"/>
    <w:rsid w:val="00454C19"/>
    <w:rsid w:val="004556C3"/>
    <w:rsid w:val="00456414"/>
    <w:rsid w:val="00461AF2"/>
    <w:rsid w:val="004629A1"/>
    <w:rsid w:val="00463731"/>
    <w:rsid w:val="0046400A"/>
    <w:rsid w:val="00467B25"/>
    <w:rsid w:val="00481108"/>
    <w:rsid w:val="00481CA6"/>
    <w:rsid w:val="00481F92"/>
    <w:rsid w:val="00482E4C"/>
    <w:rsid w:val="004830D6"/>
    <w:rsid w:val="00486058"/>
    <w:rsid w:val="00486075"/>
    <w:rsid w:val="0049042B"/>
    <w:rsid w:val="004908C5"/>
    <w:rsid w:val="0049107A"/>
    <w:rsid w:val="004941BB"/>
    <w:rsid w:val="00494BB9"/>
    <w:rsid w:val="00494C83"/>
    <w:rsid w:val="00495473"/>
    <w:rsid w:val="00496148"/>
    <w:rsid w:val="00497563"/>
    <w:rsid w:val="004A0534"/>
    <w:rsid w:val="004A0573"/>
    <w:rsid w:val="004A43AA"/>
    <w:rsid w:val="004A458E"/>
    <w:rsid w:val="004A66C8"/>
    <w:rsid w:val="004A6C17"/>
    <w:rsid w:val="004B2118"/>
    <w:rsid w:val="004B23E7"/>
    <w:rsid w:val="004B306F"/>
    <w:rsid w:val="004B544E"/>
    <w:rsid w:val="004B5B0B"/>
    <w:rsid w:val="004B6BB6"/>
    <w:rsid w:val="004C2B66"/>
    <w:rsid w:val="004C3186"/>
    <w:rsid w:val="004C45FF"/>
    <w:rsid w:val="004C5042"/>
    <w:rsid w:val="004D4361"/>
    <w:rsid w:val="004D4527"/>
    <w:rsid w:val="004E3515"/>
    <w:rsid w:val="004E356B"/>
    <w:rsid w:val="004E3A18"/>
    <w:rsid w:val="004E4422"/>
    <w:rsid w:val="004E4871"/>
    <w:rsid w:val="004E4FC3"/>
    <w:rsid w:val="004F16A0"/>
    <w:rsid w:val="004F3113"/>
    <w:rsid w:val="004F4E28"/>
    <w:rsid w:val="00501105"/>
    <w:rsid w:val="005032D4"/>
    <w:rsid w:val="00503668"/>
    <w:rsid w:val="00503998"/>
    <w:rsid w:val="005048B0"/>
    <w:rsid w:val="0050623B"/>
    <w:rsid w:val="005120C2"/>
    <w:rsid w:val="0051221A"/>
    <w:rsid w:val="00523181"/>
    <w:rsid w:val="0052422A"/>
    <w:rsid w:val="00524675"/>
    <w:rsid w:val="00524D13"/>
    <w:rsid w:val="005251BF"/>
    <w:rsid w:val="0052653C"/>
    <w:rsid w:val="0052684F"/>
    <w:rsid w:val="0052739B"/>
    <w:rsid w:val="00527E03"/>
    <w:rsid w:val="005339F6"/>
    <w:rsid w:val="00534940"/>
    <w:rsid w:val="00534A42"/>
    <w:rsid w:val="005366EA"/>
    <w:rsid w:val="00536AA4"/>
    <w:rsid w:val="005409FC"/>
    <w:rsid w:val="0054134B"/>
    <w:rsid w:val="00541BBC"/>
    <w:rsid w:val="0054688D"/>
    <w:rsid w:val="00560EFB"/>
    <w:rsid w:val="0056727C"/>
    <w:rsid w:val="005740C2"/>
    <w:rsid w:val="00574A7F"/>
    <w:rsid w:val="00575AE5"/>
    <w:rsid w:val="005766CF"/>
    <w:rsid w:val="00576B18"/>
    <w:rsid w:val="00580CD0"/>
    <w:rsid w:val="0058452E"/>
    <w:rsid w:val="005853A5"/>
    <w:rsid w:val="0058643B"/>
    <w:rsid w:val="00587724"/>
    <w:rsid w:val="00591512"/>
    <w:rsid w:val="00594A98"/>
    <w:rsid w:val="00594D25"/>
    <w:rsid w:val="00597E91"/>
    <w:rsid w:val="005A1E1B"/>
    <w:rsid w:val="005B16C6"/>
    <w:rsid w:val="005B2D91"/>
    <w:rsid w:val="005B48B4"/>
    <w:rsid w:val="005B748D"/>
    <w:rsid w:val="005C4D86"/>
    <w:rsid w:val="005C62DB"/>
    <w:rsid w:val="005C6661"/>
    <w:rsid w:val="005C6E3B"/>
    <w:rsid w:val="005D336A"/>
    <w:rsid w:val="005D474B"/>
    <w:rsid w:val="005D6BAD"/>
    <w:rsid w:val="005E0699"/>
    <w:rsid w:val="005E085C"/>
    <w:rsid w:val="005E147D"/>
    <w:rsid w:val="005E22C2"/>
    <w:rsid w:val="005E57BB"/>
    <w:rsid w:val="005E6950"/>
    <w:rsid w:val="005F0017"/>
    <w:rsid w:val="005F086F"/>
    <w:rsid w:val="005F0B89"/>
    <w:rsid w:val="005F2970"/>
    <w:rsid w:val="005F67D5"/>
    <w:rsid w:val="006014F1"/>
    <w:rsid w:val="00602686"/>
    <w:rsid w:val="006033FE"/>
    <w:rsid w:val="00605815"/>
    <w:rsid w:val="0061011E"/>
    <w:rsid w:val="006108EC"/>
    <w:rsid w:val="00611970"/>
    <w:rsid w:val="00612A16"/>
    <w:rsid w:val="0061357B"/>
    <w:rsid w:val="0061387A"/>
    <w:rsid w:val="00613A0A"/>
    <w:rsid w:val="00614A7D"/>
    <w:rsid w:val="0061583F"/>
    <w:rsid w:val="0061788A"/>
    <w:rsid w:val="006204C2"/>
    <w:rsid w:val="006236A1"/>
    <w:rsid w:val="0062387F"/>
    <w:rsid w:val="00624BA0"/>
    <w:rsid w:val="006269E8"/>
    <w:rsid w:val="0062757F"/>
    <w:rsid w:val="00627EC0"/>
    <w:rsid w:val="006318C9"/>
    <w:rsid w:val="006356EC"/>
    <w:rsid w:val="0063631C"/>
    <w:rsid w:val="0063757B"/>
    <w:rsid w:val="006377CE"/>
    <w:rsid w:val="00642576"/>
    <w:rsid w:val="00643FFB"/>
    <w:rsid w:val="00647ED4"/>
    <w:rsid w:val="006537D9"/>
    <w:rsid w:val="0065403C"/>
    <w:rsid w:val="00661316"/>
    <w:rsid w:val="00664A48"/>
    <w:rsid w:val="00665DEF"/>
    <w:rsid w:val="006714CF"/>
    <w:rsid w:val="00675BB1"/>
    <w:rsid w:val="006775F1"/>
    <w:rsid w:val="006804E0"/>
    <w:rsid w:val="006851D6"/>
    <w:rsid w:val="00685ACA"/>
    <w:rsid w:val="00692791"/>
    <w:rsid w:val="00692AA7"/>
    <w:rsid w:val="00695396"/>
    <w:rsid w:val="00697FEC"/>
    <w:rsid w:val="006A175F"/>
    <w:rsid w:val="006A20CA"/>
    <w:rsid w:val="006A26F0"/>
    <w:rsid w:val="006A2B75"/>
    <w:rsid w:val="006A44F5"/>
    <w:rsid w:val="006B03DB"/>
    <w:rsid w:val="006B3877"/>
    <w:rsid w:val="006B4537"/>
    <w:rsid w:val="006B554F"/>
    <w:rsid w:val="006B5F85"/>
    <w:rsid w:val="006B63EC"/>
    <w:rsid w:val="006B6929"/>
    <w:rsid w:val="006B709B"/>
    <w:rsid w:val="006C39F8"/>
    <w:rsid w:val="006C4409"/>
    <w:rsid w:val="006C4A56"/>
    <w:rsid w:val="006C54AF"/>
    <w:rsid w:val="006C64A8"/>
    <w:rsid w:val="006D2AF2"/>
    <w:rsid w:val="006D3655"/>
    <w:rsid w:val="006E0181"/>
    <w:rsid w:val="006E175E"/>
    <w:rsid w:val="006E40F6"/>
    <w:rsid w:val="006E5194"/>
    <w:rsid w:val="006E5C6B"/>
    <w:rsid w:val="006E64FF"/>
    <w:rsid w:val="006E6AA7"/>
    <w:rsid w:val="006E756D"/>
    <w:rsid w:val="006E7E4D"/>
    <w:rsid w:val="006F07BF"/>
    <w:rsid w:val="006F26A0"/>
    <w:rsid w:val="006F541C"/>
    <w:rsid w:val="006F5670"/>
    <w:rsid w:val="006F64B4"/>
    <w:rsid w:val="00700C0E"/>
    <w:rsid w:val="00700EAC"/>
    <w:rsid w:val="00702DCC"/>
    <w:rsid w:val="0070380D"/>
    <w:rsid w:val="007044B2"/>
    <w:rsid w:val="00704695"/>
    <w:rsid w:val="0070478D"/>
    <w:rsid w:val="00705DA6"/>
    <w:rsid w:val="00705DAD"/>
    <w:rsid w:val="0070601B"/>
    <w:rsid w:val="0070670A"/>
    <w:rsid w:val="00707607"/>
    <w:rsid w:val="00710BFF"/>
    <w:rsid w:val="0071353C"/>
    <w:rsid w:val="0071486D"/>
    <w:rsid w:val="00715069"/>
    <w:rsid w:val="00720AD9"/>
    <w:rsid w:val="00721184"/>
    <w:rsid w:val="00723662"/>
    <w:rsid w:val="007247B9"/>
    <w:rsid w:val="007262BA"/>
    <w:rsid w:val="00727D85"/>
    <w:rsid w:val="00730EB4"/>
    <w:rsid w:val="00732D30"/>
    <w:rsid w:val="0073317F"/>
    <w:rsid w:val="0073329C"/>
    <w:rsid w:val="007346C7"/>
    <w:rsid w:val="007358EA"/>
    <w:rsid w:val="00736041"/>
    <w:rsid w:val="007408C7"/>
    <w:rsid w:val="00740AF6"/>
    <w:rsid w:val="00740F2F"/>
    <w:rsid w:val="00743ECB"/>
    <w:rsid w:val="007444E9"/>
    <w:rsid w:val="00745721"/>
    <w:rsid w:val="007465DA"/>
    <w:rsid w:val="0075082D"/>
    <w:rsid w:val="00752C7F"/>
    <w:rsid w:val="007561D5"/>
    <w:rsid w:val="00760092"/>
    <w:rsid w:val="00763097"/>
    <w:rsid w:val="00765447"/>
    <w:rsid w:val="007664A4"/>
    <w:rsid w:val="007714F3"/>
    <w:rsid w:val="007715D5"/>
    <w:rsid w:val="00771A2B"/>
    <w:rsid w:val="00771A4B"/>
    <w:rsid w:val="007745B8"/>
    <w:rsid w:val="00776598"/>
    <w:rsid w:val="00781D02"/>
    <w:rsid w:val="00783886"/>
    <w:rsid w:val="00792948"/>
    <w:rsid w:val="00793433"/>
    <w:rsid w:val="00796E84"/>
    <w:rsid w:val="0079704B"/>
    <w:rsid w:val="007970B5"/>
    <w:rsid w:val="0079755C"/>
    <w:rsid w:val="007A0CA6"/>
    <w:rsid w:val="007A3ADE"/>
    <w:rsid w:val="007A5733"/>
    <w:rsid w:val="007A5774"/>
    <w:rsid w:val="007B29DA"/>
    <w:rsid w:val="007B4588"/>
    <w:rsid w:val="007B5B95"/>
    <w:rsid w:val="007B7C5E"/>
    <w:rsid w:val="007B7E82"/>
    <w:rsid w:val="007C37B3"/>
    <w:rsid w:val="007C458F"/>
    <w:rsid w:val="007C7BEF"/>
    <w:rsid w:val="007D22FF"/>
    <w:rsid w:val="007D2DF2"/>
    <w:rsid w:val="007E422E"/>
    <w:rsid w:val="007E650C"/>
    <w:rsid w:val="007E7281"/>
    <w:rsid w:val="007E7DB6"/>
    <w:rsid w:val="007F2D82"/>
    <w:rsid w:val="007F53A4"/>
    <w:rsid w:val="007F5E22"/>
    <w:rsid w:val="00801BB2"/>
    <w:rsid w:val="00801E74"/>
    <w:rsid w:val="0080485E"/>
    <w:rsid w:val="00805825"/>
    <w:rsid w:val="0080709C"/>
    <w:rsid w:val="008142B4"/>
    <w:rsid w:val="00816B85"/>
    <w:rsid w:val="00817364"/>
    <w:rsid w:val="00821EE5"/>
    <w:rsid w:val="00822330"/>
    <w:rsid w:val="00822DB9"/>
    <w:rsid w:val="0082394D"/>
    <w:rsid w:val="00832324"/>
    <w:rsid w:val="00833613"/>
    <w:rsid w:val="00833A7C"/>
    <w:rsid w:val="00835337"/>
    <w:rsid w:val="008370F6"/>
    <w:rsid w:val="0084057D"/>
    <w:rsid w:val="008419EA"/>
    <w:rsid w:val="008435D3"/>
    <w:rsid w:val="00844A7A"/>
    <w:rsid w:val="00846085"/>
    <w:rsid w:val="00846DCD"/>
    <w:rsid w:val="00851399"/>
    <w:rsid w:val="00851A92"/>
    <w:rsid w:val="00851D85"/>
    <w:rsid w:val="00854FD3"/>
    <w:rsid w:val="00855456"/>
    <w:rsid w:val="00855FAA"/>
    <w:rsid w:val="00860CCB"/>
    <w:rsid w:val="008700A5"/>
    <w:rsid w:val="008709E2"/>
    <w:rsid w:val="008740A3"/>
    <w:rsid w:val="00883740"/>
    <w:rsid w:val="00883AA1"/>
    <w:rsid w:val="0088477D"/>
    <w:rsid w:val="00885597"/>
    <w:rsid w:val="00886DB5"/>
    <w:rsid w:val="0089260C"/>
    <w:rsid w:val="0089291D"/>
    <w:rsid w:val="0089297B"/>
    <w:rsid w:val="00892997"/>
    <w:rsid w:val="00894E37"/>
    <w:rsid w:val="00895FEF"/>
    <w:rsid w:val="008A0C9A"/>
    <w:rsid w:val="008A4AB4"/>
    <w:rsid w:val="008B14BA"/>
    <w:rsid w:val="008B1D1A"/>
    <w:rsid w:val="008B2AA3"/>
    <w:rsid w:val="008B2E4C"/>
    <w:rsid w:val="008B3344"/>
    <w:rsid w:val="008B397F"/>
    <w:rsid w:val="008B4CED"/>
    <w:rsid w:val="008B506C"/>
    <w:rsid w:val="008B786D"/>
    <w:rsid w:val="008C20BB"/>
    <w:rsid w:val="008C36CA"/>
    <w:rsid w:val="008C4A87"/>
    <w:rsid w:val="008C5029"/>
    <w:rsid w:val="008D0794"/>
    <w:rsid w:val="008D5057"/>
    <w:rsid w:val="008E1A7B"/>
    <w:rsid w:val="008E2794"/>
    <w:rsid w:val="008E2ED2"/>
    <w:rsid w:val="008E37A4"/>
    <w:rsid w:val="008E3BB3"/>
    <w:rsid w:val="008E3F8C"/>
    <w:rsid w:val="008F1FF0"/>
    <w:rsid w:val="008F2DB9"/>
    <w:rsid w:val="008F71AC"/>
    <w:rsid w:val="008F729C"/>
    <w:rsid w:val="00902491"/>
    <w:rsid w:val="00902FD0"/>
    <w:rsid w:val="009053D3"/>
    <w:rsid w:val="00905D89"/>
    <w:rsid w:val="0090691F"/>
    <w:rsid w:val="00906A6B"/>
    <w:rsid w:val="009107C8"/>
    <w:rsid w:val="0091363D"/>
    <w:rsid w:val="009145AF"/>
    <w:rsid w:val="0091565E"/>
    <w:rsid w:val="0091571E"/>
    <w:rsid w:val="00917726"/>
    <w:rsid w:val="00920F82"/>
    <w:rsid w:val="009256E3"/>
    <w:rsid w:val="0093111F"/>
    <w:rsid w:val="009321E2"/>
    <w:rsid w:val="009331A4"/>
    <w:rsid w:val="0093459E"/>
    <w:rsid w:val="00935689"/>
    <w:rsid w:val="009407B5"/>
    <w:rsid w:val="009417F5"/>
    <w:rsid w:val="00941AAB"/>
    <w:rsid w:val="0094276C"/>
    <w:rsid w:val="00945351"/>
    <w:rsid w:val="00946249"/>
    <w:rsid w:val="0095303B"/>
    <w:rsid w:val="00953936"/>
    <w:rsid w:val="00957DA7"/>
    <w:rsid w:val="009663B6"/>
    <w:rsid w:val="00970A04"/>
    <w:rsid w:val="00974A47"/>
    <w:rsid w:val="00980286"/>
    <w:rsid w:val="00980B3D"/>
    <w:rsid w:val="00984272"/>
    <w:rsid w:val="00984E09"/>
    <w:rsid w:val="00985705"/>
    <w:rsid w:val="009857BF"/>
    <w:rsid w:val="0098781F"/>
    <w:rsid w:val="009879B6"/>
    <w:rsid w:val="00990DCF"/>
    <w:rsid w:val="009924C7"/>
    <w:rsid w:val="00992C0E"/>
    <w:rsid w:val="00993B53"/>
    <w:rsid w:val="0099744F"/>
    <w:rsid w:val="00997DED"/>
    <w:rsid w:val="009A2965"/>
    <w:rsid w:val="009A4CD6"/>
    <w:rsid w:val="009A537C"/>
    <w:rsid w:val="009A63FB"/>
    <w:rsid w:val="009B0AF4"/>
    <w:rsid w:val="009B7138"/>
    <w:rsid w:val="009B7C57"/>
    <w:rsid w:val="009C0886"/>
    <w:rsid w:val="009C19EE"/>
    <w:rsid w:val="009C28D0"/>
    <w:rsid w:val="009C35F2"/>
    <w:rsid w:val="009C38A7"/>
    <w:rsid w:val="009C5562"/>
    <w:rsid w:val="009C6D07"/>
    <w:rsid w:val="009C7782"/>
    <w:rsid w:val="009D00EB"/>
    <w:rsid w:val="009D1824"/>
    <w:rsid w:val="009D1ED5"/>
    <w:rsid w:val="009D4C13"/>
    <w:rsid w:val="009D62D2"/>
    <w:rsid w:val="009E21A7"/>
    <w:rsid w:val="009E63E5"/>
    <w:rsid w:val="009F070F"/>
    <w:rsid w:val="009F1B83"/>
    <w:rsid w:val="009F2A90"/>
    <w:rsid w:val="009F3930"/>
    <w:rsid w:val="009F493D"/>
    <w:rsid w:val="009F5C2F"/>
    <w:rsid w:val="00A01532"/>
    <w:rsid w:val="00A064F7"/>
    <w:rsid w:val="00A07137"/>
    <w:rsid w:val="00A103ED"/>
    <w:rsid w:val="00A13C60"/>
    <w:rsid w:val="00A149AE"/>
    <w:rsid w:val="00A14FC4"/>
    <w:rsid w:val="00A15134"/>
    <w:rsid w:val="00A1585D"/>
    <w:rsid w:val="00A236C1"/>
    <w:rsid w:val="00A25379"/>
    <w:rsid w:val="00A25E9D"/>
    <w:rsid w:val="00A26351"/>
    <w:rsid w:val="00A341A3"/>
    <w:rsid w:val="00A35800"/>
    <w:rsid w:val="00A415B2"/>
    <w:rsid w:val="00A44850"/>
    <w:rsid w:val="00A46475"/>
    <w:rsid w:val="00A51126"/>
    <w:rsid w:val="00A52918"/>
    <w:rsid w:val="00A53AB7"/>
    <w:rsid w:val="00A547B3"/>
    <w:rsid w:val="00A5632F"/>
    <w:rsid w:val="00A57B05"/>
    <w:rsid w:val="00A62031"/>
    <w:rsid w:val="00A645EF"/>
    <w:rsid w:val="00A64FF5"/>
    <w:rsid w:val="00A66018"/>
    <w:rsid w:val="00A6791D"/>
    <w:rsid w:val="00A67F12"/>
    <w:rsid w:val="00A70E82"/>
    <w:rsid w:val="00A777EA"/>
    <w:rsid w:val="00A81184"/>
    <w:rsid w:val="00A83EEE"/>
    <w:rsid w:val="00A84754"/>
    <w:rsid w:val="00A84822"/>
    <w:rsid w:val="00A84CAD"/>
    <w:rsid w:val="00A90E50"/>
    <w:rsid w:val="00A91580"/>
    <w:rsid w:val="00A92680"/>
    <w:rsid w:val="00A92998"/>
    <w:rsid w:val="00A9467E"/>
    <w:rsid w:val="00A959F3"/>
    <w:rsid w:val="00A95FA5"/>
    <w:rsid w:val="00A96D92"/>
    <w:rsid w:val="00A97051"/>
    <w:rsid w:val="00AA0D6D"/>
    <w:rsid w:val="00AA57FA"/>
    <w:rsid w:val="00AA61A2"/>
    <w:rsid w:val="00AA6C84"/>
    <w:rsid w:val="00AB199C"/>
    <w:rsid w:val="00AB289B"/>
    <w:rsid w:val="00AB3733"/>
    <w:rsid w:val="00AB427C"/>
    <w:rsid w:val="00AB588C"/>
    <w:rsid w:val="00AB759A"/>
    <w:rsid w:val="00AB7897"/>
    <w:rsid w:val="00AC5054"/>
    <w:rsid w:val="00AD1310"/>
    <w:rsid w:val="00AD3E48"/>
    <w:rsid w:val="00AD4789"/>
    <w:rsid w:val="00AD585B"/>
    <w:rsid w:val="00AE2420"/>
    <w:rsid w:val="00AE4BAC"/>
    <w:rsid w:val="00AE66D5"/>
    <w:rsid w:val="00AF56D2"/>
    <w:rsid w:val="00B01D74"/>
    <w:rsid w:val="00B028F3"/>
    <w:rsid w:val="00B034FC"/>
    <w:rsid w:val="00B041B2"/>
    <w:rsid w:val="00B0492F"/>
    <w:rsid w:val="00B05310"/>
    <w:rsid w:val="00B07B9B"/>
    <w:rsid w:val="00B07C14"/>
    <w:rsid w:val="00B10A0B"/>
    <w:rsid w:val="00B110E1"/>
    <w:rsid w:val="00B16A5A"/>
    <w:rsid w:val="00B207A5"/>
    <w:rsid w:val="00B255D3"/>
    <w:rsid w:val="00B25926"/>
    <w:rsid w:val="00B27076"/>
    <w:rsid w:val="00B27CFF"/>
    <w:rsid w:val="00B30D85"/>
    <w:rsid w:val="00B3463F"/>
    <w:rsid w:val="00B34CB0"/>
    <w:rsid w:val="00B35A4A"/>
    <w:rsid w:val="00B37F6B"/>
    <w:rsid w:val="00B453CF"/>
    <w:rsid w:val="00B461ED"/>
    <w:rsid w:val="00B47BE4"/>
    <w:rsid w:val="00B52EB9"/>
    <w:rsid w:val="00B556DB"/>
    <w:rsid w:val="00B5609C"/>
    <w:rsid w:val="00B562DE"/>
    <w:rsid w:val="00B63FD7"/>
    <w:rsid w:val="00B706EC"/>
    <w:rsid w:val="00B733FC"/>
    <w:rsid w:val="00B816D9"/>
    <w:rsid w:val="00B84FAE"/>
    <w:rsid w:val="00B9120F"/>
    <w:rsid w:val="00B9185E"/>
    <w:rsid w:val="00B91AEC"/>
    <w:rsid w:val="00B9216C"/>
    <w:rsid w:val="00B924A4"/>
    <w:rsid w:val="00B924DD"/>
    <w:rsid w:val="00B96D18"/>
    <w:rsid w:val="00B979C6"/>
    <w:rsid w:val="00BA0C35"/>
    <w:rsid w:val="00BA2B51"/>
    <w:rsid w:val="00BA2F7F"/>
    <w:rsid w:val="00BA3F2C"/>
    <w:rsid w:val="00BA5E08"/>
    <w:rsid w:val="00BB0D1A"/>
    <w:rsid w:val="00BB1D3B"/>
    <w:rsid w:val="00BC3501"/>
    <w:rsid w:val="00BC35ED"/>
    <w:rsid w:val="00BC5B58"/>
    <w:rsid w:val="00BC6615"/>
    <w:rsid w:val="00BE15ED"/>
    <w:rsid w:val="00BE201E"/>
    <w:rsid w:val="00BE205A"/>
    <w:rsid w:val="00BE3802"/>
    <w:rsid w:val="00BE420B"/>
    <w:rsid w:val="00BE56C5"/>
    <w:rsid w:val="00BF096D"/>
    <w:rsid w:val="00BF238E"/>
    <w:rsid w:val="00BF2F4A"/>
    <w:rsid w:val="00BF544D"/>
    <w:rsid w:val="00C0001C"/>
    <w:rsid w:val="00C0076F"/>
    <w:rsid w:val="00C0301C"/>
    <w:rsid w:val="00C0505A"/>
    <w:rsid w:val="00C050B6"/>
    <w:rsid w:val="00C06B02"/>
    <w:rsid w:val="00C10F12"/>
    <w:rsid w:val="00C1285F"/>
    <w:rsid w:val="00C16BD0"/>
    <w:rsid w:val="00C209C2"/>
    <w:rsid w:val="00C2212B"/>
    <w:rsid w:val="00C2241C"/>
    <w:rsid w:val="00C233F4"/>
    <w:rsid w:val="00C235E8"/>
    <w:rsid w:val="00C245EA"/>
    <w:rsid w:val="00C256F6"/>
    <w:rsid w:val="00C27C12"/>
    <w:rsid w:val="00C3097E"/>
    <w:rsid w:val="00C32C0F"/>
    <w:rsid w:val="00C35ECC"/>
    <w:rsid w:val="00C361A8"/>
    <w:rsid w:val="00C41246"/>
    <w:rsid w:val="00C44E6B"/>
    <w:rsid w:val="00C452BE"/>
    <w:rsid w:val="00C45E5F"/>
    <w:rsid w:val="00C46291"/>
    <w:rsid w:val="00C46753"/>
    <w:rsid w:val="00C473B1"/>
    <w:rsid w:val="00C47E35"/>
    <w:rsid w:val="00C47FEB"/>
    <w:rsid w:val="00C6263C"/>
    <w:rsid w:val="00C63412"/>
    <w:rsid w:val="00C714D0"/>
    <w:rsid w:val="00C73CF7"/>
    <w:rsid w:val="00C76D16"/>
    <w:rsid w:val="00C807D9"/>
    <w:rsid w:val="00C8261A"/>
    <w:rsid w:val="00C90EF4"/>
    <w:rsid w:val="00C96608"/>
    <w:rsid w:val="00C96E8D"/>
    <w:rsid w:val="00C9776F"/>
    <w:rsid w:val="00CA015A"/>
    <w:rsid w:val="00CA12C4"/>
    <w:rsid w:val="00CA17FB"/>
    <w:rsid w:val="00CA623A"/>
    <w:rsid w:val="00CA69F9"/>
    <w:rsid w:val="00CB08B2"/>
    <w:rsid w:val="00CB0C4C"/>
    <w:rsid w:val="00CB100E"/>
    <w:rsid w:val="00CB4AF2"/>
    <w:rsid w:val="00CC1AA3"/>
    <w:rsid w:val="00CC211B"/>
    <w:rsid w:val="00CD0437"/>
    <w:rsid w:val="00CD4486"/>
    <w:rsid w:val="00CD4833"/>
    <w:rsid w:val="00CD67A8"/>
    <w:rsid w:val="00CD70CF"/>
    <w:rsid w:val="00CD74EF"/>
    <w:rsid w:val="00CE0485"/>
    <w:rsid w:val="00CE0ECA"/>
    <w:rsid w:val="00CE2D8A"/>
    <w:rsid w:val="00CE461C"/>
    <w:rsid w:val="00CE5525"/>
    <w:rsid w:val="00CE6B99"/>
    <w:rsid w:val="00CE7DC0"/>
    <w:rsid w:val="00CF2910"/>
    <w:rsid w:val="00CF4113"/>
    <w:rsid w:val="00CF496C"/>
    <w:rsid w:val="00CF5155"/>
    <w:rsid w:val="00CF5E22"/>
    <w:rsid w:val="00D0020B"/>
    <w:rsid w:val="00D02E9F"/>
    <w:rsid w:val="00D058D9"/>
    <w:rsid w:val="00D05AE2"/>
    <w:rsid w:val="00D064A8"/>
    <w:rsid w:val="00D06A44"/>
    <w:rsid w:val="00D07437"/>
    <w:rsid w:val="00D07581"/>
    <w:rsid w:val="00D104E5"/>
    <w:rsid w:val="00D12632"/>
    <w:rsid w:val="00D146B8"/>
    <w:rsid w:val="00D151EB"/>
    <w:rsid w:val="00D15518"/>
    <w:rsid w:val="00D1628B"/>
    <w:rsid w:val="00D16C65"/>
    <w:rsid w:val="00D17151"/>
    <w:rsid w:val="00D25B05"/>
    <w:rsid w:val="00D26528"/>
    <w:rsid w:val="00D300E0"/>
    <w:rsid w:val="00D319E7"/>
    <w:rsid w:val="00D33B8C"/>
    <w:rsid w:val="00D34321"/>
    <w:rsid w:val="00D36304"/>
    <w:rsid w:val="00D374CD"/>
    <w:rsid w:val="00D37CA2"/>
    <w:rsid w:val="00D41C55"/>
    <w:rsid w:val="00D44AE7"/>
    <w:rsid w:val="00D45D44"/>
    <w:rsid w:val="00D50569"/>
    <w:rsid w:val="00D50C36"/>
    <w:rsid w:val="00D531F5"/>
    <w:rsid w:val="00D545BB"/>
    <w:rsid w:val="00D55E5B"/>
    <w:rsid w:val="00D61066"/>
    <w:rsid w:val="00D650CE"/>
    <w:rsid w:val="00D66B09"/>
    <w:rsid w:val="00D703B8"/>
    <w:rsid w:val="00D71719"/>
    <w:rsid w:val="00D73051"/>
    <w:rsid w:val="00D73CB9"/>
    <w:rsid w:val="00D75E0A"/>
    <w:rsid w:val="00D77168"/>
    <w:rsid w:val="00D776DA"/>
    <w:rsid w:val="00D77B68"/>
    <w:rsid w:val="00D8092E"/>
    <w:rsid w:val="00D82AA3"/>
    <w:rsid w:val="00D84DDC"/>
    <w:rsid w:val="00D8758B"/>
    <w:rsid w:val="00D937B0"/>
    <w:rsid w:val="00D942B3"/>
    <w:rsid w:val="00D94863"/>
    <w:rsid w:val="00D94F48"/>
    <w:rsid w:val="00DA2DA3"/>
    <w:rsid w:val="00DA3053"/>
    <w:rsid w:val="00DA36BB"/>
    <w:rsid w:val="00DA4531"/>
    <w:rsid w:val="00DA6F6F"/>
    <w:rsid w:val="00DA7D09"/>
    <w:rsid w:val="00DB22AC"/>
    <w:rsid w:val="00DB5CCF"/>
    <w:rsid w:val="00DB6474"/>
    <w:rsid w:val="00DB74EF"/>
    <w:rsid w:val="00DB7A9F"/>
    <w:rsid w:val="00DC0476"/>
    <w:rsid w:val="00DC2630"/>
    <w:rsid w:val="00DC49E9"/>
    <w:rsid w:val="00DC55E4"/>
    <w:rsid w:val="00DC58A8"/>
    <w:rsid w:val="00DC7D71"/>
    <w:rsid w:val="00DD188C"/>
    <w:rsid w:val="00DD19FF"/>
    <w:rsid w:val="00DD29A3"/>
    <w:rsid w:val="00DD48EE"/>
    <w:rsid w:val="00DE00C9"/>
    <w:rsid w:val="00DE0B96"/>
    <w:rsid w:val="00DE10B9"/>
    <w:rsid w:val="00DE2E01"/>
    <w:rsid w:val="00DE552E"/>
    <w:rsid w:val="00DE5C6E"/>
    <w:rsid w:val="00DE66E4"/>
    <w:rsid w:val="00DF0B13"/>
    <w:rsid w:val="00DF0C19"/>
    <w:rsid w:val="00DF2475"/>
    <w:rsid w:val="00DF2EB8"/>
    <w:rsid w:val="00DF4A94"/>
    <w:rsid w:val="00DF6003"/>
    <w:rsid w:val="00E00095"/>
    <w:rsid w:val="00E00B9C"/>
    <w:rsid w:val="00E027AE"/>
    <w:rsid w:val="00E03FA6"/>
    <w:rsid w:val="00E04413"/>
    <w:rsid w:val="00E05E1E"/>
    <w:rsid w:val="00E066C3"/>
    <w:rsid w:val="00E06F4E"/>
    <w:rsid w:val="00E10D8C"/>
    <w:rsid w:val="00E11B96"/>
    <w:rsid w:val="00E1326F"/>
    <w:rsid w:val="00E1353A"/>
    <w:rsid w:val="00E1564B"/>
    <w:rsid w:val="00E15727"/>
    <w:rsid w:val="00E15C3C"/>
    <w:rsid w:val="00E208A0"/>
    <w:rsid w:val="00E21872"/>
    <w:rsid w:val="00E249EA"/>
    <w:rsid w:val="00E24D01"/>
    <w:rsid w:val="00E25115"/>
    <w:rsid w:val="00E25B49"/>
    <w:rsid w:val="00E26150"/>
    <w:rsid w:val="00E31B34"/>
    <w:rsid w:val="00E3268D"/>
    <w:rsid w:val="00E32970"/>
    <w:rsid w:val="00E3422E"/>
    <w:rsid w:val="00E34A92"/>
    <w:rsid w:val="00E366A6"/>
    <w:rsid w:val="00E371EA"/>
    <w:rsid w:val="00E37F02"/>
    <w:rsid w:val="00E44C29"/>
    <w:rsid w:val="00E523F5"/>
    <w:rsid w:val="00E64429"/>
    <w:rsid w:val="00E65FFE"/>
    <w:rsid w:val="00E663EA"/>
    <w:rsid w:val="00E677DD"/>
    <w:rsid w:val="00E67E11"/>
    <w:rsid w:val="00E744A0"/>
    <w:rsid w:val="00E7542C"/>
    <w:rsid w:val="00E7594B"/>
    <w:rsid w:val="00E77FCF"/>
    <w:rsid w:val="00E826E9"/>
    <w:rsid w:val="00E8347C"/>
    <w:rsid w:val="00E839C8"/>
    <w:rsid w:val="00E83C47"/>
    <w:rsid w:val="00E866DC"/>
    <w:rsid w:val="00E87CAF"/>
    <w:rsid w:val="00EB020F"/>
    <w:rsid w:val="00EB3D51"/>
    <w:rsid w:val="00EB4688"/>
    <w:rsid w:val="00EB49DB"/>
    <w:rsid w:val="00EB4EF9"/>
    <w:rsid w:val="00EB5FCD"/>
    <w:rsid w:val="00EB6C07"/>
    <w:rsid w:val="00EC028D"/>
    <w:rsid w:val="00EC1BB8"/>
    <w:rsid w:val="00EC68EA"/>
    <w:rsid w:val="00ED2EDD"/>
    <w:rsid w:val="00ED3B66"/>
    <w:rsid w:val="00ED48F4"/>
    <w:rsid w:val="00ED633B"/>
    <w:rsid w:val="00EE2BBB"/>
    <w:rsid w:val="00EE423E"/>
    <w:rsid w:val="00EE478C"/>
    <w:rsid w:val="00EE6D3A"/>
    <w:rsid w:val="00EE740A"/>
    <w:rsid w:val="00EF0976"/>
    <w:rsid w:val="00F00BF6"/>
    <w:rsid w:val="00F052C2"/>
    <w:rsid w:val="00F058FE"/>
    <w:rsid w:val="00F06B6F"/>
    <w:rsid w:val="00F10309"/>
    <w:rsid w:val="00F1132C"/>
    <w:rsid w:val="00F13B53"/>
    <w:rsid w:val="00F15DD5"/>
    <w:rsid w:val="00F17D4B"/>
    <w:rsid w:val="00F217E8"/>
    <w:rsid w:val="00F223E5"/>
    <w:rsid w:val="00F23139"/>
    <w:rsid w:val="00F26DCF"/>
    <w:rsid w:val="00F32174"/>
    <w:rsid w:val="00F3366B"/>
    <w:rsid w:val="00F33F55"/>
    <w:rsid w:val="00F34952"/>
    <w:rsid w:val="00F35334"/>
    <w:rsid w:val="00F35E9F"/>
    <w:rsid w:val="00F35ECA"/>
    <w:rsid w:val="00F37400"/>
    <w:rsid w:val="00F40023"/>
    <w:rsid w:val="00F41689"/>
    <w:rsid w:val="00F427B2"/>
    <w:rsid w:val="00F456D7"/>
    <w:rsid w:val="00F4763C"/>
    <w:rsid w:val="00F508A0"/>
    <w:rsid w:val="00F50C4D"/>
    <w:rsid w:val="00F51448"/>
    <w:rsid w:val="00F51EA1"/>
    <w:rsid w:val="00F524BB"/>
    <w:rsid w:val="00F52C14"/>
    <w:rsid w:val="00F533F8"/>
    <w:rsid w:val="00F5561D"/>
    <w:rsid w:val="00F61717"/>
    <w:rsid w:val="00F61D6A"/>
    <w:rsid w:val="00F62B59"/>
    <w:rsid w:val="00F62C81"/>
    <w:rsid w:val="00F64C3C"/>
    <w:rsid w:val="00F6591A"/>
    <w:rsid w:val="00F65D71"/>
    <w:rsid w:val="00F667E6"/>
    <w:rsid w:val="00F66CD5"/>
    <w:rsid w:val="00F676F1"/>
    <w:rsid w:val="00F67A9A"/>
    <w:rsid w:val="00F70F4E"/>
    <w:rsid w:val="00F73113"/>
    <w:rsid w:val="00F75FC4"/>
    <w:rsid w:val="00F8416E"/>
    <w:rsid w:val="00F842F8"/>
    <w:rsid w:val="00F85981"/>
    <w:rsid w:val="00F8719D"/>
    <w:rsid w:val="00F87263"/>
    <w:rsid w:val="00F93725"/>
    <w:rsid w:val="00F93CEC"/>
    <w:rsid w:val="00F977D6"/>
    <w:rsid w:val="00FA3ED8"/>
    <w:rsid w:val="00FA4890"/>
    <w:rsid w:val="00FA59CD"/>
    <w:rsid w:val="00FB0F9F"/>
    <w:rsid w:val="00FB29E2"/>
    <w:rsid w:val="00FB4C51"/>
    <w:rsid w:val="00FB77FA"/>
    <w:rsid w:val="00FC3C70"/>
    <w:rsid w:val="00FC4A73"/>
    <w:rsid w:val="00FC4FFE"/>
    <w:rsid w:val="00FC559C"/>
    <w:rsid w:val="00FC61E2"/>
    <w:rsid w:val="00FC7F0D"/>
    <w:rsid w:val="00FD061B"/>
    <w:rsid w:val="00FD0CE5"/>
    <w:rsid w:val="00FD225D"/>
    <w:rsid w:val="00FD28F1"/>
    <w:rsid w:val="00FD34C5"/>
    <w:rsid w:val="00FD3868"/>
    <w:rsid w:val="00FD59FB"/>
    <w:rsid w:val="00FD7BF4"/>
    <w:rsid w:val="00FD7F47"/>
    <w:rsid w:val="00FE645A"/>
    <w:rsid w:val="00FF0518"/>
    <w:rsid w:val="00FF19BB"/>
    <w:rsid w:val="00FF4E83"/>
    <w:rsid w:val="00FF5CE0"/>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4818A57B-B8F8-455B-AC2C-E7149B91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List Paragraph1,Recommendation,Numbered para,Bullet point,List Paragraph11,L,Bullet Point,Bulletr List Paragraph,Content descriptions,FooterText,List Bullet 1,List Paragraph2,List Paragraph21,Listeafsnit1,ES Paragrap"/>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3D2B99"/>
    <w:pPr>
      <w:spacing w:after="0" w:line="240" w:lineRule="auto"/>
    </w:pPr>
    <w:rPr>
      <w:sz w:val="24"/>
      <w:szCs w:val="24"/>
    </w:rPr>
  </w:style>
  <w:style w:type="character" w:styleId="UnresolvedMention">
    <w:name w:val="Unresolved Mention"/>
    <w:basedOn w:val="DefaultParagraphFont"/>
    <w:uiPriority w:val="99"/>
    <w:semiHidden/>
    <w:unhideWhenUsed/>
    <w:rsid w:val="00CA69F9"/>
    <w:rPr>
      <w:color w:val="605E5C"/>
      <w:shd w:val="clear" w:color="auto" w:fill="E1DFDD"/>
    </w:rPr>
  </w:style>
  <w:style w:type="paragraph" w:styleId="EndnoteText">
    <w:name w:val="endnote text"/>
    <w:basedOn w:val="Normal"/>
    <w:link w:val="EndnoteTextChar"/>
    <w:uiPriority w:val="99"/>
    <w:semiHidden/>
    <w:unhideWhenUsed/>
    <w:rsid w:val="000D4049"/>
    <w:pPr>
      <w:spacing w:after="0"/>
    </w:pPr>
    <w:rPr>
      <w:sz w:val="20"/>
      <w:szCs w:val="20"/>
    </w:rPr>
  </w:style>
  <w:style w:type="character" w:customStyle="1" w:styleId="EndnoteTextChar">
    <w:name w:val="Endnote Text Char"/>
    <w:basedOn w:val="DefaultParagraphFont"/>
    <w:link w:val="EndnoteText"/>
    <w:uiPriority w:val="99"/>
    <w:semiHidden/>
    <w:rsid w:val="000D4049"/>
    <w:rPr>
      <w:sz w:val="20"/>
      <w:szCs w:val="20"/>
    </w:rPr>
  </w:style>
  <w:style w:type="character" w:styleId="EndnoteReference">
    <w:name w:val="endnote reference"/>
    <w:basedOn w:val="DefaultParagraphFont"/>
    <w:uiPriority w:val="99"/>
    <w:semiHidden/>
    <w:unhideWhenUsed/>
    <w:rsid w:val="000D4049"/>
    <w:rPr>
      <w:vertAlign w:val="superscript"/>
    </w:rPr>
  </w:style>
  <w:style w:type="character" w:customStyle="1" w:styleId="ListParagraphChar">
    <w:name w:val="List Paragraph Char"/>
    <w:aliases w:val="Footnote Char,BulletPoints Char,List Paragraph1 Char,Recommendation Char,Numbered para Char,Bullet point Char,List Paragraph11 Char,L Char,Bullet Point Char,Bulletr List Paragraph Char,Content descriptions Char,FooterText Char"/>
    <w:basedOn w:val="DefaultParagraphFont"/>
    <w:link w:val="ListParagraph"/>
    <w:uiPriority w:val="72"/>
    <w:qFormat/>
    <w:locked/>
    <w:rsid w:val="00A53A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43662">
      <w:bodyDiv w:val="1"/>
      <w:marLeft w:val="0"/>
      <w:marRight w:val="0"/>
      <w:marTop w:val="0"/>
      <w:marBottom w:val="0"/>
      <w:divBdr>
        <w:top w:val="none" w:sz="0" w:space="0" w:color="auto"/>
        <w:left w:val="none" w:sz="0" w:space="0" w:color="auto"/>
        <w:bottom w:val="none" w:sz="0" w:space="0" w:color="auto"/>
        <w:right w:val="none" w:sz="0" w:space="0" w:color="auto"/>
      </w:divBdr>
    </w:div>
    <w:div w:id="94444226">
      <w:bodyDiv w:val="1"/>
      <w:marLeft w:val="0"/>
      <w:marRight w:val="0"/>
      <w:marTop w:val="0"/>
      <w:marBottom w:val="0"/>
      <w:divBdr>
        <w:top w:val="none" w:sz="0" w:space="0" w:color="auto"/>
        <w:left w:val="none" w:sz="0" w:space="0" w:color="auto"/>
        <w:bottom w:val="none" w:sz="0" w:space="0" w:color="auto"/>
        <w:right w:val="none" w:sz="0" w:space="0" w:color="auto"/>
      </w:divBdr>
    </w:div>
    <w:div w:id="18055483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77962045">
      <w:bodyDiv w:val="1"/>
      <w:marLeft w:val="0"/>
      <w:marRight w:val="0"/>
      <w:marTop w:val="0"/>
      <w:marBottom w:val="0"/>
      <w:divBdr>
        <w:top w:val="none" w:sz="0" w:space="0" w:color="auto"/>
        <w:left w:val="none" w:sz="0" w:space="0" w:color="auto"/>
        <w:bottom w:val="none" w:sz="0" w:space="0" w:color="auto"/>
        <w:right w:val="none" w:sz="0" w:space="0" w:color="auto"/>
      </w:divBdr>
    </w:div>
    <w:div w:id="483083086">
      <w:bodyDiv w:val="1"/>
      <w:marLeft w:val="0"/>
      <w:marRight w:val="0"/>
      <w:marTop w:val="0"/>
      <w:marBottom w:val="0"/>
      <w:divBdr>
        <w:top w:val="none" w:sz="0" w:space="0" w:color="auto"/>
        <w:left w:val="none" w:sz="0" w:space="0" w:color="auto"/>
        <w:bottom w:val="none" w:sz="0" w:space="0" w:color="auto"/>
        <w:right w:val="none" w:sz="0" w:space="0" w:color="auto"/>
      </w:divBdr>
    </w:div>
    <w:div w:id="822507956">
      <w:bodyDiv w:val="1"/>
      <w:marLeft w:val="0"/>
      <w:marRight w:val="0"/>
      <w:marTop w:val="0"/>
      <w:marBottom w:val="0"/>
      <w:divBdr>
        <w:top w:val="none" w:sz="0" w:space="0" w:color="auto"/>
        <w:left w:val="none" w:sz="0" w:space="0" w:color="auto"/>
        <w:bottom w:val="none" w:sz="0" w:space="0" w:color="auto"/>
        <w:right w:val="none" w:sz="0" w:space="0" w:color="auto"/>
      </w:divBdr>
    </w:div>
    <w:div w:id="973484836">
      <w:bodyDiv w:val="1"/>
      <w:marLeft w:val="0"/>
      <w:marRight w:val="0"/>
      <w:marTop w:val="0"/>
      <w:marBottom w:val="0"/>
      <w:divBdr>
        <w:top w:val="none" w:sz="0" w:space="0" w:color="auto"/>
        <w:left w:val="none" w:sz="0" w:space="0" w:color="auto"/>
        <w:bottom w:val="none" w:sz="0" w:space="0" w:color="auto"/>
        <w:right w:val="none" w:sz="0" w:space="0" w:color="auto"/>
      </w:divBdr>
    </w:div>
    <w:div w:id="104086209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32164974">
      <w:bodyDiv w:val="1"/>
      <w:marLeft w:val="0"/>
      <w:marRight w:val="0"/>
      <w:marTop w:val="0"/>
      <w:marBottom w:val="0"/>
      <w:divBdr>
        <w:top w:val="none" w:sz="0" w:space="0" w:color="auto"/>
        <w:left w:val="none" w:sz="0" w:space="0" w:color="auto"/>
        <w:bottom w:val="none" w:sz="0" w:space="0" w:color="auto"/>
        <w:right w:val="none" w:sz="0" w:space="0" w:color="auto"/>
      </w:divBdr>
    </w:div>
    <w:div w:id="1279795585">
      <w:bodyDiv w:val="1"/>
      <w:marLeft w:val="0"/>
      <w:marRight w:val="0"/>
      <w:marTop w:val="0"/>
      <w:marBottom w:val="0"/>
      <w:divBdr>
        <w:top w:val="none" w:sz="0" w:space="0" w:color="auto"/>
        <w:left w:val="none" w:sz="0" w:space="0" w:color="auto"/>
        <w:bottom w:val="none" w:sz="0" w:space="0" w:color="auto"/>
        <w:right w:val="none" w:sz="0" w:space="0" w:color="auto"/>
      </w:divBdr>
    </w:div>
    <w:div w:id="1296519555">
      <w:bodyDiv w:val="1"/>
      <w:marLeft w:val="0"/>
      <w:marRight w:val="0"/>
      <w:marTop w:val="0"/>
      <w:marBottom w:val="0"/>
      <w:divBdr>
        <w:top w:val="none" w:sz="0" w:space="0" w:color="auto"/>
        <w:left w:val="none" w:sz="0" w:space="0" w:color="auto"/>
        <w:bottom w:val="none" w:sz="0" w:space="0" w:color="auto"/>
        <w:right w:val="none" w:sz="0" w:space="0" w:color="auto"/>
      </w:divBdr>
    </w:div>
    <w:div w:id="1371882263">
      <w:bodyDiv w:val="1"/>
      <w:marLeft w:val="0"/>
      <w:marRight w:val="0"/>
      <w:marTop w:val="0"/>
      <w:marBottom w:val="0"/>
      <w:divBdr>
        <w:top w:val="none" w:sz="0" w:space="0" w:color="auto"/>
        <w:left w:val="none" w:sz="0" w:space="0" w:color="auto"/>
        <w:bottom w:val="none" w:sz="0" w:space="0" w:color="auto"/>
        <w:right w:val="none" w:sz="0" w:space="0" w:color="auto"/>
      </w:divBdr>
    </w:div>
    <w:div w:id="1533497524">
      <w:bodyDiv w:val="1"/>
      <w:marLeft w:val="0"/>
      <w:marRight w:val="0"/>
      <w:marTop w:val="0"/>
      <w:marBottom w:val="0"/>
      <w:divBdr>
        <w:top w:val="none" w:sz="0" w:space="0" w:color="auto"/>
        <w:left w:val="none" w:sz="0" w:space="0" w:color="auto"/>
        <w:bottom w:val="none" w:sz="0" w:space="0" w:color="auto"/>
        <w:right w:val="none" w:sz="0" w:space="0" w:color="auto"/>
      </w:divBdr>
    </w:div>
    <w:div w:id="1556038954">
      <w:bodyDiv w:val="1"/>
      <w:marLeft w:val="0"/>
      <w:marRight w:val="0"/>
      <w:marTop w:val="0"/>
      <w:marBottom w:val="0"/>
      <w:divBdr>
        <w:top w:val="none" w:sz="0" w:space="0" w:color="auto"/>
        <w:left w:val="none" w:sz="0" w:space="0" w:color="auto"/>
        <w:bottom w:val="none" w:sz="0" w:space="0" w:color="auto"/>
        <w:right w:val="none" w:sz="0" w:space="0" w:color="auto"/>
      </w:divBdr>
    </w:div>
    <w:div w:id="1603102272">
      <w:bodyDiv w:val="1"/>
      <w:marLeft w:val="0"/>
      <w:marRight w:val="0"/>
      <w:marTop w:val="0"/>
      <w:marBottom w:val="0"/>
      <w:divBdr>
        <w:top w:val="none" w:sz="0" w:space="0" w:color="auto"/>
        <w:left w:val="none" w:sz="0" w:space="0" w:color="auto"/>
        <w:bottom w:val="none" w:sz="0" w:space="0" w:color="auto"/>
        <w:right w:val="none" w:sz="0" w:space="0" w:color="auto"/>
      </w:divBdr>
    </w:div>
    <w:div w:id="1613124720">
      <w:bodyDiv w:val="1"/>
      <w:marLeft w:val="0"/>
      <w:marRight w:val="0"/>
      <w:marTop w:val="0"/>
      <w:marBottom w:val="0"/>
      <w:divBdr>
        <w:top w:val="none" w:sz="0" w:space="0" w:color="auto"/>
        <w:left w:val="none" w:sz="0" w:space="0" w:color="auto"/>
        <w:bottom w:val="none" w:sz="0" w:space="0" w:color="auto"/>
        <w:right w:val="none" w:sz="0" w:space="0" w:color="auto"/>
      </w:divBdr>
    </w:div>
    <w:div w:id="1649289405">
      <w:bodyDiv w:val="1"/>
      <w:marLeft w:val="0"/>
      <w:marRight w:val="0"/>
      <w:marTop w:val="0"/>
      <w:marBottom w:val="0"/>
      <w:divBdr>
        <w:top w:val="none" w:sz="0" w:space="0" w:color="auto"/>
        <w:left w:val="none" w:sz="0" w:space="0" w:color="auto"/>
        <w:bottom w:val="none" w:sz="0" w:space="0" w:color="auto"/>
        <w:right w:val="none" w:sz="0" w:space="0" w:color="auto"/>
      </w:divBdr>
    </w:div>
    <w:div w:id="1671980654">
      <w:bodyDiv w:val="1"/>
      <w:marLeft w:val="0"/>
      <w:marRight w:val="0"/>
      <w:marTop w:val="0"/>
      <w:marBottom w:val="0"/>
      <w:divBdr>
        <w:top w:val="none" w:sz="0" w:space="0" w:color="auto"/>
        <w:left w:val="none" w:sz="0" w:space="0" w:color="auto"/>
        <w:bottom w:val="none" w:sz="0" w:space="0" w:color="auto"/>
        <w:right w:val="none" w:sz="0" w:space="0" w:color="auto"/>
      </w:divBdr>
    </w:div>
    <w:div w:id="1686058379">
      <w:bodyDiv w:val="1"/>
      <w:marLeft w:val="0"/>
      <w:marRight w:val="0"/>
      <w:marTop w:val="0"/>
      <w:marBottom w:val="0"/>
      <w:divBdr>
        <w:top w:val="none" w:sz="0" w:space="0" w:color="auto"/>
        <w:left w:val="none" w:sz="0" w:space="0" w:color="auto"/>
        <w:bottom w:val="none" w:sz="0" w:space="0" w:color="auto"/>
        <w:right w:val="none" w:sz="0" w:space="0" w:color="auto"/>
      </w:divBdr>
    </w:div>
    <w:div w:id="1745491279">
      <w:bodyDiv w:val="1"/>
      <w:marLeft w:val="0"/>
      <w:marRight w:val="0"/>
      <w:marTop w:val="0"/>
      <w:marBottom w:val="0"/>
      <w:divBdr>
        <w:top w:val="none" w:sz="0" w:space="0" w:color="auto"/>
        <w:left w:val="none" w:sz="0" w:space="0" w:color="auto"/>
        <w:bottom w:val="none" w:sz="0" w:space="0" w:color="auto"/>
        <w:right w:val="none" w:sz="0" w:space="0" w:color="auto"/>
      </w:divBdr>
    </w:div>
    <w:div w:id="1831170175">
      <w:bodyDiv w:val="1"/>
      <w:marLeft w:val="0"/>
      <w:marRight w:val="0"/>
      <w:marTop w:val="0"/>
      <w:marBottom w:val="0"/>
      <w:divBdr>
        <w:top w:val="none" w:sz="0" w:space="0" w:color="auto"/>
        <w:left w:val="none" w:sz="0" w:space="0" w:color="auto"/>
        <w:bottom w:val="none" w:sz="0" w:space="0" w:color="auto"/>
        <w:right w:val="none" w:sz="0" w:space="0" w:color="auto"/>
      </w:divBdr>
    </w:div>
    <w:div w:id="1903976521">
      <w:bodyDiv w:val="1"/>
      <w:marLeft w:val="0"/>
      <w:marRight w:val="0"/>
      <w:marTop w:val="0"/>
      <w:marBottom w:val="0"/>
      <w:divBdr>
        <w:top w:val="none" w:sz="0" w:space="0" w:color="auto"/>
        <w:left w:val="none" w:sz="0" w:space="0" w:color="auto"/>
        <w:bottom w:val="none" w:sz="0" w:space="0" w:color="auto"/>
        <w:right w:val="none" w:sz="0" w:space="0" w:color="auto"/>
      </w:divBdr>
    </w:div>
    <w:div w:id="204999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hyperlink" Target="https://www.pbs.gov.au/industry/listing/elements/pbac-meetings/psd/2019-11/files/semaglutide-psd-november-2019.pdf" TargetMode="External"/><Relationship Id="rId26" Type="http://schemas.openxmlformats.org/officeDocument/2006/relationships/chart" Target="charts/chart3.xm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pbs.gov.au/industry/listing/elements/pbac-meetings/psd/2022-11/files/semaglutide-s19A-psd-august-2022.pdf" TargetMode="External"/><Relationship Id="rId34" Type="http://schemas.openxmlformats.org/officeDocument/2006/relationships/image" Target="media/image1.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s://www.pbs.gov.au/industry/listing/elements/pbac-meetings/psd/2022-11/files/dulaglutide-s19A-psd-october-2022.pdf" TargetMode="Externa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bs.gov.au/industry/listing/elements/pbac-meetings/psd/2022-05/files/dulaglutide-psd-may-2022.pdf" TargetMode="External"/><Relationship Id="rId20" Type="http://schemas.openxmlformats.org/officeDocument/2006/relationships/hyperlink" Target="https://www.pbs.gov.au/industry/listing/elements/pbac-meetings/psd/2021-03/files/semaglutide-psd-mar-2021.pdf" TargetMode="External"/><Relationship Id="rId29" Type="http://schemas.openxmlformats.org/officeDocument/2006/relationships/chart" Target="charts/chart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pbs.gov.au/industry/listing/elements/pbac-meetings/psd/2020-07/files/dulaglutide-psd-july-2020.pdf" TargetMode="External"/><Relationship Id="rId23" Type="http://schemas.openxmlformats.org/officeDocument/2006/relationships/hyperlink" Target="https://www.pbs.gov.au/pbs/industry/listing/participants/public-release-docs/dusc-utilisation-public-release-docs" TargetMode="External"/><Relationship Id="rId28" Type="http://schemas.openxmlformats.org/officeDocument/2006/relationships/chart" Target="charts/chart5.xml"/><Relationship Id="rId36" Type="http://schemas.openxmlformats.org/officeDocument/2006/relationships/header" Target="header2.xml"/><Relationship Id="rId10" Type="http://schemas.openxmlformats.org/officeDocument/2006/relationships/hyperlink" Target="http://www.pbs.gov.au/pbs/home" TargetMode="External"/><Relationship Id="rId19" Type="http://schemas.openxmlformats.org/officeDocument/2006/relationships/hyperlink" Target="https://www.pbs.gov.au/industry/listing/elements/pbac-meetings/psd/2020-03/files/semaglutide-psd-march-2020.pdf" TargetMode="External"/><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17-11/dulaglutide-psd-november-2017" TargetMode="External"/><Relationship Id="rId22" Type="http://schemas.openxmlformats.org/officeDocument/2006/relationships/hyperlink" Target="https://www.pbs.gov.au/industry/listing/elements/pbac-meetings/pbac-outcomes/2023-07/pbac-web-outcomes-07-2023-v2.pdf" TargetMode="Externa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8773/austprescr.2023.022" TargetMode="External"/><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584%20-%20Semaglutide%20DUSC%20review\D1584%20outpu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[D1584 outputs.xlsx]Sheet1!PivotTable1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Sheet1!$X$1:$X$2</c:f>
              <c:strCache>
                <c:ptCount val="1"/>
                <c:pt idx="0">
                  <c:v>FLOZIN</c:v>
                </c:pt>
              </c:strCache>
            </c:strRef>
          </c:tx>
          <c:spPr>
            <a:ln w="28575" cap="rnd">
              <a:solidFill>
                <a:schemeClr val="accent1"/>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Sheet1!$X$3:$X$23</c:f>
              <c:numCache>
                <c:formatCode>General</c:formatCode>
                <c:ptCount val="20"/>
                <c:pt idx="0">
                  <c:v>11016</c:v>
                </c:pt>
                <c:pt idx="1">
                  <c:v>11495</c:v>
                </c:pt>
                <c:pt idx="2">
                  <c:v>12048</c:v>
                </c:pt>
                <c:pt idx="3">
                  <c:v>12834</c:v>
                </c:pt>
                <c:pt idx="4">
                  <c:v>13247</c:v>
                </c:pt>
                <c:pt idx="5">
                  <c:v>13609</c:v>
                </c:pt>
                <c:pt idx="6">
                  <c:v>14638</c:v>
                </c:pt>
                <c:pt idx="7">
                  <c:v>15417</c:v>
                </c:pt>
                <c:pt idx="8">
                  <c:v>15564</c:v>
                </c:pt>
                <c:pt idx="9">
                  <c:v>16125</c:v>
                </c:pt>
                <c:pt idx="10">
                  <c:v>16834</c:v>
                </c:pt>
                <c:pt idx="11">
                  <c:v>17520</c:v>
                </c:pt>
                <c:pt idx="12">
                  <c:v>17895</c:v>
                </c:pt>
                <c:pt idx="13">
                  <c:v>18904</c:v>
                </c:pt>
                <c:pt idx="14">
                  <c:v>20461</c:v>
                </c:pt>
                <c:pt idx="15">
                  <c:v>23487</c:v>
                </c:pt>
                <c:pt idx="16">
                  <c:v>24654</c:v>
                </c:pt>
                <c:pt idx="17">
                  <c:v>25916</c:v>
                </c:pt>
                <c:pt idx="18">
                  <c:v>27279</c:v>
                </c:pt>
                <c:pt idx="19">
                  <c:v>29678</c:v>
                </c:pt>
              </c:numCache>
            </c:numRef>
          </c:val>
          <c:smooth val="0"/>
          <c:extLst>
            <c:ext xmlns:c16="http://schemas.microsoft.com/office/drawing/2014/chart" uri="{C3380CC4-5D6E-409C-BE32-E72D297353CC}">
              <c16:uniqueId val="{00000000-C92A-4E16-AD9F-C2F27A7AB120}"/>
            </c:ext>
          </c:extLst>
        </c:ser>
        <c:ser>
          <c:idx val="1"/>
          <c:order val="1"/>
          <c:tx>
            <c:strRef>
              <c:f>Sheet1!$Y$1:$Y$2</c:f>
              <c:strCache>
                <c:ptCount val="1"/>
                <c:pt idx="0">
                  <c:v>FLOZIN+GLIPTIN</c:v>
                </c:pt>
              </c:strCache>
            </c:strRef>
          </c:tx>
          <c:spPr>
            <a:ln w="28575" cap="rnd">
              <a:solidFill>
                <a:schemeClr val="accent2"/>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Sheet1!$Y$3:$Y$23</c:f>
              <c:numCache>
                <c:formatCode>General</c:formatCode>
                <c:ptCount val="20"/>
                <c:pt idx="0">
                  <c:v>1098</c:v>
                </c:pt>
                <c:pt idx="1">
                  <c:v>1312</c:v>
                </c:pt>
                <c:pt idx="2">
                  <c:v>1530</c:v>
                </c:pt>
                <c:pt idx="3">
                  <c:v>1744</c:v>
                </c:pt>
                <c:pt idx="4">
                  <c:v>1940</c:v>
                </c:pt>
                <c:pt idx="5">
                  <c:v>2065</c:v>
                </c:pt>
                <c:pt idx="6">
                  <c:v>2309</c:v>
                </c:pt>
                <c:pt idx="7">
                  <c:v>2459</c:v>
                </c:pt>
                <c:pt idx="8">
                  <c:v>2532</c:v>
                </c:pt>
                <c:pt idx="9">
                  <c:v>2639</c:v>
                </c:pt>
                <c:pt idx="10">
                  <c:v>2739</c:v>
                </c:pt>
                <c:pt idx="11">
                  <c:v>2813</c:v>
                </c:pt>
                <c:pt idx="12">
                  <c:v>2743</c:v>
                </c:pt>
                <c:pt idx="13">
                  <c:v>2822</c:v>
                </c:pt>
                <c:pt idx="14">
                  <c:v>2925</c:v>
                </c:pt>
                <c:pt idx="15">
                  <c:v>3306</c:v>
                </c:pt>
                <c:pt idx="16">
                  <c:v>3469</c:v>
                </c:pt>
                <c:pt idx="17">
                  <c:v>3499</c:v>
                </c:pt>
                <c:pt idx="18">
                  <c:v>3455</c:v>
                </c:pt>
                <c:pt idx="19">
                  <c:v>3559</c:v>
                </c:pt>
              </c:numCache>
            </c:numRef>
          </c:val>
          <c:smooth val="0"/>
          <c:extLst>
            <c:ext xmlns:c16="http://schemas.microsoft.com/office/drawing/2014/chart" uri="{C3380CC4-5D6E-409C-BE32-E72D297353CC}">
              <c16:uniqueId val="{00000001-C92A-4E16-AD9F-C2F27A7AB120}"/>
            </c:ext>
          </c:extLst>
        </c:ser>
        <c:ser>
          <c:idx val="2"/>
          <c:order val="2"/>
          <c:tx>
            <c:strRef>
              <c:f>Sheet1!$Z$1:$Z$2</c:f>
              <c:strCache>
                <c:ptCount val="1"/>
                <c:pt idx="0">
                  <c:v>FLOZIN+METFORMIN</c:v>
                </c:pt>
              </c:strCache>
            </c:strRef>
          </c:tx>
          <c:spPr>
            <a:ln w="28575" cap="rnd">
              <a:solidFill>
                <a:schemeClr val="accent3"/>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Sheet1!$Z$3:$Z$23</c:f>
              <c:numCache>
                <c:formatCode>General</c:formatCode>
                <c:ptCount val="20"/>
                <c:pt idx="0">
                  <c:v>7804</c:v>
                </c:pt>
                <c:pt idx="1">
                  <c:v>8298</c:v>
                </c:pt>
                <c:pt idx="2">
                  <c:v>8804</c:v>
                </c:pt>
                <c:pt idx="3">
                  <c:v>9359</c:v>
                </c:pt>
                <c:pt idx="4">
                  <c:v>9794</c:v>
                </c:pt>
                <c:pt idx="5">
                  <c:v>10095</c:v>
                </c:pt>
                <c:pt idx="6">
                  <c:v>10827</c:v>
                </c:pt>
                <c:pt idx="7">
                  <c:v>11407</c:v>
                </c:pt>
                <c:pt idx="8">
                  <c:v>11584</c:v>
                </c:pt>
                <c:pt idx="9">
                  <c:v>12157</c:v>
                </c:pt>
                <c:pt idx="10">
                  <c:v>12705</c:v>
                </c:pt>
                <c:pt idx="11">
                  <c:v>13218</c:v>
                </c:pt>
                <c:pt idx="12">
                  <c:v>13164</c:v>
                </c:pt>
                <c:pt idx="13">
                  <c:v>13728</c:v>
                </c:pt>
                <c:pt idx="14">
                  <c:v>14251</c:v>
                </c:pt>
                <c:pt idx="15">
                  <c:v>15122</c:v>
                </c:pt>
                <c:pt idx="16">
                  <c:v>15273</c:v>
                </c:pt>
                <c:pt idx="17">
                  <c:v>15932</c:v>
                </c:pt>
                <c:pt idx="18">
                  <c:v>16246</c:v>
                </c:pt>
                <c:pt idx="19">
                  <c:v>16840</c:v>
                </c:pt>
              </c:numCache>
            </c:numRef>
          </c:val>
          <c:smooth val="0"/>
          <c:extLst>
            <c:ext xmlns:c16="http://schemas.microsoft.com/office/drawing/2014/chart" uri="{C3380CC4-5D6E-409C-BE32-E72D297353CC}">
              <c16:uniqueId val="{00000002-C92A-4E16-AD9F-C2F27A7AB120}"/>
            </c:ext>
          </c:extLst>
        </c:ser>
        <c:ser>
          <c:idx val="3"/>
          <c:order val="3"/>
          <c:tx>
            <c:strRef>
              <c:f>Sheet1!$AA$1:$AA$2</c:f>
              <c:strCache>
                <c:ptCount val="1"/>
                <c:pt idx="0">
                  <c:v>GLIPTIN</c:v>
                </c:pt>
              </c:strCache>
            </c:strRef>
          </c:tx>
          <c:spPr>
            <a:ln w="28575" cap="rnd">
              <a:solidFill>
                <a:schemeClr val="accent4"/>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Sheet1!$AA$3:$AA$23</c:f>
              <c:numCache>
                <c:formatCode>General</c:formatCode>
                <c:ptCount val="20"/>
                <c:pt idx="0">
                  <c:v>10031</c:v>
                </c:pt>
                <c:pt idx="1">
                  <c:v>10433</c:v>
                </c:pt>
                <c:pt idx="2">
                  <c:v>10784</c:v>
                </c:pt>
                <c:pt idx="3">
                  <c:v>11086</c:v>
                </c:pt>
                <c:pt idx="4">
                  <c:v>11203</c:v>
                </c:pt>
                <c:pt idx="5">
                  <c:v>11556</c:v>
                </c:pt>
                <c:pt idx="6">
                  <c:v>12077</c:v>
                </c:pt>
                <c:pt idx="7">
                  <c:v>12438</c:v>
                </c:pt>
                <c:pt idx="8">
                  <c:v>12443</c:v>
                </c:pt>
                <c:pt idx="9">
                  <c:v>12687</c:v>
                </c:pt>
                <c:pt idx="10">
                  <c:v>12988</c:v>
                </c:pt>
                <c:pt idx="11">
                  <c:v>13053</c:v>
                </c:pt>
                <c:pt idx="12">
                  <c:v>12669</c:v>
                </c:pt>
                <c:pt idx="13">
                  <c:v>12738</c:v>
                </c:pt>
                <c:pt idx="14">
                  <c:v>13136</c:v>
                </c:pt>
                <c:pt idx="15">
                  <c:v>14467</c:v>
                </c:pt>
                <c:pt idx="16">
                  <c:v>14743</c:v>
                </c:pt>
                <c:pt idx="17">
                  <c:v>14501</c:v>
                </c:pt>
                <c:pt idx="18">
                  <c:v>14233</c:v>
                </c:pt>
                <c:pt idx="19">
                  <c:v>14842</c:v>
                </c:pt>
              </c:numCache>
            </c:numRef>
          </c:val>
          <c:smooth val="0"/>
          <c:extLst>
            <c:ext xmlns:c16="http://schemas.microsoft.com/office/drawing/2014/chart" uri="{C3380CC4-5D6E-409C-BE32-E72D297353CC}">
              <c16:uniqueId val="{00000003-C92A-4E16-AD9F-C2F27A7AB120}"/>
            </c:ext>
          </c:extLst>
        </c:ser>
        <c:ser>
          <c:idx val="4"/>
          <c:order val="4"/>
          <c:tx>
            <c:strRef>
              <c:f>Sheet1!$AB$1:$AB$2</c:f>
              <c:strCache>
                <c:ptCount val="1"/>
                <c:pt idx="0">
                  <c:v>GLIPTIN+METFORMIN</c:v>
                </c:pt>
              </c:strCache>
            </c:strRef>
          </c:tx>
          <c:spPr>
            <a:ln w="28575" cap="rnd">
              <a:solidFill>
                <a:schemeClr val="accent5"/>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Sheet1!$AB$3:$AB$23</c:f>
              <c:numCache>
                <c:formatCode>General</c:formatCode>
                <c:ptCount val="20"/>
                <c:pt idx="0">
                  <c:v>19547</c:v>
                </c:pt>
                <c:pt idx="1">
                  <c:v>19928</c:v>
                </c:pt>
                <c:pt idx="2">
                  <c:v>20210</c:v>
                </c:pt>
                <c:pt idx="3">
                  <c:v>20577</c:v>
                </c:pt>
                <c:pt idx="4">
                  <c:v>20623</c:v>
                </c:pt>
                <c:pt idx="5">
                  <c:v>20713</c:v>
                </c:pt>
                <c:pt idx="6">
                  <c:v>21369</c:v>
                </c:pt>
                <c:pt idx="7">
                  <c:v>21635</c:v>
                </c:pt>
                <c:pt idx="8">
                  <c:v>21297</c:v>
                </c:pt>
                <c:pt idx="9">
                  <c:v>21450</c:v>
                </c:pt>
                <c:pt idx="10">
                  <c:v>21454</c:v>
                </c:pt>
                <c:pt idx="11">
                  <c:v>21322</c:v>
                </c:pt>
                <c:pt idx="12">
                  <c:v>20625</c:v>
                </c:pt>
                <c:pt idx="13">
                  <c:v>20545</c:v>
                </c:pt>
                <c:pt idx="14">
                  <c:v>20542</c:v>
                </c:pt>
                <c:pt idx="15">
                  <c:v>20822</c:v>
                </c:pt>
                <c:pt idx="16">
                  <c:v>20409</c:v>
                </c:pt>
                <c:pt idx="17">
                  <c:v>20396</c:v>
                </c:pt>
                <c:pt idx="18">
                  <c:v>20028</c:v>
                </c:pt>
                <c:pt idx="19">
                  <c:v>19939</c:v>
                </c:pt>
              </c:numCache>
            </c:numRef>
          </c:val>
          <c:smooth val="0"/>
          <c:extLst>
            <c:ext xmlns:c16="http://schemas.microsoft.com/office/drawing/2014/chart" uri="{C3380CC4-5D6E-409C-BE32-E72D297353CC}">
              <c16:uniqueId val="{00000004-C92A-4E16-AD9F-C2F27A7AB120}"/>
            </c:ext>
          </c:extLst>
        </c:ser>
        <c:ser>
          <c:idx val="5"/>
          <c:order val="5"/>
          <c:tx>
            <c:strRef>
              <c:f>Sheet1!$AC$1:$AC$2</c:f>
              <c:strCache>
                <c:ptCount val="1"/>
                <c:pt idx="0">
                  <c:v>GLITAZONE</c:v>
                </c:pt>
              </c:strCache>
            </c:strRef>
          </c:tx>
          <c:spPr>
            <a:ln w="28575" cap="rnd">
              <a:solidFill>
                <a:schemeClr val="accent6"/>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Sheet1!$AC$3:$AC$23</c:f>
              <c:numCache>
                <c:formatCode>General</c:formatCode>
                <c:ptCount val="20"/>
                <c:pt idx="0">
                  <c:v>653</c:v>
                </c:pt>
                <c:pt idx="1">
                  <c:v>622</c:v>
                </c:pt>
                <c:pt idx="2">
                  <c:v>591</c:v>
                </c:pt>
                <c:pt idx="3">
                  <c:v>572</c:v>
                </c:pt>
                <c:pt idx="4">
                  <c:v>553</c:v>
                </c:pt>
                <c:pt idx="5">
                  <c:v>533</c:v>
                </c:pt>
                <c:pt idx="6">
                  <c:v>524</c:v>
                </c:pt>
                <c:pt idx="7">
                  <c:v>516</c:v>
                </c:pt>
                <c:pt idx="8">
                  <c:v>483</c:v>
                </c:pt>
                <c:pt idx="9">
                  <c:v>466</c:v>
                </c:pt>
                <c:pt idx="10">
                  <c:v>470</c:v>
                </c:pt>
                <c:pt idx="11">
                  <c:v>449</c:v>
                </c:pt>
                <c:pt idx="12">
                  <c:v>425</c:v>
                </c:pt>
                <c:pt idx="13">
                  <c:v>418</c:v>
                </c:pt>
                <c:pt idx="14">
                  <c:v>410</c:v>
                </c:pt>
                <c:pt idx="15">
                  <c:v>411</c:v>
                </c:pt>
                <c:pt idx="16">
                  <c:v>389</c:v>
                </c:pt>
                <c:pt idx="17">
                  <c:v>383</c:v>
                </c:pt>
                <c:pt idx="18">
                  <c:v>366</c:v>
                </c:pt>
                <c:pt idx="19">
                  <c:v>370</c:v>
                </c:pt>
              </c:numCache>
            </c:numRef>
          </c:val>
          <c:smooth val="0"/>
          <c:extLst>
            <c:ext xmlns:c16="http://schemas.microsoft.com/office/drawing/2014/chart" uri="{C3380CC4-5D6E-409C-BE32-E72D297353CC}">
              <c16:uniqueId val="{00000005-C92A-4E16-AD9F-C2F27A7AB120}"/>
            </c:ext>
          </c:extLst>
        </c:ser>
        <c:ser>
          <c:idx val="6"/>
          <c:order val="6"/>
          <c:tx>
            <c:strRef>
              <c:f>Sheet1!$AD$1:$AD$2</c:f>
              <c:strCache>
                <c:ptCount val="1"/>
                <c:pt idx="0">
                  <c:v>GLITAZONE + METFORMIN</c:v>
                </c:pt>
              </c:strCache>
            </c:strRef>
          </c:tx>
          <c:spPr>
            <a:ln w="28575" cap="rnd">
              <a:solidFill>
                <a:schemeClr val="accent1">
                  <a:lumMod val="60000"/>
                </a:schemeClr>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Sheet1!$AD$3:$AD$23</c:f>
              <c:numCache>
                <c:formatCode>General</c:formatCode>
                <c:ptCount val="20"/>
                <c:pt idx="0">
                  <c:v>22</c:v>
                </c:pt>
                <c:pt idx="1">
                  <c:v>22</c:v>
                </c:pt>
              </c:numCache>
            </c:numRef>
          </c:val>
          <c:smooth val="0"/>
          <c:extLst>
            <c:ext xmlns:c16="http://schemas.microsoft.com/office/drawing/2014/chart" uri="{C3380CC4-5D6E-409C-BE32-E72D297353CC}">
              <c16:uniqueId val="{00000006-C92A-4E16-AD9F-C2F27A7AB120}"/>
            </c:ext>
          </c:extLst>
        </c:ser>
        <c:ser>
          <c:idx val="7"/>
          <c:order val="7"/>
          <c:tx>
            <c:strRef>
              <c:f>Sheet1!$AE$1:$AE$2</c:f>
              <c:strCache>
                <c:ptCount val="1"/>
                <c:pt idx="0">
                  <c:v>GLP-1 ANALOGUE</c:v>
                </c:pt>
              </c:strCache>
            </c:strRef>
          </c:tx>
          <c:spPr>
            <a:ln w="28575" cap="rnd">
              <a:solidFill>
                <a:schemeClr val="accent2">
                  <a:lumMod val="60000"/>
                </a:schemeClr>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Sheet1!$AE$3:$AE$23</c:f>
              <c:numCache>
                <c:formatCode>General</c:formatCode>
                <c:ptCount val="20"/>
                <c:pt idx="0">
                  <c:v>4918</c:v>
                </c:pt>
                <c:pt idx="1">
                  <c:v>5298</c:v>
                </c:pt>
                <c:pt idx="2">
                  <c:v>5725</c:v>
                </c:pt>
                <c:pt idx="3">
                  <c:v>6128</c:v>
                </c:pt>
                <c:pt idx="4">
                  <c:v>6316</c:v>
                </c:pt>
                <c:pt idx="5">
                  <c:v>6623</c:v>
                </c:pt>
                <c:pt idx="6">
                  <c:v>7383</c:v>
                </c:pt>
                <c:pt idx="7">
                  <c:v>8291</c:v>
                </c:pt>
                <c:pt idx="8">
                  <c:v>9019</c:v>
                </c:pt>
                <c:pt idx="9">
                  <c:v>10657</c:v>
                </c:pt>
                <c:pt idx="10">
                  <c:v>12684</c:v>
                </c:pt>
                <c:pt idx="11">
                  <c:v>15004</c:v>
                </c:pt>
                <c:pt idx="12">
                  <c:v>17261</c:v>
                </c:pt>
                <c:pt idx="13">
                  <c:v>19168</c:v>
                </c:pt>
                <c:pt idx="14">
                  <c:v>19571</c:v>
                </c:pt>
                <c:pt idx="15">
                  <c:v>15683</c:v>
                </c:pt>
                <c:pt idx="16">
                  <c:v>16574</c:v>
                </c:pt>
                <c:pt idx="17">
                  <c:v>23604</c:v>
                </c:pt>
                <c:pt idx="18">
                  <c:v>26783</c:v>
                </c:pt>
                <c:pt idx="19">
                  <c:v>24858</c:v>
                </c:pt>
              </c:numCache>
            </c:numRef>
          </c:val>
          <c:smooth val="0"/>
          <c:extLst>
            <c:ext xmlns:c16="http://schemas.microsoft.com/office/drawing/2014/chart" uri="{C3380CC4-5D6E-409C-BE32-E72D297353CC}">
              <c16:uniqueId val="{00000007-C92A-4E16-AD9F-C2F27A7AB120}"/>
            </c:ext>
          </c:extLst>
        </c:ser>
        <c:ser>
          <c:idx val="8"/>
          <c:order val="8"/>
          <c:tx>
            <c:strRef>
              <c:f>Sheet1!$AF$1:$AF$2</c:f>
              <c:strCache>
                <c:ptCount val="1"/>
                <c:pt idx="0">
                  <c:v>INSULIN</c:v>
                </c:pt>
              </c:strCache>
            </c:strRef>
          </c:tx>
          <c:spPr>
            <a:ln w="28575" cap="rnd">
              <a:solidFill>
                <a:schemeClr val="accent3">
                  <a:lumMod val="60000"/>
                </a:schemeClr>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Sheet1!$AF$3:$AF$23</c:f>
              <c:numCache>
                <c:formatCode>General</c:formatCode>
                <c:ptCount val="20"/>
                <c:pt idx="0">
                  <c:v>16621</c:v>
                </c:pt>
                <c:pt idx="1">
                  <c:v>18056</c:v>
                </c:pt>
                <c:pt idx="2">
                  <c:v>18661</c:v>
                </c:pt>
                <c:pt idx="3">
                  <c:v>19928</c:v>
                </c:pt>
                <c:pt idx="4">
                  <c:v>19877</c:v>
                </c:pt>
                <c:pt idx="5">
                  <c:v>15899</c:v>
                </c:pt>
                <c:pt idx="6">
                  <c:v>18516</c:v>
                </c:pt>
                <c:pt idx="7">
                  <c:v>20070</c:v>
                </c:pt>
                <c:pt idx="8">
                  <c:v>16655</c:v>
                </c:pt>
                <c:pt idx="9">
                  <c:v>18146</c:v>
                </c:pt>
                <c:pt idx="10">
                  <c:v>19233</c:v>
                </c:pt>
                <c:pt idx="11">
                  <c:v>20116</c:v>
                </c:pt>
                <c:pt idx="12">
                  <c:v>16880</c:v>
                </c:pt>
                <c:pt idx="13">
                  <c:v>18075</c:v>
                </c:pt>
                <c:pt idx="14">
                  <c:v>19217</c:v>
                </c:pt>
                <c:pt idx="15">
                  <c:v>20539</c:v>
                </c:pt>
                <c:pt idx="16">
                  <c:v>17302</c:v>
                </c:pt>
                <c:pt idx="17">
                  <c:v>17969</c:v>
                </c:pt>
                <c:pt idx="18">
                  <c:v>18747</c:v>
                </c:pt>
                <c:pt idx="19">
                  <c:v>20097</c:v>
                </c:pt>
              </c:numCache>
            </c:numRef>
          </c:val>
          <c:smooth val="0"/>
          <c:extLst>
            <c:ext xmlns:c16="http://schemas.microsoft.com/office/drawing/2014/chart" uri="{C3380CC4-5D6E-409C-BE32-E72D297353CC}">
              <c16:uniqueId val="{00000008-C92A-4E16-AD9F-C2F27A7AB120}"/>
            </c:ext>
          </c:extLst>
        </c:ser>
        <c:ser>
          <c:idx val="9"/>
          <c:order val="9"/>
          <c:tx>
            <c:strRef>
              <c:f>Sheet1!$AG$1:$AG$2</c:f>
              <c:strCache>
                <c:ptCount val="1"/>
                <c:pt idx="0">
                  <c:v>METFORMIN</c:v>
                </c:pt>
              </c:strCache>
            </c:strRef>
          </c:tx>
          <c:spPr>
            <a:ln w="28575" cap="rnd">
              <a:solidFill>
                <a:schemeClr val="accent4">
                  <a:lumMod val="60000"/>
                </a:schemeClr>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Sheet1!$AG$3:$AG$23</c:f>
              <c:numCache>
                <c:formatCode>General</c:formatCode>
                <c:ptCount val="20"/>
                <c:pt idx="0">
                  <c:v>62006</c:v>
                </c:pt>
                <c:pt idx="1">
                  <c:v>64489</c:v>
                </c:pt>
                <c:pt idx="2">
                  <c:v>65735</c:v>
                </c:pt>
                <c:pt idx="3">
                  <c:v>67103</c:v>
                </c:pt>
                <c:pt idx="4">
                  <c:v>66072</c:v>
                </c:pt>
                <c:pt idx="5">
                  <c:v>64305</c:v>
                </c:pt>
                <c:pt idx="6">
                  <c:v>69446</c:v>
                </c:pt>
                <c:pt idx="7">
                  <c:v>71548</c:v>
                </c:pt>
                <c:pt idx="8">
                  <c:v>67760</c:v>
                </c:pt>
                <c:pt idx="9">
                  <c:v>70754</c:v>
                </c:pt>
                <c:pt idx="10">
                  <c:v>73742</c:v>
                </c:pt>
                <c:pt idx="11">
                  <c:v>75376</c:v>
                </c:pt>
                <c:pt idx="12">
                  <c:v>71169</c:v>
                </c:pt>
                <c:pt idx="13">
                  <c:v>73982</c:v>
                </c:pt>
                <c:pt idx="14">
                  <c:v>76473</c:v>
                </c:pt>
                <c:pt idx="15">
                  <c:v>78814</c:v>
                </c:pt>
                <c:pt idx="16">
                  <c:v>74231</c:v>
                </c:pt>
                <c:pt idx="17">
                  <c:v>77310</c:v>
                </c:pt>
                <c:pt idx="18">
                  <c:v>79725</c:v>
                </c:pt>
                <c:pt idx="19">
                  <c:v>81692</c:v>
                </c:pt>
              </c:numCache>
            </c:numRef>
          </c:val>
          <c:smooth val="0"/>
          <c:extLst>
            <c:ext xmlns:c16="http://schemas.microsoft.com/office/drawing/2014/chart" uri="{C3380CC4-5D6E-409C-BE32-E72D297353CC}">
              <c16:uniqueId val="{00000009-C92A-4E16-AD9F-C2F27A7AB120}"/>
            </c:ext>
          </c:extLst>
        </c:ser>
        <c:ser>
          <c:idx val="10"/>
          <c:order val="10"/>
          <c:tx>
            <c:strRef>
              <c:f>Sheet1!$AH$1:$AH$2</c:f>
              <c:strCache>
                <c:ptCount val="1"/>
                <c:pt idx="0">
                  <c:v>METFORMIN + SULFONYLUREA</c:v>
                </c:pt>
              </c:strCache>
            </c:strRef>
          </c:tx>
          <c:spPr>
            <a:ln w="28575" cap="rnd">
              <a:solidFill>
                <a:schemeClr val="accent5">
                  <a:lumMod val="60000"/>
                </a:schemeClr>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Sheet1!$AH$3:$AH$23</c:f>
              <c:numCache>
                <c:formatCode>General</c:formatCode>
                <c:ptCount val="20"/>
                <c:pt idx="0">
                  <c:v>548</c:v>
                </c:pt>
                <c:pt idx="1">
                  <c:v>545</c:v>
                </c:pt>
                <c:pt idx="2">
                  <c:v>538</c:v>
                </c:pt>
                <c:pt idx="3">
                  <c:v>532</c:v>
                </c:pt>
                <c:pt idx="4">
                  <c:v>492</c:v>
                </c:pt>
                <c:pt idx="5">
                  <c:v>477</c:v>
                </c:pt>
                <c:pt idx="6">
                  <c:v>489</c:v>
                </c:pt>
                <c:pt idx="7">
                  <c:v>485</c:v>
                </c:pt>
                <c:pt idx="8">
                  <c:v>413</c:v>
                </c:pt>
                <c:pt idx="9">
                  <c:v>300</c:v>
                </c:pt>
                <c:pt idx="10">
                  <c:v>164</c:v>
                </c:pt>
                <c:pt idx="11">
                  <c:v>48</c:v>
                </c:pt>
              </c:numCache>
            </c:numRef>
          </c:val>
          <c:smooth val="0"/>
          <c:extLst>
            <c:ext xmlns:c16="http://schemas.microsoft.com/office/drawing/2014/chart" uri="{C3380CC4-5D6E-409C-BE32-E72D297353CC}">
              <c16:uniqueId val="{0000000A-C92A-4E16-AD9F-C2F27A7AB120}"/>
            </c:ext>
          </c:extLst>
        </c:ser>
        <c:ser>
          <c:idx val="11"/>
          <c:order val="11"/>
          <c:tx>
            <c:strRef>
              <c:f>Sheet1!$AI$1:$AI$2</c:f>
              <c:strCache>
                <c:ptCount val="1"/>
                <c:pt idx="0">
                  <c:v>SULFONYLUREA</c:v>
                </c:pt>
              </c:strCache>
            </c:strRef>
          </c:tx>
          <c:spPr>
            <a:ln w="28575" cap="rnd">
              <a:solidFill>
                <a:schemeClr val="accent6">
                  <a:lumMod val="60000"/>
                </a:schemeClr>
              </a:solidFill>
              <a:round/>
            </a:ln>
            <a:effectLst/>
          </c:spPr>
          <c:marker>
            <c:symbol val="none"/>
          </c:marker>
          <c:cat>
            <c:strRef>
              <c:f>Sheet1!$W$3:$W$23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Sheet1!$AI$3:$AI$23</c:f>
              <c:numCache>
                <c:formatCode>General</c:formatCode>
                <c:ptCount val="20"/>
                <c:pt idx="0">
                  <c:v>23025</c:v>
                </c:pt>
                <c:pt idx="1">
                  <c:v>23765</c:v>
                </c:pt>
                <c:pt idx="2">
                  <c:v>23949</c:v>
                </c:pt>
                <c:pt idx="3">
                  <c:v>24241</c:v>
                </c:pt>
                <c:pt idx="4">
                  <c:v>23252</c:v>
                </c:pt>
                <c:pt idx="5">
                  <c:v>23168</c:v>
                </c:pt>
                <c:pt idx="6">
                  <c:v>24318</c:v>
                </c:pt>
                <c:pt idx="7">
                  <c:v>24816</c:v>
                </c:pt>
                <c:pt idx="8">
                  <c:v>22948</c:v>
                </c:pt>
                <c:pt idx="9">
                  <c:v>23736</c:v>
                </c:pt>
                <c:pt idx="10">
                  <c:v>24586</c:v>
                </c:pt>
                <c:pt idx="11">
                  <c:v>24770</c:v>
                </c:pt>
                <c:pt idx="12">
                  <c:v>22828</c:v>
                </c:pt>
                <c:pt idx="13">
                  <c:v>23570</c:v>
                </c:pt>
                <c:pt idx="14">
                  <c:v>24040</c:v>
                </c:pt>
                <c:pt idx="15">
                  <c:v>24735</c:v>
                </c:pt>
                <c:pt idx="16">
                  <c:v>22803</c:v>
                </c:pt>
                <c:pt idx="17">
                  <c:v>23612</c:v>
                </c:pt>
                <c:pt idx="18">
                  <c:v>23658</c:v>
                </c:pt>
                <c:pt idx="19">
                  <c:v>24234</c:v>
                </c:pt>
              </c:numCache>
            </c:numRef>
          </c:val>
          <c:smooth val="0"/>
          <c:extLst>
            <c:ext xmlns:c16="http://schemas.microsoft.com/office/drawing/2014/chart" uri="{C3380CC4-5D6E-409C-BE32-E72D297353CC}">
              <c16:uniqueId val="{0000000B-C92A-4E16-AD9F-C2F27A7AB120}"/>
            </c:ext>
          </c:extLst>
        </c:ser>
        <c:dLbls>
          <c:showLegendKey val="0"/>
          <c:showVal val="0"/>
          <c:showCatName val="0"/>
          <c:showSerName val="0"/>
          <c:showPercent val="0"/>
          <c:showBubbleSize val="0"/>
        </c:dLbls>
        <c:smooth val="0"/>
        <c:axId val="706245152"/>
        <c:axId val="706245872"/>
      </c:lineChart>
      <c:catAx>
        <c:axId val="706245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245872"/>
        <c:crosses val="autoZero"/>
        <c:auto val="1"/>
        <c:lblAlgn val="ctr"/>
        <c:lblOffset val="100"/>
        <c:noMultiLvlLbl val="0"/>
      </c:catAx>
      <c:valAx>
        <c:axId val="70624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24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[D1584 outputs.xlsx]Sheet8!PivotTable4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Sheet8!$V$1:$V$2</c:f>
              <c:strCache>
                <c:ptCount val="1"/>
                <c:pt idx="0">
                  <c:v>Cardiology</c:v>
                </c:pt>
              </c:strCache>
            </c:strRef>
          </c:tx>
          <c:spPr>
            <a:solidFill>
              <a:schemeClr val="accent1"/>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Sheet8!$V$3:$V$9</c:f>
              <c:numCache>
                <c:formatCode>General</c:formatCode>
                <c:ptCount val="6"/>
                <c:pt idx="0">
                  <c:v>104</c:v>
                </c:pt>
                <c:pt idx="1">
                  <c:v>433</c:v>
                </c:pt>
                <c:pt idx="2">
                  <c:v>1030</c:v>
                </c:pt>
                <c:pt idx="3">
                  <c:v>2502</c:v>
                </c:pt>
                <c:pt idx="4">
                  <c:v>3602</c:v>
                </c:pt>
                <c:pt idx="5">
                  <c:v>5093</c:v>
                </c:pt>
              </c:numCache>
            </c:numRef>
          </c:val>
          <c:extLst>
            <c:ext xmlns:c16="http://schemas.microsoft.com/office/drawing/2014/chart" uri="{C3380CC4-5D6E-409C-BE32-E72D297353CC}">
              <c16:uniqueId val="{00000000-0C47-4FAE-A265-DE013FAA84BB}"/>
            </c:ext>
          </c:extLst>
        </c:ser>
        <c:ser>
          <c:idx val="1"/>
          <c:order val="1"/>
          <c:tx>
            <c:strRef>
              <c:f>Sheet8!$W$1:$W$2</c:f>
              <c:strCache>
                <c:ptCount val="1"/>
                <c:pt idx="0">
                  <c:v>Endocrinology</c:v>
                </c:pt>
              </c:strCache>
            </c:strRef>
          </c:tx>
          <c:spPr>
            <a:solidFill>
              <a:schemeClr val="accent2"/>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Sheet8!$W$3:$W$9</c:f>
              <c:numCache>
                <c:formatCode>General</c:formatCode>
                <c:ptCount val="6"/>
                <c:pt idx="0">
                  <c:v>18951</c:v>
                </c:pt>
                <c:pt idx="1">
                  <c:v>63166</c:v>
                </c:pt>
                <c:pt idx="2">
                  <c:v>82774</c:v>
                </c:pt>
                <c:pt idx="3">
                  <c:v>197767</c:v>
                </c:pt>
                <c:pt idx="4">
                  <c:v>219796</c:v>
                </c:pt>
                <c:pt idx="5">
                  <c:v>267551</c:v>
                </c:pt>
              </c:numCache>
            </c:numRef>
          </c:val>
          <c:extLst>
            <c:ext xmlns:c16="http://schemas.microsoft.com/office/drawing/2014/chart" uri="{C3380CC4-5D6E-409C-BE32-E72D297353CC}">
              <c16:uniqueId val="{00000001-0C47-4FAE-A265-DE013FAA84BB}"/>
            </c:ext>
          </c:extLst>
        </c:ser>
        <c:ser>
          <c:idx val="2"/>
          <c:order val="2"/>
          <c:tx>
            <c:strRef>
              <c:f>Sheet8!$X$1:$X$2</c:f>
              <c:strCache>
                <c:ptCount val="1"/>
                <c:pt idx="0">
                  <c:v>GP</c:v>
                </c:pt>
              </c:strCache>
            </c:strRef>
          </c:tx>
          <c:spPr>
            <a:solidFill>
              <a:schemeClr val="accent3"/>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Sheet8!$X$3:$X$9</c:f>
              <c:numCache>
                <c:formatCode>General</c:formatCode>
                <c:ptCount val="6"/>
                <c:pt idx="0">
                  <c:v>23614</c:v>
                </c:pt>
                <c:pt idx="1">
                  <c:v>184116</c:v>
                </c:pt>
                <c:pt idx="2">
                  <c:v>390056</c:v>
                </c:pt>
                <c:pt idx="3">
                  <c:v>848335</c:v>
                </c:pt>
                <c:pt idx="4">
                  <c:v>1353601</c:v>
                </c:pt>
                <c:pt idx="5">
                  <c:v>1982729</c:v>
                </c:pt>
              </c:numCache>
            </c:numRef>
          </c:val>
          <c:extLst>
            <c:ext xmlns:c16="http://schemas.microsoft.com/office/drawing/2014/chart" uri="{C3380CC4-5D6E-409C-BE32-E72D297353CC}">
              <c16:uniqueId val="{00000002-0C47-4FAE-A265-DE013FAA84BB}"/>
            </c:ext>
          </c:extLst>
        </c:ser>
        <c:ser>
          <c:idx val="3"/>
          <c:order val="3"/>
          <c:tx>
            <c:strRef>
              <c:f>Sheet8!$Y$1:$Y$2</c:f>
              <c:strCache>
                <c:ptCount val="1"/>
                <c:pt idx="0">
                  <c:v>Internal Medicine</c:v>
                </c:pt>
              </c:strCache>
            </c:strRef>
          </c:tx>
          <c:spPr>
            <a:solidFill>
              <a:schemeClr val="accent4"/>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Sheet8!$Y$3:$Y$9</c:f>
              <c:numCache>
                <c:formatCode>General</c:formatCode>
                <c:ptCount val="6"/>
                <c:pt idx="0">
                  <c:v>6905</c:v>
                </c:pt>
                <c:pt idx="1">
                  <c:v>19350</c:v>
                </c:pt>
                <c:pt idx="2">
                  <c:v>22809</c:v>
                </c:pt>
                <c:pt idx="3">
                  <c:v>50505</c:v>
                </c:pt>
                <c:pt idx="4">
                  <c:v>55083</c:v>
                </c:pt>
                <c:pt idx="5">
                  <c:v>61232</c:v>
                </c:pt>
              </c:numCache>
            </c:numRef>
          </c:val>
          <c:extLst>
            <c:ext xmlns:c16="http://schemas.microsoft.com/office/drawing/2014/chart" uri="{C3380CC4-5D6E-409C-BE32-E72D297353CC}">
              <c16:uniqueId val="{00000003-0C47-4FAE-A265-DE013FAA84BB}"/>
            </c:ext>
          </c:extLst>
        </c:ser>
        <c:ser>
          <c:idx val="4"/>
          <c:order val="4"/>
          <c:tx>
            <c:strRef>
              <c:f>Sheet8!$Z$1:$Z$2</c:f>
              <c:strCache>
                <c:ptCount val="1"/>
                <c:pt idx="0">
                  <c:v>Nephrology</c:v>
                </c:pt>
              </c:strCache>
            </c:strRef>
          </c:tx>
          <c:spPr>
            <a:solidFill>
              <a:schemeClr val="accent5"/>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Sheet8!$Z$3:$Z$9</c:f>
              <c:numCache>
                <c:formatCode>General</c:formatCode>
                <c:ptCount val="6"/>
                <c:pt idx="0">
                  <c:v>177</c:v>
                </c:pt>
                <c:pt idx="1">
                  <c:v>2228</c:v>
                </c:pt>
                <c:pt idx="2">
                  <c:v>2928</c:v>
                </c:pt>
                <c:pt idx="3">
                  <c:v>5558</c:v>
                </c:pt>
                <c:pt idx="4">
                  <c:v>6500</c:v>
                </c:pt>
                <c:pt idx="5">
                  <c:v>9212</c:v>
                </c:pt>
              </c:numCache>
            </c:numRef>
          </c:val>
          <c:extLst>
            <c:ext xmlns:c16="http://schemas.microsoft.com/office/drawing/2014/chart" uri="{C3380CC4-5D6E-409C-BE32-E72D297353CC}">
              <c16:uniqueId val="{00000004-0C47-4FAE-A265-DE013FAA84BB}"/>
            </c:ext>
          </c:extLst>
        </c:ser>
        <c:ser>
          <c:idx val="5"/>
          <c:order val="5"/>
          <c:tx>
            <c:strRef>
              <c:f>Sheet8!$AA$1:$AA$2</c:f>
              <c:strCache>
                <c:ptCount val="1"/>
                <c:pt idx="0">
                  <c:v>Nurse Practitioner</c:v>
                </c:pt>
              </c:strCache>
            </c:strRef>
          </c:tx>
          <c:spPr>
            <a:solidFill>
              <a:schemeClr val="accent6"/>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Sheet8!$AA$3:$AA$9</c:f>
              <c:numCache>
                <c:formatCode>General</c:formatCode>
                <c:ptCount val="6"/>
                <c:pt idx="0">
                  <c:v>557</c:v>
                </c:pt>
                <c:pt idx="1">
                  <c:v>1267</c:v>
                </c:pt>
                <c:pt idx="2">
                  <c:v>1586</c:v>
                </c:pt>
                <c:pt idx="3">
                  <c:v>4840</c:v>
                </c:pt>
                <c:pt idx="4">
                  <c:v>9558</c:v>
                </c:pt>
                <c:pt idx="5">
                  <c:v>16912</c:v>
                </c:pt>
              </c:numCache>
            </c:numRef>
          </c:val>
          <c:extLst>
            <c:ext xmlns:c16="http://schemas.microsoft.com/office/drawing/2014/chart" uri="{C3380CC4-5D6E-409C-BE32-E72D297353CC}">
              <c16:uniqueId val="{00000005-0C47-4FAE-A265-DE013FAA84BB}"/>
            </c:ext>
          </c:extLst>
        </c:ser>
        <c:ser>
          <c:idx val="6"/>
          <c:order val="6"/>
          <c:tx>
            <c:strRef>
              <c:f>Sheet8!$AB$1:$AB$2</c:f>
              <c:strCache>
                <c:ptCount val="1"/>
                <c:pt idx="0">
                  <c:v>Other</c:v>
                </c:pt>
              </c:strCache>
            </c:strRef>
          </c:tx>
          <c:spPr>
            <a:solidFill>
              <a:schemeClr val="accent1">
                <a:lumMod val="60000"/>
              </a:schemeClr>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Sheet8!$AB$3:$AB$9</c:f>
              <c:numCache>
                <c:formatCode>General</c:formatCode>
                <c:ptCount val="6"/>
                <c:pt idx="0">
                  <c:v>882</c:v>
                </c:pt>
                <c:pt idx="1">
                  <c:v>2920</c:v>
                </c:pt>
                <c:pt idx="2">
                  <c:v>5253</c:v>
                </c:pt>
                <c:pt idx="3">
                  <c:v>12645</c:v>
                </c:pt>
                <c:pt idx="4">
                  <c:v>19894</c:v>
                </c:pt>
                <c:pt idx="5">
                  <c:v>27519</c:v>
                </c:pt>
              </c:numCache>
            </c:numRef>
          </c:val>
          <c:extLst>
            <c:ext xmlns:c16="http://schemas.microsoft.com/office/drawing/2014/chart" uri="{C3380CC4-5D6E-409C-BE32-E72D297353CC}">
              <c16:uniqueId val="{00000006-0C47-4FAE-A265-DE013FAA84BB}"/>
            </c:ext>
          </c:extLst>
        </c:ser>
        <c:ser>
          <c:idx val="7"/>
          <c:order val="7"/>
          <c:tx>
            <c:strRef>
              <c:f>Sheet8!$AC$1:$AC$2</c:f>
              <c:strCache>
                <c:ptCount val="1"/>
                <c:pt idx="0">
                  <c:v>Unknown</c:v>
                </c:pt>
              </c:strCache>
            </c:strRef>
          </c:tx>
          <c:spPr>
            <a:solidFill>
              <a:schemeClr val="accent2">
                <a:lumMod val="60000"/>
              </a:schemeClr>
            </a:solidFill>
            <a:ln>
              <a:noFill/>
            </a:ln>
            <a:effectLst/>
          </c:spPr>
          <c:invertIfNegative val="0"/>
          <c:cat>
            <c:strRef>
              <c:f>Sheet8!$U$3:$U$9</c:f>
              <c:strCache>
                <c:ptCount val="6"/>
                <c:pt idx="0">
                  <c:v>2018</c:v>
                </c:pt>
                <c:pt idx="1">
                  <c:v>2019</c:v>
                </c:pt>
                <c:pt idx="2">
                  <c:v>2020</c:v>
                </c:pt>
                <c:pt idx="3">
                  <c:v>2021</c:v>
                </c:pt>
                <c:pt idx="4">
                  <c:v>2022</c:v>
                </c:pt>
                <c:pt idx="5">
                  <c:v>2023</c:v>
                </c:pt>
              </c:strCache>
            </c:strRef>
          </c:cat>
          <c:val>
            <c:numRef>
              <c:f>Sheet8!$AC$3:$AC$9</c:f>
              <c:numCache>
                <c:formatCode>General</c:formatCode>
                <c:ptCount val="6"/>
                <c:pt idx="0">
                  <c:v>172</c:v>
                </c:pt>
                <c:pt idx="1">
                  <c:v>5124</c:v>
                </c:pt>
                <c:pt idx="2">
                  <c:v>21528</c:v>
                </c:pt>
                <c:pt idx="3">
                  <c:v>23631</c:v>
                </c:pt>
                <c:pt idx="4">
                  <c:v>26197</c:v>
                </c:pt>
                <c:pt idx="5">
                  <c:v>24407</c:v>
                </c:pt>
              </c:numCache>
            </c:numRef>
          </c:val>
          <c:extLst>
            <c:ext xmlns:c16="http://schemas.microsoft.com/office/drawing/2014/chart" uri="{C3380CC4-5D6E-409C-BE32-E72D297353CC}">
              <c16:uniqueId val="{00000007-0C47-4FAE-A265-DE013FAA84BB}"/>
            </c:ext>
          </c:extLst>
        </c:ser>
        <c:dLbls>
          <c:showLegendKey val="0"/>
          <c:showVal val="0"/>
          <c:showCatName val="0"/>
          <c:showSerName val="0"/>
          <c:showPercent val="0"/>
          <c:showBubbleSize val="0"/>
        </c:dLbls>
        <c:gapWidth val="150"/>
        <c:overlap val="100"/>
        <c:axId val="842880944"/>
        <c:axId val="842882384"/>
      </c:barChart>
      <c:catAx>
        <c:axId val="842880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882384"/>
        <c:crosses val="autoZero"/>
        <c:auto val="1"/>
        <c:lblAlgn val="ctr"/>
        <c:lblOffset val="100"/>
        <c:noMultiLvlLbl val="0"/>
      </c:catAx>
      <c:valAx>
        <c:axId val="84288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88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[D1584 outputs.xlsx]use by ingredient!PivotTable2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'use by ingredient'!$W$1:$W$2</c:f>
              <c:strCache>
                <c:ptCount val="1"/>
                <c:pt idx="0">
                  <c:v>FLOZIN</c:v>
                </c:pt>
              </c:strCache>
            </c:strRef>
          </c:tx>
          <c:spPr>
            <a:ln w="28575" cap="rnd">
              <a:solidFill>
                <a:schemeClr val="accent1"/>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ingredient'!$W$3:$W$23</c:f>
              <c:numCache>
                <c:formatCode>General</c:formatCode>
                <c:ptCount val="20"/>
                <c:pt idx="0">
                  <c:v>198580</c:v>
                </c:pt>
                <c:pt idx="1">
                  <c:v>209501</c:v>
                </c:pt>
                <c:pt idx="2">
                  <c:v>221578</c:v>
                </c:pt>
                <c:pt idx="3">
                  <c:v>235909</c:v>
                </c:pt>
                <c:pt idx="4">
                  <c:v>246248</c:v>
                </c:pt>
                <c:pt idx="5">
                  <c:v>254509</c:v>
                </c:pt>
                <c:pt idx="6">
                  <c:v>273135</c:v>
                </c:pt>
                <c:pt idx="7">
                  <c:v>288284</c:v>
                </c:pt>
                <c:pt idx="8">
                  <c:v>293137</c:v>
                </c:pt>
                <c:pt idx="9">
                  <c:v>305474</c:v>
                </c:pt>
                <c:pt idx="10">
                  <c:v>318582</c:v>
                </c:pt>
                <c:pt idx="11">
                  <c:v>331250</c:v>
                </c:pt>
                <c:pt idx="12">
                  <c:v>331792</c:v>
                </c:pt>
                <c:pt idx="13">
                  <c:v>341266</c:v>
                </c:pt>
                <c:pt idx="14">
                  <c:v>356362</c:v>
                </c:pt>
                <c:pt idx="15">
                  <c:v>384538</c:v>
                </c:pt>
                <c:pt idx="16">
                  <c:v>391916</c:v>
                </c:pt>
                <c:pt idx="17">
                  <c:v>402064</c:v>
                </c:pt>
                <c:pt idx="18">
                  <c:v>410081</c:v>
                </c:pt>
                <c:pt idx="19">
                  <c:v>428125</c:v>
                </c:pt>
              </c:numCache>
            </c:numRef>
          </c:val>
          <c:smooth val="0"/>
          <c:extLst>
            <c:ext xmlns:c16="http://schemas.microsoft.com/office/drawing/2014/chart" uri="{C3380CC4-5D6E-409C-BE32-E72D297353CC}">
              <c16:uniqueId val="{00000000-BA56-4099-B9D4-EC2EC67EA2A5}"/>
            </c:ext>
          </c:extLst>
        </c:ser>
        <c:ser>
          <c:idx val="1"/>
          <c:order val="1"/>
          <c:tx>
            <c:strRef>
              <c:f>'use by ingredient'!$X$1:$X$2</c:f>
              <c:strCache>
                <c:ptCount val="1"/>
                <c:pt idx="0">
                  <c:v>GLIPTIN</c:v>
                </c:pt>
              </c:strCache>
            </c:strRef>
          </c:tx>
          <c:spPr>
            <a:ln w="28575" cap="rnd">
              <a:solidFill>
                <a:schemeClr val="accent2"/>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ingredient'!$X$3:$X$23</c:f>
              <c:numCache>
                <c:formatCode>General</c:formatCode>
                <c:ptCount val="20"/>
                <c:pt idx="0">
                  <c:v>298312</c:v>
                </c:pt>
                <c:pt idx="1">
                  <c:v>308346</c:v>
                </c:pt>
                <c:pt idx="2">
                  <c:v>316394</c:v>
                </c:pt>
                <c:pt idx="3">
                  <c:v>325116</c:v>
                </c:pt>
                <c:pt idx="4">
                  <c:v>329723</c:v>
                </c:pt>
                <c:pt idx="5">
                  <c:v>334698</c:v>
                </c:pt>
                <c:pt idx="6">
                  <c:v>348766</c:v>
                </c:pt>
                <c:pt idx="7">
                  <c:v>355670</c:v>
                </c:pt>
                <c:pt idx="8">
                  <c:v>353503</c:v>
                </c:pt>
                <c:pt idx="9">
                  <c:v>359148</c:v>
                </c:pt>
                <c:pt idx="10">
                  <c:v>362574</c:v>
                </c:pt>
                <c:pt idx="11">
                  <c:v>363067</c:v>
                </c:pt>
                <c:pt idx="12">
                  <c:v>353207</c:v>
                </c:pt>
                <c:pt idx="13">
                  <c:v>354022</c:v>
                </c:pt>
                <c:pt idx="14">
                  <c:v>358952</c:v>
                </c:pt>
                <c:pt idx="15">
                  <c:v>378676</c:v>
                </c:pt>
                <c:pt idx="16">
                  <c:v>379425</c:v>
                </c:pt>
                <c:pt idx="17">
                  <c:v>377050</c:v>
                </c:pt>
                <c:pt idx="18">
                  <c:v>368834</c:v>
                </c:pt>
                <c:pt idx="19">
                  <c:v>375338</c:v>
                </c:pt>
              </c:numCache>
            </c:numRef>
          </c:val>
          <c:smooth val="0"/>
          <c:extLst>
            <c:ext xmlns:c16="http://schemas.microsoft.com/office/drawing/2014/chart" uri="{C3380CC4-5D6E-409C-BE32-E72D297353CC}">
              <c16:uniqueId val="{00000001-BA56-4099-B9D4-EC2EC67EA2A5}"/>
            </c:ext>
          </c:extLst>
        </c:ser>
        <c:ser>
          <c:idx val="2"/>
          <c:order val="2"/>
          <c:tx>
            <c:strRef>
              <c:f>'use by ingredient'!$Y$1:$Y$2</c:f>
              <c:strCache>
                <c:ptCount val="1"/>
                <c:pt idx="0">
                  <c:v>GLITAZONE</c:v>
                </c:pt>
              </c:strCache>
            </c:strRef>
          </c:tx>
          <c:spPr>
            <a:ln w="28575" cap="rnd">
              <a:solidFill>
                <a:schemeClr val="accent3"/>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ingredient'!$Y$3:$Y$23</c:f>
              <c:numCache>
                <c:formatCode>General</c:formatCode>
                <c:ptCount val="20"/>
                <c:pt idx="0">
                  <c:v>6515</c:v>
                </c:pt>
                <c:pt idx="1">
                  <c:v>6285</c:v>
                </c:pt>
                <c:pt idx="2">
                  <c:v>5916</c:v>
                </c:pt>
                <c:pt idx="3">
                  <c:v>5758</c:v>
                </c:pt>
                <c:pt idx="4">
                  <c:v>5430</c:v>
                </c:pt>
                <c:pt idx="5">
                  <c:v>5267</c:v>
                </c:pt>
                <c:pt idx="6">
                  <c:v>5183</c:v>
                </c:pt>
                <c:pt idx="7">
                  <c:v>5025</c:v>
                </c:pt>
                <c:pt idx="8">
                  <c:v>4708</c:v>
                </c:pt>
                <c:pt idx="9">
                  <c:v>4588</c:v>
                </c:pt>
                <c:pt idx="10">
                  <c:v>4474</c:v>
                </c:pt>
                <c:pt idx="11">
                  <c:v>4366</c:v>
                </c:pt>
                <c:pt idx="12">
                  <c:v>4125</c:v>
                </c:pt>
                <c:pt idx="13">
                  <c:v>4057</c:v>
                </c:pt>
                <c:pt idx="14">
                  <c:v>3954</c:v>
                </c:pt>
                <c:pt idx="15">
                  <c:v>4002</c:v>
                </c:pt>
                <c:pt idx="16">
                  <c:v>3828</c:v>
                </c:pt>
                <c:pt idx="17">
                  <c:v>3760</c:v>
                </c:pt>
                <c:pt idx="18">
                  <c:v>3608</c:v>
                </c:pt>
                <c:pt idx="19">
                  <c:v>3575</c:v>
                </c:pt>
              </c:numCache>
            </c:numRef>
          </c:val>
          <c:smooth val="0"/>
          <c:extLst>
            <c:ext xmlns:c16="http://schemas.microsoft.com/office/drawing/2014/chart" uri="{C3380CC4-5D6E-409C-BE32-E72D297353CC}">
              <c16:uniqueId val="{00000002-BA56-4099-B9D4-EC2EC67EA2A5}"/>
            </c:ext>
          </c:extLst>
        </c:ser>
        <c:ser>
          <c:idx val="3"/>
          <c:order val="3"/>
          <c:tx>
            <c:strRef>
              <c:f>'use by ingredient'!$Z$1:$Z$2</c:f>
              <c:strCache>
                <c:ptCount val="1"/>
                <c:pt idx="0">
                  <c:v>GLP-1 ANALOGUE</c:v>
                </c:pt>
              </c:strCache>
            </c:strRef>
          </c:tx>
          <c:spPr>
            <a:ln w="28575" cap="rnd">
              <a:solidFill>
                <a:schemeClr val="accent4"/>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ingredient'!$Z$3:$Z$23</c:f>
              <c:numCache>
                <c:formatCode>General</c:formatCode>
                <c:ptCount val="20"/>
                <c:pt idx="0">
                  <c:v>49703</c:v>
                </c:pt>
                <c:pt idx="1">
                  <c:v>53195</c:v>
                </c:pt>
                <c:pt idx="2">
                  <c:v>57084</c:v>
                </c:pt>
                <c:pt idx="3">
                  <c:v>61218</c:v>
                </c:pt>
                <c:pt idx="4">
                  <c:v>63582</c:v>
                </c:pt>
                <c:pt idx="5">
                  <c:v>66492</c:v>
                </c:pt>
                <c:pt idx="6">
                  <c:v>74652</c:v>
                </c:pt>
                <c:pt idx="7">
                  <c:v>83449</c:v>
                </c:pt>
                <c:pt idx="8">
                  <c:v>91070</c:v>
                </c:pt>
                <c:pt idx="9">
                  <c:v>107706</c:v>
                </c:pt>
                <c:pt idx="10">
                  <c:v>126912</c:v>
                </c:pt>
                <c:pt idx="11">
                  <c:v>150665</c:v>
                </c:pt>
                <c:pt idx="12">
                  <c:v>172581</c:v>
                </c:pt>
                <c:pt idx="13">
                  <c:v>191299</c:v>
                </c:pt>
                <c:pt idx="14">
                  <c:v>195533</c:v>
                </c:pt>
                <c:pt idx="15">
                  <c:v>156222</c:v>
                </c:pt>
                <c:pt idx="16">
                  <c:v>165626</c:v>
                </c:pt>
                <c:pt idx="17">
                  <c:v>235134</c:v>
                </c:pt>
                <c:pt idx="18">
                  <c:v>266508</c:v>
                </c:pt>
                <c:pt idx="19">
                  <c:v>247457</c:v>
                </c:pt>
              </c:numCache>
            </c:numRef>
          </c:val>
          <c:smooth val="0"/>
          <c:extLst>
            <c:ext xmlns:c16="http://schemas.microsoft.com/office/drawing/2014/chart" uri="{C3380CC4-5D6E-409C-BE32-E72D297353CC}">
              <c16:uniqueId val="{00000003-BA56-4099-B9D4-EC2EC67EA2A5}"/>
            </c:ext>
          </c:extLst>
        </c:ser>
        <c:ser>
          <c:idx val="4"/>
          <c:order val="4"/>
          <c:tx>
            <c:strRef>
              <c:f>'use by ingredient'!$AA$1:$AA$2</c:f>
              <c:strCache>
                <c:ptCount val="1"/>
                <c:pt idx="0">
                  <c:v>INSULIN</c:v>
                </c:pt>
              </c:strCache>
            </c:strRef>
          </c:tx>
          <c:spPr>
            <a:ln w="28575" cap="rnd">
              <a:solidFill>
                <a:schemeClr val="accent5"/>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ingredient'!$AA$3:$AA$23</c:f>
              <c:numCache>
                <c:formatCode>General</c:formatCode>
                <c:ptCount val="20"/>
                <c:pt idx="0">
                  <c:v>112726</c:v>
                </c:pt>
                <c:pt idx="1">
                  <c:v>125198</c:v>
                </c:pt>
                <c:pt idx="2">
                  <c:v>131136</c:v>
                </c:pt>
                <c:pt idx="3">
                  <c:v>141254</c:v>
                </c:pt>
                <c:pt idx="4">
                  <c:v>133371</c:v>
                </c:pt>
                <c:pt idx="5">
                  <c:v>117021</c:v>
                </c:pt>
                <c:pt idx="6">
                  <c:v>132473</c:v>
                </c:pt>
                <c:pt idx="7">
                  <c:v>144193</c:v>
                </c:pt>
                <c:pt idx="8">
                  <c:v>116552</c:v>
                </c:pt>
                <c:pt idx="9">
                  <c:v>127738</c:v>
                </c:pt>
                <c:pt idx="10">
                  <c:v>136139</c:v>
                </c:pt>
                <c:pt idx="11">
                  <c:v>144456</c:v>
                </c:pt>
                <c:pt idx="12">
                  <c:v>116301</c:v>
                </c:pt>
                <c:pt idx="13">
                  <c:v>126836</c:v>
                </c:pt>
                <c:pt idx="14">
                  <c:v>135738</c:v>
                </c:pt>
                <c:pt idx="15">
                  <c:v>149150</c:v>
                </c:pt>
                <c:pt idx="16">
                  <c:v>119713</c:v>
                </c:pt>
                <c:pt idx="17">
                  <c:v>126994</c:v>
                </c:pt>
                <c:pt idx="18">
                  <c:v>131196</c:v>
                </c:pt>
                <c:pt idx="19">
                  <c:v>145131</c:v>
                </c:pt>
              </c:numCache>
            </c:numRef>
          </c:val>
          <c:smooth val="0"/>
          <c:extLst>
            <c:ext xmlns:c16="http://schemas.microsoft.com/office/drawing/2014/chart" uri="{C3380CC4-5D6E-409C-BE32-E72D297353CC}">
              <c16:uniqueId val="{00000004-BA56-4099-B9D4-EC2EC67EA2A5}"/>
            </c:ext>
          </c:extLst>
        </c:ser>
        <c:ser>
          <c:idx val="5"/>
          <c:order val="5"/>
          <c:tx>
            <c:strRef>
              <c:f>'use by ingredient'!$AB$1:$AB$2</c:f>
              <c:strCache>
                <c:ptCount val="1"/>
                <c:pt idx="0">
                  <c:v>METFORMIN</c:v>
                </c:pt>
              </c:strCache>
            </c:strRef>
          </c:tx>
          <c:spPr>
            <a:ln w="28575" cap="rnd">
              <a:solidFill>
                <a:schemeClr val="accent6"/>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ingredient'!$AB$3:$AB$23</c:f>
              <c:numCache>
                <c:formatCode>General</c:formatCode>
                <c:ptCount val="20"/>
                <c:pt idx="0">
                  <c:v>866052</c:v>
                </c:pt>
                <c:pt idx="1">
                  <c:v>896202</c:v>
                </c:pt>
                <c:pt idx="2">
                  <c:v>915835</c:v>
                </c:pt>
                <c:pt idx="3">
                  <c:v>935825</c:v>
                </c:pt>
                <c:pt idx="4">
                  <c:v>934248</c:v>
                </c:pt>
                <c:pt idx="5">
                  <c:v>922731</c:v>
                </c:pt>
                <c:pt idx="6">
                  <c:v>983012</c:v>
                </c:pt>
                <c:pt idx="7">
                  <c:v>1008511</c:v>
                </c:pt>
                <c:pt idx="8">
                  <c:v>971691</c:v>
                </c:pt>
                <c:pt idx="9">
                  <c:v>1006839</c:v>
                </c:pt>
                <c:pt idx="10">
                  <c:v>1041709</c:v>
                </c:pt>
                <c:pt idx="11">
                  <c:v>1058683</c:v>
                </c:pt>
                <c:pt idx="12">
                  <c:v>1017517</c:v>
                </c:pt>
                <c:pt idx="13">
                  <c:v>1048708</c:v>
                </c:pt>
                <c:pt idx="14">
                  <c:v>1077578</c:v>
                </c:pt>
                <c:pt idx="15">
                  <c:v>1105900</c:v>
                </c:pt>
                <c:pt idx="16">
                  <c:v>1062570</c:v>
                </c:pt>
                <c:pt idx="17">
                  <c:v>1099418</c:v>
                </c:pt>
                <c:pt idx="18">
                  <c:v>1120352</c:v>
                </c:pt>
                <c:pt idx="19">
                  <c:v>1145662</c:v>
                </c:pt>
              </c:numCache>
            </c:numRef>
          </c:val>
          <c:smooth val="0"/>
          <c:extLst>
            <c:ext xmlns:c16="http://schemas.microsoft.com/office/drawing/2014/chart" uri="{C3380CC4-5D6E-409C-BE32-E72D297353CC}">
              <c16:uniqueId val="{00000005-BA56-4099-B9D4-EC2EC67EA2A5}"/>
            </c:ext>
          </c:extLst>
        </c:ser>
        <c:ser>
          <c:idx val="6"/>
          <c:order val="6"/>
          <c:tx>
            <c:strRef>
              <c:f>'use by ingredient'!$AC$1:$AC$2</c:f>
              <c:strCache>
                <c:ptCount val="1"/>
                <c:pt idx="0">
                  <c:v>SULFONYLUREA</c:v>
                </c:pt>
              </c:strCache>
            </c:strRef>
          </c:tx>
          <c:spPr>
            <a:ln w="28575" cap="rnd">
              <a:solidFill>
                <a:schemeClr val="accent1">
                  <a:lumMod val="60000"/>
                </a:schemeClr>
              </a:solidFill>
              <a:round/>
            </a:ln>
            <a:effectLst/>
          </c:spPr>
          <c:marker>
            <c:symbol val="none"/>
          </c:marker>
          <c:cat>
            <c:strRef>
              <c:f>'use by ingredient'!$V$3:$V$23</c:f>
              <c:strCache>
                <c:ptCount val="20"/>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pt idx="16">
                  <c:v>2023Q1</c:v>
                </c:pt>
                <c:pt idx="17">
                  <c:v>2023Q2</c:v>
                </c:pt>
                <c:pt idx="18">
                  <c:v>2023Q3</c:v>
                </c:pt>
                <c:pt idx="19">
                  <c:v>2023Q4</c:v>
                </c:pt>
              </c:strCache>
            </c:strRef>
          </c:cat>
          <c:val>
            <c:numRef>
              <c:f>'use by ingredient'!$AC$3:$AC$23</c:f>
              <c:numCache>
                <c:formatCode>General</c:formatCode>
                <c:ptCount val="20"/>
                <c:pt idx="0">
                  <c:v>233624</c:v>
                </c:pt>
                <c:pt idx="1">
                  <c:v>241014</c:v>
                </c:pt>
                <c:pt idx="2">
                  <c:v>242720</c:v>
                </c:pt>
                <c:pt idx="3">
                  <c:v>245875</c:v>
                </c:pt>
                <c:pt idx="4">
                  <c:v>236160</c:v>
                </c:pt>
                <c:pt idx="5">
                  <c:v>234966</c:v>
                </c:pt>
                <c:pt idx="6">
                  <c:v>246370</c:v>
                </c:pt>
                <c:pt idx="7">
                  <c:v>251277</c:v>
                </c:pt>
                <c:pt idx="8">
                  <c:v>232092</c:v>
                </c:pt>
                <c:pt idx="9">
                  <c:v>239657</c:v>
                </c:pt>
                <c:pt idx="10">
                  <c:v>245429</c:v>
                </c:pt>
                <c:pt idx="11">
                  <c:v>246610</c:v>
                </c:pt>
                <c:pt idx="12">
                  <c:v>226937</c:v>
                </c:pt>
                <c:pt idx="13">
                  <c:v>234371</c:v>
                </c:pt>
                <c:pt idx="14">
                  <c:v>239853</c:v>
                </c:pt>
                <c:pt idx="15">
                  <c:v>247065</c:v>
                </c:pt>
                <c:pt idx="16">
                  <c:v>227779</c:v>
                </c:pt>
                <c:pt idx="17">
                  <c:v>236008</c:v>
                </c:pt>
                <c:pt idx="18">
                  <c:v>237297</c:v>
                </c:pt>
                <c:pt idx="19">
                  <c:v>241865</c:v>
                </c:pt>
              </c:numCache>
            </c:numRef>
          </c:val>
          <c:smooth val="0"/>
          <c:extLst>
            <c:ext xmlns:c16="http://schemas.microsoft.com/office/drawing/2014/chart" uri="{C3380CC4-5D6E-409C-BE32-E72D297353CC}">
              <c16:uniqueId val="{00000006-BA56-4099-B9D4-EC2EC67EA2A5}"/>
            </c:ext>
          </c:extLst>
        </c:ser>
        <c:dLbls>
          <c:showLegendKey val="0"/>
          <c:showVal val="0"/>
          <c:showCatName val="0"/>
          <c:showSerName val="0"/>
          <c:showPercent val="0"/>
          <c:showBubbleSize val="0"/>
        </c:dLbls>
        <c:smooth val="0"/>
        <c:axId val="893145984"/>
        <c:axId val="893143824"/>
      </c:lineChart>
      <c:catAx>
        <c:axId val="89314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143824"/>
        <c:crosses val="autoZero"/>
        <c:auto val="1"/>
        <c:lblAlgn val="ctr"/>
        <c:lblOffset val="100"/>
        <c:noMultiLvlLbl val="0"/>
      </c:catAx>
      <c:valAx>
        <c:axId val="893143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14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[D1584 outputs.xlsx]glps over time!PivotTable6</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'glps over time'!$V$1:$V$2</c:f>
              <c:strCache>
                <c:ptCount val="1"/>
                <c:pt idx="0">
                  <c:v>DULAGLUTIDE</c:v>
                </c:pt>
              </c:strCache>
            </c:strRef>
          </c:tx>
          <c:spPr>
            <a:ln w="28575" cap="rnd">
              <a:solidFill>
                <a:schemeClr val="accent1"/>
              </a:solidFill>
              <a:round/>
            </a:ln>
            <a:effectLst/>
          </c:spPr>
          <c:marker>
            <c:symbol val="none"/>
          </c:marker>
          <c:cat>
            <c:strRef>
              <c:f>'glps over time'!$U$3:$U$31</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'glps over time'!$V$3:$V$31</c:f>
              <c:numCache>
                <c:formatCode>General</c:formatCode>
                <c:ptCount val="28"/>
                <c:pt idx="5">
                  <c:v>1215</c:v>
                </c:pt>
                <c:pt idx="6">
                  <c:v>6991</c:v>
                </c:pt>
                <c:pt idx="7">
                  <c:v>13402</c:v>
                </c:pt>
                <c:pt idx="8">
                  <c:v>18037</c:v>
                </c:pt>
                <c:pt idx="9">
                  <c:v>23072</c:v>
                </c:pt>
                <c:pt idx="10">
                  <c:v>28290</c:v>
                </c:pt>
                <c:pt idx="11">
                  <c:v>33759</c:v>
                </c:pt>
                <c:pt idx="12">
                  <c:v>37880</c:v>
                </c:pt>
                <c:pt idx="13">
                  <c:v>41586</c:v>
                </c:pt>
                <c:pt idx="14">
                  <c:v>46291</c:v>
                </c:pt>
                <c:pt idx="15">
                  <c:v>48357</c:v>
                </c:pt>
                <c:pt idx="16">
                  <c:v>50247</c:v>
                </c:pt>
                <c:pt idx="17">
                  <c:v>59424</c:v>
                </c:pt>
                <c:pt idx="18">
                  <c:v>66515</c:v>
                </c:pt>
                <c:pt idx="19">
                  <c:v>68121</c:v>
                </c:pt>
                <c:pt idx="20">
                  <c:v>63684</c:v>
                </c:pt>
                <c:pt idx="21">
                  <c:v>96157</c:v>
                </c:pt>
                <c:pt idx="22">
                  <c:v>95594</c:v>
                </c:pt>
                <c:pt idx="23">
                  <c:v>49082</c:v>
                </c:pt>
                <c:pt idx="24">
                  <c:v>54997</c:v>
                </c:pt>
                <c:pt idx="25">
                  <c:v>45459</c:v>
                </c:pt>
                <c:pt idx="26">
                  <c:v>35678</c:v>
                </c:pt>
                <c:pt idx="27">
                  <c:v>43834</c:v>
                </c:pt>
              </c:numCache>
            </c:numRef>
          </c:val>
          <c:smooth val="0"/>
          <c:extLst>
            <c:ext xmlns:c16="http://schemas.microsoft.com/office/drawing/2014/chart" uri="{C3380CC4-5D6E-409C-BE32-E72D297353CC}">
              <c16:uniqueId val="{00000000-6E3D-4C42-86CE-7C4D6AD53FF3}"/>
            </c:ext>
          </c:extLst>
        </c:ser>
        <c:ser>
          <c:idx val="1"/>
          <c:order val="1"/>
          <c:tx>
            <c:strRef>
              <c:f>'glps over time'!$W$1:$W$2</c:f>
              <c:strCache>
                <c:ptCount val="1"/>
                <c:pt idx="0">
                  <c:v>EXENATIDE</c:v>
                </c:pt>
              </c:strCache>
            </c:strRef>
          </c:tx>
          <c:spPr>
            <a:ln w="28575" cap="rnd">
              <a:solidFill>
                <a:schemeClr val="accent2"/>
              </a:solidFill>
              <a:round/>
            </a:ln>
            <a:effectLst/>
          </c:spPr>
          <c:marker>
            <c:symbol val="none"/>
          </c:marker>
          <c:cat>
            <c:strRef>
              <c:f>'glps over time'!$U$3:$U$31</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'glps over time'!$W$3:$W$31</c:f>
              <c:numCache>
                <c:formatCode>General</c:formatCode>
                <c:ptCount val="28"/>
                <c:pt idx="0">
                  <c:v>33417</c:v>
                </c:pt>
                <c:pt idx="1">
                  <c:v>35408</c:v>
                </c:pt>
                <c:pt idx="2">
                  <c:v>37069</c:v>
                </c:pt>
                <c:pt idx="3">
                  <c:v>39030</c:v>
                </c:pt>
                <c:pt idx="4">
                  <c:v>39213</c:v>
                </c:pt>
                <c:pt idx="5">
                  <c:v>40450</c:v>
                </c:pt>
                <c:pt idx="6">
                  <c:v>39035</c:v>
                </c:pt>
                <c:pt idx="7">
                  <c:v>36846</c:v>
                </c:pt>
                <c:pt idx="8">
                  <c:v>33186</c:v>
                </c:pt>
                <c:pt idx="9">
                  <c:v>31543</c:v>
                </c:pt>
                <c:pt idx="10">
                  <c:v>30120</c:v>
                </c:pt>
                <c:pt idx="11">
                  <c:v>28796</c:v>
                </c:pt>
                <c:pt idx="12">
                  <c:v>26715</c:v>
                </c:pt>
                <c:pt idx="13">
                  <c:v>25702</c:v>
                </c:pt>
                <c:pt idx="14">
                  <c:v>25300</c:v>
                </c:pt>
                <c:pt idx="15">
                  <c:v>23667</c:v>
                </c:pt>
                <c:pt idx="16">
                  <c:v>20578</c:v>
                </c:pt>
                <c:pt idx="17">
                  <c:v>17629</c:v>
                </c:pt>
                <c:pt idx="18">
                  <c:v>13429</c:v>
                </c:pt>
                <c:pt idx="19">
                  <c:v>8759</c:v>
                </c:pt>
                <c:pt idx="20">
                  <c:v>5384</c:v>
                </c:pt>
                <c:pt idx="21">
                  <c:v>4759</c:v>
                </c:pt>
                <c:pt idx="22">
                  <c:v>8502</c:v>
                </c:pt>
                <c:pt idx="23">
                  <c:v>15469</c:v>
                </c:pt>
                <c:pt idx="24">
                  <c:v>4488</c:v>
                </c:pt>
              </c:numCache>
            </c:numRef>
          </c:val>
          <c:smooth val="0"/>
          <c:extLst>
            <c:ext xmlns:c16="http://schemas.microsoft.com/office/drawing/2014/chart" uri="{C3380CC4-5D6E-409C-BE32-E72D297353CC}">
              <c16:uniqueId val="{00000001-6E3D-4C42-86CE-7C4D6AD53FF3}"/>
            </c:ext>
          </c:extLst>
        </c:ser>
        <c:ser>
          <c:idx val="2"/>
          <c:order val="2"/>
          <c:tx>
            <c:strRef>
              <c:f>'glps over time'!$X$1:$X$2</c:f>
              <c:strCache>
                <c:ptCount val="1"/>
                <c:pt idx="0">
                  <c:v>SEMAGLUTIDE</c:v>
                </c:pt>
              </c:strCache>
            </c:strRef>
          </c:tx>
          <c:spPr>
            <a:ln w="28575" cap="rnd">
              <a:solidFill>
                <a:schemeClr val="accent3"/>
              </a:solidFill>
              <a:round/>
            </a:ln>
            <a:effectLst/>
          </c:spPr>
          <c:marker>
            <c:symbol val="none"/>
          </c:marker>
          <c:cat>
            <c:strRef>
              <c:f>'glps over time'!$U$3:$U$31</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'glps over time'!$X$3:$X$31</c:f>
              <c:numCache>
                <c:formatCode>General</c:formatCode>
                <c:ptCount val="28"/>
                <c:pt idx="14">
                  <c:v>5939</c:v>
                </c:pt>
                <c:pt idx="15">
                  <c:v>14933</c:v>
                </c:pt>
                <c:pt idx="16">
                  <c:v>23729</c:v>
                </c:pt>
                <c:pt idx="17">
                  <c:v>35525</c:v>
                </c:pt>
                <c:pt idx="18">
                  <c:v>52829</c:v>
                </c:pt>
                <c:pt idx="19">
                  <c:v>80837</c:v>
                </c:pt>
                <c:pt idx="20">
                  <c:v>108795</c:v>
                </c:pt>
                <c:pt idx="21">
                  <c:v>115567</c:v>
                </c:pt>
                <c:pt idx="22">
                  <c:v>117176</c:v>
                </c:pt>
                <c:pt idx="23">
                  <c:v>108631</c:v>
                </c:pt>
                <c:pt idx="24">
                  <c:v>122838</c:v>
                </c:pt>
                <c:pt idx="25">
                  <c:v>201322</c:v>
                </c:pt>
                <c:pt idx="26">
                  <c:v>240153</c:v>
                </c:pt>
                <c:pt idx="27">
                  <c:v>215348</c:v>
                </c:pt>
              </c:numCache>
            </c:numRef>
          </c:val>
          <c:smooth val="0"/>
          <c:extLst>
            <c:ext xmlns:c16="http://schemas.microsoft.com/office/drawing/2014/chart" uri="{C3380CC4-5D6E-409C-BE32-E72D297353CC}">
              <c16:uniqueId val="{00000002-6E3D-4C42-86CE-7C4D6AD53FF3}"/>
            </c:ext>
          </c:extLst>
        </c:ser>
        <c:ser>
          <c:idx val="3"/>
          <c:order val="3"/>
          <c:tx>
            <c:strRef>
              <c:f>'glps over time'!$Y$1:$Y$2</c:f>
              <c:strCache>
                <c:ptCount val="1"/>
                <c:pt idx="0">
                  <c:v>TOTAL</c:v>
                </c:pt>
              </c:strCache>
            </c:strRef>
          </c:tx>
          <c:spPr>
            <a:ln w="28575" cap="rnd">
              <a:solidFill>
                <a:schemeClr val="accent4"/>
              </a:solidFill>
              <a:round/>
            </a:ln>
            <a:effectLst/>
          </c:spPr>
          <c:marker>
            <c:symbol val="none"/>
          </c:marker>
          <c:cat>
            <c:strRef>
              <c:f>'glps over time'!$U$3:$U$31</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'glps over time'!$Y$3:$Y$31</c:f>
              <c:numCache>
                <c:formatCode>General</c:formatCode>
                <c:ptCount val="28"/>
                <c:pt idx="0">
                  <c:v>33417</c:v>
                </c:pt>
                <c:pt idx="1">
                  <c:v>35408</c:v>
                </c:pt>
                <c:pt idx="2">
                  <c:v>37069</c:v>
                </c:pt>
                <c:pt idx="3">
                  <c:v>39030</c:v>
                </c:pt>
                <c:pt idx="4">
                  <c:v>39213</c:v>
                </c:pt>
                <c:pt idx="5">
                  <c:v>41161</c:v>
                </c:pt>
                <c:pt idx="6">
                  <c:v>44279</c:v>
                </c:pt>
                <c:pt idx="7">
                  <c:v>48240</c:v>
                </c:pt>
                <c:pt idx="8">
                  <c:v>49703</c:v>
                </c:pt>
                <c:pt idx="9">
                  <c:v>53195</c:v>
                </c:pt>
                <c:pt idx="10">
                  <c:v>57084</c:v>
                </c:pt>
                <c:pt idx="11">
                  <c:v>61218</c:v>
                </c:pt>
                <c:pt idx="12">
                  <c:v>63582</c:v>
                </c:pt>
                <c:pt idx="13">
                  <c:v>66492</c:v>
                </c:pt>
                <c:pt idx="14">
                  <c:v>74652</c:v>
                </c:pt>
                <c:pt idx="15">
                  <c:v>83449</c:v>
                </c:pt>
                <c:pt idx="16">
                  <c:v>91070</c:v>
                </c:pt>
                <c:pt idx="17">
                  <c:v>107706</c:v>
                </c:pt>
                <c:pt idx="18">
                  <c:v>126912</c:v>
                </c:pt>
                <c:pt idx="19">
                  <c:v>150665</c:v>
                </c:pt>
                <c:pt idx="20">
                  <c:v>172581</c:v>
                </c:pt>
                <c:pt idx="21">
                  <c:v>191299</c:v>
                </c:pt>
                <c:pt idx="22">
                  <c:v>195533</c:v>
                </c:pt>
                <c:pt idx="23">
                  <c:v>156222</c:v>
                </c:pt>
                <c:pt idx="24">
                  <c:v>165626</c:v>
                </c:pt>
                <c:pt idx="25">
                  <c:v>235134</c:v>
                </c:pt>
                <c:pt idx="26">
                  <c:v>266508</c:v>
                </c:pt>
                <c:pt idx="27">
                  <c:v>247457</c:v>
                </c:pt>
              </c:numCache>
            </c:numRef>
          </c:val>
          <c:smooth val="0"/>
          <c:extLst>
            <c:ext xmlns:c16="http://schemas.microsoft.com/office/drawing/2014/chart" uri="{C3380CC4-5D6E-409C-BE32-E72D297353CC}">
              <c16:uniqueId val="{00000003-6E3D-4C42-86CE-7C4D6AD53FF3}"/>
            </c:ext>
          </c:extLst>
        </c:ser>
        <c:dLbls>
          <c:showLegendKey val="0"/>
          <c:showVal val="0"/>
          <c:showCatName val="0"/>
          <c:showSerName val="0"/>
          <c:showPercent val="0"/>
          <c:showBubbleSize val="0"/>
        </c:dLbls>
        <c:smooth val="0"/>
        <c:axId val="874130168"/>
        <c:axId val="874128008"/>
      </c:lineChart>
      <c:catAx>
        <c:axId val="874130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128008"/>
        <c:crosses val="autoZero"/>
        <c:auto val="1"/>
        <c:lblAlgn val="ctr"/>
        <c:lblOffset val="100"/>
        <c:noMultiLvlLbl val="0"/>
      </c:catAx>
      <c:valAx>
        <c:axId val="874128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Treated</a:t>
                </a:r>
                <a:r>
                  <a:rPr lang="en-AU" baseline="0"/>
                  <a:t> p</a:t>
                </a:r>
                <a:r>
                  <a:rPr lang="en-AU"/>
                  <a:t>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13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[D1584 outputs.xlsx]Sheet5!PivotTable1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Sheet5!$U$1:$U$3</c:f>
              <c:strCache>
                <c:ptCount val="1"/>
                <c:pt idx="0">
                  <c:v>DULAGLUTIDE - Treated patients</c:v>
                </c:pt>
              </c:strCache>
            </c:strRef>
          </c:tx>
          <c:spPr>
            <a:ln w="28575" cap="rnd">
              <a:solidFill>
                <a:schemeClr val="accent1"/>
              </a:solidFill>
              <a:round/>
            </a:ln>
            <a:effectLst/>
          </c:spPr>
          <c:marker>
            <c:symbol val="none"/>
          </c:marker>
          <c:cat>
            <c:strRef>
              <c:f>Sheet5!$T$4:$T$27</c:f>
              <c:strCache>
                <c:ptCount val="2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strCache>
            </c:strRef>
          </c:cat>
          <c:val>
            <c:numRef>
              <c:f>Sheet5!$U$4:$U$27</c:f>
              <c:numCache>
                <c:formatCode>General</c:formatCode>
                <c:ptCount val="23"/>
                <c:pt idx="0">
                  <c:v>1215</c:v>
                </c:pt>
                <c:pt idx="1">
                  <c:v>6991</c:v>
                </c:pt>
                <c:pt idx="2">
                  <c:v>13402</c:v>
                </c:pt>
                <c:pt idx="3">
                  <c:v>18037</c:v>
                </c:pt>
                <c:pt idx="4">
                  <c:v>23072</c:v>
                </c:pt>
                <c:pt idx="5">
                  <c:v>28290</c:v>
                </c:pt>
                <c:pt idx="6">
                  <c:v>33759</c:v>
                </c:pt>
                <c:pt idx="7">
                  <c:v>37880</c:v>
                </c:pt>
                <c:pt idx="8">
                  <c:v>41586</c:v>
                </c:pt>
                <c:pt idx="9">
                  <c:v>46291</c:v>
                </c:pt>
                <c:pt idx="10">
                  <c:v>48357</c:v>
                </c:pt>
                <c:pt idx="11">
                  <c:v>50247</c:v>
                </c:pt>
                <c:pt idx="12">
                  <c:v>59424</c:v>
                </c:pt>
                <c:pt idx="13">
                  <c:v>66515</c:v>
                </c:pt>
                <c:pt idx="14">
                  <c:v>68121</c:v>
                </c:pt>
                <c:pt idx="15">
                  <c:v>63684</c:v>
                </c:pt>
                <c:pt idx="16">
                  <c:v>96157</c:v>
                </c:pt>
                <c:pt idx="17">
                  <c:v>95594</c:v>
                </c:pt>
                <c:pt idx="18">
                  <c:v>49082</c:v>
                </c:pt>
                <c:pt idx="19">
                  <c:v>54997</c:v>
                </c:pt>
                <c:pt idx="20">
                  <c:v>45459</c:v>
                </c:pt>
                <c:pt idx="21">
                  <c:v>35678</c:v>
                </c:pt>
                <c:pt idx="22">
                  <c:v>43834</c:v>
                </c:pt>
              </c:numCache>
            </c:numRef>
          </c:val>
          <c:smooth val="0"/>
          <c:extLst>
            <c:ext xmlns:c16="http://schemas.microsoft.com/office/drawing/2014/chart" uri="{C3380CC4-5D6E-409C-BE32-E72D297353CC}">
              <c16:uniqueId val="{00000000-B189-4CBC-A3EE-3169EAEEC831}"/>
            </c:ext>
          </c:extLst>
        </c:ser>
        <c:ser>
          <c:idx val="1"/>
          <c:order val="1"/>
          <c:tx>
            <c:strRef>
              <c:f>Sheet5!$V$1:$V$3</c:f>
              <c:strCache>
                <c:ptCount val="1"/>
                <c:pt idx="0">
                  <c:v>DULAGLUTIDE - Initiating patients</c:v>
                </c:pt>
              </c:strCache>
            </c:strRef>
          </c:tx>
          <c:spPr>
            <a:ln w="28575" cap="rnd">
              <a:solidFill>
                <a:schemeClr val="accent2"/>
              </a:solidFill>
              <a:round/>
            </a:ln>
            <a:effectLst/>
          </c:spPr>
          <c:marker>
            <c:symbol val="none"/>
          </c:marker>
          <c:cat>
            <c:strRef>
              <c:f>Sheet5!$T$4:$T$27</c:f>
              <c:strCache>
                <c:ptCount val="2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strCache>
            </c:strRef>
          </c:cat>
          <c:val>
            <c:numRef>
              <c:f>Sheet5!$V$4:$V$27</c:f>
              <c:numCache>
                <c:formatCode>General</c:formatCode>
                <c:ptCount val="23"/>
                <c:pt idx="0">
                  <c:v>1215</c:v>
                </c:pt>
                <c:pt idx="1">
                  <c:v>5881</c:v>
                </c:pt>
                <c:pt idx="2">
                  <c:v>7107</c:v>
                </c:pt>
                <c:pt idx="3">
                  <c:v>6190</c:v>
                </c:pt>
                <c:pt idx="4">
                  <c:v>6688</c:v>
                </c:pt>
                <c:pt idx="5">
                  <c:v>7299</c:v>
                </c:pt>
                <c:pt idx="6">
                  <c:v>7638</c:v>
                </c:pt>
                <c:pt idx="7">
                  <c:v>7104</c:v>
                </c:pt>
                <c:pt idx="8">
                  <c:v>6380</c:v>
                </c:pt>
                <c:pt idx="9">
                  <c:v>7384</c:v>
                </c:pt>
                <c:pt idx="10">
                  <c:v>6902</c:v>
                </c:pt>
                <c:pt idx="11">
                  <c:v>7671</c:v>
                </c:pt>
                <c:pt idx="12">
                  <c:v>13041</c:v>
                </c:pt>
                <c:pt idx="13">
                  <c:v>11595</c:v>
                </c:pt>
                <c:pt idx="14">
                  <c:v>8202</c:v>
                </c:pt>
                <c:pt idx="15">
                  <c:v>4941</c:v>
                </c:pt>
                <c:pt idx="16">
                  <c:v>11108</c:v>
                </c:pt>
                <c:pt idx="17">
                  <c:v>7671</c:v>
                </c:pt>
                <c:pt idx="18">
                  <c:v>1771</c:v>
                </c:pt>
                <c:pt idx="19">
                  <c:v>2568</c:v>
                </c:pt>
                <c:pt idx="20">
                  <c:v>1929</c:v>
                </c:pt>
                <c:pt idx="21">
                  <c:v>973</c:v>
                </c:pt>
                <c:pt idx="22">
                  <c:v>1846</c:v>
                </c:pt>
              </c:numCache>
            </c:numRef>
          </c:val>
          <c:smooth val="0"/>
          <c:extLst>
            <c:ext xmlns:c16="http://schemas.microsoft.com/office/drawing/2014/chart" uri="{C3380CC4-5D6E-409C-BE32-E72D297353CC}">
              <c16:uniqueId val="{00000001-B189-4CBC-A3EE-3169EAEEC831}"/>
            </c:ext>
          </c:extLst>
        </c:ser>
        <c:ser>
          <c:idx val="2"/>
          <c:order val="2"/>
          <c:tx>
            <c:strRef>
              <c:f>Sheet5!$W$1:$W$3</c:f>
              <c:strCache>
                <c:ptCount val="1"/>
                <c:pt idx="0">
                  <c:v>SEMAGLUTIDE - Treated patients</c:v>
                </c:pt>
              </c:strCache>
            </c:strRef>
          </c:tx>
          <c:spPr>
            <a:ln w="28575" cap="rnd">
              <a:solidFill>
                <a:schemeClr val="accent3"/>
              </a:solidFill>
              <a:round/>
            </a:ln>
            <a:effectLst/>
          </c:spPr>
          <c:marker>
            <c:symbol val="none"/>
          </c:marker>
          <c:cat>
            <c:strRef>
              <c:f>Sheet5!$T$4:$T$27</c:f>
              <c:strCache>
                <c:ptCount val="2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strCache>
            </c:strRef>
          </c:cat>
          <c:val>
            <c:numRef>
              <c:f>Sheet5!$W$4:$W$27</c:f>
              <c:numCache>
                <c:formatCode>General</c:formatCode>
                <c:ptCount val="23"/>
                <c:pt idx="9">
                  <c:v>5939</c:v>
                </c:pt>
                <c:pt idx="10">
                  <c:v>14933</c:v>
                </c:pt>
                <c:pt idx="11">
                  <c:v>23729</c:v>
                </c:pt>
                <c:pt idx="12">
                  <c:v>35525</c:v>
                </c:pt>
                <c:pt idx="13">
                  <c:v>52829</c:v>
                </c:pt>
                <c:pt idx="14">
                  <c:v>80837</c:v>
                </c:pt>
                <c:pt idx="15">
                  <c:v>108795</c:v>
                </c:pt>
                <c:pt idx="16">
                  <c:v>115567</c:v>
                </c:pt>
                <c:pt idx="17">
                  <c:v>117176</c:v>
                </c:pt>
                <c:pt idx="18">
                  <c:v>108631</c:v>
                </c:pt>
                <c:pt idx="19">
                  <c:v>122838</c:v>
                </c:pt>
                <c:pt idx="20">
                  <c:v>201322</c:v>
                </c:pt>
                <c:pt idx="21">
                  <c:v>240153</c:v>
                </c:pt>
                <c:pt idx="22">
                  <c:v>215348</c:v>
                </c:pt>
              </c:numCache>
            </c:numRef>
          </c:val>
          <c:smooth val="0"/>
          <c:extLst>
            <c:ext xmlns:c16="http://schemas.microsoft.com/office/drawing/2014/chart" uri="{C3380CC4-5D6E-409C-BE32-E72D297353CC}">
              <c16:uniqueId val="{00000002-B189-4CBC-A3EE-3169EAEEC831}"/>
            </c:ext>
          </c:extLst>
        </c:ser>
        <c:ser>
          <c:idx val="3"/>
          <c:order val="3"/>
          <c:tx>
            <c:strRef>
              <c:f>Sheet5!$X$1:$X$3</c:f>
              <c:strCache>
                <c:ptCount val="1"/>
                <c:pt idx="0">
                  <c:v>SEMAGLUTIDE - Initiating patients</c:v>
                </c:pt>
              </c:strCache>
            </c:strRef>
          </c:tx>
          <c:spPr>
            <a:ln w="28575" cap="rnd">
              <a:solidFill>
                <a:schemeClr val="accent4"/>
              </a:solidFill>
              <a:round/>
            </a:ln>
            <a:effectLst/>
          </c:spPr>
          <c:marker>
            <c:symbol val="none"/>
          </c:marker>
          <c:cat>
            <c:strRef>
              <c:f>Sheet5!$T$4:$T$27</c:f>
              <c:strCache>
                <c:ptCount val="2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strCache>
            </c:strRef>
          </c:cat>
          <c:val>
            <c:numRef>
              <c:f>Sheet5!$X$4:$X$27</c:f>
              <c:numCache>
                <c:formatCode>General</c:formatCode>
                <c:ptCount val="23"/>
                <c:pt idx="9">
                  <c:v>3544</c:v>
                </c:pt>
                <c:pt idx="10">
                  <c:v>6343</c:v>
                </c:pt>
                <c:pt idx="11">
                  <c:v>7559</c:v>
                </c:pt>
                <c:pt idx="12">
                  <c:v>10746</c:v>
                </c:pt>
                <c:pt idx="13">
                  <c:v>15553</c:v>
                </c:pt>
                <c:pt idx="14">
                  <c:v>24446</c:v>
                </c:pt>
                <c:pt idx="15">
                  <c:v>28541</c:v>
                </c:pt>
                <c:pt idx="16">
                  <c:v>21624</c:v>
                </c:pt>
                <c:pt idx="17">
                  <c:v>17418</c:v>
                </c:pt>
                <c:pt idx="18">
                  <c:v>10559</c:v>
                </c:pt>
                <c:pt idx="19">
                  <c:v>17072</c:v>
                </c:pt>
                <c:pt idx="20">
                  <c:v>40539</c:v>
                </c:pt>
                <c:pt idx="21">
                  <c:v>38787</c:v>
                </c:pt>
                <c:pt idx="22">
                  <c:v>16660</c:v>
                </c:pt>
              </c:numCache>
            </c:numRef>
          </c:val>
          <c:smooth val="0"/>
          <c:extLst>
            <c:ext xmlns:c16="http://schemas.microsoft.com/office/drawing/2014/chart" uri="{C3380CC4-5D6E-409C-BE32-E72D297353CC}">
              <c16:uniqueId val="{00000003-B189-4CBC-A3EE-3169EAEEC831}"/>
            </c:ext>
          </c:extLst>
        </c:ser>
        <c:ser>
          <c:idx val="4"/>
          <c:order val="4"/>
          <c:tx>
            <c:strRef>
              <c:f>Sheet5!$Y$1:$Y$3</c:f>
              <c:strCache>
                <c:ptCount val="1"/>
                <c:pt idx="0">
                  <c:v>TOTAL - Treated patients</c:v>
                </c:pt>
              </c:strCache>
            </c:strRef>
          </c:tx>
          <c:spPr>
            <a:ln w="28575" cap="rnd">
              <a:solidFill>
                <a:schemeClr val="accent5"/>
              </a:solidFill>
              <a:round/>
            </a:ln>
            <a:effectLst/>
          </c:spPr>
          <c:marker>
            <c:symbol val="none"/>
          </c:marker>
          <c:cat>
            <c:strRef>
              <c:f>Sheet5!$T$4:$T$27</c:f>
              <c:strCache>
                <c:ptCount val="2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strCache>
            </c:strRef>
          </c:cat>
          <c:val>
            <c:numRef>
              <c:f>Sheet5!$Y$4:$Y$27</c:f>
              <c:numCache>
                <c:formatCode>General</c:formatCode>
                <c:ptCount val="23"/>
                <c:pt idx="0">
                  <c:v>1215</c:v>
                </c:pt>
                <c:pt idx="1">
                  <c:v>6991</c:v>
                </c:pt>
                <c:pt idx="2">
                  <c:v>13402</c:v>
                </c:pt>
                <c:pt idx="3">
                  <c:v>18037</c:v>
                </c:pt>
                <c:pt idx="4">
                  <c:v>23072</c:v>
                </c:pt>
                <c:pt idx="5">
                  <c:v>28290</c:v>
                </c:pt>
                <c:pt idx="6">
                  <c:v>33759</c:v>
                </c:pt>
                <c:pt idx="7">
                  <c:v>37880</c:v>
                </c:pt>
                <c:pt idx="8">
                  <c:v>41586</c:v>
                </c:pt>
                <c:pt idx="9">
                  <c:v>50697</c:v>
                </c:pt>
                <c:pt idx="10">
                  <c:v>61268</c:v>
                </c:pt>
                <c:pt idx="11">
                  <c:v>72065</c:v>
                </c:pt>
                <c:pt idx="12">
                  <c:v>92906</c:v>
                </c:pt>
                <c:pt idx="13">
                  <c:v>116309</c:v>
                </c:pt>
                <c:pt idx="14">
                  <c:v>144000</c:v>
                </c:pt>
                <c:pt idx="15">
                  <c:v>168021</c:v>
                </c:pt>
                <c:pt idx="16">
                  <c:v>187348</c:v>
                </c:pt>
                <c:pt idx="17">
                  <c:v>191081</c:v>
                </c:pt>
                <c:pt idx="18">
                  <c:v>146960</c:v>
                </c:pt>
                <c:pt idx="19">
                  <c:v>163690</c:v>
                </c:pt>
                <c:pt idx="20">
                  <c:v>235134</c:v>
                </c:pt>
                <c:pt idx="21">
                  <c:v>266508</c:v>
                </c:pt>
                <c:pt idx="22">
                  <c:v>247457</c:v>
                </c:pt>
              </c:numCache>
            </c:numRef>
          </c:val>
          <c:smooth val="0"/>
          <c:extLst>
            <c:ext xmlns:c16="http://schemas.microsoft.com/office/drawing/2014/chart" uri="{C3380CC4-5D6E-409C-BE32-E72D297353CC}">
              <c16:uniqueId val="{00000004-B189-4CBC-A3EE-3169EAEEC831}"/>
            </c:ext>
          </c:extLst>
        </c:ser>
        <c:ser>
          <c:idx val="5"/>
          <c:order val="5"/>
          <c:tx>
            <c:strRef>
              <c:f>Sheet5!$Z$1:$Z$3</c:f>
              <c:strCache>
                <c:ptCount val="1"/>
                <c:pt idx="0">
                  <c:v>TOTAL - Initiating patients</c:v>
                </c:pt>
              </c:strCache>
            </c:strRef>
          </c:tx>
          <c:spPr>
            <a:ln w="28575" cap="rnd">
              <a:solidFill>
                <a:schemeClr val="accent6"/>
              </a:solidFill>
              <a:round/>
            </a:ln>
            <a:effectLst/>
          </c:spPr>
          <c:marker>
            <c:symbol val="none"/>
          </c:marker>
          <c:cat>
            <c:strRef>
              <c:f>Sheet5!$T$4:$T$27</c:f>
              <c:strCache>
                <c:ptCount val="23"/>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strCache>
            </c:strRef>
          </c:cat>
          <c:val>
            <c:numRef>
              <c:f>Sheet5!$Z$4:$Z$27</c:f>
              <c:numCache>
                <c:formatCode>General</c:formatCode>
                <c:ptCount val="23"/>
                <c:pt idx="0">
                  <c:v>1215</c:v>
                </c:pt>
                <c:pt idx="1">
                  <c:v>5881</c:v>
                </c:pt>
                <c:pt idx="2">
                  <c:v>7107</c:v>
                </c:pt>
                <c:pt idx="3">
                  <c:v>6190</c:v>
                </c:pt>
                <c:pt idx="4">
                  <c:v>6688</c:v>
                </c:pt>
                <c:pt idx="5">
                  <c:v>7299</c:v>
                </c:pt>
                <c:pt idx="6">
                  <c:v>7638</c:v>
                </c:pt>
                <c:pt idx="7">
                  <c:v>7104</c:v>
                </c:pt>
                <c:pt idx="8">
                  <c:v>6380</c:v>
                </c:pt>
                <c:pt idx="9">
                  <c:v>10928</c:v>
                </c:pt>
                <c:pt idx="10">
                  <c:v>13245</c:v>
                </c:pt>
                <c:pt idx="11">
                  <c:v>15230</c:v>
                </c:pt>
                <c:pt idx="12">
                  <c:v>23787</c:v>
                </c:pt>
                <c:pt idx="13">
                  <c:v>27148</c:v>
                </c:pt>
                <c:pt idx="14">
                  <c:v>32648</c:v>
                </c:pt>
                <c:pt idx="15">
                  <c:v>33482</c:v>
                </c:pt>
                <c:pt idx="16">
                  <c:v>32732</c:v>
                </c:pt>
                <c:pt idx="17">
                  <c:v>25089</c:v>
                </c:pt>
                <c:pt idx="18">
                  <c:v>12330</c:v>
                </c:pt>
                <c:pt idx="19">
                  <c:v>19640</c:v>
                </c:pt>
                <c:pt idx="20">
                  <c:v>42468</c:v>
                </c:pt>
                <c:pt idx="21">
                  <c:v>39760</c:v>
                </c:pt>
                <c:pt idx="22">
                  <c:v>18506</c:v>
                </c:pt>
              </c:numCache>
            </c:numRef>
          </c:val>
          <c:smooth val="0"/>
          <c:extLst>
            <c:ext xmlns:c16="http://schemas.microsoft.com/office/drawing/2014/chart" uri="{C3380CC4-5D6E-409C-BE32-E72D297353CC}">
              <c16:uniqueId val="{00000005-B189-4CBC-A3EE-3169EAEEC831}"/>
            </c:ext>
          </c:extLst>
        </c:ser>
        <c:dLbls>
          <c:showLegendKey val="0"/>
          <c:showVal val="0"/>
          <c:showCatName val="0"/>
          <c:showSerName val="0"/>
          <c:showPercent val="0"/>
          <c:showBubbleSize val="0"/>
        </c:dLbls>
        <c:smooth val="0"/>
        <c:axId val="868431720"/>
        <c:axId val="873188440"/>
      </c:lineChart>
      <c:catAx>
        <c:axId val="868431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188440"/>
        <c:crosses val="autoZero"/>
        <c:auto val="1"/>
        <c:lblAlgn val="ctr"/>
        <c:lblOffset val="100"/>
        <c:noMultiLvlLbl val="0"/>
      </c:catAx>
      <c:valAx>
        <c:axId val="873188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431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'flag new treatments'!$B$1</c:f>
              <c:strCache>
                <c:ptCount val="1"/>
                <c:pt idx="0">
                  <c:v>Initiator to semaglutide or dulaglutide</c:v>
                </c:pt>
              </c:strCache>
            </c:strRef>
          </c:tx>
          <c:spPr>
            <a:ln w="28575" cap="rnd">
              <a:solidFill>
                <a:schemeClr val="accent1"/>
              </a:solidFill>
              <a:round/>
            </a:ln>
            <a:effectLst/>
          </c:spPr>
          <c:marker>
            <c:symbol val="none"/>
          </c:marker>
          <c:cat>
            <c:strRef>
              <c:f>'flag new treatments'!$A$2:$A$29</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'flag new treatments'!$B$2:$B$29</c:f>
              <c:numCache>
                <c:formatCode>General</c:formatCode>
                <c:ptCount val="28"/>
                <c:pt idx="0">
                  <c:v>0</c:v>
                </c:pt>
                <c:pt idx="1">
                  <c:v>0</c:v>
                </c:pt>
                <c:pt idx="2">
                  <c:v>0</c:v>
                </c:pt>
                <c:pt idx="3">
                  <c:v>0</c:v>
                </c:pt>
                <c:pt idx="4">
                  <c:v>0</c:v>
                </c:pt>
                <c:pt idx="5">
                  <c:v>1205</c:v>
                </c:pt>
                <c:pt idx="6">
                  <c:v>5821</c:v>
                </c:pt>
                <c:pt idx="7">
                  <c:v>7035</c:v>
                </c:pt>
                <c:pt idx="8">
                  <c:v>6119</c:v>
                </c:pt>
                <c:pt idx="9">
                  <c:v>6581</c:v>
                </c:pt>
                <c:pt idx="10">
                  <c:v>7130</c:v>
                </c:pt>
                <c:pt idx="11">
                  <c:v>7474</c:v>
                </c:pt>
                <c:pt idx="12">
                  <c:v>6916</c:v>
                </c:pt>
                <c:pt idx="13">
                  <c:v>6206</c:v>
                </c:pt>
                <c:pt idx="14">
                  <c:v>10640</c:v>
                </c:pt>
                <c:pt idx="15">
                  <c:v>12840</c:v>
                </c:pt>
                <c:pt idx="16">
                  <c:v>14692</c:v>
                </c:pt>
                <c:pt idx="17">
                  <c:v>22979</c:v>
                </c:pt>
                <c:pt idx="18">
                  <c:v>25741</c:v>
                </c:pt>
                <c:pt idx="19">
                  <c:v>30410</c:v>
                </c:pt>
                <c:pt idx="20">
                  <c:v>29880</c:v>
                </c:pt>
                <c:pt idx="21">
                  <c:v>28971</c:v>
                </c:pt>
                <c:pt idx="22">
                  <c:v>22160</c:v>
                </c:pt>
                <c:pt idx="23">
                  <c:v>10682</c:v>
                </c:pt>
                <c:pt idx="24">
                  <c:v>17497</c:v>
                </c:pt>
                <c:pt idx="25">
                  <c:v>37658</c:v>
                </c:pt>
                <c:pt idx="26">
                  <c:v>33996</c:v>
                </c:pt>
                <c:pt idx="27">
                  <c:v>15775</c:v>
                </c:pt>
              </c:numCache>
            </c:numRef>
          </c:val>
          <c:smooth val="0"/>
          <c:extLst>
            <c:ext xmlns:c16="http://schemas.microsoft.com/office/drawing/2014/chart" uri="{C3380CC4-5D6E-409C-BE32-E72D297353CC}">
              <c16:uniqueId val="{00000000-12F3-47BC-B9B8-020C5FDC121D}"/>
            </c:ext>
          </c:extLst>
        </c:ser>
        <c:ser>
          <c:idx val="1"/>
          <c:order val="1"/>
          <c:tx>
            <c:strRef>
              <c:f>'flag new treatments'!$C$1</c:f>
              <c:strCache>
                <c:ptCount val="1"/>
                <c:pt idx="0">
                  <c:v>Initiator to a gliptin before treatment with semaglutide or dulaglutide</c:v>
                </c:pt>
              </c:strCache>
            </c:strRef>
          </c:tx>
          <c:spPr>
            <a:ln w="28575" cap="rnd">
              <a:solidFill>
                <a:schemeClr val="accent2"/>
              </a:solidFill>
              <a:round/>
            </a:ln>
            <a:effectLst/>
          </c:spPr>
          <c:marker>
            <c:symbol val="none"/>
          </c:marker>
          <c:cat>
            <c:strRef>
              <c:f>'flag new treatments'!$A$2:$A$29</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'flag new treatments'!$C$2:$C$29</c:f>
              <c:numCache>
                <c:formatCode>General</c:formatCode>
                <c:ptCount val="28"/>
                <c:pt idx="0">
                  <c:v>1445</c:v>
                </c:pt>
                <c:pt idx="1">
                  <c:v>838</c:v>
                </c:pt>
                <c:pt idx="2">
                  <c:v>929</c:v>
                </c:pt>
                <c:pt idx="3">
                  <c:v>1147</c:v>
                </c:pt>
                <c:pt idx="4">
                  <c:v>1077</c:v>
                </c:pt>
                <c:pt idx="5">
                  <c:v>1414</c:v>
                </c:pt>
                <c:pt idx="6">
                  <c:v>1630</c:v>
                </c:pt>
                <c:pt idx="7">
                  <c:v>2127</c:v>
                </c:pt>
                <c:pt idx="8">
                  <c:v>2057</c:v>
                </c:pt>
                <c:pt idx="9">
                  <c:v>2969</c:v>
                </c:pt>
                <c:pt idx="10">
                  <c:v>3463</c:v>
                </c:pt>
                <c:pt idx="11">
                  <c:v>4408</c:v>
                </c:pt>
                <c:pt idx="12">
                  <c:v>4055</c:v>
                </c:pt>
                <c:pt idx="13">
                  <c:v>4534</c:v>
                </c:pt>
                <c:pt idx="14">
                  <c:v>4814</c:v>
                </c:pt>
                <c:pt idx="15">
                  <c:v>3710</c:v>
                </c:pt>
                <c:pt idx="16">
                  <c:v>2973</c:v>
                </c:pt>
                <c:pt idx="17">
                  <c:v>4741</c:v>
                </c:pt>
                <c:pt idx="18">
                  <c:v>5090</c:v>
                </c:pt>
                <c:pt idx="19">
                  <c:v>3754</c:v>
                </c:pt>
                <c:pt idx="20">
                  <c:v>2082</c:v>
                </c:pt>
                <c:pt idx="21">
                  <c:v>1514</c:v>
                </c:pt>
                <c:pt idx="22">
                  <c:v>1500</c:v>
                </c:pt>
                <c:pt idx="23">
                  <c:v>1790</c:v>
                </c:pt>
                <c:pt idx="24">
                  <c:v>1611</c:v>
                </c:pt>
                <c:pt idx="25">
                  <c:v>912</c:v>
                </c:pt>
                <c:pt idx="26">
                  <c:v>436</c:v>
                </c:pt>
                <c:pt idx="27">
                  <c:v>155</c:v>
                </c:pt>
              </c:numCache>
            </c:numRef>
          </c:val>
          <c:smooth val="0"/>
          <c:extLst>
            <c:ext xmlns:c16="http://schemas.microsoft.com/office/drawing/2014/chart" uri="{C3380CC4-5D6E-409C-BE32-E72D297353CC}">
              <c16:uniqueId val="{00000001-12F3-47BC-B9B8-020C5FDC121D}"/>
            </c:ext>
          </c:extLst>
        </c:ser>
        <c:ser>
          <c:idx val="2"/>
          <c:order val="2"/>
          <c:tx>
            <c:strRef>
              <c:f>'flag new treatments'!$D$1</c:f>
              <c:strCache>
                <c:ptCount val="1"/>
                <c:pt idx="0">
                  <c:v>Initiator to a flozin before treatment with semaglutide or dulaglutide</c:v>
                </c:pt>
              </c:strCache>
            </c:strRef>
          </c:tx>
          <c:spPr>
            <a:ln w="28575" cap="rnd">
              <a:solidFill>
                <a:schemeClr val="accent3"/>
              </a:solidFill>
              <a:round/>
            </a:ln>
            <a:effectLst/>
          </c:spPr>
          <c:marker>
            <c:symbol val="none"/>
          </c:marker>
          <c:cat>
            <c:strRef>
              <c:f>'flag new treatments'!$A$2:$A$29</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'flag new treatments'!$D$2:$D$29</c:f>
              <c:numCache>
                <c:formatCode>General</c:formatCode>
                <c:ptCount val="28"/>
                <c:pt idx="0">
                  <c:v>3159</c:v>
                </c:pt>
                <c:pt idx="1">
                  <c:v>1919</c:v>
                </c:pt>
                <c:pt idx="2">
                  <c:v>1931</c:v>
                </c:pt>
                <c:pt idx="3">
                  <c:v>2232</c:v>
                </c:pt>
                <c:pt idx="4">
                  <c:v>2138</c:v>
                </c:pt>
                <c:pt idx="5">
                  <c:v>2288</c:v>
                </c:pt>
                <c:pt idx="6">
                  <c:v>2741</c:v>
                </c:pt>
                <c:pt idx="7">
                  <c:v>3538</c:v>
                </c:pt>
                <c:pt idx="8">
                  <c:v>3303</c:v>
                </c:pt>
                <c:pt idx="9">
                  <c:v>5245</c:v>
                </c:pt>
                <c:pt idx="10">
                  <c:v>6252</c:v>
                </c:pt>
                <c:pt idx="11">
                  <c:v>7546</c:v>
                </c:pt>
                <c:pt idx="12">
                  <c:v>7076</c:v>
                </c:pt>
                <c:pt idx="13">
                  <c:v>7025</c:v>
                </c:pt>
                <c:pt idx="14">
                  <c:v>7542</c:v>
                </c:pt>
                <c:pt idx="15">
                  <c:v>5999</c:v>
                </c:pt>
                <c:pt idx="16">
                  <c:v>4735</c:v>
                </c:pt>
                <c:pt idx="17">
                  <c:v>7957</c:v>
                </c:pt>
                <c:pt idx="18">
                  <c:v>8847</c:v>
                </c:pt>
                <c:pt idx="19">
                  <c:v>6660</c:v>
                </c:pt>
                <c:pt idx="20">
                  <c:v>3536</c:v>
                </c:pt>
                <c:pt idx="21">
                  <c:v>2643</c:v>
                </c:pt>
                <c:pt idx="22">
                  <c:v>2530</c:v>
                </c:pt>
                <c:pt idx="23">
                  <c:v>3129</c:v>
                </c:pt>
                <c:pt idx="24">
                  <c:v>2619</c:v>
                </c:pt>
                <c:pt idx="25">
                  <c:v>1802</c:v>
                </c:pt>
                <c:pt idx="26">
                  <c:v>1061</c:v>
                </c:pt>
                <c:pt idx="27">
                  <c:v>418</c:v>
                </c:pt>
              </c:numCache>
            </c:numRef>
          </c:val>
          <c:smooth val="0"/>
          <c:extLst>
            <c:ext xmlns:c16="http://schemas.microsoft.com/office/drawing/2014/chart" uri="{C3380CC4-5D6E-409C-BE32-E72D297353CC}">
              <c16:uniqueId val="{00000002-12F3-47BC-B9B8-020C5FDC121D}"/>
            </c:ext>
          </c:extLst>
        </c:ser>
        <c:ser>
          <c:idx val="3"/>
          <c:order val="3"/>
          <c:tx>
            <c:strRef>
              <c:f>'flag new treatments'!$E$1</c:f>
              <c:strCache>
                <c:ptCount val="1"/>
                <c:pt idx="0">
                  <c:v>Initiator to a flozin after treatment with semaglutide or dulaglutide</c:v>
                </c:pt>
              </c:strCache>
            </c:strRef>
          </c:tx>
          <c:spPr>
            <a:ln w="28575" cap="rnd">
              <a:solidFill>
                <a:schemeClr val="accent4"/>
              </a:solidFill>
              <a:round/>
            </a:ln>
            <a:effectLst/>
          </c:spPr>
          <c:marker>
            <c:symbol val="none"/>
          </c:marker>
          <c:cat>
            <c:strRef>
              <c:f>'flag new treatments'!$A$2:$A$29</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'flag new treatments'!$E$2:$E$29</c:f>
              <c:numCache>
                <c:formatCode>General</c:formatCode>
                <c:ptCount val="28"/>
                <c:pt idx="0">
                  <c:v>1565</c:v>
                </c:pt>
                <c:pt idx="1">
                  <c:v>610</c:v>
                </c:pt>
                <c:pt idx="2">
                  <c:v>569</c:v>
                </c:pt>
                <c:pt idx="3">
                  <c:v>703</c:v>
                </c:pt>
                <c:pt idx="4">
                  <c:v>540</c:v>
                </c:pt>
                <c:pt idx="5">
                  <c:v>505</c:v>
                </c:pt>
                <c:pt idx="6">
                  <c:v>907</c:v>
                </c:pt>
                <c:pt idx="7">
                  <c:v>1249</c:v>
                </c:pt>
                <c:pt idx="8">
                  <c:v>1330</c:v>
                </c:pt>
                <c:pt idx="9">
                  <c:v>2362</c:v>
                </c:pt>
                <c:pt idx="10">
                  <c:v>2540</c:v>
                </c:pt>
                <c:pt idx="11">
                  <c:v>3133</c:v>
                </c:pt>
                <c:pt idx="12">
                  <c:v>2911</c:v>
                </c:pt>
                <c:pt idx="13">
                  <c:v>2838</c:v>
                </c:pt>
                <c:pt idx="14">
                  <c:v>2834</c:v>
                </c:pt>
                <c:pt idx="15">
                  <c:v>1883</c:v>
                </c:pt>
                <c:pt idx="16">
                  <c:v>1956</c:v>
                </c:pt>
                <c:pt idx="17">
                  <c:v>3874</c:v>
                </c:pt>
                <c:pt idx="18">
                  <c:v>4248</c:v>
                </c:pt>
                <c:pt idx="19">
                  <c:v>3092</c:v>
                </c:pt>
                <c:pt idx="20">
                  <c:v>1939</c:v>
                </c:pt>
                <c:pt idx="21">
                  <c:v>2571</c:v>
                </c:pt>
                <c:pt idx="22">
                  <c:v>4450</c:v>
                </c:pt>
                <c:pt idx="23">
                  <c:v>7978</c:v>
                </c:pt>
                <c:pt idx="24">
                  <c:v>5262</c:v>
                </c:pt>
                <c:pt idx="25">
                  <c:v>3487</c:v>
                </c:pt>
                <c:pt idx="26">
                  <c:v>3814</c:v>
                </c:pt>
                <c:pt idx="27">
                  <c:v>5490</c:v>
                </c:pt>
              </c:numCache>
            </c:numRef>
          </c:val>
          <c:smooth val="0"/>
          <c:extLst>
            <c:ext xmlns:c16="http://schemas.microsoft.com/office/drawing/2014/chart" uri="{C3380CC4-5D6E-409C-BE32-E72D297353CC}">
              <c16:uniqueId val="{00000003-12F3-47BC-B9B8-020C5FDC121D}"/>
            </c:ext>
          </c:extLst>
        </c:ser>
        <c:ser>
          <c:idx val="4"/>
          <c:order val="4"/>
          <c:tx>
            <c:strRef>
              <c:f>'flag new treatments'!$F$1</c:f>
              <c:strCache>
                <c:ptCount val="1"/>
                <c:pt idx="0">
                  <c:v>Initiator to a gliptin after treatment with semaglutide or dulaglutide</c:v>
                </c:pt>
              </c:strCache>
            </c:strRef>
          </c:tx>
          <c:spPr>
            <a:ln w="28575" cap="rnd">
              <a:solidFill>
                <a:schemeClr val="accent5"/>
              </a:solidFill>
              <a:round/>
            </a:ln>
            <a:effectLst/>
          </c:spPr>
          <c:marker>
            <c:symbol val="none"/>
          </c:marker>
          <c:cat>
            <c:strRef>
              <c:f>'flag new treatments'!$A$2:$A$29</c:f>
              <c:strCache>
                <c:ptCount val="28"/>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pt idx="27">
                  <c:v>2023Q4</c:v>
                </c:pt>
              </c:strCache>
            </c:strRef>
          </c:cat>
          <c:val>
            <c:numRef>
              <c:f>'flag new treatments'!$F$2:$F$29</c:f>
              <c:numCache>
                <c:formatCode>General</c:formatCode>
                <c:ptCount val="28"/>
                <c:pt idx="0">
                  <c:v>854</c:v>
                </c:pt>
                <c:pt idx="1">
                  <c:v>297</c:v>
                </c:pt>
                <c:pt idx="2">
                  <c:v>317</c:v>
                </c:pt>
                <c:pt idx="3">
                  <c:v>360</c:v>
                </c:pt>
                <c:pt idx="4">
                  <c:v>292</c:v>
                </c:pt>
                <c:pt idx="5">
                  <c:v>298</c:v>
                </c:pt>
                <c:pt idx="6">
                  <c:v>508</c:v>
                </c:pt>
                <c:pt idx="7">
                  <c:v>691</c:v>
                </c:pt>
                <c:pt idx="8">
                  <c:v>737</c:v>
                </c:pt>
                <c:pt idx="9">
                  <c:v>1345</c:v>
                </c:pt>
                <c:pt idx="10">
                  <c:v>1514</c:v>
                </c:pt>
                <c:pt idx="11">
                  <c:v>1755</c:v>
                </c:pt>
                <c:pt idx="12">
                  <c:v>1656</c:v>
                </c:pt>
                <c:pt idx="13">
                  <c:v>1737</c:v>
                </c:pt>
                <c:pt idx="14">
                  <c:v>1721</c:v>
                </c:pt>
                <c:pt idx="15">
                  <c:v>1100</c:v>
                </c:pt>
                <c:pt idx="16">
                  <c:v>1121</c:v>
                </c:pt>
                <c:pt idx="17">
                  <c:v>2265</c:v>
                </c:pt>
                <c:pt idx="18">
                  <c:v>2243</c:v>
                </c:pt>
                <c:pt idx="19">
                  <c:v>1515</c:v>
                </c:pt>
                <c:pt idx="20">
                  <c:v>922</c:v>
                </c:pt>
                <c:pt idx="21">
                  <c:v>1136</c:v>
                </c:pt>
                <c:pt idx="22">
                  <c:v>3469</c:v>
                </c:pt>
                <c:pt idx="23">
                  <c:v>8459</c:v>
                </c:pt>
                <c:pt idx="24">
                  <c:v>4849</c:v>
                </c:pt>
                <c:pt idx="25">
                  <c:v>2032</c:v>
                </c:pt>
                <c:pt idx="26">
                  <c:v>1886</c:v>
                </c:pt>
                <c:pt idx="27">
                  <c:v>4280</c:v>
                </c:pt>
              </c:numCache>
            </c:numRef>
          </c:val>
          <c:smooth val="0"/>
          <c:extLst>
            <c:ext xmlns:c16="http://schemas.microsoft.com/office/drawing/2014/chart" uri="{C3380CC4-5D6E-409C-BE32-E72D297353CC}">
              <c16:uniqueId val="{00000004-12F3-47BC-B9B8-020C5FDC121D}"/>
            </c:ext>
          </c:extLst>
        </c:ser>
        <c:dLbls>
          <c:showLegendKey val="0"/>
          <c:showVal val="0"/>
          <c:showCatName val="0"/>
          <c:showSerName val="0"/>
          <c:showPercent val="0"/>
          <c:showBubbleSize val="0"/>
        </c:dLbls>
        <c:smooth val="0"/>
        <c:axId val="354708560"/>
        <c:axId val="354597384"/>
      </c:lineChart>
      <c:catAx>
        <c:axId val="354708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597384"/>
        <c:crosses val="autoZero"/>
        <c:auto val="1"/>
        <c:lblAlgn val="ctr"/>
        <c:lblOffset val="100"/>
        <c:noMultiLvlLbl val="0"/>
      </c:catAx>
      <c:valAx>
        <c:axId val="354597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70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[D1584 outputs.xlsx]dose qtr!PivotTable8</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'dose qtr'!$W$1:$W$4</c:f>
              <c:strCache>
                <c:ptCount val="1"/>
                <c:pt idx="0">
                  <c:v>SEMAGLUTIDE - Solution for injection 2 mg in 1.5 mL pre-filled pen - Treated patients</c:v>
                </c:pt>
              </c:strCache>
            </c:strRef>
          </c:tx>
          <c:spPr>
            <a:ln w="28575" cap="rnd">
              <a:solidFill>
                <a:schemeClr val="accent1"/>
              </a:solidFill>
              <a:round/>
            </a:ln>
            <a:effectLst/>
          </c:spPr>
          <c:marker>
            <c:symbol val="none"/>
          </c:marker>
          <c:cat>
            <c:strRef>
              <c:f>'dose qtr'!$V$5:$V$19</c:f>
              <c:strCache>
                <c:ptCount val="14"/>
                <c:pt idx="0">
                  <c:v>2020Q3</c:v>
                </c:pt>
                <c:pt idx="1">
                  <c:v>2020Q4</c:v>
                </c:pt>
                <c:pt idx="2">
                  <c:v>2021Q1</c:v>
                </c:pt>
                <c:pt idx="3">
                  <c:v>2021Q2</c:v>
                </c:pt>
                <c:pt idx="4">
                  <c:v>2021Q3</c:v>
                </c:pt>
                <c:pt idx="5">
                  <c:v>2021Q4</c:v>
                </c:pt>
                <c:pt idx="6">
                  <c:v>2022Q1</c:v>
                </c:pt>
                <c:pt idx="7">
                  <c:v>2022Q2</c:v>
                </c:pt>
                <c:pt idx="8">
                  <c:v>2022Q3</c:v>
                </c:pt>
                <c:pt idx="9">
                  <c:v>2022Q4</c:v>
                </c:pt>
                <c:pt idx="10">
                  <c:v>2023Q1</c:v>
                </c:pt>
                <c:pt idx="11">
                  <c:v>2023Q2</c:v>
                </c:pt>
                <c:pt idx="12">
                  <c:v>2023Q3</c:v>
                </c:pt>
                <c:pt idx="13">
                  <c:v>2023Q4</c:v>
                </c:pt>
              </c:strCache>
            </c:strRef>
          </c:cat>
          <c:val>
            <c:numRef>
              <c:f>'dose qtr'!$W$5:$W$19</c:f>
              <c:numCache>
                <c:formatCode>General</c:formatCode>
                <c:ptCount val="14"/>
                <c:pt idx="0">
                  <c:v>4550</c:v>
                </c:pt>
                <c:pt idx="1">
                  <c:v>10259</c:v>
                </c:pt>
                <c:pt idx="2">
                  <c:v>14577</c:v>
                </c:pt>
                <c:pt idx="3">
                  <c:v>21032</c:v>
                </c:pt>
                <c:pt idx="4">
                  <c:v>30635</c:v>
                </c:pt>
                <c:pt idx="5">
                  <c:v>47671</c:v>
                </c:pt>
                <c:pt idx="6">
                  <c:v>61919</c:v>
                </c:pt>
                <c:pt idx="7">
                  <c:v>60978</c:v>
                </c:pt>
                <c:pt idx="8">
                  <c:v>67026</c:v>
                </c:pt>
                <c:pt idx="9">
                  <c:v>64003</c:v>
                </c:pt>
                <c:pt idx="10">
                  <c:v>74913</c:v>
                </c:pt>
                <c:pt idx="11">
                  <c:v>129489</c:v>
                </c:pt>
                <c:pt idx="12">
                  <c:v>150180</c:v>
                </c:pt>
                <c:pt idx="13">
                  <c:v>122617</c:v>
                </c:pt>
              </c:numCache>
            </c:numRef>
          </c:val>
          <c:smooth val="0"/>
          <c:extLst>
            <c:ext xmlns:c16="http://schemas.microsoft.com/office/drawing/2014/chart" uri="{C3380CC4-5D6E-409C-BE32-E72D297353CC}">
              <c16:uniqueId val="{00000000-DDBA-4D83-B8D0-67E36A669B58}"/>
            </c:ext>
          </c:extLst>
        </c:ser>
        <c:ser>
          <c:idx val="1"/>
          <c:order val="1"/>
          <c:tx>
            <c:strRef>
              <c:f>'dose qtr'!$X$1:$X$4</c:f>
              <c:strCache>
                <c:ptCount val="1"/>
                <c:pt idx="0">
                  <c:v>SEMAGLUTIDE - Solution for injection 2 mg in 1.5 mL pre-filled pen - Prescriptions</c:v>
                </c:pt>
              </c:strCache>
            </c:strRef>
          </c:tx>
          <c:spPr>
            <a:ln w="28575" cap="rnd">
              <a:solidFill>
                <a:schemeClr val="accent2"/>
              </a:solidFill>
              <a:round/>
            </a:ln>
            <a:effectLst/>
          </c:spPr>
          <c:marker>
            <c:symbol val="none"/>
          </c:marker>
          <c:cat>
            <c:strRef>
              <c:f>'dose qtr'!$V$5:$V$19</c:f>
              <c:strCache>
                <c:ptCount val="14"/>
                <c:pt idx="0">
                  <c:v>2020Q3</c:v>
                </c:pt>
                <c:pt idx="1">
                  <c:v>2020Q4</c:v>
                </c:pt>
                <c:pt idx="2">
                  <c:v>2021Q1</c:v>
                </c:pt>
                <c:pt idx="3">
                  <c:v>2021Q2</c:v>
                </c:pt>
                <c:pt idx="4">
                  <c:v>2021Q3</c:v>
                </c:pt>
                <c:pt idx="5">
                  <c:v>2021Q4</c:v>
                </c:pt>
                <c:pt idx="6">
                  <c:v>2022Q1</c:v>
                </c:pt>
                <c:pt idx="7">
                  <c:v>2022Q2</c:v>
                </c:pt>
                <c:pt idx="8">
                  <c:v>2022Q3</c:v>
                </c:pt>
                <c:pt idx="9">
                  <c:v>2022Q4</c:v>
                </c:pt>
                <c:pt idx="10">
                  <c:v>2023Q1</c:v>
                </c:pt>
                <c:pt idx="11">
                  <c:v>2023Q2</c:v>
                </c:pt>
                <c:pt idx="12">
                  <c:v>2023Q3</c:v>
                </c:pt>
                <c:pt idx="13">
                  <c:v>2023Q4</c:v>
                </c:pt>
              </c:strCache>
            </c:strRef>
          </c:cat>
          <c:val>
            <c:numRef>
              <c:f>'dose qtr'!$X$5:$X$19</c:f>
              <c:numCache>
                <c:formatCode>General</c:formatCode>
                <c:ptCount val="14"/>
                <c:pt idx="0">
                  <c:v>6805</c:v>
                </c:pt>
                <c:pt idx="1">
                  <c:v>18551</c:v>
                </c:pt>
                <c:pt idx="2">
                  <c:v>24986</c:v>
                </c:pt>
                <c:pt idx="3">
                  <c:v>37928</c:v>
                </c:pt>
                <c:pt idx="4">
                  <c:v>55280</c:v>
                </c:pt>
                <c:pt idx="5">
                  <c:v>91639</c:v>
                </c:pt>
                <c:pt idx="6">
                  <c:v>108661</c:v>
                </c:pt>
                <c:pt idx="7">
                  <c:v>107105</c:v>
                </c:pt>
                <c:pt idx="8">
                  <c:v>117316</c:v>
                </c:pt>
                <c:pt idx="9">
                  <c:v>121685</c:v>
                </c:pt>
                <c:pt idx="10">
                  <c:v>115326</c:v>
                </c:pt>
                <c:pt idx="11">
                  <c:v>262121</c:v>
                </c:pt>
                <c:pt idx="12">
                  <c:v>300769</c:v>
                </c:pt>
                <c:pt idx="13">
                  <c:v>231114</c:v>
                </c:pt>
              </c:numCache>
            </c:numRef>
          </c:val>
          <c:smooth val="0"/>
          <c:extLst>
            <c:ext xmlns:c16="http://schemas.microsoft.com/office/drawing/2014/chart" uri="{C3380CC4-5D6E-409C-BE32-E72D297353CC}">
              <c16:uniqueId val="{00000001-DDBA-4D83-B8D0-67E36A669B58}"/>
            </c:ext>
          </c:extLst>
        </c:ser>
        <c:ser>
          <c:idx val="2"/>
          <c:order val="2"/>
          <c:tx>
            <c:strRef>
              <c:f>'dose qtr'!$Y$1:$Y$4</c:f>
              <c:strCache>
                <c:ptCount val="1"/>
                <c:pt idx="0">
                  <c:v>SEMAGLUTIDE - Solution for injection 4 mg in 3 mL pre-filled pen - Treated patients</c:v>
                </c:pt>
              </c:strCache>
            </c:strRef>
          </c:tx>
          <c:spPr>
            <a:ln w="28575" cap="rnd">
              <a:solidFill>
                <a:schemeClr val="accent3"/>
              </a:solidFill>
              <a:round/>
            </a:ln>
            <a:effectLst/>
          </c:spPr>
          <c:marker>
            <c:symbol val="none"/>
          </c:marker>
          <c:cat>
            <c:strRef>
              <c:f>'dose qtr'!$V$5:$V$19</c:f>
              <c:strCache>
                <c:ptCount val="14"/>
                <c:pt idx="0">
                  <c:v>2020Q3</c:v>
                </c:pt>
                <c:pt idx="1">
                  <c:v>2020Q4</c:v>
                </c:pt>
                <c:pt idx="2">
                  <c:v>2021Q1</c:v>
                </c:pt>
                <c:pt idx="3">
                  <c:v>2021Q2</c:v>
                </c:pt>
                <c:pt idx="4">
                  <c:v>2021Q3</c:v>
                </c:pt>
                <c:pt idx="5">
                  <c:v>2021Q4</c:v>
                </c:pt>
                <c:pt idx="6">
                  <c:v>2022Q1</c:v>
                </c:pt>
                <c:pt idx="7">
                  <c:v>2022Q2</c:v>
                </c:pt>
                <c:pt idx="8">
                  <c:v>2022Q3</c:v>
                </c:pt>
                <c:pt idx="9">
                  <c:v>2022Q4</c:v>
                </c:pt>
                <c:pt idx="10">
                  <c:v>2023Q1</c:v>
                </c:pt>
                <c:pt idx="11">
                  <c:v>2023Q2</c:v>
                </c:pt>
                <c:pt idx="12">
                  <c:v>2023Q3</c:v>
                </c:pt>
                <c:pt idx="13">
                  <c:v>2023Q4</c:v>
                </c:pt>
              </c:strCache>
            </c:strRef>
          </c:cat>
          <c:val>
            <c:numRef>
              <c:f>'dose qtr'!$Y$5:$Y$19</c:f>
              <c:numCache>
                <c:formatCode>General</c:formatCode>
                <c:ptCount val="14"/>
                <c:pt idx="0">
                  <c:v>2329</c:v>
                </c:pt>
                <c:pt idx="1">
                  <c:v>7583</c:v>
                </c:pt>
                <c:pt idx="2">
                  <c:v>12793</c:v>
                </c:pt>
                <c:pt idx="3">
                  <c:v>20056</c:v>
                </c:pt>
                <c:pt idx="4">
                  <c:v>29921</c:v>
                </c:pt>
                <c:pt idx="5">
                  <c:v>46167</c:v>
                </c:pt>
                <c:pt idx="6">
                  <c:v>61841</c:v>
                </c:pt>
                <c:pt idx="7">
                  <c:v>70356</c:v>
                </c:pt>
                <c:pt idx="8">
                  <c:v>70408</c:v>
                </c:pt>
                <c:pt idx="9">
                  <c:v>63358</c:v>
                </c:pt>
                <c:pt idx="10">
                  <c:v>65174</c:v>
                </c:pt>
                <c:pt idx="11">
                  <c:v>108554</c:v>
                </c:pt>
                <c:pt idx="12">
                  <c:v>135036</c:v>
                </c:pt>
                <c:pt idx="13">
                  <c:v>144261</c:v>
                </c:pt>
              </c:numCache>
            </c:numRef>
          </c:val>
          <c:smooth val="0"/>
          <c:extLst>
            <c:ext xmlns:c16="http://schemas.microsoft.com/office/drawing/2014/chart" uri="{C3380CC4-5D6E-409C-BE32-E72D297353CC}">
              <c16:uniqueId val="{00000002-DDBA-4D83-B8D0-67E36A669B58}"/>
            </c:ext>
          </c:extLst>
        </c:ser>
        <c:ser>
          <c:idx val="3"/>
          <c:order val="3"/>
          <c:tx>
            <c:strRef>
              <c:f>'dose qtr'!$Z$1:$Z$4</c:f>
              <c:strCache>
                <c:ptCount val="1"/>
                <c:pt idx="0">
                  <c:v>SEMAGLUTIDE - Solution for injection 4 mg in 3 mL pre-filled pen - Prescriptions</c:v>
                </c:pt>
              </c:strCache>
            </c:strRef>
          </c:tx>
          <c:spPr>
            <a:ln w="28575" cap="rnd">
              <a:solidFill>
                <a:schemeClr val="accent4"/>
              </a:solidFill>
              <a:round/>
            </a:ln>
            <a:effectLst/>
          </c:spPr>
          <c:marker>
            <c:symbol val="none"/>
          </c:marker>
          <c:cat>
            <c:strRef>
              <c:f>'dose qtr'!$V$5:$V$19</c:f>
              <c:strCache>
                <c:ptCount val="14"/>
                <c:pt idx="0">
                  <c:v>2020Q3</c:v>
                </c:pt>
                <c:pt idx="1">
                  <c:v>2020Q4</c:v>
                </c:pt>
                <c:pt idx="2">
                  <c:v>2021Q1</c:v>
                </c:pt>
                <c:pt idx="3">
                  <c:v>2021Q2</c:v>
                </c:pt>
                <c:pt idx="4">
                  <c:v>2021Q3</c:v>
                </c:pt>
                <c:pt idx="5">
                  <c:v>2021Q4</c:v>
                </c:pt>
                <c:pt idx="6">
                  <c:v>2022Q1</c:v>
                </c:pt>
                <c:pt idx="7">
                  <c:v>2022Q2</c:v>
                </c:pt>
                <c:pt idx="8">
                  <c:v>2022Q3</c:v>
                </c:pt>
                <c:pt idx="9">
                  <c:v>2022Q4</c:v>
                </c:pt>
                <c:pt idx="10">
                  <c:v>2023Q1</c:v>
                </c:pt>
                <c:pt idx="11">
                  <c:v>2023Q2</c:v>
                </c:pt>
                <c:pt idx="12">
                  <c:v>2023Q3</c:v>
                </c:pt>
                <c:pt idx="13">
                  <c:v>2023Q4</c:v>
                </c:pt>
              </c:strCache>
            </c:strRef>
          </c:cat>
          <c:val>
            <c:numRef>
              <c:f>'dose qtr'!$Z$5:$Z$19</c:f>
              <c:numCache>
                <c:formatCode>General</c:formatCode>
                <c:ptCount val="14"/>
                <c:pt idx="0">
                  <c:v>3578</c:v>
                </c:pt>
                <c:pt idx="1">
                  <c:v>17371</c:v>
                </c:pt>
                <c:pt idx="2">
                  <c:v>29726</c:v>
                </c:pt>
                <c:pt idx="3">
                  <c:v>49595</c:v>
                </c:pt>
                <c:pt idx="4">
                  <c:v>76866</c:v>
                </c:pt>
                <c:pt idx="5">
                  <c:v>123216</c:v>
                </c:pt>
                <c:pt idx="6">
                  <c:v>151987</c:v>
                </c:pt>
                <c:pt idx="7">
                  <c:v>153817</c:v>
                </c:pt>
                <c:pt idx="8">
                  <c:v>132161</c:v>
                </c:pt>
                <c:pt idx="9">
                  <c:v>122598</c:v>
                </c:pt>
                <c:pt idx="10">
                  <c:v>107875</c:v>
                </c:pt>
                <c:pt idx="11">
                  <c:v>289058</c:v>
                </c:pt>
                <c:pt idx="12">
                  <c:v>313718</c:v>
                </c:pt>
                <c:pt idx="13">
                  <c:v>369971</c:v>
                </c:pt>
              </c:numCache>
            </c:numRef>
          </c:val>
          <c:smooth val="0"/>
          <c:extLst>
            <c:ext xmlns:c16="http://schemas.microsoft.com/office/drawing/2014/chart" uri="{C3380CC4-5D6E-409C-BE32-E72D297353CC}">
              <c16:uniqueId val="{00000003-DDBA-4D83-B8D0-67E36A669B58}"/>
            </c:ext>
          </c:extLst>
        </c:ser>
        <c:dLbls>
          <c:showLegendKey val="0"/>
          <c:showVal val="0"/>
          <c:showCatName val="0"/>
          <c:showSerName val="0"/>
          <c:showPercent val="0"/>
          <c:showBubbleSize val="0"/>
        </c:dLbls>
        <c:smooth val="0"/>
        <c:axId val="363114224"/>
        <c:axId val="363113864"/>
      </c:lineChart>
      <c:catAx>
        <c:axId val="363114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13864"/>
        <c:crosses val="autoZero"/>
        <c:auto val="1"/>
        <c:lblAlgn val="ctr"/>
        <c:lblOffset val="100"/>
        <c:noMultiLvlLbl val="0"/>
      </c:catAx>
      <c:valAx>
        <c:axId val="363113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or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1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[D1584 outputs.xlsx]age sex!PivotTable3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sex'!$V$1:$V$2</c:f>
              <c:strCache>
                <c:ptCount val="1"/>
                <c:pt idx="0">
                  <c:v>Female</c:v>
                </c:pt>
              </c:strCache>
            </c:strRef>
          </c:tx>
          <c:spPr>
            <a:solidFill>
              <a:schemeClr val="accent1"/>
            </a:solidFill>
            <a:ln>
              <a:noFill/>
            </a:ln>
            <a:effectLst/>
          </c:spPr>
          <c:invertIfNegative val="0"/>
          <c:cat>
            <c:strRef>
              <c:f>'age sex'!$U$3:$U$22</c:f>
              <c:strCache>
                <c:ptCount val="19"/>
                <c:pt idx="0">
                  <c:v> 0-9   yrs</c:v>
                </c:pt>
                <c:pt idx="1">
                  <c:v> 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pt idx="18">
                  <c:v>95+    yrs</c:v>
                </c:pt>
              </c:strCache>
            </c:strRef>
          </c:cat>
          <c:val>
            <c:numRef>
              <c:f>'age sex'!$V$3:$V$22</c:f>
              <c:numCache>
                <c:formatCode>General</c:formatCode>
                <c:ptCount val="19"/>
                <c:pt idx="0">
                  <c:v>6</c:v>
                </c:pt>
                <c:pt idx="1">
                  <c:v>70</c:v>
                </c:pt>
                <c:pt idx="2">
                  <c:v>317</c:v>
                </c:pt>
                <c:pt idx="3">
                  <c:v>1048</c:v>
                </c:pt>
                <c:pt idx="4">
                  <c:v>2232</c:v>
                </c:pt>
                <c:pt idx="5">
                  <c:v>4018</c:v>
                </c:pt>
                <c:pt idx="6">
                  <c:v>6554</c:v>
                </c:pt>
                <c:pt idx="7">
                  <c:v>9666</c:v>
                </c:pt>
                <c:pt idx="8">
                  <c:v>13645</c:v>
                </c:pt>
                <c:pt idx="9">
                  <c:v>20308</c:v>
                </c:pt>
                <c:pt idx="10">
                  <c:v>22098</c:v>
                </c:pt>
                <c:pt idx="11">
                  <c:v>24427</c:v>
                </c:pt>
                <c:pt idx="12">
                  <c:v>22900</c:v>
                </c:pt>
                <c:pt idx="13">
                  <c:v>19259</c:v>
                </c:pt>
                <c:pt idx="14">
                  <c:v>11803</c:v>
                </c:pt>
                <c:pt idx="15">
                  <c:v>4456</c:v>
                </c:pt>
                <c:pt idx="16">
                  <c:v>1319</c:v>
                </c:pt>
                <c:pt idx="17">
                  <c:v>255</c:v>
                </c:pt>
                <c:pt idx="18">
                  <c:v>30</c:v>
                </c:pt>
              </c:numCache>
            </c:numRef>
          </c:val>
          <c:extLst>
            <c:ext xmlns:c16="http://schemas.microsoft.com/office/drawing/2014/chart" uri="{C3380CC4-5D6E-409C-BE32-E72D297353CC}">
              <c16:uniqueId val="{00000000-6A2A-4C80-89C3-A0442DBD100D}"/>
            </c:ext>
          </c:extLst>
        </c:ser>
        <c:ser>
          <c:idx val="1"/>
          <c:order val="1"/>
          <c:tx>
            <c:strRef>
              <c:f>'age sex'!$W$1:$W$2</c:f>
              <c:strCache>
                <c:ptCount val="1"/>
                <c:pt idx="0">
                  <c:v>Male</c:v>
                </c:pt>
              </c:strCache>
            </c:strRef>
          </c:tx>
          <c:spPr>
            <a:solidFill>
              <a:schemeClr val="accent2"/>
            </a:solidFill>
            <a:ln>
              <a:noFill/>
            </a:ln>
            <a:effectLst/>
          </c:spPr>
          <c:invertIfNegative val="0"/>
          <c:cat>
            <c:strRef>
              <c:f>'age sex'!$U$3:$U$22</c:f>
              <c:strCache>
                <c:ptCount val="19"/>
                <c:pt idx="0">
                  <c:v> 0-9   yrs</c:v>
                </c:pt>
                <c:pt idx="1">
                  <c:v> 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90-94  yrs</c:v>
                </c:pt>
                <c:pt idx="18">
                  <c:v>95+    yrs</c:v>
                </c:pt>
              </c:strCache>
            </c:strRef>
          </c:cat>
          <c:val>
            <c:numRef>
              <c:f>'age sex'!$W$3:$W$22</c:f>
              <c:numCache>
                <c:formatCode>General</c:formatCode>
                <c:ptCount val="19"/>
                <c:pt idx="0">
                  <c:v>20</c:v>
                </c:pt>
                <c:pt idx="1">
                  <c:v>44</c:v>
                </c:pt>
                <c:pt idx="2">
                  <c:v>194</c:v>
                </c:pt>
                <c:pt idx="3">
                  <c:v>428</c:v>
                </c:pt>
                <c:pt idx="4">
                  <c:v>1070</c:v>
                </c:pt>
                <c:pt idx="5">
                  <c:v>2424</c:v>
                </c:pt>
                <c:pt idx="6">
                  <c:v>4668</c:v>
                </c:pt>
                <c:pt idx="7">
                  <c:v>7810</c:v>
                </c:pt>
                <c:pt idx="8">
                  <c:v>11588</c:v>
                </c:pt>
                <c:pt idx="9">
                  <c:v>17980</c:v>
                </c:pt>
                <c:pt idx="10">
                  <c:v>21692</c:v>
                </c:pt>
                <c:pt idx="11">
                  <c:v>25487</c:v>
                </c:pt>
                <c:pt idx="12">
                  <c:v>24838</c:v>
                </c:pt>
                <c:pt idx="13">
                  <c:v>21797</c:v>
                </c:pt>
                <c:pt idx="14">
                  <c:v>14374</c:v>
                </c:pt>
                <c:pt idx="15">
                  <c:v>5438</c:v>
                </c:pt>
                <c:pt idx="16">
                  <c:v>1517</c:v>
                </c:pt>
                <c:pt idx="17">
                  <c:v>190</c:v>
                </c:pt>
                <c:pt idx="18">
                  <c:v>23</c:v>
                </c:pt>
              </c:numCache>
            </c:numRef>
          </c:val>
          <c:extLst>
            <c:ext xmlns:c16="http://schemas.microsoft.com/office/drawing/2014/chart" uri="{C3380CC4-5D6E-409C-BE32-E72D297353CC}">
              <c16:uniqueId val="{00000001-6A2A-4C80-89C3-A0442DBD100D}"/>
            </c:ext>
          </c:extLst>
        </c:ser>
        <c:dLbls>
          <c:showLegendKey val="0"/>
          <c:showVal val="0"/>
          <c:showCatName val="0"/>
          <c:showSerName val="0"/>
          <c:showPercent val="0"/>
          <c:showBubbleSize val="0"/>
        </c:dLbls>
        <c:gapWidth val="219"/>
        <c:overlap val="-27"/>
        <c:axId val="878787744"/>
        <c:axId val="878787384"/>
      </c:barChart>
      <c:catAx>
        <c:axId val="878787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787384"/>
        <c:crosses val="autoZero"/>
        <c:auto val="1"/>
        <c:lblAlgn val="ctr"/>
        <c:lblOffset val="100"/>
        <c:noMultiLvlLbl val="0"/>
      </c:catAx>
      <c:valAx>
        <c:axId val="878787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78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[D1584 outputs.xlsx]age init over time!PivotTable2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'age init over time'!$W$1:$W$2</c:f>
              <c:strCache>
                <c:ptCount val="1"/>
                <c:pt idx="0">
                  <c:v> 0-19 yrs</c:v>
                </c:pt>
              </c:strCache>
            </c:strRef>
          </c:tx>
          <c:spPr>
            <a:solidFill>
              <a:schemeClr val="accent1"/>
            </a:solidFill>
            <a:ln>
              <a:noFill/>
            </a:ln>
            <a:effectLst/>
          </c:spPr>
          <c:invertIfNegative val="0"/>
          <c:cat>
            <c:strRef>
              <c:f>'age init over time'!$V$3:$V$9</c:f>
              <c:strCache>
                <c:ptCount val="6"/>
                <c:pt idx="0">
                  <c:v>2018</c:v>
                </c:pt>
                <c:pt idx="1">
                  <c:v>2019</c:v>
                </c:pt>
                <c:pt idx="2">
                  <c:v>2020</c:v>
                </c:pt>
                <c:pt idx="3">
                  <c:v>2021</c:v>
                </c:pt>
                <c:pt idx="4">
                  <c:v>2022</c:v>
                </c:pt>
                <c:pt idx="5">
                  <c:v>2023</c:v>
                </c:pt>
              </c:strCache>
            </c:strRef>
          </c:cat>
          <c:val>
            <c:numRef>
              <c:f>'age init over time'!$W$3:$W$9</c:f>
              <c:numCache>
                <c:formatCode>General</c:formatCode>
                <c:ptCount val="6"/>
                <c:pt idx="0">
                  <c:v>30</c:v>
                </c:pt>
                <c:pt idx="1">
                  <c:v>88</c:v>
                </c:pt>
                <c:pt idx="2">
                  <c:v>113</c:v>
                </c:pt>
                <c:pt idx="3">
                  <c:v>241</c:v>
                </c:pt>
                <c:pt idx="4">
                  <c:v>301</c:v>
                </c:pt>
                <c:pt idx="5">
                  <c:v>444</c:v>
                </c:pt>
              </c:numCache>
            </c:numRef>
          </c:val>
          <c:extLst>
            <c:ext xmlns:c16="http://schemas.microsoft.com/office/drawing/2014/chart" uri="{C3380CC4-5D6E-409C-BE32-E72D297353CC}">
              <c16:uniqueId val="{00000000-6299-4A30-B621-36AD32E93A60}"/>
            </c:ext>
          </c:extLst>
        </c:ser>
        <c:ser>
          <c:idx val="1"/>
          <c:order val="1"/>
          <c:tx>
            <c:strRef>
              <c:f>'age init over time'!$X$1:$X$2</c:f>
              <c:strCache>
                <c:ptCount val="1"/>
                <c:pt idx="0">
                  <c:v>20-39 yrs</c:v>
                </c:pt>
              </c:strCache>
            </c:strRef>
          </c:tx>
          <c:spPr>
            <a:solidFill>
              <a:schemeClr val="accent2"/>
            </a:solidFill>
            <a:ln>
              <a:noFill/>
            </a:ln>
            <a:effectLst/>
          </c:spPr>
          <c:invertIfNegative val="0"/>
          <c:cat>
            <c:strRef>
              <c:f>'age init over time'!$V$3:$V$9</c:f>
              <c:strCache>
                <c:ptCount val="6"/>
                <c:pt idx="0">
                  <c:v>2018</c:v>
                </c:pt>
                <c:pt idx="1">
                  <c:v>2019</c:v>
                </c:pt>
                <c:pt idx="2">
                  <c:v>2020</c:v>
                </c:pt>
                <c:pt idx="3">
                  <c:v>2021</c:v>
                </c:pt>
                <c:pt idx="4">
                  <c:v>2022</c:v>
                </c:pt>
                <c:pt idx="5">
                  <c:v>2023</c:v>
                </c:pt>
              </c:strCache>
            </c:strRef>
          </c:cat>
          <c:val>
            <c:numRef>
              <c:f>'age init over time'!$X$3:$X$9</c:f>
              <c:numCache>
                <c:formatCode>General</c:formatCode>
                <c:ptCount val="6"/>
                <c:pt idx="0">
                  <c:v>818</c:v>
                </c:pt>
                <c:pt idx="1">
                  <c:v>1760</c:v>
                </c:pt>
                <c:pt idx="2">
                  <c:v>2552</c:v>
                </c:pt>
                <c:pt idx="3">
                  <c:v>7054</c:v>
                </c:pt>
                <c:pt idx="4">
                  <c:v>9496</c:v>
                </c:pt>
                <c:pt idx="5">
                  <c:v>11841</c:v>
                </c:pt>
              </c:numCache>
            </c:numRef>
          </c:val>
          <c:extLst>
            <c:ext xmlns:c16="http://schemas.microsoft.com/office/drawing/2014/chart" uri="{C3380CC4-5D6E-409C-BE32-E72D297353CC}">
              <c16:uniqueId val="{00000001-6299-4A30-B621-36AD32E93A60}"/>
            </c:ext>
          </c:extLst>
        </c:ser>
        <c:ser>
          <c:idx val="2"/>
          <c:order val="2"/>
          <c:tx>
            <c:strRef>
              <c:f>'age init over time'!$Y$1:$Y$2</c:f>
              <c:strCache>
                <c:ptCount val="1"/>
                <c:pt idx="0">
                  <c:v>40-59 yrs</c:v>
                </c:pt>
              </c:strCache>
            </c:strRef>
          </c:tx>
          <c:spPr>
            <a:solidFill>
              <a:schemeClr val="accent3"/>
            </a:solidFill>
            <a:ln>
              <a:noFill/>
            </a:ln>
            <a:effectLst/>
          </c:spPr>
          <c:invertIfNegative val="0"/>
          <c:cat>
            <c:strRef>
              <c:f>'age init over time'!$V$3:$V$9</c:f>
              <c:strCache>
                <c:ptCount val="6"/>
                <c:pt idx="0">
                  <c:v>2018</c:v>
                </c:pt>
                <c:pt idx="1">
                  <c:v>2019</c:v>
                </c:pt>
                <c:pt idx="2">
                  <c:v>2020</c:v>
                </c:pt>
                <c:pt idx="3">
                  <c:v>2021</c:v>
                </c:pt>
                <c:pt idx="4">
                  <c:v>2022</c:v>
                </c:pt>
                <c:pt idx="5">
                  <c:v>2023</c:v>
                </c:pt>
              </c:strCache>
            </c:strRef>
          </c:cat>
          <c:val>
            <c:numRef>
              <c:f>'age init over time'!$Y$3:$Y$9</c:f>
              <c:numCache>
                <c:formatCode>General</c:formatCode>
                <c:ptCount val="6"/>
                <c:pt idx="0">
                  <c:v>5542</c:v>
                </c:pt>
                <c:pt idx="1">
                  <c:v>11055</c:v>
                </c:pt>
                <c:pt idx="2">
                  <c:v>14894</c:v>
                </c:pt>
                <c:pt idx="3">
                  <c:v>37755</c:v>
                </c:pt>
                <c:pt idx="4">
                  <c:v>42529</c:v>
                </c:pt>
                <c:pt idx="5">
                  <c:v>49697</c:v>
                </c:pt>
              </c:numCache>
            </c:numRef>
          </c:val>
          <c:extLst>
            <c:ext xmlns:c16="http://schemas.microsoft.com/office/drawing/2014/chart" uri="{C3380CC4-5D6E-409C-BE32-E72D297353CC}">
              <c16:uniqueId val="{00000002-6299-4A30-B621-36AD32E93A60}"/>
            </c:ext>
          </c:extLst>
        </c:ser>
        <c:ser>
          <c:idx val="3"/>
          <c:order val="3"/>
          <c:tx>
            <c:strRef>
              <c:f>'age init over time'!$Z$1:$Z$2</c:f>
              <c:strCache>
                <c:ptCount val="1"/>
                <c:pt idx="0">
                  <c:v>60-79 yrs</c:v>
                </c:pt>
              </c:strCache>
            </c:strRef>
          </c:tx>
          <c:spPr>
            <a:solidFill>
              <a:schemeClr val="accent4"/>
            </a:solidFill>
            <a:ln>
              <a:noFill/>
            </a:ln>
            <a:effectLst/>
          </c:spPr>
          <c:invertIfNegative val="0"/>
          <c:cat>
            <c:strRef>
              <c:f>'age init over time'!$V$3:$V$9</c:f>
              <c:strCache>
                <c:ptCount val="6"/>
                <c:pt idx="0">
                  <c:v>2018</c:v>
                </c:pt>
                <c:pt idx="1">
                  <c:v>2019</c:v>
                </c:pt>
                <c:pt idx="2">
                  <c:v>2020</c:v>
                </c:pt>
                <c:pt idx="3">
                  <c:v>2021</c:v>
                </c:pt>
                <c:pt idx="4">
                  <c:v>2022</c:v>
                </c:pt>
                <c:pt idx="5">
                  <c:v>2023</c:v>
                </c:pt>
              </c:strCache>
            </c:strRef>
          </c:cat>
          <c:val>
            <c:numRef>
              <c:f>'age init over time'!$Z$3:$Z$9</c:f>
              <c:numCache>
                <c:formatCode>General</c:formatCode>
                <c:ptCount val="6"/>
                <c:pt idx="0">
                  <c:v>7341</c:v>
                </c:pt>
                <c:pt idx="1">
                  <c:v>13879</c:v>
                </c:pt>
                <c:pt idx="2">
                  <c:v>18526</c:v>
                </c:pt>
                <c:pt idx="3">
                  <c:v>49580</c:v>
                </c:pt>
                <c:pt idx="4">
                  <c:v>47529</c:v>
                </c:pt>
                <c:pt idx="5">
                  <c:v>54063</c:v>
                </c:pt>
              </c:numCache>
            </c:numRef>
          </c:val>
          <c:extLst>
            <c:ext xmlns:c16="http://schemas.microsoft.com/office/drawing/2014/chart" uri="{C3380CC4-5D6E-409C-BE32-E72D297353CC}">
              <c16:uniqueId val="{00000003-6299-4A30-B621-36AD32E93A60}"/>
            </c:ext>
          </c:extLst>
        </c:ser>
        <c:ser>
          <c:idx val="4"/>
          <c:order val="4"/>
          <c:tx>
            <c:strRef>
              <c:f>'age init over time'!$AA$1:$AA$2</c:f>
              <c:strCache>
                <c:ptCount val="1"/>
                <c:pt idx="0">
                  <c:v>80+   yrs</c:v>
                </c:pt>
              </c:strCache>
            </c:strRef>
          </c:tx>
          <c:spPr>
            <a:solidFill>
              <a:schemeClr val="accent5"/>
            </a:solidFill>
            <a:ln>
              <a:noFill/>
            </a:ln>
            <a:effectLst/>
          </c:spPr>
          <c:invertIfNegative val="0"/>
          <c:cat>
            <c:strRef>
              <c:f>'age init over time'!$V$3:$V$9</c:f>
              <c:strCache>
                <c:ptCount val="6"/>
                <c:pt idx="0">
                  <c:v>2018</c:v>
                </c:pt>
                <c:pt idx="1">
                  <c:v>2019</c:v>
                </c:pt>
                <c:pt idx="2">
                  <c:v>2020</c:v>
                </c:pt>
                <c:pt idx="3">
                  <c:v>2021</c:v>
                </c:pt>
                <c:pt idx="4">
                  <c:v>2022</c:v>
                </c:pt>
                <c:pt idx="5">
                  <c:v>2023</c:v>
                </c:pt>
              </c:strCache>
            </c:strRef>
          </c:cat>
          <c:val>
            <c:numRef>
              <c:f>'age init over time'!$AA$3:$AA$9</c:f>
              <c:numCache>
                <c:formatCode>General</c:formatCode>
                <c:ptCount val="6"/>
                <c:pt idx="0">
                  <c:v>468</c:v>
                </c:pt>
                <c:pt idx="1">
                  <c:v>1027</c:v>
                </c:pt>
                <c:pt idx="2">
                  <c:v>1567</c:v>
                </c:pt>
                <c:pt idx="3">
                  <c:v>4183</c:v>
                </c:pt>
                <c:pt idx="4">
                  <c:v>3778</c:v>
                </c:pt>
                <c:pt idx="5">
                  <c:v>4329</c:v>
                </c:pt>
              </c:numCache>
            </c:numRef>
          </c:val>
          <c:extLst>
            <c:ext xmlns:c16="http://schemas.microsoft.com/office/drawing/2014/chart" uri="{C3380CC4-5D6E-409C-BE32-E72D297353CC}">
              <c16:uniqueId val="{00000004-6299-4A30-B621-36AD32E93A60}"/>
            </c:ext>
          </c:extLst>
        </c:ser>
        <c:dLbls>
          <c:showLegendKey val="0"/>
          <c:showVal val="0"/>
          <c:showCatName val="0"/>
          <c:showSerName val="0"/>
          <c:showPercent val="0"/>
          <c:showBubbleSize val="0"/>
        </c:dLbls>
        <c:gapWidth val="150"/>
        <c:overlap val="100"/>
        <c:axId val="831961016"/>
        <c:axId val="831963536"/>
      </c:barChart>
      <c:catAx>
        <c:axId val="831961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 of initiation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1963536"/>
        <c:crosses val="autoZero"/>
        <c:auto val="1"/>
        <c:lblAlgn val="ctr"/>
        <c:lblOffset val="100"/>
        <c:noMultiLvlLbl val="0"/>
      </c:catAx>
      <c:valAx>
        <c:axId val="831963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 of 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1961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[D1584 outputs.xlsx]prescriber!PivotTable3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prescriber!$W$1:$W$2</c:f>
              <c:strCache>
                <c:ptCount val="1"/>
                <c:pt idx="0">
                  <c:v>Cardiology</c:v>
                </c:pt>
              </c:strCache>
            </c:strRef>
          </c:tx>
          <c:spPr>
            <a:solidFill>
              <a:schemeClr val="accent1"/>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prescriber!$W$3:$W$9</c:f>
              <c:numCache>
                <c:formatCode>General</c:formatCode>
                <c:ptCount val="6"/>
                <c:pt idx="0">
                  <c:v>30</c:v>
                </c:pt>
                <c:pt idx="1">
                  <c:v>65</c:v>
                </c:pt>
                <c:pt idx="2">
                  <c:v>151</c:v>
                </c:pt>
                <c:pt idx="3">
                  <c:v>403</c:v>
                </c:pt>
                <c:pt idx="4">
                  <c:v>493</c:v>
                </c:pt>
                <c:pt idx="5">
                  <c:v>571</c:v>
                </c:pt>
              </c:numCache>
            </c:numRef>
          </c:val>
          <c:extLst>
            <c:ext xmlns:c16="http://schemas.microsoft.com/office/drawing/2014/chart" uri="{C3380CC4-5D6E-409C-BE32-E72D297353CC}">
              <c16:uniqueId val="{00000000-A75C-44C5-B155-1833AAED6BF2}"/>
            </c:ext>
          </c:extLst>
        </c:ser>
        <c:ser>
          <c:idx val="1"/>
          <c:order val="1"/>
          <c:tx>
            <c:strRef>
              <c:f>prescriber!$X$1:$X$2</c:f>
              <c:strCache>
                <c:ptCount val="1"/>
                <c:pt idx="0">
                  <c:v>Endocrinology</c:v>
                </c:pt>
              </c:strCache>
            </c:strRef>
          </c:tx>
          <c:spPr>
            <a:solidFill>
              <a:schemeClr val="accent2"/>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prescriber!$X$3:$X$9</c:f>
              <c:numCache>
                <c:formatCode>General</c:formatCode>
                <c:ptCount val="6"/>
                <c:pt idx="0">
                  <c:v>5312</c:v>
                </c:pt>
                <c:pt idx="1">
                  <c:v>7913</c:v>
                </c:pt>
                <c:pt idx="2">
                  <c:v>8865</c:v>
                </c:pt>
                <c:pt idx="3">
                  <c:v>20845</c:v>
                </c:pt>
                <c:pt idx="4">
                  <c:v>13194</c:v>
                </c:pt>
                <c:pt idx="5">
                  <c:v>12294</c:v>
                </c:pt>
              </c:numCache>
            </c:numRef>
          </c:val>
          <c:extLst>
            <c:ext xmlns:c16="http://schemas.microsoft.com/office/drawing/2014/chart" uri="{C3380CC4-5D6E-409C-BE32-E72D297353CC}">
              <c16:uniqueId val="{00000001-A75C-44C5-B155-1833AAED6BF2}"/>
            </c:ext>
          </c:extLst>
        </c:ser>
        <c:ser>
          <c:idx val="2"/>
          <c:order val="2"/>
          <c:tx>
            <c:strRef>
              <c:f>prescriber!$Y$1:$Y$2</c:f>
              <c:strCache>
                <c:ptCount val="1"/>
                <c:pt idx="0">
                  <c:v>GP</c:v>
                </c:pt>
              </c:strCache>
            </c:strRef>
          </c:tx>
          <c:spPr>
            <a:solidFill>
              <a:schemeClr val="accent3"/>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prescriber!$Y$3:$Y$9</c:f>
              <c:numCache>
                <c:formatCode>General</c:formatCode>
                <c:ptCount val="6"/>
                <c:pt idx="0">
                  <c:v>6484</c:v>
                </c:pt>
                <c:pt idx="1">
                  <c:v>15730</c:v>
                </c:pt>
                <c:pt idx="2">
                  <c:v>23105</c:v>
                </c:pt>
                <c:pt idx="3">
                  <c:v>64005</c:v>
                </c:pt>
                <c:pt idx="4">
                  <c:v>80234</c:v>
                </c:pt>
                <c:pt idx="5">
                  <c:v>97631</c:v>
                </c:pt>
              </c:numCache>
            </c:numRef>
          </c:val>
          <c:extLst>
            <c:ext xmlns:c16="http://schemas.microsoft.com/office/drawing/2014/chart" uri="{C3380CC4-5D6E-409C-BE32-E72D297353CC}">
              <c16:uniqueId val="{00000002-A75C-44C5-B155-1833AAED6BF2}"/>
            </c:ext>
          </c:extLst>
        </c:ser>
        <c:ser>
          <c:idx val="3"/>
          <c:order val="3"/>
          <c:tx>
            <c:strRef>
              <c:f>prescriber!$Z$1:$Z$2</c:f>
              <c:strCache>
                <c:ptCount val="1"/>
                <c:pt idx="0">
                  <c:v>Internal Medicine</c:v>
                </c:pt>
              </c:strCache>
            </c:strRef>
          </c:tx>
          <c:spPr>
            <a:solidFill>
              <a:schemeClr val="accent4"/>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prescriber!$Z$3:$Z$9</c:f>
              <c:numCache>
                <c:formatCode>General</c:formatCode>
                <c:ptCount val="6"/>
                <c:pt idx="0">
                  <c:v>1804</c:v>
                </c:pt>
                <c:pt idx="1">
                  <c:v>2189</c:v>
                </c:pt>
                <c:pt idx="2">
                  <c:v>2312</c:v>
                </c:pt>
                <c:pt idx="3">
                  <c:v>6055</c:v>
                </c:pt>
                <c:pt idx="4">
                  <c:v>3567</c:v>
                </c:pt>
                <c:pt idx="5">
                  <c:v>3069</c:v>
                </c:pt>
              </c:numCache>
            </c:numRef>
          </c:val>
          <c:extLst>
            <c:ext xmlns:c16="http://schemas.microsoft.com/office/drawing/2014/chart" uri="{C3380CC4-5D6E-409C-BE32-E72D297353CC}">
              <c16:uniqueId val="{00000003-A75C-44C5-B155-1833AAED6BF2}"/>
            </c:ext>
          </c:extLst>
        </c:ser>
        <c:ser>
          <c:idx val="4"/>
          <c:order val="4"/>
          <c:tx>
            <c:strRef>
              <c:f>prescriber!$AA$1:$AA$2</c:f>
              <c:strCache>
                <c:ptCount val="1"/>
                <c:pt idx="0">
                  <c:v>Nephrology</c:v>
                </c:pt>
              </c:strCache>
            </c:strRef>
          </c:tx>
          <c:spPr>
            <a:solidFill>
              <a:schemeClr val="accent5"/>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prescriber!$AA$3:$AA$9</c:f>
              <c:numCache>
                <c:formatCode>General</c:formatCode>
                <c:ptCount val="6"/>
                <c:pt idx="0">
                  <c:v>75</c:v>
                </c:pt>
                <c:pt idx="1">
                  <c:v>404</c:v>
                </c:pt>
                <c:pt idx="2">
                  <c:v>381</c:v>
                </c:pt>
                <c:pt idx="3">
                  <c:v>690</c:v>
                </c:pt>
                <c:pt idx="4">
                  <c:v>603</c:v>
                </c:pt>
                <c:pt idx="5">
                  <c:v>678</c:v>
                </c:pt>
              </c:numCache>
            </c:numRef>
          </c:val>
          <c:extLst>
            <c:ext xmlns:c16="http://schemas.microsoft.com/office/drawing/2014/chart" uri="{C3380CC4-5D6E-409C-BE32-E72D297353CC}">
              <c16:uniqueId val="{00000004-A75C-44C5-B155-1833AAED6BF2}"/>
            </c:ext>
          </c:extLst>
        </c:ser>
        <c:ser>
          <c:idx val="5"/>
          <c:order val="5"/>
          <c:tx>
            <c:strRef>
              <c:f>prescriber!$AB$1:$AB$2</c:f>
              <c:strCache>
                <c:ptCount val="1"/>
                <c:pt idx="0">
                  <c:v>Nurse Practitioner</c:v>
                </c:pt>
              </c:strCache>
            </c:strRef>
          </c:tx>
          <c:spPr>
            <a:solidFill>
              <a:schemeClr val="accent6"/>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prescriber!$AB$3:$AB$9</c:f>
              <c:numCache>
                <c:formatCode>General</c:formatCode>
                <c:ptCount val="6"/>
                <c:pt idx="0">
                  <c:v>155</c:v>
                </c:pt>
                <c:pt idx="1">
                  <c:v>119</c:v>
                </c:pt>
                <c:pt idx="2">
                  <c:v>174</c:v>
                </c:pt>
                <c:pt idx="3">
                  <c:v>589</c:v>
                </c:pt>
                <c:pt idx="4">
                  <c:v>1020</c:v>
                </c:pt>
                <c:pt idx="5">
                  <c:v>2320</c:v>
                </c:pt>
              </c:numCache>
            </c:numRef>
          </c:val>
          <c:extLst>
            <c:ext xmlns:c16="http://schemas.microsoft.com/office/drawing/2014/chart" uri="{C3380CC4-5D6E-409C-BE32-E72D297353CC}">
              <c16:uniqueId val="{00000005-A75C-44C5-B155-1833AAED6BF2}"/>
            </c:ext>
          </c:extLst>
        </c:ser>
        <c:ser>
          <c:idx val="6"/>
          <c:order val="6"/>
          <c:tx>
            <c:strRef>
              <c:f>prescriber!$AC$1:$AC$2</c:f>
              <c:strCache>
                <c:ptCount val="1"/>
                <c:pt idx="0">
                  <c:v>Other</c:v>
                </c:pt>
              </c:strCache>
            </c:strRef>
          </c:tx>
          <c:spPr>
            <a:solidFill>
              <a:schemeClr val="accent1">
                <a:lumMod val="60000"/>
              </a:schemeClr>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prescriber!$AC$3:$AC$9</c:f>
              <c:numCache>
                <c:formatCode>General</c:formatCode>
                <c:ptCount val="6"/>
                <c:pt idx="0">
                  <c:v>269</c:v>
                </c:pt>
                <c:pt idx="1">
                  <c:v>393</c:v>
                </c:pt>
                <c:pt idx="2">
                  <c:v>476</c:v>
                </c:pt>
                <c:pt idx="3">
                  <c:v>1414</c:v>
                </c:pt>
                <c:pt idx="4">
                  <c:v>1762</c:v>
                </c:pt>
                <c:pt idx="5">
                  <c:v>1814</c:v>
                </c:pt>
              </c:numCache>
            </c:numRef>
          </c:val>
          <c:extLst>
            <c:ext xmlns:c16="http://schemas.microsoft.com/office/drawing/2014/chart" uri="{C3380CC4-5D6E-409C-BE32-E72D297353CC}">
              <c16:uniqueId val="{00000006-A75C-44C5-B155-1833AAED6BF2}"/>
            </c:ext>
          </c:extLst>
        </c:ser>
        <c:ser>
          <c:idx val="7"/>
          <c:order val="7"/>
          <c:tx>
            <c:strRef>
              <c:f>prescriber!$AD$1:$AD$2</c:f>
              <c:strCache>
                <c:ptCount val="1"/>
                <c:pt idx="0">
                  <c:v>Unknown</c:v>
                </c:pt>
              </c:strCache>
            </c:strRef>
          </c:tx>
          <c:spPr>
            <a:solidFill>
              <a:schemeClr val="accent2">
                <a:lumMod val="60000"/>
              </a:schemeClr>
            </a:solidFill>
            <a:ln>
              <a:noFill/>
            </a:ln>
            <a:effectLst/>
          </c:spPr>
          <c:invertIfNegative val="0"/>
          <c:cat>
            <c:strRef>
              <c:f>prescriber!$V$3:$V$9</c:f>
              <c:strCache>
                <c:ptCount val="6"/>
                <c:pt idx="0">
                  <c:v>2018</c:v>
                </c:pt>
                <c:pt idx="1">
                  <c:v>2019</c:v>
                </c:pt>
                <c:pt idx="2">
                  <c:v>2020</c:v>
                </c:pt>
                <c:pt idx="3">
                  <c:v>2021</c:v>
                </c:pt>
                <c:pt idx="4">
                  <c:v>2022</c:v>
                </c:pt>
                <c:pt idx="5">
                  <c:v>2023</c:v>
                </c:pt>
              </c:strCache>
            </c:strRef>
          </c:cat>
          <c:val>
            <c:numRef>
              <c:f>prescriber!$AD$3:$AD$9</c:f>
              <c:numCache>
                <c:formatCode>General</c:formatCode>
                <c:ptCount val="6"/>
                <c:pt idx="0">
                  <c:v>74</c:v>
                </c:pt>
                <c:pt idx="1">
                  <c:v>1002</c:v>
                </c:pt>
                <c:pt idx="2">
                  <c:v>2193</c:v>
                </c:pt>
                <c:pt idx="3">
                  <c:v>4812</c:v>
                </c:pt>
                <c:pt idx="4">
                  <c:v>2760</c:v>
                </c:pt>
                <c:pt idx="5">
                  <c:v>1997</c:v>
                </c:pt>
              </c:numCache>
            </c:numRef>
          </c:val>
          <c:extLst>
            <c:ext xmlns:c16="http://schemas.microsoft.com/office/drawing/2014/chart" uri="{C3380CC4-5D6E-409C-BE32-E72D297353CC}">
              <c16:uniqueId val="{00000007-A75C-44C5-B155-1833AAED6BF2}"/>
            </c:ext>
          </c:extLst>
        </c:ser>
        <c:dLbls>
          <c:showLegendKey val="0"/>
          <c:showVal val="0"/>
          <c:showCatName val="0"/>
          <c:showSerName val="0"/>
          <c:showPercent val="0"/>
          <c:showBubbleSize val="0"/>
        </c:dLbls>
        <c:gapWidth val="150"/>
        <c:overlap val="100"/>
        <c:axId val="837422008"/>
        <c:axId val="837426328"/>
      </c:barChart>
      <c:catAx>
        <c:axId val="837422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426328"/>
        <c:crosses val="autoZero"/>
        <c:auto val="1"/>
        <c:lblAlgn val="ctr"/>
        <c:lblOffset val="100"/>
        <c:noMultiLvlLbl val="0"/>
      </c:catAx>
      <c:valAx>
        <c:axId val="837426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patients (percent)</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422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27</Pages>
  <Words>6554</Words>
  <Characters>37361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43828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Olivia</dc:creator>
  <cp:lastModifiedBy>ATKINS, Kerry</cp:lastModifiedBy>
  <cp:revision>60</cp:revision>
  <cp:lastPrinted>2024-10-23T01:20:00Z</cp:lastPrinted>
  <dcterms:created xsi:type="dcterms:W3CDTF">2024-10-23T01:22:00Z</dcterms:created>
  <dcterms:modified xsi:type="dcterms:W3CDTF">2024-10-24T23:24:00Z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