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3C130" w14:textId="6F810A2F" w:rsidR="00832324" w:rsidRDefault="007D48ED" w:rsidP="00F73113">
      <w:pPr>
        <w:pStyle w:val="Title"/>
      </w:pPr>
      <w:r>
        <w:t>A</w:t>
      </w:r>
      <w:r w:rsidR="00935689">
        <w:t>nalysis</w:t>
      </w:r>
      <w:r>
        <w:t xml:space="preserve"> of</w:t>
      </w:r>
      <w:r w:rsidRPr="007D48ED">
        <w:t xml:space="preserve"> </w:t>
      </w:r>
      <w:r w:rsidR="00A317A2">
        <w:t>g</w:t>
      </w:r>
      <w:r w:rsidRPr="007D48ED">
        <w:t xml:space="preserve">alcanezumab and </w:t>
      </w:r>
      <w:r w:rsidR="00A317A2">
        <w:t>f</w:t>
      </w:r>
      <w:r w:rsidRPr="007D48ED">
        <w:t>remanezumab for chronic migraine</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04398061" w:rsidR="009053D3" w:rsidRPr="00F73113" w:rsidRDefault="00930D35" w:rsidP="00F73113">
      <w:pPr>
        <w:pStyle w:val="Meetingdate"/>
      </w:pPr>
      <w:r>
        <w:t xml:space="preserve">June </w:t>
      </w:r>
      <w:r w:rsidR="00D151EB" w:rsidRPr="00F73113">
        <w:t>20</w:t>
      </w:r>
      <w:r>
        <w:t>24</w:t>
      </w:r>
    </w:p>
    <w:p w14:paraId="1494B8AD" w14:textId="77777777" w:rsidR="005C6661" w:rsidRPr="00CF5E22" w:rsidRDefault="005C6661" w:rsidP="00CF5E22">
      <w:pPr>
        <w:pStyle w:val="Heading2"/>
      </w:pPr>
      <w:r w:rsidRPr="00CF5E22">
        <w:t>Abstract</w:t>
      </w:r>
    </w:p>
    <w:p w14:paraId="01E90E12" w14:textId="18DDF076" w:rsidR="006E6802" w:rsidRDefault="005C6661" w:rsidP="004015AD">
      <w:pPr>
        <w:pStyle w:val="Heading3"/>
      </w:pPr>
      <w:r w:rsidRPr="00CF5E22">
        <w:t>Purpose</w:t>
      </w:r>
    </w:p>
    <w:p w14:paraId="3C857B53" w14:textId="1B2A417D" w:rsidR="006E6802" w:rsidRDefault="00D349FE" w:rsidP="00615C3A">
      <w:pPr>
        <w:pStyle w:val="NoSpacing"/>
      </w:pPr>
      <w:r>
        <w:t>At its September 2023 meeting</w:t>
      </w:r>
      <w:r w:rsidR="00D61298">
        <w:t>,</w:t>
      </w:r>
      <w:r>
        <w:t xml:space="preserve"> the DUSC noted the increased consumer awareness of medicines for chronic migraine</w:t>
      </w:r>
      <w:r w:rsidR="003679AF">
        <w:t>.</w:t>
      </w:r>
      <w:r w:rsidR="00615C3A">
        <w:t xml:space="preserve"> </w:t>
      </w:r>
      <w:r w:rsidR="00953729" w:rsidRPr="00953729">
        <w:t xml:space="preserve">DUSC considered that a review of the use of both galcanezumab and fremanezumab for chronic migraine </w:t>
      </w:r>
      <w:r w:rsidR="00A317A2">
        <w:t xml:space="preserve">should </w:t>
      </w:r>
      <w:r w:rsidR="00953729" w:rsidRPr="00953729">
        <w:t>be undertaken, including a predicted vs</w:t>
      </w:r>
      <w:r w:rsidR="00A317A2">
        <w:t>.</w:t>
      </w:r>
      <w:r w:rsidR="00953729" w:rsidRPr="00953729">
        <w:t xml:space="preserve"> actual analysis of their utilisation since listing on the </w:t>
      </w:r>
      <w:r w:rsidR="00EE67A7" w:rsidRPr="00BF45D4">
        <w:t xml:space="preserve">Pharmaceutical Benefits Scheme </w:t>
      </w:r>
      <w:r w:rsidR="00EE67A7">
        <w:t>(</w:t>
      </w:r>
      <w:r w:rsidR="00953729" w:rsidRPr="00953729">
        <w:t>PBS</w:t>
      </w:r>
      <w:r w:rsidR="00EE67A7">
        <w:t>)</w:t>
      </w:r>
      <w:r w:rsidR="00953729" w:rsidRPr="00953729">
        <w:t xml:space="preserve"> on the 1st of </w:t>
      </w:r>
      <w:r w:rsidR="00F37F83">
        <w:t xml:space="preserve">June and </w:t>
      </w:r>
      <w:r w:rsidR="00953729" w:rsidRPr="00953729">
        <w:t>August 2021</w:t>
      </w:r>
      <w:r w:rsidR="00A317A2">
        <w:t>,</w:t>
      </w:r>
      <w:r w:rsidR="00F37F83">
        <w:t xml:space="preserve"> respectively</w:t>
      </w:r>
      <w:r w:rsidR="00953729" w:rsidRPr="00953729">
        <w:t xml:space="preserve">. DUSC also requested an analysis on co-prescribing of analgesics and other migraine medicines </w:t>
      </w:r>
      <w:r w:rsidR="00A317A2">
        <w:t xml:space="preserve">with galcanezumab or fremanezumab </w:t>
      </w:r>
      <w:r w:rsidR="00953729" w:rsidRPr="00953729">
        <w:t>and geospatial analyses to examine the supply of the medicines through specialty migraine clinics.</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1F994091" w14:textId="1D818501" w:rsidR="005B2936" w:rsidRDefault="008E273D" w:rsidP="002D144A">
      <w:r>
        <w:t>G</w:t>
      </w:r>
      <w:r w:rsidRPr="008E273D">
        <w:t>alcanezumab</w:t>
      </w:r>
      <w:r>
        <w:t xml:space="preserve"> was first listed on the PBS for </w:t>
      </w:r>
      <w:r w:rsidR="002261A8">
        <w:t xml:space="preserve">chronic migraine on </w:t>
      </w:r>
      <w:r w:rsidR="005E2E65">
        <w:t>1 June 2021.</w:t>
      </w:r>
    </w:p>
    <w:p w14:paraId="57C6B998" w14:textId="67BA2ABC" w:rsidR="005E2E65" w:rsidRPr="002D144A" w:rsidRDefault="005E2E65" w:rsidP="002D144A">
      <w:r>
        <w:t>F</w:t>
      </w:r>
      <w:r w:rsidRPr="005E2E65">
        <w:t>remanezumab</w:t>
      </w:r>
      <w:r>
        <w:t xml:space="preserve"> was first listed on the PBS for chronic migraine on 1 </w:t>
      </w:r>
      <w:r w:rsidR="000A75DF">
        <w:t>August</w:t>
      </w:r>
      <w:r>
        <w:t xml:space="preserve"> 2021.</w:t>
      </w:r>
    </w:p>
    <w:p w14:paraId="5654C8EC" w14:textId="7E7659B4" w:rsidR="00B16CE6" w:rsidRDefault="005C6661" w:rsidP="004015AD">
      <w:pPr>
        <w:pStyle w:val="Heading3"/>
      </w:pPr>
      <w:r>
        <w:t>Data Source / methodology</w:t>
      </w:r>
    </w:p>
    <w:p w14:paraId="4A3D0FD0" w14:textId="77777777" w:rsidR="00B16CE6" w:rsidRDefault="00B16CE6" w:rsidP="00B16CE6">
      <w:pPr>
        <w:pStyle w:val="NoSpacing"/>
      </w:pPr>
      <w:proofErr w:type="gramStart"/>
      <w:r>
        <w:t>Authorities</w:t>
      </w:r>
      <w:proofErr w:type="gramEnd"/>
      <w:r>
        <w:t xml:space="preserve"> data and prescriptions data was extracted from the prescription database and </w:t>
      </w:r>
    </w:p>
    <w:p w14:paraId="23947EEC" w14:textId="77777777" w:rsidR="00B16CE6" w:rsidRDefault="00B16CE6" w:rsidP="00B16CE6">
      <w:pPr>
        <w:pStyle w:val="NoSpacing"/>
      </w:pPr>
      <w:r>
        <w:t xml:space="preserve">Authorities database maintained by the Department of Health and Aged Care, processed by </w:t>
      </w:r>
    </w:p>
    <w:p w14:paraId="40458B52" w14:textId="3AB91263" w:rsidR="00B16CE6" w:rsidRDefault="00B16CE6" w:rsidP="00B16CE6">
      <w:pPr>
        <w:pStyle w:val="NoSpacing"/>
      </w:pPr>
      <w:r>
        <w:t xml:space="preserve">Services Australia from between </w:t>
      </w:r>
      <w:r w:rsidR="4EBB6570">
        <w:t>1 J</w:t>
      </w:r>
      <w:r w:rsidR="00774962">
        <w:t>une</w:t>
      </w:r>
      <w:r w:rsidR="4EBB6570">
        <w:t xml:space="preserve"> 2021</w:t>
      </w:r>
      <w:r>
        <w:t xml:space="preserve"> and </w:t>
      </w:r>
      <w:r w:rsidR="123F650B">
        <w:t>29 February 2024</w:t>
      </w:r>
      <w:r>
        <w:t>, respectively. Data were extracted based on the date of supply.</w:t>
      </w:r>
    </w:p>
    <w:p w14:paraId="7599E7C1" w14:textId="77777777" w:rsidR="005C6661" w:rsidRDefault="005C6661" w:rsidP="00CF5E22">
      <w:pPr>
        <w:pStyle w:val="Heading3"/>
      </w:pPr>
      <w:r>
        <w:t>Key Findings</w:t>
      </w:r>
    </w:p>
    <w:p w14:paraId="678E3A7D" w14:textId="7EE3E0A9" w:rsidR="00BF45D4" w:rsidRDefault="00BF45D4" w:rsidP="00BF45D4">
      <w:pPr>
        <w:pStyle w:val="ListParagraph"/>
        <w:numPr>
          <w:ilvl w:val="0"/>
          <w:numId w:val="12"/>
        </w:numPr>
        <w:spacing w:line="276" w:lineRule="auto"/>
      </w:pPr>
      <w:r>
        <w:t>Actual script numbers for f</w:t>
      </w:r>
      <w:r w:rsidRPr="005E2E65">
        <w:t>remanezumab</w:t>
      </w:r>
      <w:r>
        <w:t xml:space="preserve"> were </w:t>
      </w:r>
      <w:r w:rsidR="00447E71" w:rsidRPr="00447E71">
        <w:rPr>
          <w:highlight w:val="black"/>
        </w:rPr>
        <w:t>XXXX</w:t>
      </w:r>
      <w:r>
        <w:t xml:space="preserve"> than predicted over the first two years of listing.</w:t>
      </w:r>
    </w:p>
    <w:p w14:paraId="5666B6C2" w14:textId="67748213" w:rsidR="00BF45D4" w:rsidRDefault="00BF45D4" w:rsidP="00BF45D4">
      <w:pPr>
        <w:pStyle w:val="ListParagraph"/>
        <w:numPr>
          <w:ilvl w:val="0"/>
          <w:numId w:val="12"/>
        </w:numPr>
        <w:spacing w:line="276" w:lineRule="auto"/>
      </w:pPr>
      <w:r>
        <w:t xml:space="preserve">Predicted patient numbers for </w:t>
      </w:r>
      <w:r w:rsidRPr="00953729">
        <w:t>galcanezumab</w:t>
      </w:r>
      <w:r>
        <w:t xml:space="preserve"> were </w:t>
      </w:r>
      <w:r w:rsidR="009B11B3" w:rsidRPr="009B11B3">
        <w:rPr>
          <w:highlight w:val="black"/>
        </w:rPr>
        <w:t>XXXX</w:t>
      </w:r>
      <w:r>
        <w:t xml:space="preserve"> than the actual patient numbers over the first two years of listing.</w:t>
      </w:r>
    </w:p>
    <w:p w14:paraId="3D7E1927" w14:textId="04FE409C" w:rsidR="00BF45D4" w:rsidRDefault="00BF45D4" w:rsidP="00BF45D4">
      <w:pPr>
        <w:pStyle w:val="ListParagraph"/>
        <w:numPr>
          <w:ilvl w:val="0"/>
          <w:numId w:val="12"/>
        </w:numPr>
        <w:spacing w:line="276" w:lineRule="auto"/>
      </w:pPr>
      <w:r>
        <w:t>The age and gender pattern of th</w:t>
      </w:r>
      <w:r w:rsidR="004A4847">
        <w:t>ose dispensed</w:t>
      </w:r>
      <w:r>
        <w:t xml:space="preserve"> </w:t>
      </w:r>
      <w:r w:rsidRPr="00953729">
        <w:t>galcanezumab</w:t>
      </w:r>
      <w:r>
        <w:t xml:space="preserve"> and f</w:t>
      </w:r>
      <w:r w:rsidRPr="005E2E65">
        <w:t>remanezumab</w:t>
      </w:r>
      <w:r>
        <w:t xml:space="preserve"> mirror</w:t>
      </w:r>
      <w:r w:rsidR="005B10B8">
        <w:t>ed</w:t>
      </w:r>
      <w:r>
        <w:t xml:space="preserve"> that of migraine in Australia</w:t>
      </w:r>
      <w:r w:rsidR="00A317A2">
        <w:t xml:space="preserve"> where the condition </w:t>
      </w:r>
      <w:r w:rsidR="003F4794">
        <w:t>wa</w:t>
      </w:r>
      <w:r w:rsidR="00A317A2">
        <w:t>s more common in females</w:t>
      </w:r>
      <w:r w:rsidR="00CE4EF8">
        <w:t>.</w:t>
      </w:r>
    </w:p>
    <w:p w14:paraId="4CECD232" w14:textId="4EFEB336" w:rsidR="00292256" w:rsidRDefault="00BF45D4" w:rsidP="00292256">
      <w:pPr>
        <w:pStyle w:val="ListParagraph"/>
        <w:numPr>
          <w:ilvl w:val="0"/>
          <w:numId w:val="12"/>
        </w:numPr>
        <w:spacing w:line="276" w:lineRule="auto"/>
      </w:pPr>
      <w:r>
        <w:lastRenderedPageBreak/>
        <w:t xml:space="preserve">Only a small number of patients </w:t>
      </w:r>
      <w:r w:rsidR="00D31E8E">
        <w:t>we</w:t>
      </w:r>
      <w:r>
        <w:t xml:space="preserve">re being co-dispensed an analgesic </w:t>
      </w:r>
      <w:r w:rsidR="00A317A2">
        <w:t xml:space="preserve">with galcanezumab or fremanezumab </w:t>
      </w:r>
      <w:r>
        <w:t xml:space="preserve">while more </w:t>
      </w:r>
      <w:r w:rsidR="00D31E8E">
        <w:t>we</w:t>
      </w:r>
      <w:r>
        <w:t>re being co-dispensed a triptan and/or a first line medication for prophylaxis</w:t>
      </w:r>
      <w:r w:rsidR="00EE67A7">
        <w:t xml:space="preserve"> along with their </w:t>
      </w:r>
      <w:r w:rsidR="00EE67A7" w:rsidRPr="00953729">
        <w:t>galcanezumab</w:t>
      </w:r>
      <w:r w:rsidR="00EE67A7">
        <w:t xml:space="preserve"> and f</w:t>
      </w:r>
      <w:r w:rsidR="00EE67A7" w:rsidRPr="005E2E65">
        <w:t>remanezumab</w:t>
      </w:r>
      <w:r>
        <w:t>.</w:t>
      </w:r>
    </w:p>
    <w:p w14:paraId="38B57ECC" w14:textId="35167966" w:rsidR="00BB0D1A" w:rsidRPr="00292256" w:rsidRDefault="00BF45D4" w:rsidP="00292256">
      <w:pPr>
        <w:pStyle w:val="ListParagraph"/>
        <w:numPr>
          <w:ilvl w:val="0"/>
          <w:numId w:val="12"/>
        </w:numPr>
        <w:spacing w:line="276" w:lineRule="auto"/>
      </w:pPr>
      <w:r>
        <w:t xml:space="preserve">While there </w:t>
      </w:r>
      <w:r w:rsidR="00D31E8E">
        <w:t>wa</w:t>
      </w:r>
      <w:r>
        <w:t xml:space="preserve">s a consistent geographic pattern of dispensing of </w:t>
      </w:r>
      <w:r w:rsidRPr="00BF45D4">
        <w:t>galcanezumab</w:t>
      </w:r>
      <w:r>
        <w:t xml:space="preserve"> and f</w:t>
      </w:r>
      <w:r w:rsidRPr="005E2E65">
        <w:t>remanezumab</w:t>
      </w:r>
      <w:r>
        <w:t xml:space="preserve"> provided</w:t>
      </w:r>
      <w:r w:rsidR="00EE67A7">
        <w:t xml:space="preserve"> through</w:t>
      </w:r>
      <w:r>
        <w:t xml:space="preserve"> the </w:t>
      </w:r>
      <w:r w:rsidRPr="00BF45D4">
        <w:t>PBS</w:t>
      </w:r>
      <w:r>
        <w:t>, this pattern d</w:t>
      </w:r>
      <w:r w:rsidR="00D31E8E">
        <w:t>id</w:t>
      </w:r>
      <w:r>
        <w:t xml:space="preserve"> not match up with the provision of </w:t>
      </w:r>
      <w:r w:rsidR="00EE67A7" w:rsidRPr="00EE67A7">
        <w:t>Botulinum toxin type A (Botox)</w:t>
      </w:r>
      <w:r>
        <w:t xml:space="preserve"> services provided</w:t>
      </w:r>
      <w:r w:rsidR="00EE67A7">
        <w:t xml:space="preserve"> through</w:t>
      </w:r>
      <w:r>
        <w:t xml:space="preserve"> the </w:t>
      </w:r>
      <w:r w:rsidRPr="00BF45D4">
        <w:t>Medicare Benefits Schedule (MBS)</w:t>
      </w:r>
      <w:r>
        <w:t>.</w:t>
      </w:r>
    </w:p>
    <w:p w14:paraId="66E9EC5C" w14:textId="0FD8738A" w:rsidR="002A6C24" w:rsidRDefault="00E677DD" w:rsidP="004015AD">
      <w:pPr>
        <w:pStyle w:val="Heading1"/>
      </w:pPr>
      <w:r w:rsidRPr="00CF5E22">
        <w:t xml:space="preserve">Purpose of </w:t>
      </w:r>
      <w:r w:rsidR="00D151EB" w:rsidRPr="00CF5E22">
        <w:t>analysis</w:t>
      </w:r>
    </w:p>
    <w:p w14:paraId="71327422" w14:textId="5F1F4391" w:rsidR="005F7DDA" w:rsidRDefault="00E9156A" w:rsidP="002A6C24">
      <w:pPr>
        <w:pStyle w:val="NoSpacing"/>
      </w:pPr>
      <w:r>
        <w:t xml:space="preserve">To </w:t>
      </w:r>
      <w:r w:rsidR="005F7DDA">
        <w:t xml:space="preserve">review the use of both galcanezumab and fremanezumab for chronic migraine </w:t>
      </w:r>
      <w:r w:rsidR="005F7DDA" w:rsidRPr="00966500">
        <w:t>includ</w:t>
      </w:r>
      <w:r w:rsidR="005F7DDA">
        <w:t>ing a</w:t>
      </w:r>
      <w:r w:rsidR="005F7DDA" w:rsidRPr="00966500">
        <w:t xml:space="preserve"> </w:t>
      </w:r>
      <w:r w:rsidR="005F7DDA">
        <w:t>predicted vs</w:t>
      </w:r>
      <w:r w:rsidR="00A317A2">
        <w:t>.</w:t>
      </w:r>
      <w:r w:rsidR="005F7DDA">
        <w:t xml:space="preserve"> actual utilisation since </w:t>
      </w:r>
      <w:r w:rsidR="00607D4A">
        <w:t>their</w:t>
      </w:r>
      <w:r w:rsidR="005F7DDA">
        <w:t xml:space="preserve"> listing on the PBS </w:t>
      </w:r>
      <w:r w:rsidR="001548C7">
        <w:t>(1 June 2021 and 1 August 2021 respectively)</w:t>
      </w:r>
      <w:r w:rsidR="00A317A2">
        <w:t xml:space="preserve">. </w:t>
      </w:r>
      <w:r w:rsidR="005F7DDA">
        <w:t xml:space="preserve"> </w:t>
      </w:r>
      <w:r w:rsidR="00A317A2">
        <w:t>A</w:t>
      </w:r>
      <w:r w:rsidR="005F7DDA" w:rsidRPr="00966500">
        <w:t>nalys</w:t>
      </w:r>
      <w:r w:rsidR="00A317A2">
        <w:t>e</w:t>
      </w:r>
      <w:r w:rsidR="005F7DDA" w:rsidRPr="00966500">
        <w:t xml:space="preserve">s on </w:t>
      </w:r>
      <w:r w:rsidR="00A317A2">
        <w:t xml:space="preserve">the </w:t>
      </w:r>
      <w:r w:rsidR="005F7DDA" w:rsidRPr="00966500">
        <w:t xml:space="preserve">co-prescribing of </w:t>
      </w:r>
      <w:r w:rsidR="00A317A2">
        <w:t xml:space="preserve">galcanezumab or fremanezumab with </w:t>
      </w:r>
      <w:r w:rsidR="005F7DDA" w:rsidRPr="00966500">
        <w:t xml:space="preserve">analgesics and other migraine medicines and geospatial analyses to examine </w:t>
      </w:r>
      <w:r w:rsidR="00A63E02" w:rsidRPr="00953729">
        <w:t>the supply of the medicines through specialty migraine clinics</w:t>
      </w:r>
      <w:r w:rsidR="00A317A2">
        <w:t xml:space="preserve"> were also undertaken</w:t>
      </w:r>
      <w:r w:rsidR="00710CA2">
        <w:t>.</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1C568CA1" w14:textId="2FC2C8AA" w:rsidR="005D1865" w:rsidRDefault="00D8659E" w:rsidP="00EE2BBB">
      <w:r w:rsidRPr="00D8659E">
        <w:t xml:space="preserve">Migraine is a chronic neurological disorder characterised by attacks of moderate or severe headache and reversible neurological and systemic symptoms. The most characteristic symptoms associated with migraine include </w:t>
      </w:r>
      <w:r w:rsidR="003A45A3">
        <w:t>sensitivity of the eyes to light (</w:t>
      </w:r>
      <w:r w:rsidRPr="00D8659E">
        <w:t>photophobia</w:t>
      </w:r>
      <w:r w:rsidR="003A45A3">
        <w:t>)</w:t>
      </w:r>
      <w:r w:rsidRPr="00D8659E">
        <w:t xml:space="preserve">, </w:t>
      </w:r>
      <w:r w:rsidR="003A45A3">
        <w:t>sensitivity to sounds (</w:t>
      </w:r>
      <w:r w:rsidRPr="00D8659E">
        <w:t>phonophobia</w:t>
      </w:r>
      <w:r w:rsidR="003A45A3">
        <w:t>)</w:t>
      </w:r>
      <w:r w:rsidRPr="00D8659E">
        <w:t>, cutaneous allodynia</w:t>
      </w:r>
      <w:r w:rsidR="003A45A3">
        <w:t xml:space="preserve"> (a type of nerve pain)</w:t>
      </w:r>
      <w:r w:rsidRPr="00D8659E">
        <w:t>, and gastrointestinal symptoms such as nausea and emesis.</w:t>
      </w:r>
      <w:r>
        <w:t xml:space="preserve"> </w:t>
      </w:r>
      <w:r w:rsidRPr="00D8659E">
        <w:t>Additionally, patients can have a variety of other neurological symptoms—e</w:t>
      </w:r>
      <w:r w:rsidR="003A45A3">
        <w:t>.</w:t>
      </w:r>
      <w:r w:rsidRPr="00D8659E">
        <w:t>g</w:t>
      </w:r>
      <w:r w:rsidR="003A45A3">
        <w:t>.</w:t>
      </w:r>
      <w:r w:rsidRPr="00D8659E">
        <w:t>, vertigo, dizziness, tinnitus, and cognitive impairment</w:t>
      </w:r>
      <w:r w:rsidR="0019302B" w:rsidRPr="005C52B9">
        <w:rPr>
          <w:vertAlign w:val="superscript"/>
        </w:rPr>
        <w:t>1</w:t>
      </w:r>
      <w:r w:rsidRPr="00D8659E">
        <w:t>.</w:t>
      </w:r>
    </w:p>
    <w:p w14:paraId="04B91711" w14:textId="653966AC" w:rsidR="005C52B9" w:rsidRPr="005C52B9" w:rsidRDefault="005C52B9" w:rsidP="00EE2BBB">
      <w:pPr>
        <w:rPr>
          <w:highlight w:val="yellow"/>
        </w:rPr>
      </w:pPr>
      <w:r w:rsidRPr="005C52B9">
        <w:t>Migraine is a common brain disorder</w:t>
      </w:r>
      <w:r w:rsidR="003A45A3">
        <w:t xml:space="preserve"> that can be triggered by several </w:t>
      </w:r>
      <w:proofErr w:type="gramStart"/>
      <w:r w:rsidR="003A45A3">
        <w:t>factors</w:t>
      </w:r>
      <w:r w:rsidR="00CC126D">
        <w:t>,</w:t>
      </w:r>
      <w:r w:rsidRPr="005C52B9">
        <w:t xml:space="preserve"> </w:t>
      </w:r>
      <w:r w:rsidR="00CC126D">
        <w:t>and</w:t>
      </w:r>
      <w:proofErr w:type="gramEnd"/>
      <w:r w:rsidR="00CC126D">
        <w:t xml:space="preserve"> has</w:t>
      </w:r>
      <w:r w:rsidR="00CC126D" w:rsidRPr="005C52B9">
        <w:t xml:space="preserve"> </w:t>
      </w:r>
      <w:r w:rsidR="003A45A3">
        <w:t xml:space="preserve">a </w:t>
      </w:r>
      <w:r w:rsidRPr="005C52B9">
        <w:t xml:space="preserve">complex biology. </w:t>
      </w:r>
      <w:r w:rsidR="003A45A3">
        <w:t xml:space="preserve">It is thought that </w:t>
      </w:r>
      <w:r w:rsidR="00CC126D">
        <w:t xml:space="preserve">during an episode of </w:t>
      </w:r>
      <w:r w:rsidR="003A45A3">
        <w:t>migraine</w:t>
      </w:r>
      <w:r w:rsidR="00CC126D">
        <w:t>, sensory information about pain from the head is sent to</w:t>
      </w:r>
      <w:r w:rsidR="002708DE">
        <w:t xml:space="preserve"> </w:t>
      </w:r>
      <w:r w:rsidRPr="005C52B9">
        <w:t>peripheral trigeminal sensory nerves</w:t>
      </w:r>
      <w:r w:rsidR="00CC126D">
        <w:t xml:space="preserve"> </w:t>
      </w:r>
      <w:r w:rsidRPr="005C52B9">
        <w:t>on the single pain centre of the trigeminocervical complex</w:t>
      </w:r>
      <w:r w:rsidR="00CC126D">
        <w:t>, a cluster of nerve tissue which connects the trigeminal nerve, upper neck and jaw</w:t>
      </w:r>
      <w:r w:rsidRPr="005C52B9">
        <w:t xml:space="preserve">. </w:t>
      </w:r>
      <w:r w:rsidR="00CC126D">
        <w:t>Distress signals through the trigeminal nerves</w:t>
      </w:r>
      <w:r w:rsidR="00CC126D" w:rsidRPr="005C52B9">
        <w:t xml:space="preserve"> </w:t>
      </w:r>
      <w:r w:rsidR="00CC126D">
        <w:t>are carried to the brain through</w:t>
      </w:r>
      <w:r w:rsidRPr="005C52B9">
        <w:t xml:space="preserve"> central mechanisms</w:t>
      </w:r>
      <w:r w:rsidR="00CC126D">
        <w:t>,</w:t>
      </w:r>
      <w:r w:rsidRPr="005C52B9">
        <w:t xml:space="preserve"> includ</w:t>
      </w:r>
      <w:r w:rsidR="00CC126D">
        <w:t>ing</w:t>
      </w:r>
      <w:r w:rsidRPr="005C52B9">
        <w:t xml:space="preserve"> neurotransmitter pathways such as serotonin, calcitonin gene-related peptide and other neuropeptides</w:t>
      </w:r>
      <w:r w:rsidRPr="005C52B9">
        <w:rPr>
          <w:vertAlign w:val="superscript"/>
        </w:rPr>
        <w:t>2</w:t>
      </w:r>
      <w:r>
        <w:t>.</w:t>
      </w:r>
    </w:p>
    <w:p w14:paraId="5C1E7B39" w14:textId="5743E1C3" w:rsidR="001563DE" w:rsidRDefault="007B614A" w:rsidP="007B614A">
      <w:r>
        <w:t xml:space="preserve">Medicines that are commonly used for the management of </w:t>
      </w:r>
      <w:r w:rsidR="007B561D">
        <w:t>migraine</w:t>
      </w:r>
      <w:r>
        <w:t xml:space="preserve"> are summarised in Table </w:t>
      </w:r>
      <w:r w:rsidR="004A4847">
        <w:t>1</w:t>
      </w:r>
      <w:r>
        <w:t>.</w:t>
      </w:r>
    </w:p>
    <w:p w14:paraId="186D7CEB" w14:textId="77777777" w:rsidR="004A4847" w:rsidRDefault="004A4847" w:rsidP="007B614A"/>
    <w:p w14:paraId="55A9E272" w14:textId="77777777" w:rsidR="00710CA2" w:rsidRDefault="00710CA2" w:rsidP="007B614A"/>
    <w:p w14:paraId="5A140165" w14:textId="77777777" w:rsidR="00292256" w:rsidRDefault="00292256" w:rsidP="007B614A"/>
    <w:p w14:paraId="60690B7E" w14:textId="3E33F2EE" w:rsidR="00C528B2" w:rsidRPr="006F30DE" w:rsidRDefault="00C528B2" w:rsidP="006F2BD9">
      <w:pPr>
        <w:spacing w:after="0"/>
        <w:rPr>
          <w:b/>
          <w:bCs/>
        </w:rPr>
      </w:pPr>
      <w:r w:rsidRPr="006F30DE">
        <w:rPr>
          <w:b/>
          <w:bCs/>
        </w:rPr>
        <w:lastRenderedPageBreak/>
        <w:t xml:space="preserve">Table </w:t>
      </w:r>
      <w:r w:rsidR="00AB3CC2">
        <w:rPr>
          <w:b/>
          <w:bCs/>
        </w:rPr>
        <w:t>1</w:t>
      </w:r>
      <w:r w:rsidRPr="006F30DE">
        <w:rPr>
          <w:b/>
          <w:bCs/>
        </w:rPr>
        <w:t>: Commonly used drugs for the management of</w:t>
      </w:r>
      <w:r w:rsidR="009D36DA">
        <w:rPr>
          <w:b/>
          <w:bCs/>
        </w:rPr>
        <w:t xml:space="preserve"> </w:t>
      </w:r>
      <w:r w:rsidRPr="006F30DE">
        <w:rPr>
          <w:b/>
          <w:bCs/>
        </w:rPr>
        <w:t>mi</w:t>
      </w:r>
      <w:r w:rsidR="006F30DE" w:rsidRPr="006F30DE">
        <w:rPr>
          <w:b/>
          <w:bCs/>
        </w:rPr>
        <w:t>graine</w:t>
      </w:r>
    </w:p>
    <w:tbl>
      <w:tblPr>
        <w:tblStyle w:val="TableGrid"/>
        <w:tblW w:w="0" w:type="auto"/>
        <w:tblLook w:val="04A0" w:firstRow="1" w:lastRow="0" w:firstColumn="1" w:lastColumn="0" w:noHBand="0" w:noVBand="1"/>
      </w:tblPr>
      <w:tblGrid>
        <w:gridCol w:w="1838"/>
        <w:gridCol w:w="7109"/>
      </w:tblGrid>
      <w:tr w:rsidR="00BF0857" w:rsidRPr="006F2BD9" w14:paraId="519C5761" w14:textId="77777777" w:rsidTr="00CA5919">
        <w:tc>
          <w:tcPr>
            <w:tcW w:w="1838" w:type="dxa"/>
          </w:tcPr>
          <w:p w14:paraId="0EF04A76" w14:textId="7D11A467" w:rsidR="00BF0857" w:rsidRPr="006F2BD9" w:rsidRDefault="00BF0857" w:rsidP="007B614A">
            <w:pPr>
              <w:rPr>
                <w:b/>
                <w:bCs/>
                <w:sz w:val="20"/>
                <w:szCs w:val="20"/>
              </w:rPr>
            </w:pPr>
            <w:r w:rsidRPr="006F2BD9">
              <w:rPr>
                <w:b/>
                <w:bCs/>
                <w:sz w:val="20"/>
                <w:szCs w:val="20"/>
              </w:rPr>
              <w:t>Drug class</w:t>
            </w:r>
          </w:p>
        </w:tc>
        <w:tc>
          <w:tcPr>
            <w:tcW w:w="7109" w:type="dxa"/>
          </w:tcPr>
          <w:p w14:paraId="336555E1" w14:textId="07C915F7" w:rsidR="00BF0857" w:rsidRPr="006F2BD9" w:rsidRDefault="00CA5919" w:rsidP="007B614A">
            <w:pPr>
              <w:rPr>
                <w:b/>
                <w:bCs/>
                <w:sz w:val="20"/>
                <w:szCs w:val="20"/>
              </w:rPr>
            </w:pPr>
            <w:r w:rsidRPr="006F2BD9">
              <w:rPr>
                <w:b/>
                <w:bCs/>
                <w:sz w:val="20"/>
                <w:szCs w:val="20"/>
              </w:rPr>
              <w:t>Generic drug names</w:t>
            </w:r>
          </w:p>
        </w:tc>
      </w:tr>
      <w:tr w:rsidR="00E373FE" w:rsidRPr="006F2BD9" w14:paraId="50DE1988" w14:textId="77777777">
        <w:tc>
          <w:tcPr>
            <w:tcW w:w="8947" w:type="dxa"/>
            <w:gridSpan w:val="2"/>
          </w:tcPr>
          <w:p w14:paraId="52E5B1AD" w14:textId="53C87B80" w:rsidR="00E373FE" w:rsidRPr="006F2BD9" w:rsidRDefault="00E373FE" w:rsidP="007B614A">
            <w:pPr>
              <w:rPr>
                <w:b/>
                <w:bCs/>
                <w:sz w:val="20"/>
                <w:szCs w:val="20"/>
              </w:rPr>
            </w:pPr>
            <w:r w:rsidRPr="006F2BD9">
              <w:rPr>
                <w:b/>
                <w:bCs/>
                <w:sz w:val="20"/>
                <w:szCs w:val="20"/>
              </w:rPr>
              <w:t>Acute migraine</w:t>
            </w:r>
          </w:p>
        </w:tc>
      </w:tr>
      <w:tr w:rsidR="00BF0857" w:rsidRPr="006F2BD9" w14:paraId="5A855F09" w14:textId="77777777" w:rsidTr="00CA5919">
        <w:tc>
          <w:tcPr>
            <w:tcW w:w="1838" w:type="dxa"/>
          </w:tcPr>
          <w:p w14:paraId="75D0F861" w14:textId="21AA1EF9" w:rsidR="00BF0857" w:rsidRPr="006F2BD9" w:rsidRDefault="00A45465" w:rsidP="007B614A">
            <w:pPr>
              <w:rPr>
                <w:sz w:val="20"/>
                <w:szCs w:val="20"/>
              </w:rPr>
            </w:pPr>
            <w:r w:rsidRPr="006F2BD9">
              <w:rPr>
                <w:sz w:val="20"/>
                <w:szCs w:val="20"/>
              </w:rPr>
              <w:t>Non-opioid analgesic</w:t>
            </w:r>
            <w:r w:rsidR="008973EC" w:rsidRPr="006F2BD9">
              <w:rPr>
                <w:sz w:val="20"/>
                <w:szCs w:val="20"/>
                <w:vertAlign w:val="superscript"/>
              </w:rPr>
              <w:t>a</w:t>
            </w:r>
          </w:p>
        </w:tc>
        <w:tc>
          <w:tcPr>
            <w:tcW w:w="7109" w:type="dxa"/>
          </w:tcPr>
          <w:p w14:paraId="6CD5A0C4" w14:textId="7D1B76D1" w:rsidR="00BF0857" w:rsidRPr="006F2BD9" w:rsidRDefault="00A45465" w:rsidP="007B614A">
            <w:pPr>
              <w:rPr>
                <w:sz w:val="20"/>
                <w:szCs w:val="20"/>
              </w:rPr>
            </w:pPr>
            <w:r w:rsidRPr="006F2BD9">
              <w:rPr>
                <w:sz w:val="20"/>
                <w:szCs w:val="20"/>
              </w:rPr>
              <w:t>Aspirin</w:t>
            </w:r>
            <w:r w:rsidR="002A4B9B" w:rsidRPr="006F2BD9">
              <w:rPr>
                <w:sz w:val="20"/>
                <w:szCs w:val="20"/>
              </w:rPr>
              <w:t xml:space="preserve">, ibuprofen, diclofenac potassium, </w:t>
            </w:r>
            <w:r w:rsidR="00C528B2" w:rsidRPr="006F2BD9">
              <w:rPr>
                <w:sz w:val="20"/>
                <w:szCs w:val="20"/>
              </w:rPr>
              <w:t>naproxen, paracetamol.</w:t>
            </w:r>
          </w:p>
        </w:tc>
      </w:tr>
      <w:tr w:rsidR="00BF0857" w:rsidRPr="006F2BD9" w14:paraId="26890AEE" w14:textId="77777777" w:rsidTr="00CA5919">
        <w:tc>
          <w:tcPr>
            <w:tcW w:w="1838" w:type="dxa"/>
          </w:tcPr>
          <w:p w14:paraId="499BC266" w14:textId="4C620B01" w:rsidR="00BF0857" w:rsidRPr="006F2BD9" w:rsidRDefault="00AC5947" w:rsidP="007B614A">
            <w:pPr>
              <w:rPr>
                <w:sz w:val="20"/>
                <w:szCs w:val="20"/>
              </w:rPr>
            </w:pPr>
            <w:r w:rsidRPr="006F2BD9">
              <w:rPr>
                <w:sz w:val="20"/>
                <w:szCs w:val="20"/>
              </w:rPr>
              <w:t>Triptan</w:t>
            </w:r>
          </w:p>
        </w:tc>
        <w:tc>
          <w:tcPr>
            <w:tcW w:w="7109" w:type="dxa"/>
          </w:tcPr>
          <w:p w14:paraId="777D8CA2" w14:textId="2909BA66" w:rsidR="00BF0857" w:rsidRPr="006F2BD9" w:rsidRDefault="00AC5947" w:rsidP="007B614A">
            <w:pPr>
              <w:rPr>
                <w:sz w:val="20"/>
                <w:szCs w:val="20"/>
              </w:rPr>
            </w:pPr>
            <w:r w:rsidRPr="006F2BD9">
              <w:rPr>
                <w:sz w:val="20"/>
                <w:szCs w:val="20"/>
              </w:rPr>
              <w:t xml:space="preserve">Eletriptan, </w:t>
            </w:r>
            <w:r w:rsidR="009528EB" w:rsidRPr="006F2BD9">
              <w:rPr>
                <w:sz w:val="20"/>
                <w:szCs w:val="20"/>
              </w:rPr>
              <w:t xml:space="preserve">naratriptan, rizatriptan, </w:t>
            </w:r>
            <w:r w:rsidR="004B57D3" w:rsidRPr="006F2BD9">
              <w:rPr>
                <w:sz w:val="20"/>
                <w:szCs w:val="20"/>
              </w:rPr>
              <w:t>sumatriptan, zolmitriptan.</w:t>
            </w:r>
          </w:p>
        </w:tc>
      </w:tr>
      <w:tr w:rsidR="00E373FE" w:rsidRPr="006F2BD9" w14:paraId="79133E41" w14:textId="77777777">
        <w:tc>
          <w:tcPr>
            <w:tcW w:w="8947" w:type="dxa"/>
            <w:gridSpan w:val="2"/>
          </w:tcPr>
          <w:p w14:paraId="79742DF0" w14:textId="5F021C77" w:rsidR="00E373FE" w:rsidRPr="006F2BD9" w:rsidRDefault="00E373FE" w:rsidP="007B614A">
            <w:pPr>
              <w:rPr>
                <w:b/>
                <w:bCs/>
                <w:sz w:val="20"/>
                <w:szCs w:val="20"/>
              </w:rPr>
            </w:pPr>
            <w:r w:rsidRPr="006F2BD9">
              <w:rPr>
                <w:b/>
                <w:bCs/>
                <w:sz w:val="20"/>
                <w:szCs w:val="20"/>
              </w:rPr>
              <w:t>Migraine pro</w:t>
            </w:r>
            <w:r w:rsidR="008976D5" w:rsidRPr="006F2BD9">
              <w:rPr>
                <w:b/>
                <w:bCs/>
                <w:sz w:val="20"/>
                <w:szCs w:val="20"/>
              </w:rPr>
              <w:t>phylaxis</w:t>
            </w:r>
          </w:p>
        </w:tc>
      </w:tr>
      <w:tr w:rsidR="00E373FE" w:rsidRPr="006F2BD9" w14:paraId="0AFC6BA4" w14:textId="77777777" w:rsidTr="00CA5919">
        <w:tc>
          <w:tcPr>
            <w:tcW w:w="1838" w:type="dxa"/>
          </w:tcPr>
          <w:p w14:paraId="74822839" w14:textId="22E2C481" w:rsidR="00E373FE" w:rsidRPr="006F2BD9" w:rsidRDefault="0012731E" w:rsidP="007B614A">
            <w:pPr>
              <w:rPr>
                <w:sz w:val="20"/>
                <w:szCs w:val="20"/>
              </w:rPr>
            </w:pPr>
            <w:r w:rsidRPr="006F2BD9">
              <w:rPr>
                <w:sz w:val="20"/>
                <w:szCs w:val="20"/>
              </w:rPr>
              <w:t>First line</w:t>
            </w:r>
            <w:r w:rsidR="003B15A9" w:rsidRPr="006F2BD9">
              <w:rPr>
                <w:sz w:val="20"/>
                <w:szCs w:val="20"/>
                <w:vertAlign w:val="superscript"/>
              </w:rPr>
              <w:t>b</w:t>
            </w:r>
            <w:r w:rsidR="00875ECA" w:rsidRPr="006F2BD9">
              <w:rPr>
                <w:sz w:val="20"/>
                <w:szCs w:val="20"/>
                <w:vertAlign w:val="superscript"/>
              </w:rPr>
              <w:t>/c</w:t>
            </w:r>
          </w:p>
        </w:tc>
        <w:tc>
          <w:tcPr>
            <w:tcW w:w="7109" w:type="dxa"/>
          </w:tcPr>
          <w:p w14:paraId="404DFD55" w14:textId="33945932" w:rsidR="00E373FE" w:rsidRPr="006F2BD9" w:rsidRDefault="00283078" w:rsidP="0012731E">
            <w:pPr>
              <w:tabs>
                <w:tab w:val="center" w:pos="3446"/>
              </w:tabs>
              <w:rPr>
                <w:sz w:val="20"/>
                <w:szCs w:val="20"/>
              </w:rPr>
            </w:pPr>
            <w:r w:rsidRPr="006F2BD9">
              <w:rPr>
                <w:sz w:val="20"/>
                <w:szCs w:val="20"/>
              </w:rPr>
              <w:t xml:space="preserve">Amitriptyline, </w:t>
            </w:r>
            <w:r w:rsidR="0012731E" w:rsidRPr="006F2BD9">
              <w:rPr>
                <w:sz w:val="20"/>
                <w:szCs w:val="20"/>
              </w:rPr>
              <w:t xml:space="preserve">candesartan, nortriptyline, </w:t>
            </w:r>
            <w:bookmarkStart w:id="0" w:name="_Hlk160714089"/>
            <w:r w:rsidR="00076946" w:rsidRPr="006F2BD9">
              <w:rPr>
                <w:sz w:val="20"/>
                <w:szCs w:val="20"/>
              </w:rPr>
              <w:t xml:space="preserve">pizotifen, propranolol, </w:t>
            </w:r>
            <w:r w:rsidR="00814606" w:rsidRPr="006F2BD9">
              <w:rPr>
                <w:sz w:val="20"/>
                <w:szCs w:val="20"/>
              </w:rPr>
              <w:t>sodium valproate, topiramate,</w:t>
            </w:r>
            <w:bookmarkEnd w:id="0"/>
            <w:r w:rsidR="00814606" w:rsidRPr="006F2BD9">
              <w:rPr>
                <w:sz w:val="20"/>
                <w:szCs w:val="20"/>
              </w:rPr>
              <w:t xml:space="preserve"> </w:t>
            </w:r>
            <w:r w:rsidR="00CC769F" w:rsidRPr="006F2BD9">
              <w:rPr>
                <w:sz w:val="20"/>
                <w:szCs w:val="20"/>
              </w:rPr>
              <w:t>verapamil</w:t>
            </w:r>
            <w:r w:rsidR="00EA2B0B" w:rsidRPr="006F2BD9">
              <w:rPr>
                <w:sz w:val="20"/>
                <w:szCs w:val="20"/>
              </w:rPr>
              <w:t>.</w:t>
            </w:r>
          </w:p>
        </w:tc>
      </w:tr>
      <w:tr w:rsidR="00E373FE" w:rsidRPr="006F2BD9" w14:paraId="32C723B0" w14:textId="77777777" w:rsidTr="00CA5919">
        <w:tc>
          <w:tcPr>
            <w:tcW w:w="1838" w:type="dxa"/>
          </w:tcPr>
          <w:p w14:paraId="0CED6653" w14:textId="6418EF54" w:rsidR="00E373FE" w:rsidRPr="006F2BD9" w:rsidRDefault="0045005B" w:rsidP="0045005B">
            <w:pPr>
              <w:rPr>
                <w:sz w:val="20"/>
                <w:szCs w:val="20"/>
              </w:rPr>
            </w:pPr>
            <w:r w:rsidRPr="006F2BD9">
              <w:rPr>
                <w:sz w:val="20"/>
                <w:szCs w:val="20"/>
              </w:rPr>
              <w:t>Second line</w:t>
            </w:r>
          </w:p>
        </w:tc>
        <w:tc>
          <w:tcPr>
            <w:tcW w:w="7109" w:type="dxa"/>
          </w:tcPr>
          <w:p w14:paraId="0A7B2F02" w14:textId="142FF3B8" w:rsidR="00E373FE" w:rsidRPr="006F2BD9" w:rsidRDefault="00F82B9D" w:rsidP="007B614A">
            <w:pPr>
              <w:rPr>
                <w:sz w:val="20"/>
                <w:szCs w:val="20"/>
              </w:rPr>
            </w:pPr>
            <w:r w:rsidRPr="006F2BD9">
              <w:rPr>
                <w:sz w:val="20"/>
                <w:szCs w:val="20"/>
              </w:rPr>
              <w:t>B</w:t>
            </w:r>
            <w:r w:rsidR="001504EE" w:rsidRPr="006F2BD9">
              <w:rPr>
                <w:sz w:val="20"/>
                <w:szCs w:val="20"/>
              </w:rPr>
              <w:t>otulinum toxin type A</w:t>
            </w:r>
            <w:r w:rsidR="00EB326D" w:rsidRPr="006F2BD9">
              <w:rPr>
                <w:sz w:val="20"/>
                <w:szCs w:val="20"/>
              </w:rPr>
              <w:t xml:space="preserve"> (Botox)</w:t>
            </w:r>
            <w:r w:rsidR="001504EE" w:rsidRPr="006F2BD9">
              <w:rPr>
                <w:sz w:val="20"/>
                <w:szCs w:val="20"/>
              </w:rPr>
              <w:t xml:space="preserve">, </w:t>
            </w:r>
            <w:r w:rsidR="00FF4542" w:rsidRPr="006F2BD9">
              <w:rPr>
                <w:sz w:val="20"/>
                <w:szCs w:val="20"/>
              </w:rPr>
              <w:t xml:space="preserve">eptinezumab, </w:t>
            </w:r>
            <w:r w:rsidR="00882D92" w:rsidRPr="006F2BD9">
              <w:rPr>
                <w:sz w:val="20"/>
                <w:szCs w:val="20"/>
              </w:rPr>
              <w:t>galcanezumab</w:t>
            </w:r>
            <w:r w:rsidR="00AE499C" w:rsidRPr="006F2BD9">
              <w:rPr>
                <w:sz w:val="20"/>
                <w:szCs w:val="20"/>
              </w:rPr>
              <w:t xml:space="preserve">, </w:t>
            </w:r>
            <w:r w:rsidR="00882D92" w:rsidRPr="006F2BD9">
              <w:rPr>
                <w:sz w:val="20"/>
                <w:szCs w:val="20"/>
              </w:rPr>
              <w:t>fremanezumab.</w:t>
            </w:r>
          </w:p>
        </w:tc>
      </w:tr>
    </w:tbl>
    <w:p w14:paraId="7C325A54" w14:textId="77777777" w:rsidR="008B7872" w:rsidRPr="006F2BD9" w:rsidRDefault="000B02AF" w:rsidP="00A050AD">
      <w:pPr>
        <w:spacing w:after="0"/>
        <w:rPr>
          <w:sz w:val="20"/>
          <w:szCs w:val="20"/>
        </w:rPr>
      </w:pPr>
      <w:r w:rsidRPr="006F2BD9">
        <w:rPr>
          <w:sz w:val="20"/>
          <w:szCs w:val="20"/>
        </w:rPr>
        <w:t xml:space="preserve">Note: </w:t>
      </w:r>
    </w:p>
    <w:p w14:paraId="48F22AA2" w14:textId="777E248B" w:rsidR="000B02AF" w:rsidRPr="006F2BD9" w:rsidRDefault="003B15A9" w:rsidP="00A050AD">
      <w:pPr>
        <w:spacing w:after="0"/>
        <w:rPr>
          <w:sz w:val="20"/>
          <w:szCs w:val="20"/>
        </w:rPr>
      </w:pPr>
      <w:r w:rsidRPr="006F2BD9">
        <w:rPr>
          <w:sz w:val="20"/>
          <w:szCs w:val="20"/>
          <w:vertAlign w:val="superscript"/>
        </w:rPr>
        <w:t>a</w:t>
      </w:r>
      <w:r w:rsidR="000B02AF" w:rsidRPr="006F2BD9">
        <w:rPr>
          <w:sz w:val="20"/>
          <w:szCs w:val="20"/>
        </w:rPr>
        <w:t xml:space="preserve"> When the response to a nonopioid analgesic is suboptimal, consider adding an antiemetic </w:t>
      </w:r>
      <w:r w:rsidR="00C41326" w:rsidRPr="006F2BD9">
        <w:rPr>
          <w:sz w:val="20"/>
          <w:szCs w:val="20"/>
        </w:rPr>
        <w:t>(metoclopramide, domperidone</w:t>
      </w:r>
      <w:r w:rsidR="00B62127" w:rsidRPr="006F2BD9">
        <w:rPr>
          <w:sz w:val="20"/>
          <w:szCs w:val="20"/>
        </w:rPr>
        <w:t xml:space="preserve">, ondansetron, prochlorperazine) </w:t>
      </w:r>
      <w:r w:rsidR="000B02AF" w:rsidRPr="006F2BD9">
        <w:rPr>
          <w:sz w:val="20"/>
          <w:szCs w:val="20"/>
        </w:rPr>
        <w:t>the antiemetic can improve treatment response by increasing drug absorption.</w:t>
      </w:r>
    </w:p>
    <w:p w14:paraId="4538FE69" w14:textId="77777777" w:rsidR="00875ECA" w:rsidRPr="006F2BD9" w:rsidRDefault="003B15A9" w:rsidP="00A050AD">
      <w:pPr>
        <w:spacing w:after="0"/>
        <w:rPr>
          <w:sz w:val="20"/>
          <w:szCs w:val="20"/>
        </w:rPr>
      </w:pPr>
      <w:r w:rsidRPr="006F2BD9">
        <w:rPr>
          <w:sz w:val="20"/>
          <w:szCs w:val="20"/>
          <w:vertAlign w:val="superscript"/>
        </w:rPr>
        <w:t xml:space="preserve">b </w:t>
      </w:r>
      <w:r w:rsidR="00A24BC5" w:rsidRPr="006F2BD9">
        <w:rPr>
          <w:sz w:val="20"/>
          <w:szCs w:val="20"/>
        </w:rPr>
        <w:t xml:space="preserve">Other first line </w:t>
      </w:r>
      <w:r w:rsidR="00513FE8" w:rsidRPr="006F2BD9">
        <w:rPr>
          <w:sz w:val="20"/>
          <w:szCs w:val="20"/>
        </w:rPr>
        <w:t>treatments</w:t>
      </w:r>
      <w:r w:rsidR="00A24BC5" w:rsidRPr="006F2BD9">
        <w:rPr>
          <w:sz w:val="20"/>
          <w:szCs w:val="20"/>
        </w:rPr>
        <w:t xml:space="preserve"> </w:t>
      </w:r>
      <w:proofErr w:type="gramStart"/>
      <w:r w:rsidR="00A24BC5" w:rsidRPr="006F2BD9">
        <w:rPr>
          <w:sz w:val="20"/>
          <w:szCs w:val="20"/>
        </w:rPr>
        <w:t>include</w:t>
      </w:r>
      <w:r w:rsidR="00513FE8" w:rsidRPr="006F2BD9">
        <w:rPr>
          <w:sz w:val="20"/>
          <w:szCs w:val="20"/>
        </w:rPr>
        <w:t>:</w:t>
      </w:r>
      <w:proofErr w:type="gramEnd"/>
      <w:r w:rsidR="001E1375" w:rsidRPr="006F2BD9">
        <w:rPr>
          <w:sz w:val="20"/>
          <w:szCs w:val="20"/>
        </w:rPr>
        <w:t xml:space="preserve"> gabapentin, pregabalin, and venlafaxine.</w:t>
      </w:r>
      <w:r w:rsidR="00AD74B3" w:rsidRPr="006F2BD9">
        <w:rPr>
          <w:sz w:val="20"/>
          <w:szCs w:val="20"/>
        </w:rPr>
        <w:t xml:space="preserve"> </w:t>
      </w:r>
    </w:p>
    <w:p w14:paraId="1B1AA860" w14:textId="3684DDC8" w:rsidR="00A24BC5" w:rsidRPr="006F2BD9" w:rsidRDefault="00875ECA" w:rsidP="00A050AD">
      <w:pPr>
        <w:spacing w:after="0"/>
        <w:rPr>
          <w:sz w:val="20"/>
          <w:szCs w:val="20"/>
        </w:rPr>
      </w:pPr>
      <w:r w:rsidRPr="006F2BD9">
        <w:rPr>
          <w:sz w:val="20"/>
          <w:szCs w:val="20"/>
          <w:vertAlign w:val="superscript"/>
        </w:rPr>
        <w:t>c</w:t>
      </w:r>
      <w:r w:rsidR="00AD74B3" w:rsidRPr="006F2BD9">
        <w:rPr>
          <w:sz w:val="20"/>
          <w:szCs w:val="20"/>
        </w:rPr>
        <w:t>Only pizotifen, propranolol, and topiramate are TGA indicated for</w:t>
      </w:r>
      <w:r w:rsidR="000761CF" w:rsidRPr="006F2BD9">
        <w:rPr>
          <w:sz w:val="20"/>
          <w:szCs w:val="20"/>
        </w:rPr>
        <w:t xml:space="preserve"> prevention/pro</w:t>
      </w:r>
      <w:r w:rsidRPr="006F2BD9">
        <w:rPr>
          <w:sz w:val="20"/>
          <w:szCs w:val="20"/>
        </w:rPr>
        <w:t>phylaxis of</w:t>
      </w:r>
      <w:r w:rsidR="00AD74B3" w:rsidRPr="006F2BD9">
        <w:rPr>
          <w:sz w:val="20"/>
          <w:szCs w:val="20"/>
        </w:rPr>
        <w:t xml:space="preserve"> migraine</w:t>
      </w:r>
      <w:r w:rsidR="00970D17" w:rsidRPr="006F2BD9">
        <w:rPr>
          <w:sz w:val="20"/>
          <w:szCs w:val="20"/>
        </w:rPr>
        <w:t>.</w:t>
      </w:r>
    </w:p>
    <w:p w14:paraId="6E1F907B" w14:textId="30D726A4" w:rsidR="00A050AD" w:rsidRPr="006F2BD9" w:rsidRDefault="006F30DE" w:rsidP="00A050AD">
      <w:pPr>
        <w:spacing w:after="0"/>
        <w:rPr>
          <w:sz w:val="20"/>
          <w:szCs w:val="20"/>
        </w:rPr>
      </w:pPr>
      <w:r w:rsidRPr="006F2BD9">
        <w:rPr>
          <w:sz w:val="20"/>
          <w:szCs w:val="20"/>
        </w:rPr>
        <w:t>Source</w:t>
      </w:r>
      <w:r w:rsidR="000A33D4" w:rsidRPr="006F2BD9">
        <w:rPr>
          <w:sz w:val="20"/>
          <w:szCs w:val="20"/>
        </w:rPr>
        <w:t>s</w:t>
      </w:r>
      <w:r w:rsidRPr="006F2BD9">
        <w:rPr>
          <w:sz w:val="20"/>
          <w:szCs w:val="20"/>
        </w:rPr>
        <w:t>:</w:t>
      </w:r>
    </w:p>
    <w:p w14:paraId="090FF216" w14:textId="7677D47C" w:rsidR="007B561D" w:rsidRPr="006F2BD9" w:rsidRDefault="006F30DE" w:rsidP="00A050AD">
      <w:pPr>
        <w:spacing w:after="0"/>
        <w:rPr>
          <w:sz w:val="20"/>
          <w:szCs w:val="20"/>
        </w:rPr>
      </w:pPr>
      <w:r w:rsidRPr="006F2BD9">
        <w:rPr>
          <w:sz w:val="20"/>
          <w:szCs w:val="20"/>
        </w:rPr>
        <w:t xml:space="preserve">Therapeutic Guidelines: </w:t>
      </w:r>
      <w:r w:rsidR="0057684C" w:rsidRPr="006F2BD9">
        <w:rPr>
          <w:sz w:val="20"/>
          <w:szCs w:val="20"/>
        </w:rPr>
        <w:t>Neurology</w:t>
      </w:r>
      <w:r w:rsidRPr="006F2BD9">
        <w:rPr>
          <w:sz w:val="20"/>
          <w:szCs w:val="20"/>
        </w:rPr>
        <w:t xml:space="preserve">. Accessed on </w:t>
      </w:r>
      <w:r w:rsidR="0057684C" w:rsidRPr="006F2BD9">
        <w:rPr>
          <w:sz w:val="20"/>
          <w:szCs w:val="20"/>
        </w:rPr>
        <w:t>22 February 2024</w:t>
      </w:r>
      <w:r w:rsidRPr="006F2BD9">
        <w:rPr>
          <w:sz w:val="20"/>
          <w:szCs w:val="20"/>
        </w:rPr>
        <w:t xml:space="preserve"> at </w:t>
      </w:r>
      <w:hyperlink r:id="rId8" w:anchor="toc_d1e728" w:history="1">
        <w:r w:rsidRPr="006F2BD9">
          <w:rPr>
            <w:rStyle w:val="Hyperlink"/>
            <w:sz w:val="20"/>
            <w:szCs w:val="20"/>
          </w:rPr>
          <w:t>Topic | Therapeutic Guidelines (tg.org.au)</w:t>
        </w:r>
      </w:hyperlink>
    </w:p>
    <w:p w14:paraId="6C4F9275" w14:textId="1620BC85" w:rsidR="000A33D4" w:rsidRPr="006F2BD9" w:rsidRDefault="0006765D" w:rsidP="00A050AD">
      <w:pPr>
        <w:spacing w:after="0"/>
        <w:rPr>
          <w:sz w:val="20"/>
          <w:szCs w:val="20"/>
        </w:rPr>
      </w:pPr>
      <w:r w:rsidRPr="006F2BD9">
        <w:rPr>
          <w:sz w:val="20"/>
          <w:szCs w:val="20"/>
        </w:rPr>
        <w:t>Schedule of Pharmaceutical Benefits for botulinum toxin type A, galcanezumab, fremanezumab</w:t>
      </w:r>
      <w:r w:rsidR="00307EC6" w:rsidRPr="006F2BD9">
        <w:rPr>
          <w:sz w:val="20"/>
          <w:szCs w:val="20"/>
        </w:rPr>
        <w:t xml:space="preserve">. Accessed on 22 February 2023 at </w:t>
      </w:r>
      <w:hyperlink r:id="rId9" w:history="1">
        <w:r w:rsidR="00B81887" w:rsidRPr="006F2BD9">
          <w:rPr>
            <w:rStyle w:val="Hyperlink"/>
            <w:sz w:val="20"/>
            <w:szCs w:val="20"/>
          </w:rPr>
          <w:t>Pharmaceutical Benefits Scheme (PBS) | PBS Publications</w:t>
        </w:r>
      </w:hyperlink>
      <w:r w:rsidR="00B81887" w:rsidRPr="006F2BD9">
        <w:rPr>
          <w:sz w:val="20"/>
          <w:szCs w:val="20"/>
        </w:rPr>
        <w:t>.</w:t>
      </w:r>
    </w:p>
    <w:p w14:paraId="560E2685" w14:textId="77777777" w:rsidR="00DF1792" w:rsidRPr="00DF1792" w:rsidRDefault="00DF1792" w:rsidP="00A050AD">
      <w:pPr>
        <w:spacing w:after="0"/>
      </w:pPr>
    </w:p>
    <w:p w14:paraId="26A1FA32" w14:textId="77777777" w:rsidR="00EA315F" w:rsidRPr="00AC5947" w:rsidRDefault="00EA315F" w:rsidP="00A050AD">
      <w:pPr>
        <w:spacing w:after="0"/>
        <w:rPr>
          <w:sz w:val="20"/>
          <w:szCs w:val="20"/>
        </w:rPr>
      </w:pPr>
    </w:p>
    <w:tbl>
      <w:tblPr>
        <w:tblStyle w:val="PlainTable3"/>
        <w:tblW w:w="8957" w:type="dxa"/>
        <w:tblLayout w:type="fixed"/>
        <w:tblLook w:val="0600" w:firstRow="0" w:lastRow="0" w:firstColumn="0" w:lastColumn="0" w:noHBand="1" w:noVBand="1"/>
      </w:tblPr>
      <w:tblGrid>
        <w:gridCol w:w="1090"/>
        <w:gridCol w:w="1453"/>
        <w:gridCol w:w="23"/>
        <w:gridCol w:w="72"/>
        <w:gridCol w:w="1141"/>
        <w:gridCol w:w="190"/>
        <w:gridCol w:w="137"/>
        <w:gridCol w:w="951"/>
        <w:gridCol w:w="1039"/>
        <w:gridCol w:w="215"/>
        <w:gridCol w:w="164"/>
        <w:gridCol w:w="746"/>
        <w:gridCol w:w="457"/>
        <w:gridCol w:w="1279"/>
      </w:tblGrid>
      <w:tr w:rsidR="00D2693B" w14:paraId="049EA45B" w14:textId="605320FE" w:rsidTr="008E2D33">
        <w:tc>
          <w:tcPr>
            <w:tcW w:w="2543" w:type="dxa"/>
            <w:gridSpan w:val="2"/>
          </w:tcPr>
          <w:p w14:paraId="0597270B" w14:textId="0EDAC0E5" w:rsidR="00D2693B" w:rsidRDefault="00D2693B" w:rsidP="00F348C1">
            <w:pPr>
              <w:jc w:val="center"/>
            </w:pPr>
          </w:p>
        </w:tc>
        <w:tc>
          <w:tcPr>
            <w:tcW w:w="1236" w:type="dxa"/>
            <w:gridSpan w:val="3"/>
          </w:tcPr>
          <w:p w14:paraId="12C17A23" w14:textId="5ED24B9C" w:rsidR="00D2693B" w:rsidRDefault="00D2693B" w:rsidP="00F348C1">
            <w:pPr>
              <w:jc w:val="center"/>
            </w:pPr>
            <w:r>
              <w:rPr>
                <w:noProof/>
              </w:rPr>
              <mc:AlternateContent>
                <mc:Choice Requires="wps">
                  <w:drawing>
                    <wp:anchor distT="0" distB="0" distL="114300" distR="114300" simplePos="0" relativeHeight="251658251" behindDoc="0" locked="0" layoutInCell="1" allowOverlap="1" wp14:anchorId="44AB9921" wp14:editId="5F450DEA">
                      <wp:simplePos x="0" y="0"/>
                      <wp:positionH relativeFrom="column">
                        <wp:posOffset>13335</wp:posOffset>
                      </wp:positionH>
                      <wp:positionV relativeFrom="paragraph">
                        <wp:posOffset>179070</wp:posOffset>
                      </wp:positionV>
                      <wp:extent cx="695325" cy="219075"/>
                      <wp:effectExtent l="38100" t="0" r="28575" b="66675"/>
                      <wp:wrapNone/>
                      <wp:docPr id="15" name="Straight Arrow Connector 15"/>
                      <wp:cNvGraphicFramePr/>
                      <a:graphic xmlns:a="http://schemas.openxmlformats.org/drawingml/2006/main">
                        <a:graphicData uri="http://schemas.microsoft.com/office/word/2010/wordprocessingShape">
                          <wps:wsp>
                            <wps:cNvCnPr/>
                            <wps:spPr>
                              <a:xfrm flipH="1">
                                <a:off x="0" y="0"/>
                                <a:ext cx="695325"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type w14:anchorId="2112A06F" id="_x0000_t32" coordsize="21600,21600" o:spt="32" o:oned="t" path="m,l21600,21600e" filled="f">
                      <v:path arrowok="t" fillok="f" o:connecttype="none"/>
                      <o:lock v:ext="edit" shapetype="t"/>
                    </v:shapetype>
                    <v:shape id="Straight Arrow Connector 15" o:spid="_x0000_s1026" type="#_x0000_t32" style="position:absolute;margin-left:1.05pt;margin-top:14.1pt;width:54.75pt;height:17.25pt;flip:x;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" strokecolor="black [3040]">
                      <v:stroke endarrow="block"/>
                    </v:shape>
                  </w:pict>
                </mc:Fallback>
              </mc:AlternateContent>
            </w:r>
          </w:p>
        </w:tc>
        <w:tc>
          <w:tcPr>
            <w:tcW w:w="1278" w:type="dxa"/>
            <w:gridSpan w:val="3"/>
          </w:tcPr>
          <w:p w14:paraId="2377397A" w14:textId="6E6C283B" w:rsidR="00D2693B" w:rsidRDefault="00D2693B" w:rsidP="00F348C1">
            <w:pPr>
              <w:jc w:val="center"/>
            </w:pPr>
            <w:r>
              <w:rPr>
                <w:noProof/>
              </w:rPr>
              <mc:AlternateContent>
                <mc:Choice Requires="wps">
                  <w:drawing>
                    <wp:anchor distT="0" distB="0" distL="114300" distR="114300" simplePos="0" relativeHeight="251658252" behindDoc="0" locked="0" layoutInCell="1" allowOverlap="1" wp14:anchorId="465062EF" wp14:editId="5B0718DD">
                      <wp:simplePos x="0" y="0"/>
                      <wp:positionH relativeFrom="column">
                        <wp:posOffset>733425</wp:posOffset>
                      </wp:positionH>
                      <wp:positionV relativeFrom="paragraph">
                        <wp:posOffset>179070</wp:posOffset>
                      </wp:positionV>
                      <wp:extent cx="781050" cy="219075"/>
                      <wp:effectExtent l="0" t="0" r="95250" b="66675"/>
                      <wp:wrapNone/>
                      <wp:docPr id="16" name="Straight Arrow Connector 16"/>
                      <wp:cNvGraphicFramePr/>
                      <a:graphic xmlns:a="http://schemas.openxmlformats.org/drawingml/2006/main">
                        <a:graphicData uri="http://schemas.microsoft.com/office/word/2010/wordprocessingShape">
                          <wps:wsp>
                            <wps:cNvCnPr/>
                            <wps:spPr>
                              <a:xfrm>
                                <a:off x="0" y="0"/>
                                <a:ext cx="781050"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64540FDC" id="Straight Arrow Connector 16" o:spid="_x0000_s1026" type="#_x0000_t32" style="position:absolute;margin-left:57.75pt;margin-top:14.1pt;width:61.5pt;height:17.25pt;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" strokecolor="black [3040]">
                      <v:stroke endarrow="block"/>
                    </v:shape>
                  </w:pict>
                </mc:Fallback>
              </mc:AlternateContent>
            </w:r>
            <w:r>
              <w:t>Migraine</w:t>
            </w:r>
          </w:p>
        </w:tc>
        <w:tc>
          <w:tcPr>
            <w:tcW w:w="1254" w:type="dxa"/>
            <w:gridSpan w:val="2"/>
          </w:tcPr>
          <w:p w14:paraId="2FE4CFF8" w14:textId="77777777" w:rsidR="00D2693B" w:rsidRDefault="00D2693B" w:rsidP="00F348C1">
            <w:pPr>
              <w:jc w:val="center"/>
            </w:pPr>
          </w:p>
        </w:tc>
        <w:tc>
          <w:tcPr>
            <w:tcW w:w="1367" w:type="dxa"/>
            <w:gridSpan w:val="3"/>
          </w:tcPr>
          <w:p w14:paraId="780B1DFB" w14:textId="77777777" w:rsidR="00D2693B" w:rsidRDefault="00D2693B" w:rsidP="00F348C1">
            <w:pPr>
              <w:jc w:val="center"/>
            </w:pPr>
          </w:p>
        </w:tc>
        <w:tc>
          <w:tcPr>
            <w:tcW w:w="1279" w:type="dxa"/>
          </w:tcPr>
          <w:p w14:paraId="7025AB61" w14:textId="65F9FAB3" w:rsidR="00D2693B" w:rsidRDefault="00D2693B" w:rsidP="00F348C1">
            <w:pPr>
              <w:jc w:val="center"/>
            </w:pPr>
          </w:p>
        </w:tc>
      </w:tr>
      <w:tr w:rsidR="00B2749D" w14:paraId="20221A24" w14:textId="45177003" w:rsidTr="008E2D33">
        <w:tc>
          <w:tcPr>
            <w:tcW w:w="1090" w:type="dxa"/>
          </w:tcPr>
          <w:p w14:paraId="5513E61D" w14:textId="77777777" w:rsidR="009B1E98" w:rsidRDefault="009B1E98" w:rsidP="00F348C1">
            <w:pPr>
              <w:jc w:val="center"/>
            </w:pPr>
          </w:p>
        </w:tc>
        <w:tc>
          <w:tcPr>
            <w:tcW w:w="1548" w:type="dxa"/>
            <w:gridSpan w:val="3"/>
          </w:tcPr>
          <w:p w14:paraId="776FC312" w14:textId="2691B336" w:rsidR="009B1E98" w:rsidRDefault="009B1E98" w:rsidP="00F348C1">
            <w:pPr>
              <w:jc w:val="center"/>
            </w:pPr>
          </w:p>
        </w:tc>
        <w:tc>
          <w:tcPr>
            <w:tcW w:w="1468" w:type="dxa"/>
            <w:gridSpan w:val="3"/>
          </w:tcPr>
          <w:p w14:paraId="159B6FE5" w14:textId="302DE799" w:rsidR="009B1E98" w:rsidRDefault="009B1E98" w:rsidP="00F348C1">
            <w:pPr>
              <w:jc w:val="center"/>
            </w:pPr>
          </w:p>
        </w:tc>
        <w:tc>
          <w:tcPr>
            <w:tcW w:w="1990" w:type="dxa"/>
            <w:gridSpan w:val="2"/>
          </w:tcPr>
          <w:p w14:paraId="07205C77" w14:textId="2F0C754B" w:rsidR="009B1E98" w:rsidRDefault="009B1E98" w:rsidP="00F348C1">
            <w:pPr>
              <w:jc w:val="center"/>
            </w:pPr>
          </w:p>
        </w:tc>
        <w:tc>
          <w:tcPr>
            <w:tcW w:w="1125" w:type="dxa"/>
            <w:gridSpan w:val="3"/>
          </w:tcPr>
          <w:p w14:paraId="7F880483" w14:textId="49EE566B" w:rsidR="009B1E98" w:rsidRDefault="009B1E98" w:rsidP="00F348C1">
            <w:pPr>
              <w:jc w:val="center"/>
            </w:pPr>
          </w:p>
        </w:tc>
        <w:tc>
          <w:tcPr>
            <w:tcW w:w="1736" w:type="dxa"/>
            <w:gridSpan w:val="2"/>
          </w:tcPr>
          <w:p w14:paraId="2F30F6F0" w14:textId="77777777" w:rsidR="009B1E98" w:rsidRDefault="009B1E98" w:rsidP="00F348C1">
            <w:pPr>
              <w:jc w:val="center"/>
            </w:pPr>
          </w:p>
        </w:tc>
      </w:tr>
      <w:tr w:rsidR="007F239B" w14:paraId="1ADD836C" w14:textId="77777777" w:rsidTr="008E2D33">
        <w:tc>
          <w:tcPr>
            <w:tcW w:w="3969" w:type="dxa"/>
            <w:gridSpan w:val="6"/>
          </w:tcPr>
          <w:p w14:paraId="765DC7DA" w14:textId="2F81082A" w:rsidR="007F239B" w:rsidRDefault="00551577" w:rsidP="00B2749D">
            <w:pPr>
              <w:jc w:val="center"/>
            </w:pPr>
            <w:r>
              <w:rPr>
                <w:noProof/>
              </w:rPr>
              <mc:AlternateContent>
                <mc:Choice Requires="wps">
                  <w:drawing>
                    <wp:anchor distT="0" distB="0" distL="114300" distR="114300" simplePos="0" relativeHeight="251658240" behindDoc="0" locked="0" layoutInCell="1" allowOverlap="1" wp14:anchorId="0422F2F3" wp14:editId="2850A934">
                      <wp:simplePos x="0" y="0"/>
                      <wp:positionH relativeFrom="column">
                        <wp:posOffset>1237615</wp:posOffset>
                      </wp:positionH>
                      <wp:positionV relativeFrom="paragraph">
                        <wp:posOffset>187960</wp:posOffset>
                      </wp:positionV>
                      <wp:extent cx="0" cy="200025"/>
                      <wp:effectExtent l="76200" t="0" r="57150" b="47625"/>
                      <wp:wrapNone/>
                      <wp:docPr id="17" name="Straight Arrow Connector 17"/>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5A6DBF3C" id="Straight Arrow Connector 17" o:spid="_x0000_s1026" type="#_x0000_t32" style="position:absolute;margin-left:97.45pt;margin-top:14.8pt;width:0;height:15.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YttAEAAL4DAAAOAAAAZHJzL2Uyb0RvYy54bWysU9uO0zAQfUfiHyy/06SVQC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" strokecolor="black [3040]">
                      <v:stroke endarrow="block"/>
                    </v:shape>
                  </w:pict>
                </mc:Fallback>
              </mc:AlternateContent>
            </w:r>
            <w:r w:rsidR="007F239B">
              <w:t>Episodic</w:t>
            </w:r>
          </w:p>
        </w:tc>
        <w:tc>
          <w:tcPr>
            <w:tcW w:w="4988" w:type="dxa"/>
            <w:gridSpan w:val="8"/>
          </w:tcPr>
          <w:p w14:paraId="7D6EB332" w14:textId="0C203B18" w:rsidR="007F239B" w:rsidRDefault="009B40AD" w:rsidP="00B2749D">
            <w:pPr>
              <w:jc w:val="center"/>
            </w:pPr>
            <w:r>
              <w:rPr>
                <w:noProof/>
              </w:rPr>
              <mc:AlternateContent>
                <mc:Choice Requires="wps">
                  <w:drawing>
                    <wp:anchor distT="0" distB="0" distL="114300" distR="114300" simplePos="0" relativeHeight="251658243" behindDoc="0" locked="0" layoutInCell="1" allowOverlap="1" wp14:anchorId="09CBAA5D" wp14:editId="52AB85DB">
                      <wp:simplePos x="0" y="0"/>
                      <wp:positionH relativeFrom="column">
                        <wp:posOffset>1365885</wp:posOffset>
                      </wp:positionH>
                      <wp:positionV relativeFrom="paragraph">
                        <wp:posOffset>189865</wp:posOffset>
                      </wp:positionV>
                      <wp:extent cx="0" cy="200025"/>
                      <wp:effectExtent l="76200" t="0" r="57150" b="47625"/>
                      <wp:wrapNone/>
                      <wp:docPr id="20" name="Straight Arrow Connector 20"/>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4D781E05" id="Straight Arrow Connector 20" o:spid="_x0000_s1026" type="#_x0000_t32" style="position:absolute;margin-left:107.55pt;margin-top:14.95pt;width:0;height:15.7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YttAEAAL4DAAAOAAAAZHJzL2Uyb0RvYy54bWysU9uO0zAQfUfiHyy/06SVQC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" strokecolor="black [3040]">
                      <v:stroke endarrow="block"/>
                    </v:shape>
                  </w:pict>
                </mc:Fallback>
              </mc:AlternateContent>
            </w:r>
            <w:r w:rsidR="007F239B" w:rsidRPr="00B2749D">
              <w:t>Frequent migraine (&gt;2 a month)</w:t>
            </w:r>
          </w:p>
        </w:tc>
      </w:tr>
      <w:tr w:rsidR="00B2749D" w14:paraId="7D77FD70" w14:textId="77777777" w:rsidTr="008E2D33">
        <w:tc>
          <w:tcPr>
            <w:tcW w:w="1090" w:type="dxa"/>
          </w:tcPr>
          <w:p w14:paraId="0F8CB5D7" w14:textId="77777777" w:rsidR="00B2749D" w:rsidRDefault="00B2749D" w:rsidP="00B2749D">
            <w:pPr>
              <w:jc w:val="center"/>
            </w:pPr>
          </w:p>
        </w:tc>
        <w:tc>
          <w:tcPr>
            <w:tcW w:w="1548" w:type="dxa"/>
            <w:gridSpan w:val="3"/>
          </w:tcPr>
          <w:p w14:paraId="2428C29D" w14:textId="4A5500F7" w:rsidR="00B2749D" w:rsidRDefault="00B2749D" w:rsidP="00B2749D">
            <w:pPr>
              <w:jc w:val="center"/>
            </w:pPr>
          </w:p>
        </w:tc>
        <w:tc>
          <w:tcPr>
            <w:tcW w:w="1468" w:type="dxa"/>
            <w:gridSpan w:val="3"/>
          </w:tcPr>
          <w:p w14:paraId="4ABEBBC7" w14:textId="77777777" w:rsidR="00B2749D" w:rsidRDefault="00B2749D" w:rsidP="00B2749D">
            <w:pPr>
              <w:jc w:val="center"/>
            </w:pPr>
          </w:p>
        </w:tc>
        <w:tc>
          <w:tcPr>
            <w:tcW w:w="1990" w:type="dxa"/>
            <w:gridSpan w:val="2"/>
          </w:tcPr>
          <w:p w14:paraId="1236AAB8" w14:textId="77777777" w:rsidR="00B2749D" w:rsidRDefault="00B2749D" w:rsidP="00B2749D">
            <w:pPr>
              <w:jc w:val="center"/>
            </w:pPr>
          </w:p>
        </w:tc>
        <w:tc>
          <w:tcPr>
            <w:tcW w:w="1125" w:type="dxa"/>
            <w:gridSpan w:val="3"/>
          </w:tcPr>
          <w:p w14:paraId="56401E1F" w14:textId="21CE8DBC" w:rsidR="00B2749D" w:rsidRDefault="00B2749D" w:rsidP="00B2749D">
            <w:pPr>
              <w:jc w:val="center"/>
            </w:pPr>
          </w:p>
        </w:tc>
        <w:tc>
          <w:tcPr>
            <w:tcW w:w="1736" w:type="dxa"/>
            <w:gridSpan w:val="2"/>
          </w:tcPr>
          <w:p w14:paraId="74D07DD3" w14:textId="77777777" w:rsidR="00B2749D" w:rsidRDefault="00B2749D" w:rsidP="00B2749D">
            <w:pPr>
              <w:jc w:val="center"/>
            </w:pPr>
          </w:p>
        </w:tc>
      </w:tr>
      <w:tr w:rsidR="00551577" w14:paraId="160EE753" w14:textId="771C5514" w:rsidTr="008E2D33">
        <w:tc>
          <w:tcPr>
            <w:tcW w:w="4106" w:type="dxa"/>
            <w:gridSpan w:val="7"/>
          </w:tcPr>
          <w:p w14:paraId="058266F8" w14:textId="3A12D2B5" w:rsidR="00551577" w:rsidRDefault="00551577" w:rsidP="00B2749D">
            <w:pPr>
              <w:jc w:val="center"/>
            </w:pPr>
            <w:r>
              <w:rPr>
                <w:noProof/>
              </w:rPr>
              <mc:AlternateContent>
                <mc:Choice Requires="wps">
                  <w:drawing>
                    <wp:anchor distT="0" distB="0" distL="114300" distR="114300" simplePos="0" relativeHeight="251658241" behindDoc="0" locked="0" layoutInCell="1" allowOverlap="1" wp14:anchorId="6CB7D3FD" wp14:editId="14236CC1">
                      <wp:simplePos x="0" y="0"/>
                      <wp:positionH relativeFrom="column">
                        <wp:posOffset>1238250</wp:posOffset>
                      </wp:positionH>
                      <wp:positionV relativeFrom="paragraph">
                        <wp:posOffset>189230</wp:posOffset>
                      </wp:positionV>
                      <wp:extent cx="0" cy="200025"/>
                      <wp:effectExtent l="76200" t="0" r="57150" b="47625"/>
                      <wp:wrapNone/>
                      <wp:docPr id="18" name="Straight Arrow Connector 18"/>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5C99FE89" id="Straight Arrow Connector 18" o:spid="_x0000_s1026" type="#_x0000_t32" style="position:absolute;margin-left:97.5pt;margin-top:14.9pt;width:0;height:15.7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YttAEAAL4DAAAOAAAAZHJzL2Uyb0RvYy54bWysU9uO0zAQfUfiHyy/06SVQC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" strokecolor="black [3040]">
                      <v:stroke endarrow="block"/>
                    </v:shape>
                  </w:pict>
                </mc:Fallback>
              </mc:AlternateContent>
            </w:r>
            <w:r>
              <w:t>Analgesia</w:t>
            </w:r>
          </w:p>
        </w:tc>
        <w:tc>
          <w:tcPr>
            <w:tcW w:w="4851" w:type="dxa"/>
            <w:gridSpan w:val="7"/>
          </w:tcPr>
          <w:p w14:paraId="14F8D648" w14:textId="1A5A8FBF" w:rsidR="00551577" w:rsidRDefault="009B40AD" w:rsidP="00B2749D">
            <w:pPr>
              <w:jc w:val="center"/>
            </w:pPr>
            <w:r>
              <w:rPr>
                <w:noProof/>
              </w:rPr>
              <mc:AlternateContent>
                <mc:Choice Requires="wps">
                  <w:drawing>
                    <wp:anchor distT="0" distB="0" distL="114300" distR="114300" simplePos="0" relativeHeight="251658245" behindDoc="0" locked="0" layoutInCell="1" allowOverlap="1" wp14:anchorId="1F4961AA" wp14:editId="28E8E4E5">
                      <wp:simplePos x="0" y="0"/>
                      <wp:positionH relativeFrom="column">
                        <wp:posOffset>1318260</wp:posOffset>
                      </wp:positionH>
                      <wp:positionV relativeFrom="paragraph">
                        <wp:posOffset>187325</wp:posOffset>
                      </wp:positionV>
                      <wp:extent cx="638175" cy="381000"/>
                      <wp:effectExtent l="0" t="0" r="66675" b="57150"/>
                      <wp:wrapNone/>
                      <wp:docPr id="23" name="Straight Arrow Connector 23"/>
                      <wp:cNvGraphicFramePr/>
                      <a:graphic xmlns:a="http://schemas.openxmlformats.org/drawingml/2006/main">
                        <a:graphicData uri="http://schemas.microsoft.com/office/word/2010/wordprocessingShape">
                          <wps:wsp>
                            <wps:cNvCnPr/>
                            <wps:spPr>
                              <a:xfrm>
                                <a:off x="0" y="0"/>
                                <a:ext cx="638175"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0B2571AD" id="Straight Arrow Connector 23" o:spid="_x0000_s1026" type="#_x0000_t32" style="position:absolute;margin-left:103.8pt;margin-top:14.75pt;width:50.25pt;height:30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" strokecolor="black [3040]">
                      <v:stroke endarrow="block"/>
                    </v:shape>
                  </w:pict>
                </mc:Fallback>
              </mc:AlternateContent>
            </w:r>
            <w:r>
              <w:rPr>
                <w:noProof/>
              </w:rPr>
              <mc:AlternateContent>
                <mc:Choice Requires="wps">
                  <w:drawing>
                    <wp:anchor distT="0" distB="0" distL="114300" distR="114300" simplePos="0" relativeHeight="251658244" behindDoc="0" locked="0" layoutInCell="1" allowOverlap="1" wp14:anchorId="3F379DEE" wp14:editId="6714ABDE">
                      <wp:simplePos x="0" y="0"/>
                      <wp:positionH relativeFrom="column">
                        <wp:posOffset>746760</wp:posOffset>
                      </wp:positionH>
                      <wp:positionV relativeFrom="paragraph">
                        <wp:posOffset>187325</wp:posOffset>
                      </wp:positionV>
                      <wp:extent cx="523875" cy="381000"/>
                      <wp:effectExtent l="38100" t="0" r="28575" b="57150"/>
                      <wp:wrapNone/>
                      <wp:docPr id="22" name="Straight Arrow Connector 22"/>
                      <wp:cNvGraphicFramePr/>
                      <a:graphic xmlns:a="http://schemas.openxmlformats.org/drawingml/2006/main">
                        <a:graphicData uri="http://schemas.microsoft.com/office/word/2010/wordprocessingShape">
                          <wps:wsp>
                            <wps:cNvCnPr/>
                            <wps:spPr>
                              <a:xfrm flipH="1">
                                <a:off x="0" y="0"/>
                                <a:ext cx="523875"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4C0355EA" id="Straight Arrow Connector 22" o:spid="_x0000_s1026" type="#_x0000_t32" style="position:absolute;margin-left:58.8pt;margin-top:14.75pt;width:41.25pt;height:30pt;flip:x;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" strokecolor="black [3040]">
                      <v:stroke endarrow="block"/>
                    </v:shape>
                  </w:pict>
                </mc:Fallback>
              </mc:AlternateContent>
            </w:r>
            <w:r w:rsidR="00551577">
              <w:t>Prophylaxis – 1</w:t>
            </w:r>
            <w:r w:rsidR="00551577" w:rsidRPr="009051A2">
              <w:rPr>
                <w:vertAlign w:val="superscript"/>
              </w:rPr>
              <w:t>st</w:t>
            </w:r>
            <w:r w:rsidR="00551577">
              <w:t xml:space="preserve"> line</w:t>
            </w:r>
          </w:p>
        </w:tc>
      </w:tr>
      <w:tr w:rsidR="00B2749D" w14:paraId="18D03073" w14:textId="7F0B2C41" w:rsidTr="008E2D33">
        <w:tc>
          <w:tcPr>
            <w:tcW w:w="1090" w:type="dxa"/>
          </w:tcPr>
          <w:p w14:paraId="54CD0A35" w14:textId="77777777" w:rsidR="00B2749D" w:rsidRDefault="00B2749D" w:rsidP="00B2749D">
            <w:pPr>
              <w:jc w:val="center"/>
            </w:pPr>
          </w:p>
        </w:tc>
        <w:tc>
          <w:tcPr>
            <w:tcW w:w="1548" w:type="dxa"/>
            <w:gridSpan w:val="3"/>
          </w:tcPr>
          <w:p w14:paraId="590D6FCA" w14:textId="57D5BC39" w:rsidR="00B2749D" w:rsidRDefault="00B2749D" w:rsidP="00B2749D">
            <w:pPr>
              <w:jc w:val="center"/>
            </w:pPr>
          </w:p>
        </w:tc>
        <w:tc>
          <w:tcPr>
            <w:tcW w:w="1468" w:type="dxa"/>
            <w:gridSpan w:val="3"/>
          </w:tcPr>
          <w:p w14:paraId="73867EBB" w14:textId="77777777" w:rsidR="00B2749D" w:rsidRDefault="00B2749D" w:rsidP="00B2749D">
            <w:pPr>
              <w:jc w:val="center"/>
            </w:pPr>
          </w:p>
        </w:tc>
        <w:tc>
          <w:tcPr>
            <w:tcW w:w="4851" w:type="dxa"/>
            <w:gridSpan w:val="7"/>
          </w:tcPr>
          <w:p w14:paraId="6AADBEAF" w14:textId="2585783E" w:rsidR="00B2749D" w:rsidRDefault="00B2749D" w:rsidP="00B2749D">
            <w:pPr>
              <w:jc w:val="center"/>
            </w:pPr>
          </w:p>
        </w:tc>
      </w:tr>
      <w:tr w:rsidR="00B2749D" w14:paraId="76C4DD1E" w14:textId="77777777" w:rsidTr="008E2D33">
        <w:tc>
          <w:tcPr>
            <w:tcW w:w="4106" w:type="dxa"/>
            <w:gridSpan w:val="7"/>
          </w:tcPr>
          <w:p w14:paraId="4E8CE7E2" w14:textId="0883FD76" w:rsidR="00B2749D" w:rsidRDefault="00B2749D" w:rsidP="00B2749D">
            <w:pPr>
              <w:jc w:val="center"/>
            </w:pPr>
            <w:r>
              <w:t>If not relieved</w:t>
            </w:r>
          </w:p>
        </w:tc>
        <w:tc>
          <w:tcPr>
            <w:tcW w:w="4851" w:type="dxa"/>
            <w:gridSpan w:val="7"/>
          </w:tcPr>
          <w:p w14:paraId="0EA8A4BF" w14:textId="181F4018" w:rsidR="00B2749D" w:rsidRDefault="00B2749D" w:rsidP="00B2749D">
            <w:pPr>
              <w:jc w:val="center"/>
            </w:pPr>
          </w:p>
        </w:tc>
      </w:tr>
      <w:tr w:rsidR="00B2749D" w14:paraId="039F6784" w14:textId="77777777" w:rsidTr="008E2D33">
        <w:tc>
          <w:tcPr>
            <w:tcW w:w="1090" w:type="dxa"/>
          </w:tcPr>
          <w:p w14:paraId="48762D13" w14:textId="77777777" w:rsidR="00B2749D" w:rsidRDefault="00B2749D" w:rsidP="00B2749D">
            <w:pPr>
              <w:jc w:val="center"/>
            </w:pPr>
          </w:p>
        </w:tc>
        <w:tc>
          <w:tcPr>
            <w:tcW w:w="1548" w:type="dxa"/>
            <w:gridSpan w:val="3"/>
          </w:tcPr>
          <w:p w14:paraId="78AC066B" w14:textId="4A9F50BD" w:rsidR="00B2749D" w:rsidRDefault="00551577" w:rsidP="00B2749D">
            <w:pPr>
              <w:jc w:val="center"/>
            </w:pPr>
            <w:r>
              <w:rPr>
                <w:noProof/>
              </w:rPr>
              <mc:AlternateContent>
                <mc:Choice Requires="wps">
                  <w:drawing>
                    <wp:anchor distT="0" distB="0" distL="114300" distR="114300" simplePos="0" relativeHeight="251658242" behindDoc="0" locked="0" layoutInCell="1" allowOverlap="1" wp14:anchorId="2BEB8367" wp14:editId="301B35AE">
                      <wp:simplePos x="0" y="0"/>
                      <wp:positionH relativeFrom="column">
                        <wp:posOffset>555625</wp:posOffset>
                      </wp:positionH>
                      <wp:positionV relativeFrom="paragraph">
                        <wp:posOffset>12065</wp:posOffset>
                      </wp:positionV>
                      <wp:extent cx="0" cy="200025"/>
                      <wp:effectExtent l="76200" t="0" r="57150" b="47625"/>
                      <wp:wrapNone/>
                      <wp:docPr id="19" name="Straight Arrow Connector 19"/>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68F5C271" id="Straight Arrow Connector 19" o:spid="_x0000_s1026" type="#_x0000_t32" style="position:absolute;margin-left:43.75pt;margin-top:.95pt;width:0;height:15.7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YttAEAAL4DAAAOAAAAZHJzL2Uyb0RvYy54bWysU9uO0zAQfUfiHyy/06SVQC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" strokecolor="black [3040]">
                      <v:stroke endarrow="block"/>
                    </v:shape>
                  </w:pict>
                </mc:Fallback>
              </mc:AlternateContent>
            </w:r>
          </w:p>
        </w:tc>
        <w:tc>
          <w:tcPr>
            <w:tcW w:w="1468" w:type="dxa"/>
            <w:gridSpan w:val="3"/>
          </w:tcPr>
          <w:p w14:paraId="7A7F32E0" w14:textId="77777777" w:rsidR="00B2749D" w:rsidRDefault="00B2749D" w:rsidP="00B2749D">
            <w:pPr>
              <w:jc w:val="center"/>
            </w:pPr>
          </w:p>
        </w:tc>
        <w:tc>
          <w:tcPr>
            <w:tcW w:w="2369" w:type="dxa"/>
            <w:gridSpan w:val="4"/>
          </w:tcPr>
          <w:p w14:paraId="11ACAA8F" w14:textId="2F36262D" w:rsidR="00B2749D" w:rsidRDefault="00E22695" w:rsidP="00B2749D">
            <w:pPr>
              <w:jc w:val="center"/>
            </w:pPr>
            <w:r>
              <w:rPr>
                <w:noProof/>
              </w:rPr>
              <mc:AlternateContent>
                <mc:Choice Requires="wps">
                  <w:drawing>
                    <wp:anchor distT="0" distB="0" distL="114300" distR="114300" simplePos="0" relativeHeight="251658246" behindDoc="0" locked="0" layoutInCell="1" allowOverlap="1" wp14:anchorId="553A7099" wp14:editId="57873868">
                      <wp:simplePos x="0" y="0"/>
                      <wp:positionH relativeFrom="column">
                        <wp:posOffset>690245</wp:posOffset>
                      </wp:positionH>
                      <wp:positionV relativeFrom="paragraph">
                        <wp:posOffset>183515</wp:posOffset>
                      </wp:positionV>
                      <wp:extent cx="0" cy="200025"/>
                      <wp:effectExtent l="76200" t="0" r="57150" b="47625"/>
                      <wp:wrapNone/>
                      <wp:docPr id="24" name="Straight Arrow Connector 24"/>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5C5CF753" id="Straight Arrow Connector 24" o:spid="_x0000_s1026" type="#_x0000_t32" style="position:absolute;margin-left:54.35pt;margin-top:14.45pt;width:0;height:15.75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YttAEAAL4DAAAOAAAAZHJzL2Uyb0RvYy54bWysU9uO0zAQfUfiHyy/06SVQC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" strokecolor="black [3040]">
                      <v:stroke endarrow="block"/>
                    </v:shape>
                  </w:pict>
                </mc:Fallback>
              </mc:AlternateContent>
            </w:r>
            <w:r w:rsidR="00B2749D">
              <w:t>Chronic</w:t>
            </w:r>
            <w:r w:rsidR="00B2749D" w:rsidRPr="00F84F75">
              <w:rPr>
                <w:vertAlign w:val="superscript"/>
              </w:rPr>
              <w:t>a</w:t>
            </w:r>
          </w:p>
        </w:tc>
        <w:tc>
          <w:tcPr>
            <w:tcW w:w="2482" w:type="dxa"/>
            <w:gridSpan w:val="3"/>
          </w:tcPr>
          <w:p w14:paraId="1BF0E575" w14:textId="7E307C91" w:rsidR="00B2749D" w:rsidRDefault="00E22695" w:rsidP="00B2749D">
            <w:pPr>
              <w:jc w:val="center"/>
            </w:pPr>
            <w:r>
              <w:rPr>
                <w:noProof/>
              </w:rPr>
              <mc:AlternateContent>
                <mc:Choice Requires="wps">
                  <w:drawing>
                    <wp:anchor distT="0" distB="0" distL="114300" distR="114300" simplePos="0" relativeHeight="251658247" behindDoc="0" locked="0" layoutInCell="1" allowOverlap="1" wp14:anchorId="71150BCA" wp14:editId="5BB980B3">
                      <wp:simplePos x="0" y="0"/>
                      <wp:positionH relativeFrom="column">
                        <wp:posOffset>717550</wp:posOffset>
                      </wp:positionH>
                      <wp:positionV relativeFrom="paragraph">
                        <wp:posOffset>183515</wp:posOffset>
                      </wp:positionV>
                      <wp:extent cx="0" cy="200025"/>
                      <wp:effectExtent l="76200" t="0" r="57150" b="47625"/>
                      <wp:wrapNone/>
                      <wp:docPr id="25" name="Straight Arrow Connector 25"/>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260FED24" id="Straight Arrow Connector 25" o:spid="_x0000_s1026" type="#_x0000_t32" style="position:absolute;margin-left:56.5pt;margin-top:14.45pt;width:0;height:15.75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YttAEAAL4DAAAOAAAAZHJzL2Uyb0RvYy54bWysU9uO0zAQfUfiHyy/06SVQC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" strokecolor="black [3040]">
                      <v:stroke endarrow="block"/>
                    </v:shape>
                  </w:pict>
                </mc:Fallback>
              </mc:AlternateContent>
            </w:r>
            <w:r w:rsidR="00CC116B">
              <w:t>HFEM</w:t>
            </w:r>
            <w:r w:rsidR="002D5F8C">
              <w:t>/TRM</w:t>
            </w:r>
            <w:r w:rsidR="00B2749D" w:rsidRPr="00F84F75">
              <w:rPr>
                <w:vertAlign w:val="superscript"/>
              </w:rPr>
              <w:t>b</w:t>
            </w:r>
          </w:p>
        </w:tc>
      </w:tr>
      <w:tr w:rsidR="00551577" w14:paraId="544B4DB1" w14:textId="77777777" w:rsidTr="008E2D33">
        <w:tc>
          <w:tcPr>
            <w:tcW w:w="4106" w:type="dxa"/>
            <w:gridSpan w:val="7"/>
          </w:tcPr>
          <w:p w14:paraId="578A7713" w14:textId="7152E888" w:rsidR="00551577" w:rsidRDefault="00551577" w:rsidP="00B2749D">
            <w:pPr>
              <w:jc w:val="center"/>
            </w:pPr>
            <w:r>
              <w:t>Triptan</w:t>
            </w:r>
          </w:p>
        </w:tc>
        <w:tc>
          <w:tcPr>
            <w:tcW w:w="2369" w:type="dxa"/>
            <w:gridSpan w:val="4"/>
          </w:tcPr>
          <w:p w14:paraId="4AB00B43" w14:textId="6EB84B85" w:rsidR="00551577" w:rsidRDefault="00551577" w:rsidP="00B2749D">
            <w:pPr>
              <w:jc w:val="center"/>
            </w:pPr>
          </w:p>
        </w:tc>
        <w:tc>
          <w:tcPr>
            <w:tcW w:w="2482" w:type="dxa"/>
            <w:gridSpan w:val="3"/>
          </w:tcPr>
          <w:p w14:paraId="292A3BF7" w14:textId="23C2118B" w:rsidR="00551577" w:rsidRDefault="00551577" w:rsidP="00B2749D">
            <w:pPr>
              <w:jc w:val="center"/>
            </w:pPr>
          </w:p>
        </w:tc>
      </w:tr>
      <w:tr w:rsidR="003432A9" w14:paraId="0AEC1927" w14:textId="77777777" w:rsidTr="008E2D33">
        <w:tc>
          <w:tcPr>
            <w:tcW w:w="1090" w:type="dxa"/>
          </w:tcPr>
          <w:p w14:paraId="49331ADA" w14:textId="77777777" w:rsidR="003432A9" w:rsidRDefault="003432A9" w:rsidP="00B2749D">
            <w:pPr>
              <w:jc w:val="center"/>
            </w:pPr>
          </w:p>
        </w:tc>
        <w:tc>
          <w:tcPr>
            <w:tcW w:w="1548" w:type="dxa"/>
            <w:gridSpan w:val="3"/>
          </w:tcPr>
          <w:p w14:paraId="4899EA5F" w14:textId="7E65BD64" w:rsidR="003432A9" w:rsidRDefault="003432A9" w:rsidP="00B2749D">
            <w:pPr>
              <w:jc w:val="center"/>
            </w:pPr>
          </w:p>
        </w:tc>
        <w:tc>
          <w:tcPr>
            <w:tcW w:w="3837" w:type="dxa"/>
            <w:gridSpan w:val="7"/>
          </w:tcPr>
          <w:p w14:paraId="6C2B83AD" w14:textId="6324CC60" w:rsidR="003432A9" w:rsidRDefault="000C727D" w:rsidP="006A0F50">
            <w:pPr>
              <w:jc w:val="center"/>
            </w:pPr>
            <w:r>
              <w:rPr>
                <w:noProof/>
              </w:rPr>
              <mc:AlternateContent>
                <mc:Choice Requires="wps">
                  <w:drawing>
                    <wp:anchor distT="0" distB="0" distL="114300" distR="114300" simplePos="0" relativeHeight="251658249" behindDoc="0" locked="0" layoutInCell="1" allowOverlap="1" wp14:anchorId="399748AD" wp14:editId="2755D6A8">
                      <wp:simplePos x="0" y="0"/>
                      <wp:positionH relativeFrom="column">
                        <wp:posOffset>695960</wp:posOffset>
                      </wp:positionH>
                      <wp:positionV relativeFrom="paragraph">
                        <wp:posOffset>183515</wp:posOffset>
                      </wp:positionV>
                      <wp:extent cx="457200" cy="259080"/>
                      <wp:effectExtent l="0" t="0" r="95250" b="64770"/>
                      <wp:wrapNone/>
                      <wp:docPr id="27" name="Straight Arrow Connector 27"/>
                      <wp:cNvGraphicFramePr/>
                      <a:graphic xmlns:a="http://schemas.openxmlformats.org/drawingml/2006/main">
                        <a:graphicData uri="http://schemas.microsoft.com/office/word/2010/wordprocessingShape">
                          <wps:wsp>
                            <wps:cNvCnPr/>
                            <wps:spPr>
                              <a:xfrm>
                                <a:off x="0" y="0"/>
                                <a:ext cx="457200" cy="259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4DA3EE2" id="Straight Arrow Connector 27" o:spid="_x0000_s1026" type="#_x0000_t32" style="position:absolute;margin-left:54.8pt;margin-top:14.45pt;width:36pt;height:2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" strokecolor="black [3040]">
                      <v:stroke endarrow="block"/>
                    </v:shape>
                  </w:pict>
                </mc:Fallback>
              </mc:AlternateContent>
            </w:r>
            <w:r w:rsidR="003432A9">
              <w:rPr>
                <w:noProof/>
              </w:rPr>
              <mc:AlternateContent>
                <mc:Choice Requires="wps">
                  <w:drawing>
                    <wp:anchor distT="0" distB="0" distL="114300" distR="114300" simplePos="0" relativeHeight="251658250" behindDoc="0" locked="0" layoutInCell="1" allowOverlap="1" wp14:anchorId="29E0FA11" wp14:editId="6EE38104">
                      <wp:simplePos x="0" y="0"/>
                      <wp:positionH relativeFrom="column">
                        <wp:posOffset>629920</wp:posOffset>
                      </wp:positionH>
                      <wp:positionV relativeFrom="paragraph">
                        <wp:posOffset>182880</wp:posOffset>
                      </wp:positionV>
                      <wp:extent cx="0" cy="200025"/>
                      <wp:effectExtent l="76200" t="0" r="57150" b="47625"/>
                      <wp:wrapNone/>
                      <wp:docPr id="28" name="Straight Arrow Connector 28"/>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3B764F77" id="Straight Arrow Connector 28" o:spid="_x0000_s1026" type="#_x0000_t32" style="position:absolute;margin-left:49.6pt;margin-top:14.4pt;width:0;height:15.75pt;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YttAEAAL4DAAAOAAAAZHJzL2Uyb0RvYy54bWysU9uO0zAQfUfiHyy/06SVQC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" strokecolor="black [3040]">
                      <v:stroke endarrow="block"/>
                    </v:shape>
                  </w:pict>
                </mc:Fallback>
              </mc:AlternateContent>
            </w:r>
            <w:r w:rsidR="003432A9">
              <w:t>Prophylaxis – 2</w:t>
            </w:r>
            <w:r w:rsidR="003432A9" w:rsidRPr="009051A2">
              <w:rPr>
                <w:vertAlign w:val="superscript"/>
              </w:rPr>
              <w:t>nd</w:t>
            </w:r>
            <w:r w:rsidR="003432A9">
              <w:t xml:space="preserve"> line</w:t>
            </w:r>
          </w:p>
        </w:tc>
        <w:tc>
          <w:tcPr>
            <w:tcW w:w="2482" w:type="dxa"/>
            <w:gridSpan w:val="3"/>
          </w:tcPr>
          <w:p w14:paraId="35DD6EB0" w14:textId="119DDAE3" w:rsidR="003432A9" w:rsidRDefault="003432A9" w:rsidP="00B2749D">
            <w:pPr>
              <w:jc w:val="center"/>
            </w:pPr>
            <w:r>
              <w:rPr>
                <w:noProof/>
              </w:rPr>
              <mc:AlternateContent>
                <mc:Choice Requires="wps">
                  <w:drawing>
                    <wp:anchor distT="0" distB="0" distL="114300" distR="114300" simplePos="0" relativeHeight="251658248" behindDoc="0" locked="0" layoutInCell="1" allowOverlap="1" wp14:anchorId="2F6F9314" wp14:editId="48CA8F0E">
                      <wp:simplePos x="0" y="0"/>
                      <wp:positionH relativeFrom="column">
                        <wp:posOffset>708025</wp:posOffset>
                      </wp:positionH>
                      <wp:positionV relativeFrom="paragraph">
                        <wp:posOffset>182880</wp:posOffset>
                      </wp:positionV>
                      <wp:extent cx="0" cy="200025"/>
                      <wp:effectExtent l="76200" t="0" r="57150" b="47625"/>
                      <wp:wrapNone/>
                      <wp:docPr id="26" name="Straight Arrow Connector 26"/>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0C0EFAFA" id="Straight Arrow Connector 26" o:spid="_x0000_s1026" type="#_x0000_t32" style="position:absolute;margin-left:55.75pt;margin-top:14.4pt;width:0;height:15.75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YttAEAAL4DAAAOAAAAZHJzL2Uyb0RvYy54bWysU9uO0zAQfUfiHyy/06SVQC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" strokecolor="black [3040]">
                      <v:stroke endarrow="block"/>
                    </v:shape>
                  </w:pict>
                </mc:Fallback>
              </mc:AlternateContent>
            </w:r>
            <w:r>
              <w:t>Prophylaxis – 2</w:t>
            </w:r>
            <w:r w:rsidRPr="009051A2">
              <w:rPr>
                <w:vertAlign w:val="superscript"/>
              </w:rPr>
              <w:t>nd</w:t>
            </w:r>
            <w:r>
              <w:t xml:space="preserve"> line</w:t>
            </w:r>
          </w:p>
        </w:tc>
      </w:tr>
      <w:tr w:rsidR="00E22695" w14:paraId="17A208AA" w14:textId="77777777" w:rsidTr="008E2D33">
        <w:tc>
          <w:tcPr>
            <w:tcW w:w="1090" w:type="dxa"/>
          </w:tcPr>
          <w:p w14:paraId="7A201FF6" w14:textId="77777777" w:rsidR="00E22695" w:rsidRDefault="00E22695" w:rsidP="00B2749D">
            <w:pPr>
              <w:jc w:val="center"/>
            </w:pPr>
          </w:p>
        </w:tc>
        <w:tc>
          <w:tcPr>
            <w:tcW w:w="1548" w:type="dxa"/>
            <w:gridSpan w:val="3"/>
          </w:tcPr>
          <w:p w14:paraId="3D771FAC" w14:textId="77777777" w:rsidR="00E22695" w:rsidRDefault="00E22695" w:rsidP="00B2749D">
            <w:pPr>
              <w:jc w:val="center"/>
            </w:pPr>
          </w:p>
        </w:tc>
        <w:tc>
          <w:tcPr>
            <w:tcW w:w="1468" w:type="dxa"/>
            <w:gridSpan w:val="3"/>
          </w:tcPr>
          <w:p w14:paraId="1E06D457" w14:textId="35B89D38" w:rsidR="00E22695" w:rsidRDefault="00E22695" w:rsidP="00B2749D">
            <w:pPr>
              <w:jc w:val="center"/>
            </w:pPr>
          </w:p>
        </w:tc>
        <w:tc>
          <w:tcPr>
            <w:tcW w:w="1990" w:type="dxa"/>
            <w:gridSpan w:val="2"/>
          </w:tcPr>
          <w:p w14:paraId="070CD2B1" w14:textId="79D51F50" w:rsidR="00E22695" w:rsidRDefault="00E22695" w:rsidP="00B2749D">
            <w:pPr>
              <w:jc w:val="center"/>
            </w:pPr>
          </w:p>
        </w:tc>
        <w:tc>
          <w:tcPr>
            <w:tcW w:w="2861" w:type="dxa"/>
            <w:gridSpan w:val="5"/>
          </w:tcPr>
          <w:p w14:paraId="7BB2DBAA" w14:textId="57F62A84" w:rsidR="00E22695" w:rsidRDefault="00E22695" w:rsidP="00B2749D">
            <w:pPr>
              <w:jc w:val="center"/>
            </w:pPr>
          </w:p>
        </w:tc>
      </w:tr>
      <w:tr w:rsidR="00A4265C" w14:paraId="3CF6A06E" w14:textId="77777777" w:rsidTr="008E2D33">
        <w:tc>
          <w:tcPr>
            <w:tcW w:w="2566" w:type="dxa"/>
            <w:gridSpan w:val="3"/>
          </w:tcPr>
          <w:p w14:paraId="47625A4C" w14:textId="3E6B1EBB" w:rsidR="00A4265C" w:rsidRDefault="00EB326D" w:rsidP="003E1EA3">
            <w:pPr>
              <w:jc w:val="right"/>
            </w:pPr>
            <w:r>
              <w:rPr>
                <w:noProof/>
              </w:rPr>
              <mc:AlternateContent>
                <mc:Choice Requires="wps">
                  <w:drawing>
                    <wp:anchor distT="0" distB="0" distL="114300" distR="114300" simplePos="0" relativeHeight="251658253" behindDoc="0" locked="0" layoutInCell="1" allowOverlap="1" wp14:anchorId="541578C3" wp14:editId="4BFCD06C">
                      <wp:simplePos x="0" y="0"/>
                      <wp:positionH relativeFrom="column">
                        <wp:posOffset>1498600</wp:posOffset>
                      </wp:positionH>
                      <wp:positionV relativeFrom="paragraph">
                        <wp:posOffset>-206375</wp:posOffset>
                      </wp:positionV>
                      <wp:extent cx="746760" cy="259080"/>
                      <wp:effectExtent l="38100" t="0" r="15240" b="64770"/>
                      <wp:wrapNone/>
                      <wp:docPr id="1" name="Straight Arrow Connector 1"/>
                      <wp:cNvGraphicFramePr/>
                      <a:graphic xmlns:a="http://schemas.openxmlformats.org/drawingml/2006/main">
                        <a:graphicData uri="http://schemas.microsoft.com/office/word/2010/wordprocessingShape">
                          <wps:wsp>
                            <wps:cNvCnPr/>
                            <wps:spPr>
                              <a:xfrm flipH="1">
                                <a:off x="0" y="0"/>
                                <a:ext cx="746760" cy="259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32D6670" id="Straight Arrow Connector 1" o:spid="_x0000_s1026" type="#_x0000_t32" style="position:absolute;margin-left:118pt;margin-top:-16.25pt;width:58.8pt;height:20.4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" strokecolor="black [3040]">
                      <v:stroke endarrow="block"/>
                    </v:shape>
                  </w:pict>
                </mc:Fallback>
              </mc:AlternateContent>
            </w:r>
            <w:r w:rsidR="00A4265C">
              <w:t>B</w:t>
            </w:r>
            <w:r w:rsidR="00A4265C" w:rsidRPr="001504EE">
              <w:t>ot</w:t>
            </w:r>
            <w:r>
              <w:t>ox</w:t>
            </w:r>
            <w:r w:rsidR="00A4265C" w:rsidRPr="001504EE">
              <w:t xml:space="preserve"> </w:t>
            </w:r>
          </w:p>
        </w:tc>
        <w:tc>
          <w:tcPr>
            <w:tcW w:w="1540" w:type="dxa"/>
            <w:gridSpan w:val="4"/>
          </w:tcPr>
          <w:p w14:paraId="24519946" w14:textId="5CC5F98C" w:rsidR="00A4265C" w:rsidRDefault="00A4265C" w:rsidP="00FA08E8">
            <w:pPr>
              <w:jc w:val="right"/>
            </w:pPr>
            <w:r>
              <w:t>Ep</w:t>
            </w:r>
            <w:r w:rsidR="008E2D33">
              <w:t>t</w:t>
            </w:r>
            <w:r>
              <w:t>inezumab</w:t>
            </w:r>
          </w:p>
        </w:tc>
        <w:tc>
          <w:tcPr>
            <w:tcW w:w="1990" w:type="dxa"/>
            <w:gridSpan w:val="2"/>
          </w:tcPr>
          <w:p w14:paraId="6971C89A" w14:textId="177A575D" w:rsidR="00A4265C" w:rsidRDefault="00A4265C" w:rsidP="00DE071C">
            <w:pPr>
              <w:jc w:val="right"/>
            </w:pPr>
            <w:r>
              <w:t>G</w:t>
            </w:r>
            <w:r w:rsidRPr="00882D92">
              <w:t>alcanezumab</w:t>
            </w:r>
          </w:p>
        </w:tc>
        <w:tc>
          <w:tcPr>
            <w:tcW w:w="2861" w:type="dxa"/>
            <w:gridSpan w:val="5"/>
          </w:tcPr>
          <w:p w14:paraId="51441C18" w14:textId="14110D10" w:rsidR="00A4265C" w:rsidRDefault="00A4265C" w:rsidP="006A0F50">
            <w:pPr>
              <w:jc w:val="center"/>
            </w:pPr>
            <w:r>
              <w:t>F</w:t>
            </w:r>
            <w:r w:rsidRPr="00882D92">
              <w:t>remanezumab</w:t>
            </w:r>
          </w:p>
        </w:tc>
      </w:tr>
    </w:tbl>
    <w:p w14:paraId="6DB52886" w14:textId="225A971D" w:rsidR="00163BE4" w:rsidRPr="00CC7DBE" w:rsidRDefault="00F84F75" w:rsidP="003E1EA3">
      <w:pPr>
        <w:spacing w:after="0"/>
        <w:rPr>
          <w:sz w:val="20"/>
          <w:szCs w:val="20"/>
        </w:rPr>
      </w:pPr>
      <w:r w:rsidRPr="00CC7DBE">
        <w:rPr>
          <w:sz w:val="20"/>
          <w:szCs w:val="20"/>
        </w:rPr>
        <w:t>Note:</w:t>
      </w:r>
    </w:p>
    <w:p w14:paraId="7CA4E41E" w14:textId="4BB45B19" w:rsidR="00F84F75" w:rsidRPr="00CC7DBE" w:rsidRDefault="00F84F75" w:rsidP="00C02F80">
      <w:pPr>
        <w:spacing w:after="0"/>
        <w:rPr>
          <w:sz w:val="20"/>
          <w:szCs w:val="20"/>
        </w:rPr>
      </w:pPr>
      <w:r w:rsidRPr="00CC7DBE">
        <w:rPr>
          <w:sz w:val="20"/>
          <w:szCs w:val="20"/>
          <w:vertAlign w:val="superscript"/>
        </w:rPr>
        <w:t>a</w:t>
      </w:r>
      <w:r w:rsidRPr="00CC7DBE">
        <w:rPr>
          <w:rFonts w:cstheme="minorHAnsi"/>
          <w:sz w:val="20"/>
          <w:szCs w:val="20"/>
        </w:rPr>
        <w:t>≥</w:t>
      </w:r>
      <w:r w:rsidRPr="00CC7DBE">
        <w:rPr>
          <w:sz w:val="20"/>
          <w:szCs w:val="20"/>
        </w:rPr>
        <w:t>15 headache days per month, with at least 8 days of migraine, over a period of at least 6 months.</w:t>
      </w:r>
    </w:p>
    <w:p w14:paraId="408A91E9" w14:textId="457796E6" w:rsidR="00F84F75" w:rsidRPr="00CC7DBE" w:rsidRDefault="00CC116B" w:rsidP="00C02F80">
      <w:pPr>
        <w:spacing w:after="0"/>
        <w:rPr>
          <w:sz w:val="20"/>
          <w:szCs w:val="20"/>
        </w:rPr>
      </w:pPr>
      <w:r w:rsidRPr="000D6958">
        <w:rPr>
          <w:sz w:val="20"/>
          <w:szCs w:val="20"/>
          <w:vertAlign w:val="superscript"/>
        </w:rPr>
        <w:t>b</w:t>
      </w:r>
      <w:r>
        <w:rPr>
          <w:sz w:val="20"/>
          <w:szCs w:val="20"/>
        </w:rPr>
        <w:t>H</w:t>
      </w:r>
      <w:r w:rsidRPr="000D6958">
        <w:rPr>
          <w:sz w:val="20"/>
          <w:szCs w:val="20"/>
        </w:rPr>
        <w:t xml:space="preserve">igh </w:t>
      </w:r>
      <w:r>
        <w:rPr>
          <w:sz w:val="20"/>
          <w:szCs w:val="20"/>
        </w:rPr>
        <w:t>F</w:t>
      </w:r>
      <w:r w:rsidRPr="000D6958">
        <w:rPr>
          <w:sz w:val="20"/>
          <w:szCs w:val="20"/>
        </w:rPr>
        <w:t xml:space="preserve">requency </w:t>
      </w:r>
      <w:r>
        <w:rPr>
          <w:sz w:val="20"/>
          <w:szCs w:val="20"/>
        </w:rPr>
        <w:t>E</w:t>
      </w:r>
      <w:r w:rsidRPr="000D6958">
        <w:rPr>
          <w:sz w:val="20"/>
          <w:szCs w:val="20"/>
        </w:rPr>
        <w:t xml:space="preserve">pisodic </w:t>
      </w:r>
      <w:r>
        <w:rPr>
          <w:sz w:val="20"/>
          <w:szCs w:val="20"/>
        </w:rPr>
        <w:t>M</w:t>
      </w:r>
      <w:r w:rsidRPr="000D6958">
        <w:rPr>
          <w:sz w:val="20"/>
          <w:szCs w:val="20"/>
        </w:rPr>
        <w:t>igraine</w:t>
      </w:r>
      <w:r>
        <w:rPr>
          <w:sz w:val="20"/>
          <w:szCs w:val="20"/>
        </w:rPr>
        <w:t xml:space="preserve"> (HFEM)</w:t>
      </w:r>
      <w:r w:rsidR="002D5F8C">
        <w:rPr>
          <w:sz w:val="20"/>
          <w:szCs w:val="20"/>
        </w:rPr>
        <w:t>/</w:t>
      </w:r>
      <w:r w:rsidR="002D5F8C" w:rsidRPr="002D5F8C">
        <w:rPr>
          <w:sz w:val="20"/>
          <w:szCs w:val="20"/>
        </w:rPr>
        <w:t xml:space="preserve"> </w:t>
      </w:r>
      <w:r w:rsidR="002D5F8C" w:rsidRPr="00B07B4C">
        <w:rPr>
          <w:sz w:val="20"/>
          <w:szCs w:val="20"/>
        </w:rPr>
        <w:t>Treatment-resistant migraine</w:t>
      </w:r>
      <w:r w:rsidR="002D5F8C">
        <w:rPr>
          <w:sz w:val="20"/>
          <w:szCs w:val="20"/>
        </w:rPr>
        <w:t xml:space="preserve"> (TRM)</w:t>
      </w:r>
      <w:r>
        <w:rPr>
          <w:sz w:val="20"/>
          <w:szCs w:val="20"/>
        </w:rPr>
        <w:t xml:space="preserve"> </w:t>
      </w:r>
      <w:r w:rsidR="00C02F80" w:rsidRPr="00CC7DBE">
        <w:rPr>
          <w:sz w:val="20"/>
          <w:szCs w:val="20"/>
        </w:rPr>
        <w:t>8 migraine headache days per month, over a period of at least 6 months.</w:t>
      </w:r>
    </w:p>
    <w:p w14:paraId="7F647048" w14:textId="46D4822E" w:rsidR="00DF1792" w:rsidRPr="00CC7DBE" w:rsidRDefault="00CD16C7" w:rsidP="00DF1792">
      <w:pPr>
        <w:spacing w:after="0"/>
        <w:rPr>
          <w:sz w:val="20"/>
          <w:szCs w:val="20"/>
        </w:rPr>
      </w:pPr>
      <w:r w:rsidRPr="00CC7DBE">
        <w:rPr>
          <w:sz w:val="20"/>
          <w:szCs w:val="20"/>
        </w:rPr>
        <w:t>Source: Adapted from</w:t>
      </w:r>
      <w:r w:rsidR="00DF1792" w:rsidRPr="00CC7DBE">
        <w:rPr>
          <w:sz w:val="20"/>
          <w:szCs w:val="20"/>
        </w:rPr>
        <w:t xml:space="preserve">: </w:t>
      </w:r>
      <w:r w:rsidR="002F63A8" w:rsidRPr="002F63A8">
        <w:rPr>
          <w:sz w:val="20"/>
          <w:szCs w:val="20"/>
        </w:rPr>
        <w:t xml:space="preserve">Jenkins </w:t>
      </w:r>
      <w:r w:rsidR="002F63A8">
        <w:rPr>
          <w:sz w:val="20"/>
          <w:szCs w:val="20"/>
        </w:rPr>
        <w:t>(2020) and Eller &amp; Cheng (2022)</w:t>
      </w:r>
      <w:r w:rsidR="00DF1792" w:rsidRPr="00CC7DBE">
        <w:rPr>
          <w:sz w:val="20"/>
          <w:szCs w:val="20"/>
        </w:rPr>
        <w:t xml:space="preserve">, Therapeutic Guidelines: Neurology. Accessed on 22 February 2024 at </w:t>
      </w:r>
      <w:hyperlink r:id="rId10" w:anchor="toc_d1e728" w:history="1">
        <w:r w:rsidR="00DF1792" w:rsidRPr="00CC7DBE">
          <w:rPr>
            <w:rStyle w:val="Hyperlink"/>
            <w:sz w:val="20"/>
            <w:szCs w:val="20"/>
          </w:rPr>
          <w:t>Topic | Therapeutic Guidelines (tg.org.au)</w:t>
        </w:r>
      </w:hyperlink>
      <w:r w:rsidR="003905DA">
        <w:rPr>
          <w:sz w:val="20"/>
          <w:szCs w:val="20"/>
        </w:rPr>
        <w:t xml:space="preserve">, </w:t>
      </w:r>
      <w:r w:rsidR="009E31A7">
        <w:rPr>
          <w:sz w:val="20"/>
          <w:szCs w:val="20"/>
        </w:rPr>
        <w:t xml:space="preserve">and </w:t>
      </w:r>
      <w:r w:rsidR="00DF1792" w:rsidRPr="00CC7DBE">
        <w:rPr>
          <w:sz w:val="20"/>
          <w:szCs w:val="20"/>
        </w:rPr>
        <w:t xml:space="preserve">Schedule of Pharmaceutical Benefits for botulinum toxin type A, galcanezumab, fremanezumab. Accessed on 22 February 2023 at </w:t>
      </w:r>
      <w:hyperlink r:id="rId11" w:history="1">
        <w:r w:rsidR="00DF1792" w:rsidRPr="00CC7DBE">
          <w:rPr>
            <w:rStyle w:val="Hyperlink"/>
            <w:sz w:val="20"/>
            <w:szCs w:val="20"/>
          </w:rPr>
          <w:t>Pharmaceutical Benefits Scheme (PBS) | PBS Publications</w:t>
        </w:r>
      </w:hyperlink>
      <w:r w:rsidR="00DF1792" w:rsidRPr="00CC7DBE">
        <w:rPr>
          <w:sz w:val="20"/>
          <w:szCs w:val="20"/>
        </w:rPr>
        <w:t>.</w:t>
      </w:r>
    </w:p>
    <w:p w14:paraId="4C2785DD" w14:textId="4B34757D" w:rsidR="00CD16C7" w:rsidRPr="00C02F80" w:rsidRDefault="00CD16C7" w:rsidP="00C02F80">
      <w:pPr>
        <w:spacing w:after="0"/>
      </w:pPr>
    </w:p>
    <w:p w14:paraId="48DC134B" w14:textId="6B0BB0F0" w:rsidR="00E146AC" w:rsidRDefault="00F348C1" w:rsidP="00EE2BBB">
      <w:pPr>
        <w:rPr>
          <w:b/>
          <w:bCs/>
        </w:rPr>
      </w:pPr>
      <w:r w:rsidRPr="00F348C1">
        <w:rPr>
          <w:b/>
          <w:bCs/>
        </w:rPr>
        <w:t xml:space="preserve">Figure </w:t>
      </w:r>
      <w:r w:rsidR="00AB3CC2">
        <w:rPr>
          <w:b/>
          <w:bCs/>
        </w:rPr>
        <w:t>1</w:t>
      </w:r>
      <w:r w:rsidRPr="00F348C1">
        <w:rPr>
          <w:b/>
          <w:bCs/>
        </w:rPr>
        <w:t>: Treatment algorithm for migraine</w:t>
      </w:r>
    </w:p>
    <w:p w14:paraId="1F8E8C1A" w14:textId="77777777" w:rsidR="004A4847" w:rsidRDefault="004A4847" w:rsidP="00EE2BBB">
      <w:pPr>
        <w:rPr>
          <w:b/>
          <w:bCs/>
        </w:rPr>
      </w:pPr>
    </w:p>
    <w:p w14:paraId="1002E5F4" w14:textId="77777777" w:rsidR="006F2BD9" w:rsidRDefault="006F2BD9" w:rsidP="00EE2BBB">
      <w:pPr>
        <w:rPr>
          <w:b/>
          <w:bCs/>
        </w:rPr>
      </w:pPr>
    </w:p>
    <w:p w14:paraId="5F4E5013" w14:textId="77777777" w:rsidR="006F2BD9" w:rsidRPr="004015AD" w:rsidRDefault="006F2BD9" w:rsidP="00EE2BBB">
      <w:pPr>
        <w:rPr>
          <w:b/>
          <w:bCs/>
        </w:rPr>
      </w:pPr>
    </w:p>
    <w:p w14:paraId="5200ED48" w14:textId="30FC31D0" w:rsidR="00702229" w:rsidRPr="005D7C47" w:rsidRDefault="007247B9" w:rsidP="005D7C47">
      <w:pPr>
        <w:pStyle w:val="Heading2"/>
      </w:pPr>
      <w:r>
        <w:lastRenderedPageBreak/>
        <w:t>Pharmacology</w:t>
      </w:r>
    </w:p>
    <w:p w14:paraId="5BC21C62" w14:textId="076AF8C8" w:rsidR="00702229" w:rsidRDefault="00702229" w:rsidP="00AE4BAC">
      <w:r w:rsidRPr="00702229">
        <w:t>Galcanezumab</w:t>
      </w:r>
      <w:r w:rsidR="003905DA" w:rsidRPr="002F63A8">
        <w:rPr>
          <w:vertAlign w:val="superscript"/>
        </w:rPr>
        <w:t>1</w:t>
      </w:r>
      <w:r w:rsidRPr="00702229">
        <w:t xml:space="preserve"> </w:t>
      </w:r>
      <w:r w:rsidR="00F16F09">
        <w:t>and f</w:t>
      </w:r>
      <w:r w:rsidR="00F16F09" w:rsidRPr="00F16F09">
        <w:t>remanezumab</w:t>
      </w:r>
      <w:r w:rsidR="003905DA" w:rsidRPr="002F63A8">
        <w:rPr>
          <w:vertAlign w:val="superscript"/>
        </w:rPr>
        <w:t>2</w:t>
      </w:r>
      <w:r w:rsidR="003905DA">
        <w:t xml:space="preserve"> </w:t>
      </w:r>
      <w:r w:rsidR="00F16F09">
        <w:t>are</w:t>
      </w:r>
      <w:r w:rsidRPr="00702229">
        <w:t xml:space="preserve"> humanised monoclonal antibody produced in Chinese Hamster Ovary cells by recombinant DNA technology.</w:t>
      </w:r>
    </w:p>
    <w:p w14:paraId="6AE78AC4" w14:textId="3AA17526" w:rsidR="00EE67A7" w:rsidRPr="00F14048" w:rsidRDefault="00304453" w:rsidP="00AE4BAC">
      <w:r w:rsidRPr="00304453">
        <w:t xml:space="preserve">Galcanezumab </w:t>
      </w:r>
      <w:r w:rsidR="006264F5">
        <w:t>and f</w:t>
      </w:r>
      <w:r w:rsidR="006264F5" w:rsidRPr="006264F5">
        <w:t>remanezumab</w:t>
      </w:r>
      <w:r w:rsidRPr="00304453">
        <w:t xml:space="preserve"> bind </w:t>
      </w:r>
      <w:r w:rsidR="0054425C">
        <w:t>C</w:t>
      </w:r>
      <w:r w:rsidR="0054425C" w:rsidRPr="0054425C">
        <w:t xml:space="preserve">alcitonin gene-related peptide </w:t>
      </w:r>
      <w:r w:rsidR="0054425C">
        <w:t>(</w:t>
      </w:r>
      <w:r w:rsidRPr="00304453">
        <w:t>CGRP</w:t>
      </w:r>
      <w:r w:rsidR="0054425C">
        <w:t>)</w:t>
      </w:r>
      <w:r w:rsidRPr="00304453">
        <w:t xml:space="preserve"> and prevents its </w:t>
      </w:r>
      <w:r w:rsidR="00251A10">
        <w:t xml:space="preserve">binding to the </w:t>
      </w:r>
      <w:r w:rsidRPr="00304453">
        <w:t>CGRP receptor</w:t>
      </w:r>
      <w:r w:rsidR="0079621E">
        <w:t xml:space="preserve"> thereby </w:t>
      </w:r>
      <w:r w:rsidR="0079621E" w:rsidRPr="0079621E">
        <w:t>inhibit</w:t>
      </w:r>
      <w:r w:rsidR="0079621E">
        <w:t>ing</w:t>
      </w:r>
      <w:r w:rsidR="0079621E" w:rsidRPr="0079621E">
        <w:t xml:space="preserve"> physiological signalling of the CGRP receptor</w:t>
      </w:r>
      <w:r w:rsidR="0079621E">
        <w:t xml:space="preserve">. </w:t>
      </w:r>
      <w:r w:rsidR="00CA10B6" w:rsidRPr="00CA10B6">
        <w:t xml:space="preserve">The relationship between the pharmacodynamic activity and the mechanism(s) by which </w:t>
      </w:r>
      <w:r w:rsidR="00CA10B6">
        <w:t>galca</w:t>
      </w:r>
      <w:r w:rsidR="008B15D8">
        <w:t>n</w:t>
      </w:r>
      <w:r w:rsidR="00CA10B6">
        <w:t xml:space="preserve">ezumab and </w:t>
      </w:r>
      <w:r w:rsidR="00CA10B6" w:rsidRPr="00CA10B6">
        <w:t xml:space="preserve">fremanezumab exerts </w:t>
      </w:r>
      <w:r w:rsidR="00CA10B6">
        <w:t>the</w:t>
      </w:r>
      <w:r w:rsidR="00181491">
        <w:t>ir</w:t>
      </w:r>
      <w:r w:rsidR="00CA10B6" w:rsidRPr="00CA10B6">
        <w:t xml:space="preserve"> clinical effects </w:t>
      </w:r>
      <w:r w:rsidR="00CA10B6">
        <w:t xml:space="preserve">has not been fully </w:t>
      </w:r>
      <w:r w:rsidR="00181491">
        <w:t>established</w:t>
      </w:r>
      <w:r w:rsidR="00F14048">
        <w:t>, however</w:t>
      </w:r>
      <w:r w:rsidR="00C804E3">
        <w:t xml:space="preserve"> </w:t>
      </w:r>
      <w:r w:rsidR="00B60951">
        <w:t>inhibit</w:t>
      </w:r>
      <w:r w:rsidR="0018297B">
        <w:t>ing the binding of CGRP</w:t>
      </w:r>
      <w:r w:rsidR="00B60951">
        <w:t xml:space="preserve"> </w:t>
      </w:r>
      <w:r w:rsidR="00C804E3" w:rsidRPr="00C804E3">
        <w:t>prevent</w:t>
      </w:r>
      <w:r w:rsidR="0018297B">
        <w:t>s</w:t>
      </w:r>
      <w:r w:rsidR="00C804E3" w:rsidRPr="00C804E3">
        <w:t xml:space="preserve"> the activation of the trigeminal system</w:t>
      </w:r>
      <w:r w:rsidR="0018297B">
        <w:t xml:space="preserve"> and it is </w:t>
      </w:r>
      <w:r w:rsidR="00C804E3" w:rsidRPr="00C804E3">
        <w:t xml:space="preserve">believed that prevention of migraine is obtained by </w:t>
      </w:r>
      <w:r w:rsidR="00F04349">
        <w:t>the</w:t>
      </w:r>
      <w:r w:rsidR="00C804E3" w:rsidRPr="00C804E3">
        <w:t xml:space="preserve"> effect </w:t>
      </w:r>
      <w:r w:rsidR="00F04349">
        <w:t xml:space="preserve">of </w:t>
      </w:r>
      <w:r w:rsidR="00C804E3" w:rsidRPr="00C804E3">
        <w:t>modulating the trigeminal system.</w:t>
      </w:r>
    </w:p>
    <w:p w14:paraId="6AC18C88" w14:textId="1C91D37C"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r w:rsidR="008E34B6">
        <w:t xml:space="preserve"> and notices</w:t>
      </w:r>
    </w:p>
    <w:p w14:paraId="2B9DC223" w14:textId="4FAD4AFB" w:rsidR="0038366A" w:rsidRDefault="00AA7BC3" w:rsidP="00B133AC">
      <w:r>
        <w:t>G</w:t>
      </w:r>
      <w:r w:rsidRPr="0038366A">
        <w:t>alca</w:t>
      </w:r>
      <w:r>
        <w:t>n</w:t>
      </w:r>
      <w:r w:rsidRPr="0038366A">
        <w:t xml:space="preserve">ezumab </w:t>
      </w:r>
      <w:r w:rsidR="008A72BF" w:rsidRPr="008A72BF">
        <w:t>was registered on the Australian Register of Therapeutic Goods (ARTG) on</w:t>
      </w:r>
      <w:r>
        <w:t xml:space="preserve"> 28</w:t>
      </w:r>
      <w:r w:rsidRPr="00AA7BC3">
        <w:rPr>
          <w:vertAlign w:val="superscript"/>
        </w:rPr>
        <w:t>th</w:t>
      </w:r>
      <w:r w:rsidR="008A72BF" w:rsidRPr="008A72BF">
        <w:t xml:space="preserve"> of </w:t>
      </w:r>
      <w:r>
        <w:t>May 2019</w:t>
      </w:r>
      <w:r w:rsidR="008A72BF" w:rsidRPr="008A72BF">
        <w:t xml:space="preserve"> for the </w:t>
      </w:r>
      <w:r w:rsidR="005E2B18" w:rsidRPr="005E2B18">
        <w:t>prophylaxis of migraine in adults</w:t>
      </w:r>
      <w:r w:rsidR="002836B4">
        <w:t>.</w:t>
      </w:r>
    </w:p>
    <w:p w14:paraId="301CBD13" w14:textId="500D5400" w:rsidR="002836B4" w:rsidRDefault="00B07963" w:rsidP="00B133AC">
      <w:r>
        <w:t>Fremanezumab</w:t>
      </w:r>
      <w:r w:rsidR="007055F4">
        <w:t xml:space="preserve"> was </w:t>
      </w:r>
      <w:r w:rsidR="4130F412">
        <w:t xml:space="preserve">first </w:t>
      </w:r>
      <w:r w:rsidR="007055F4">
        <w:t>registered on the ARTG on 2</w:t>
      </w:r>
      <w:r w:rsidR="0061458F">
        <w:t>0</w:t>
      </w:r>
      <w:r w:rsidR="0061458F" w:rsidRPr="229DD85B">
        <w:rPr>
          <w:vertAlign w:val="superscript"/>
        </w:rPr>
        <w:t>th</w:t>
      </w:r>
      <w:r w:rsidR="0061458F">
        <w:t xml:space="preserve"> of </w:t>
      </w:r>
      <w:r w:rsidR="00395D3C">
        <w:t>September</w:t>
      </w:r>
      <w:r w:rsidR="007055F4">
        <w:t xml:space="preserve"> 2019 </w:t>
      </w:r>
      <w:r w:rsidR="03D58AFE">
        <w:t xml:space="preserve">(pre-filled syringe) </w:t>
      </w:r>
      <w:r w:rsidR="00601834">
        <w:t>(</w:t>
      </w:r>
      <w:r w:rsidR="00263566">
        <w:t>2</w:t>
      </w:r>
      <w:r w:rsidR="00263566" w:rsidRPr="00263566">
        <w:rPr>
          <w:vertAlign w:val="superscript"/>
        </w:rPr>
        <w:t>nd</w:t>
      </w:r>
      <w:r w:rsidR="00263566">
        <w:t xml:space="preserve"> of June 2021 for autoinjector) </w:t>
      </w:r>
      <w:r w:rsidR="007055F4">
        <w:t>for the prophylaxis of migraine in adults.</w:t>
      </w:r>
    </w:p>
    <w:p w14:paraId="6874118B" w14:textId="69C418C3" w:rsidR="00B133AC" w:rsidRPr="00395D3C" w:rsidRDefault="0038366A" w:rsidP="00A35800">
      <w:r>
        <w:t>G</w:t>
      </w:r>
      <w:r w:rsidRPr="0038366A">
        <w:t>alca</w:t>
      </w:r>
      <w:r w:rsidR="00F43470">
        <w:t>n</w:t>
      </w:r>
      <w:r w:rsidRPr="0038366A">
        <w:t xml:space="preserve">ezumab and fremanezumab </w:t>
      </w:r>
      <w:r w:rsidR="00B133AC">
        <w:t xml:space="preserve">product information includes a black triangle indicating that it is </w:t>
      </w:r>
      <w:r w:rsidR="00B133AC" w:rsidRPr="00336638">
        <w:t>subject to additional monitoring in Australia</w:t>
      </w:r>
      <w:r w:rsidR="00B133AC">
        <w:t xml:space="preserve">. By being included in the Black Triangle scheme, this </w:t>
      </w:r>
      <w:r w:rsidR="00B133AC" w:rsidRPr="00336638">
        <w:t>remind</w:t>
      </w:r>
      <w:r w:rsidR="00B133AC">
        <w:t>s</w:t>
      </w:r>
      <w:r w:rsidR="00B133AC" w:rsidRPr="00336638">
        <w:t xml:space="preserve"> health professionals and consumers to report suspected adverse events</w:t>
      </w:r>
      <w:r w:rsidR="00B133AC">
        <w:t>.</w:t>
      </w:r>
    </w:p>
    <w:p w14:paraId="757CDF01" w14:textId="42FB49FC" w:rsidR="006E2D5C" w:rsidRDefault="00184FE2" w:rsidP="00A35800">
      <w:pPr>
        <w:rPr>
          <w:highlight w:val="yellow"/>
        </w:rPr>
      </w:pPr>
      <w:r w:rsidRPr="00184FE2">
        <w:t>As</w:t>
      </w:r>
      <w:r>
        <w:t xml:space="preserve"> of </w:t>
      </w:r>
      <w:r w:rsidR="00BC0275">
        <w:t>29 April</w:t>
      </w:r>
      <w:r w:rsidR="00AD15DE">
        <w:t xml:space="preserve"> 2024,</w:t>
      </w:r>
      <w:r w:rsidR="00D67B27">
        <w:t xml:space="preserve"> </w:t>
      </w:r>
      <w:r w:rsidR="00F75F1D">
        <w:t xml:space="preserve">galcanezumab was reported </w:t>
      </w:r>
      <w:r w:rsidR="00320D13">
        <w:t xml:space="preserve">on the </w:t>
      </w:r>
      <w:hyperlink r:id="rId12" w:history="1">
        <w:r w:rsidR="00320D13" w:rsidRPr="00BA28C8">
          <w:rPr>
            <w:rStyle w:val="Hyperlink"/>
          </w:rPr>
          <w:t xml:space="preserve">TGA’s </w:t>
        </w:r>
        <w:r w:rsidR="000A1CBD" w:rsidRPr="00BA28C8">
          <w:rPr>
            <w:rStyle w:val="Hyperlink"/>
          </w:rPr>
          <w:t>Medicine shortage reports database</w:t>
        </w:r>
      </w:hyperlink>
      <w:r w:rsidR="000A1CBD">
        <w:t xml:space="preserve"> </w:t>
      </w:r>
      <w:r w:rsidR="005141BC">
        <w:t>as having limited availability</w:t>
      </w:r>
      <w:r w:rsidR="00354378">
        <w:t xml:space="preserve"> from 22 November 2023 to </w:t>
      </w:r>
      <w:r w:rsidR="00530E4F">
        <w:t>13 March</w:t>
      </w:r>
      <w:r w:rsidR="00354378">
        <w:t xml:space="preserve"> 2024</w:t>
      </w:r>
      <w:r w:rsidR="00943080">
        <w:t xml:space="preserve">, and </w:t>
      </w:r>
      <w:r w:rsidR="00AD15DE" w:rsidRPr="00AD15DE">
        <w:t>fremanezumab</w:t>
      </w:r>
      <w:r w:rsidR="00AD15DE">
        <w:t xml:space="preserve"> was reported as having limited availability from </w:t>
      </w:r>
      <w:r w:rsidR="00E669BE">
        <w:t xml:space="preserve">6 February 2024 to </w:t>
      </w:r>
      <w:r w:rsidR="00BC0275">
        <w:t>4</w:t>
      </w:r>
      <w:r w:rsidR="00E669BE">
        <w:t xml:space="preserve"> April 2024.</w:t>
      </w:r>
    </w:p>
    <w:p w14:paraId="15E919C1" w14:textId="1B3BA560" w:rsidR="006B709B" w:rsidRDefault="006B709B" w:rsidP="00CF5E22">
      <w:pPr>
        <w:pStyle w:val="Heading2"/>
      </w:pPr>
      <w:r>
        <w:t>Dosage and administration</w:t>
      </w:r>
    </w:p>
    <w:p w14:paraId="51E22FB7" w14:textId="7F057049" w:rsidR="003370D0" w:rsidRPr="00CF5E22" w:rsidRDefault="003370D0" w:rsidP="00CF5E22">
      <w:pPr>
        <w:pStyle w:val="Tabletitle"/>
        <w:rPr>
          <w:highlight w:val="yellow"/>
        </w:rPr>
      </w:pPr>
      <w:r w:rsidRPr="00AB2982">
        <w:t xml:space="preserve">Table </w:t>
      </w:r>
      <w:r w:rsidR="00AB3CC2" w:rsidRPr="00AB2982">
        <w:t>2</w:t>
      </w:r>
      <w:r w:rsidRPr="00AB2982">
        <w:t xml:space="preserve">: </w:t>
      </w:r>
      <w:r w:rsidR="009663B6" w:rsidRPr="00AB2982">
        <w:t xml:space="preserve">Dosage and administration of </w:t>
      </w:r>
      <w:r w:rsidR="008110F6">
        <w:t>g</w:t>
      </w:r>
      <w:r w:rsidR="00F410F6" w:rsidRPr="00AB2982">
        <w:t>alcanezumab</w:t>
      </w:r>
      <w:r w:rsidR="00F410F6">
        <w:t xml:space="preserve"> and </w:t>
      </w:r>
      <w:r w:rsidR="008110F6">
        <w:t>f</w:t>
      </w:r>
      <w:r w:rsidR="00AB2982" w:rsidRPr="00005D72">
        <w:t>remanezumab</w:t>
      </w:r>
    </w:p>
    <w:tbl>
      <w:tblPr>
        <w:tblStyle w:val="TableGrid"/>
        <w:tblW w:w="9180" w:type="dxa"/>
        <w:tblLook w:val="04A0" w:firstRow="1" w:lastRow="0" w:firstColumn="1" w:lastColumn="0" w:noHBand="0" w:noVBand="1"/>
      </w:tblPr>
      <w:tblGrid>
        <w:gridCol w:w="2660"/>
        <w:gridCol w:w="3544"/>
        <w:gridCol w:w="2976"/>
      </w:tblGrid>
      <w:tr w:rsidR="00AB3733" w:rsidRPr="00A35800" w14:paraId="17C962C4" w14:textId="77777777" w:rsidTr="00503998">
        <w:trPr>
          <w:tblHeader/>
        </w:trPr>
        <w:tc>
          <w:tcPr>
            <w:tcW w:w="2660" w:type="dxa"/>
            <w:shd w:val="clear" w:color="auto" w:fill="BFBFBF" w:themeFill="background1" w:themeFillShade="BF"/>
          </w:tcPr>
          <w:p w14:paraId="4C67179E" w14:textId="77777777" w:rsidR="00AB3733" w:rsidRPr="00A35800" w:rsidRDefault="00AB3733" w:rsidP="00A35800">
            <w:pPr>
              <w:pStyle w:val="Tableheading"/>
              <w:rPr>
                <w:sz w:val="20"/>
                <w:szCs w:val="20"/>
              </w:rPr>
            </w:pPr>
            <w:r w:rsidRPr="00A35800">
              <w:rPr>
                <w:sz w:val="20"/>
                <w:szCs w:val="20"/>
              </w:rPr>
              <w:t>Brand name and sponsor</w:t>
            </w:r>
          </w:p>
        </w:tc>
        <w:tc>
          <w:tcPr>
            <w:tcW w:w="3544" w:type="dxa"/>
            <w:shd w:val="clear" w:color="auto" w:fill="BFBFBF" w:themeFill="background1" w:themeFillShade="BF"/>
          </w:tcPr>
          <w:p w14:paraId="2A01F4BF" w14:textId="77777777" w:rsidR="00AB3733" w:rsidRPr="00A35800" w:rsidRDefault="00AB3733" w:rsidP="00A35800">
            <w:pPr>
              <w:pStyle w:val="Tableheading"/>
              <w:rPr>
                <w:sz w:val="20"/>
                <w:szCs w:val="20"/>
              </w:rPr>
            </w:pPr>
            <w:r w:rsidRPr="00A35800">
              <w:rPr>
                <w:sz w:val="20"/>
                <w:szCs w:val="20"/>
              </w:rPr>
              <w:t>Product</w:t>
            </w:r>
          </w:p>
        </w:tc>
        <w:tc>
          <w:tcPr>
            <w:tcW w:w="2976" w:type="dxa"/>
            <w:shd w:val="clear" w:color="auto" w:fill="BFBFBF" w:themeFill="background1" w:themeFillShade="BF"/>
          </w:tcPr>
          <w:p w14:paraId="28170FE4" w14:textId="77777777" w:rsidR="00AB3733" w:rsidRPr="00A35800" w:rsidRDefault="00AB3733" w:rsidP="00A35800">
            <w:pPr>
              <w:pStyle w:val="Tableheading"/>
              <w:rPr>
                <w:sz w:val="20"/>
                <w:szCs w:val="20"/>
              </w:rPr>
            </w:pPr>
            <w:r w:rsidRPr="00A35800">
              <w:rPr>
                <w:sz w:val="20"/>
                <w:szCs w:val="20"/>
              </w:rPr>
              <w:t xml:space="preserve">Dose and frequency of administration </w:t>
            </w:r>
          </w:p>
        </w:tc>
      </w:tr>
      <w:tr w:rsidR="00AB3733" w:rsidRPr="00A35800" w14:paraId="348A165B" w14:textId="77777777" w:rsidTr="003370D0">
        <w:tc>
          <w:tcPr>
            <w:tcW w:w="2660" w:type="dxa"/>
          </w:tcPr>
          <w:p w14:paraId="23DEB0E0" w14:textId="34C7613D" w:rsidR="00AB3733" w:rsidRPr="00A35800" w:rsidRDefault="00E8595C" w:rsidP="00A35800">
            <w:pPr>
              <w:pStyle w:val="Tablewriting"/>
            </w:pPr>
            <w:r>
              <w:t>Emgality</w:t>
            </w:r>
            <w:r>
              <w:rPr>
                <w:rFonts w:ascii="Calibri" w:hAnsi="Calibri"/>
              </w:rPr>
              <w:t>®</w:t>
            </w:r>
            <w:r w:rsidR="004D4AD0">
              <w:rPr>
                <w:rFonts w:ascii="Calibri" w:hAnsi="Calibri"/>
              </w:rPr>
              <w:t xml:space="preserve"> </w:t>
            </w:r>
            <w:r w:rsidR="004D4AD0" w:rsidRPr="004D4AD0">
              <w:rPr>
                <w:rFonts w:ascii="Calibri" w:hAnsi="Calibri"/>
              </w:rPr>
              <w:t>Eli Lilly Australia Pty Ltd</w:t>
            </w:r>
          </w:p>
        </w:tc>
        <w:tc>
          <w:tcPr>
            <w:tcW w:w="3544" w:type="dxa"/>
          </w:tcPr>
          <w:p w14:paraId="313459A4" w14:textId="44D9C1FB" w:rsidR="00AB3733" w:rsidRPr="00A35800" w:rsidRDefault="00556A17" w:rsidP="00A35800">
            <w:pPr>
              <w:pStyle w:val="Tablewriting"/>
            </w:pPr>
            <w:r w:rsidRPr="00556A17">
              <w:t>Galcanezumab</w:t>
            </w:r>
            <w:r>
              <w:t xml:space="preserve"> </w:t>
            </w:r>
            <w:r w:rsidR="00AD1A4C">
              <w:t>–</w:t>
            </w:r>
            <w:r>
              <w:t xml:space="preserve"> </w:t>
            </w:r>
            <w:r w:rsidR="00B80CD7">
              <w:t>Two</w:t>
            </w:r>
            <w:r w:rsidR="00AD1A4C">
              <w:t xml:space="preserve"> </w:t>
            </w:r>
            <w:r w:rsidR="005C3F9B">
              <w:t xml:space="preserve">delivery </w:t>
            </w:r>
            <w:r w:rsidR="00AD1A4C">
              <w:t>form</w:t>
            </w:r>
            <w:r w:rsidR="006A54C9">
              <w:t>s are</w:t>
            </w:r>
            <w:r w:rsidR="00AD1A4C">
              <w:t xml:space="preserve"> available - </w:t>
            </w:r>
            <w:r w:rsidR="00E8595C" w:rsidRPr="00E8595C">
              <w:t>prefilled pen (autoinjector) or prefilled syringe contains 120 mg of galcanezumab in 1 mL.</w:t>
            </w:r>
          </w:p>
        </w:tc>
        <w:tc>
          <w:tcPr>
            <w:tcW w:w="2976" w:type="dxa"/>
          </w:tcPr>
          <w:p w14:paraId="405FC15E" w14:textId="68B7637B" w:rsidR="00AB3733" w:rsidRPr="00A35800" w:rsidRDefault="00A812A7" w:rsidP="00A35800">
            <w:pPr>
              <w:pStyle w:val="Tablewriting"/>
            </w:pPr>
            <w:r w:rsidRPr="00A812A7">
              <w:t>120 mg galcanezumab injected subcutaneously once monthly, with a 240 mg loading dose as the initial dose.</w:t>
            </w:r>
          </w:p>
        </w:tc>
      </w:tr>
      <w:tr w:rsidR="00E8595C" w:rsidRPr="00A35800" w14:paraId="4D7CBD64" w14:textId="77777777" w:rsidTr="003370D0">
        <w:tc>
          <w:tcPr>
            <w:tcW w:w="2660" w:type="dxa"/>
          </w:tcPr>
          <w:p w14:paraId="52C0BA66" w14:textId="1408E0F3" w:rsidR="00E8595C" w:rsidRDefault="00296B81" w:rsidP="00A35800">
            <w:pPr>
              <w:pStyle w:val="Tablewriting"/>
            </w:pPr>
            <w:r>
              <w:t>Ajovy</w:t>
            </w:r>
            <w:r>
              <w:rPr>
                <w:rFonts w:ascii="Calibri" w:hAnsi="Calibri"/>
              </w:rPr>
              <w:t>®</w:t>
            </w:r>
            <w:r>
              <w:t xml:space="preserve"> </w:t>
            </w:r>
            <w:r w:rsidR="00571361" w:rsidRPr="00571361">
              <w:t>Teva Pharma Australia Pty Ltd</w:t>
            </w:r>
          </w:p>
        </w:tc>
        <w:tc>
          <w:tcPr>
            <w:tcW w:w="3544" w:type="dxa"/>
          </w:tcPr>
          <w:p w14:paraId="2A2F9F7E" w14:textId="008004D7" w:rsidR="00FB4381" w:rsidRDefault="00005D72" w:rsidP="00A35800">
            <w:pPr>
              <w:pStyle w:val="Tablewriting"/>
            </w:pPr>
            <w:r w:rsidRPr="00005D72">
              <w:t>Fremanezumab</w:t>
            </w:r>
            <w:r>
              <w:t xml:space="preserve"> </w:t>
            </w:r>
            <w:r w:rsidR="00F65776">
              <w:t>–</w:t>
            </w:r>
            <w:r>
              <w:t xml:space="preserve"> </w:t>
            </w:r>
            <w:r w:rsidR="000F70F4">
              <w:t>Two</w:t>
            </w:r>
            <w:r w:rsidR="005C3F9B">
              <w:t xml:space="preserve"> dosage</w:t>
            </w:r>
            <w:r w:rsidR="000F70F4">
              <w:t xml:space="preserve"> f</w:t>
            </w:r>
            <w:r w:rsidR="00FB4381">
              <w:t>orms</w:t>
            </w:r>
            <w:r w:rsidR="000F70F4">
              <w:t xml:space="preserve"> are available</w:t>
            </w:r>
            <w:r w:rsidR="00FB4381">
              <w:t>:</w:t>
            </w:r>
          </w:p>
          <w:p w14:paraId="596721A9" w14:textId="77777777" w:rsidR="00FB4381" w:rsidRDefault="00005D72" w:rsidP="00FB4381">
            <w:pPr>
              <w:pStyle w:val="Tablewriting"/>
              <w:numPr>
                <w:ilvl w:val="0"/>
                <w:numId w:val="4"/>
              </w:numPr>
            </w:pPr>
            <w:r w:rsidRPr="00005D72">
              <w:t xml:space="preserve">pre-filled syringe contains 225 mg fremanezumab in 1.5 mL (150 mg/mL). </w:t>
            </w:r>
          </w:p>
          <w:p w14:paraId="46BBB3EC" w14:textId="4F2BABB5" w:rsidR="00E8595C" w:rsidRPr="00556A17" w:rsidRDefault="00005D72" w:rsidP="00FB4381">
            <w:pPr>
              <w:pStyle w:val="Tablewriting"/>
              <w:numPr>
                <w:ilvl w:val="0"/>
                <w:numId w:val="4"/>
              </w:numPr>
            </w:pPr>
            <w:r w:rsidRPr="00005D72">
              <w:t>autoinjector contains 225 mg fremanezumab in 1.5 mL (150 mg/mL).</w:t>
            </w:r>
          </w:p>
        </w:tc>
        <w:tc>
          <w:tcPr>
            <w:tcW w:w="2976" w:type="dxa"/>
          </w:tcPr>
          <w:p w14:paraId="711C00A7" w14:textId="77777777" w:rsidR="0034631F" w:rsidRDefault="0034631F" w:rsidP="0034631F">
            <w:pPr>
              <w:pStyle w:val="Tablewriting"/>
            </w:pPr>
            <w:r>
              <w:t>Two dosing options are available:</w:t>
            </w:r>
          </w:p>
          <w:p w14:paraId="5A51F4A9" w14:textId="0F519626" w:rsidR="0034631F" w:rsidRDefault="0034631F" w:rsidP="00D406A6">
            <w:pPr>
              <w:pStyle w:val="Tablewriting"/>
              <w:numPr>
                <w:ilvl w:val="0"/>
                <w:numId w:val="5"/>
              </w:numPr>
            </w:pPr>
            <w:r>
              <w:t>225 mg once monthly (monthly dosing); or</w:t>
            </w:r>
          </w:p>
          <w:p w14:paraId="29F23F8D" w14:textId="59A7E648" w:rsidR="00E8595C" w:rsidRPr="00A812A7" w:rsidRDefault="0034631F" w:rsidP="00D406A6">
            <w:pPr>
              <w:pStyle w:val="Tablewriting"/>
              <w:numPr>
                <w:ilvl w:val="0"/>
                <w:numId w:val="5"/>
              </w:numPr>
            </w:pPr>
            <w:r>
              <w:t>675 mg every three months (quarterly dosing).</w:t>
            </w:r>
          </w:p>
        </w:tc>
      </w:tr>
    </w:tbl>
    <w:p w14:paraId="2745CBED" w14:textId="77777777" w:rsidR="00B1127C" w:rsidRDefault="00B1127C" w:rsidP="005E6045">
      <w:pPr>
        <w:pStyle w:val="Notes"/>
        <w:spacing w:after="0"/>
        <w:rPr>
          <w:sz w:val="24"/>
          <w:szCs w:val="24"/>
        </w:rPr>
      </w:pPr>
    </w:p>
    <w:p w14:paraId="2C646549" w14:textId="5A62C91C" w:rsidR="00CC7DBE" w:rsidRPr="006F2BD9" w:rsidRDefault="0089584A" w:rsidP="005D3490">
      <w:pPr>
        <w:pStyle w:val="Notes"/>
        <w:spacing w:after="0"/>
      </w:pPr>
      <w:r w:rsidRPr="00CC7DBE">
        <w:t>Treatment response should be evaluated by the prescriber after 8-12 weeks</w:t>
      </w:r>
      <w:r w:rsidR="005B3128" w:rsidRPr="00CC7DBE">
        <w:t xml:space="preserve">. </w:t>
      </w:r>
      <w:r w:rsidRPr="00CC7DBE">
        <w:t>Any further decision to continue treatment should be taken on an individual patient basis. Evaluation of the need to continue treatment is recommended regularly thereafter.</w:t>
      </w:r>
    </w:p>
    <w:p w14:paraId="08559CD9" w14:textId="73E65020" w:rsidR="00A35800" w:rsidRPr="00CC7DBE" w:rsidRDefault="003370D0" w:rsidP="005D3490">
      <w:pPr>
        <w:pStyle w:val="Notes"/>
        <w:spacing w:after="0"/>
      </w:pPr>
      <w:r w:rsidRPr="00CC7DBE">
        <w:t>Source:</w:t>
      </w:r>
      <w:r w:rsidR="00CE0163" w:rsidRPr="00CC7DBE">
        <w:t xml:space="preserve"> </w:t>
      </w:r>
    </w:p>
    <w:p w14:paraId="70599217" w14:textId="177F68AB" w:rsidR="00946482" w:rsidRPr="00CC7DBE" w:rsidRDefault="00314C6B" w:rsidP="005D3490">
      <w:pPr>
        <w:pStyle w:val="Notes"/>
        <w:spacing w:after="0"/>
      </w:pPr>
      <w:r w:rsidRPr="00CC7DBE">
        <w:t xml:space="preserve">Australian </w:t>
      </w:r>
      <w:r w:rsidR="00DB62AB" w:rsidRPr="00CC7DBE">
        <w:t xml:space="preserve">Product </w:t>
      </w:r>
      <w:r w:rsidR="002D5815" w:rsidRPr="00CC7DBE">
        <w:t>Information</w:t>
      </w:r>
      <w:r w:rsidR="00C3534B" w:rsidRPr="00CC7DBE">
        <w:t xml:space="preserve"> </w:t>
      </w:r>
      <w:r w:rsidR="004646E8" w:rsidRPr="00CC7DBE">
        <w:t xml:space="preserve">– Emgality (Galcanezumab) </w:t>
      </w:r>
      <w:r w:rsidR="00B80CD7" w:rsidRPr="00CC7DBE">
        <w:t>Prefilled</w:t>
      </w:r>
      <w:r w:rsidR="004646E8" w:rsidRPr="00CC7DBE">
        <w:t xml:space="preserve"> Pen </w:t>
      </w:r>
      <w:r w:rsidR="00B80CD7" w:rsidRPr="00CC7DBE">
        <w:t>and prefilled Syringe</w:t>
      </w:r>
      <w:r w:rsidR="00ED61DB" w:rsidRPr="00CC7DBE">
        <w:t>. Accessed 22 February 202</w:t>
      </w:r>
      <w:r w:rsidR="008E6B53" w:rsidRPr="00CC7DBE">
        <w:t>4.</w:t>
      </w:r>
      <w:r w:rsidR="00ED61DB" w:rsidRPr="00CC7DBE">
        <w:t xml:space="preserve"> </w:t>
      </w:r>
      <w:hyperlink r:id="rId13" w:history="1">
        <w:r w:rsidR="00146D10" w:rsidRPr="00CC7DBE">
          <w:rPr>
            <w:rStyle w:val="Hyperlink"/>
          </w:rPr>
          <w:t>EMGALITY (tga.gov.au)</w:t>
        </w:r>
      </w:hyperlink>
    </w:p>
    <w:p w14:paraId="45AE9CE6" w14:textId="49A42CE5" w:rsidR="007523AB" w:rsidRPr="00CC7DBE" w:rsidRDefault="007523AB" w:rsidP="00946482">
      <w:pPr>
        <w:pStyle w:val="Notes"/>
        <w:spacing w:after="0"/>
      </w:pPr>
      <w:r w:rsidRPr="00CC7DBE">
        <w:t>Australian Product Information Ajovy</w:t>
      </w:r>
      <w:r w:rsidRPr="00CC7DBE">
        <w:rPr>
          <w:rFonts w:cstheme="minorHAnsi"/>
        </w:rPr>
        <w:t>®</w:t>
      </w:r>
      <w:r w:rsidRPr="00CC7DBE">
        <w:t xml:space="preserve"> (Fremanezumab) Solution for Injection</w:t>
      </w:r>
      <w:r w:rsidR="00110CA6" w:rsidRPr="00CC7DBE">
        <w:t xml:space="preserve">. Accessed </w:t>
      </w:r>
      <w:r w:rsidR="008E6B53" w:rsidRPr="00CC7DBE">
        <w:t>22 February 2024</w:t>
      </w:r>
      <w:r w:rsidR="00350B79" w:rsidRPr="00CC7DBE">
        <w:t xml:space="preserve">. </w:t>
      </w:r>
      <w:hyperlink r:id="rId14" w:history="1">
        <w:r w:rsidR="00350B79" w:rsidRPr="00CC7DBE">
          <w:rPr>
            <w:rStyle w:val="Hyperlink"/>
          </w:rPr>
          <w:t>AJOVY (tga.gov.au)</w:t>
        </w:r>
      </w:hyperlink>
      <w:r w:rsidR="00946482" w:rsidRPr="00CC7DBE">
        <w:t>.</w:t>
      </w:r>
    </w:p>
    <w:p w14:paraId="53D5E805" w14:textId="77777777" w:rsidR="00946482" w:rsidRPr="00946482" w:rsidRDefault="00946482" w:rsidP="00946482">
      <w:pPr>
        <w:pStyle w:val="Notes"/>
        <w:spacing w:after="0"/>
      </w:pPr>
    </w:p>
    <w:p w14:paraId="6682A05C" w14:textId="77777777" w:rsidR="00F17D4B" w:rsidRPr="002F61CA" w:rsidRDefault="00F17D4B" w:rsidP="00F17D4B">
      <w:r w:rsidRPr="002F61CA">
        <w:t xml:space="preserve">The current Product Information (PI) and Consumer Medicine Information (CMI) are available from </w:t>
      </w:r>
      <w:hyperlink r:id="rId15" w:history="1">
        <w:r>
          <w:rPr>
            <w:rStyle w:val="Hyperlink"/>
          </w:rPr>
          <w:t>the TGA (Product Information)</w:t>
        </w:r>
      </w:hyperlink>
      <w:r>
        <w:t xml:space="preserve"> and </w:t>
      </w:r>
      <w:hyperlink r:id="rId16" w:history="1">
        <w:r>
          <w:rPr>
            <w:rStyle w:val="Hyperlink"/>
          </w:rPr>
          <w:t>the TGA (Consumer Medicines Information)</w:t>
        </w:r>
      </w:hyperlink>
      <w:r>
        <w:t>.</w:t>
      </w:r>
    </w:p>
    <w:p w14:paraId="46E2BB42" w14:textId="5CDAE674" w:rsidR="00DF0B13" w:rsidRPr="007247B9" w:rsidDel="00EE2BBB" w:rsidRDefault="00DF0B13" w:rsidP="00CF5E22">
      <w:pPr>
        <w:pStyle w:val="Heading2"/>
      </w:pPr>
      <w:r w:rsidRPr="007247B9" w:rsidDel="00EE2BBB">
        <w:t>PBS listing details</w:t>
      </w:r>
      <w:r w:rsidR="00D151EB" w:rsidDel="00EE2BBB">
        <w:t xml:space="preserve"> (</w:t>
      </w:r>
      <w:r w:rsidR="002758CF">
        <w:t>22 February 202</w:t>
      </w:r>
      <w:r w:rsidR="00774962">
        <w:t>4</w:t>
      </w:r>
      <w:r w:rsidR="00D151EB" w:rsidDel="00EE2BBB">
        <w:t>)</w:t>
      </w:r>
    </w:p>
    <w:p w14:paraId="18175F3A" w14:textId="69AE7A4B" w:rsidR="00F410F6" w:rsidDel="00EE2BBB" w:rsidRDefault="005F0A8B" w:rsidP="00A35800">
      <w:r>
        <w:t xml:space="preserve">Galcanezumab </w:t>
      </w:r>
      <w:r w:rsidR="0179083A">
        <w:t xml:space="preserve">was listed on the PBS on 1 June 2021 </w:t>
      </w:r>
      <w:r>
        <w:t xml:space="preserve">and </w:t>
      </w:r>
      <w:r w:rsidR="0076044D">
        <w:t>fremanezumab w</w:t>
      </w:r>
      <w:r w:rsidR="2B80D052">
        <w:t>as</w:t>
      </w:r>
      <w:r w:rsidR="0076044D">
        <w:t xml:space="preserve"> listed on the</w:t>
      </w:r>
      <w:r w:rsidR="0AD8F870">
        <w:t xml:space="preserve"> PBS on </w:t>
      </w:r>
      <w:r w:rsidR="5D85A25F">
        <w:t xml:space="preserve">1 </w:t>
      </w:r>
      <w:r w:rsidR="0AD8F870">
        <w:t>August 2</w:t>
      </w:r>
      <w:r w:rsidR="0017594D">
        <w:t>0</w:t>
      </w:r>
      <w:r w:rsidR="0AD8F870">
        <w:t>2</w:t>
      </w:r>
      <w:r w:rsidR="0017594D">
        <w:t>1</w:t>
      </w:r>
      <w:r w:rsidR="0076044D">
        <w:t xml:space="preserve"> for </w:t>
      </w:r>
      <w:r w:rsidR="007A523E">
        <w:t>chronic</w:t>
      </w:r>
      <w:r w:rsidR="00FD4745">
        <w:t xml:space="preserve"> migraine</w:t>
      </w:r>
      <w:r w:rsidR="00AF32F2">
        <w:t>.</w:t>
      </w:r>
    </w:p>
    <w:p w14:paraId="1D47784A" w14:textId="5FCEF2E7" w:rsidR="001420B3" w:rsidRPr="001420B3" w:rsidDel="00EE2BBB" w:rsidRDefault="001420B3" w:rsidP="00CF5E22">
      <w:pPr>
        <w:pStyle w:val="Tabletitle"/>
      </w:pPr>
      <w:r w:rsidRPr="001420B3" w:rsidDel="00EE2BBB">
        <w:t xml:space="preserve">Table </w:t>
      </w:r>
      <w:r w:rsidR="00AB3CC2">
        <w:t>3</w:t>
      </w:r>
      <w:r w:rsidRPr="001420B3" w:rsidDel="00EE2BBB">
        <w:t xml:space="preserve">: </w:t>
      </w:r>
      <w:r w:rsidR="009663B6" w:rsidDel="00EE2BBB">
        <w:t>PB</w:t>
      </w:r>
      <w:r w:rsidR="00D151EB" w:rsidDel="00EE2BBB">
        <w:t xml:space="preserve">S listing of </w:t>
      </w:r>
      <w:r w:rsidR="008110F6">
        <w:t>g</w:t>
      </w:r>
      <w:r w:rsidR="00B8099A" w:rsidRPr="009F707F">
        <w:t>alcanezumab</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93111F" w:rsidRPr="00A35800" w:rsidDel="00EE2BBB" w14:paraId="2AF9D84B" w14:textId="0D323411" w:rsidTr="0093111F">
        <w:trPr>
          <w:trHeight w:val="552"/>
          <w:tblHeader/>
        </w:trPr>
        <w:tc>
          <w:tcPr>
            <w:tcW w:w="969" w:type="dxa"/>
            <w:shd w:val="clear" w:color="auto" w:fill="auto"/>
          </w:tcPr>
          <w:p w14:paraId="0A3E3442" w14:textId="2F22DBC1" w:rsidR="0093111F" w:rsidRPr="00A35800" w:rsidDel="00EE2BBB" w:rsidRDefault="0009545E" w:rsidP="00A35800">
            <w:pPr>
              <w:pStyle w:val="Tablewriting"/>
            </w:pPr>
            <w:r w:rsidRPr="0009545E">
              <w:t>12469G</w:t>
            </w:r>
          </w:p>
        </w:tc>
        <w:tc>
          <w:tcPr>
            <w:tcW w:w="2400" w:type="dxa"/>
            <w:shd w:val="clear" w:color="auto" w:fill="auto"/>
          </w:tcPr>
          <w:p w14:paraId="0F676F51" w14:textId="2BB26443" w:rsidR="0093111F" w:rsidRPr="00A35800" w:rsidDel="00EE2BBB" w:rsidRDefault="009F707F" w:rsidP="00A35800">
            <w:pPr>
              <w:pStyle w:val="Tablewriting"/>
            </w:pPr>
            <w:r>
              <w:t>G</w:t>
            </w:r>
            <w:r w:rsidRPr="009F707F">
              <w:t>alcanezumab 120 mg/mL injection, 1 mL pen device</w:t>
            </w:r>
          </w:p>
        </w:tc>
        <w:tc>
          <w:tcPr>
            <w:tcW w:w="1701" w:type="dxa"/>
            <w:shd w:val="clear" w:color="auto" w:fill="auto"/>
          </w:tcPr>
          <w:p w14:paraId="0E2637C4" w14:textId="75BD358E" w:rsidR="0093111F" w:rsidRPr="00A35800" w:rsidDel="00EE2BBB" w:rsidRDefault="009F707F" w:rsidP="00A35800">
            <w:pPr>
              <w:pStyle w:val="Tablewriting"/>
            </w:pPr>
            <w:r>
              <w:t>1</w:t>
            </w:r>
          </w:p>
        </w:tc>
        <w:tc>
          <w:tcPr>
            <w:tcW w:w="850" w:type="dxa"/>
            <w:shd w:val="clear" w:color="auto" w:fill="auto"/>
          </w:tcPr>
          <w:p w14:paraId="6B361CAA" w14:textId="76BC72E8" w:rsidR="0093111F" w:rsidRPr="00A35800" w:rsidDel="00EE2BBB" w:rsidRDefault="009F707F" w:rsidP="00A35800">
            <w:pPr>
              <w:pStyle w:val="Tablewriting"/>
            </w:pPr>
            <w:r>
              <w:t>5</w:t>
            </w:r>
          </w:p>
        </w:tc>
        <w:tc>
          <w:tcPr>
            <w:tcW w:w="1040" w:type="dxa"/>
            <w:shd w:val="clear" w:color="auto" w:fill="auto"/>
          </w:tcPr>
          <w:p w14:paraId="15F68405" w14:textId="6F5326F1" w:rsidR="0093111F" w:rsidRPr="00A35800" w:rsidDel="00EE2BBB" w:rsidRDefault="00B334B6" w:rsidP="00A35800">
            <w:pPr>
              <w:pStyle w:val="Tablewriting"/>
            </w:pPr>
            <w:r w:rsidRPr="00B334B6">
              <w:t>$522.56</w:t>
            </w:r>
          </w:p>
        </w:tc>
        <w:tc>
          <w:tcPr>
            <w:tcW w:w="2104" w:type="dxa"/>
            <w:shd w:val="clear" w:color="auto" w:fill="auto"/>
          </w:tcPr>
          <w:p w14:paraId="2D337AC6" w14:textId="4F70C08E" w:rsidR="0093111F" w:rsidRPr="00A35800" w:rsidDel="00EE2BBB" w:rsidRDefault="00B334B6" w:rsidP="00A35800">
            <w:pPr>
              <w:pStyle w:val="Tablewriting"/>
            </w:pPr>
            <w:r w:rsidRPr="00B334B6">
              <w:t>Emgality</w:t>
            </w:r>
            <w:r w:rsidR="00DB0F37">
              <w:t xml:space="preserve">, </w:t>
            </w:r>
            <w:r w:rsidR="00DB0F37" w:rsidRPr="00DB0F37">
              <w:t>Eli Lilly Australia Pty Ltd</w:t>
            </w:r>
          </w:p>
        </w:tc>
      </w:tr>
      <w:tr w:rsidR="0093111F" w:rsidRPr="00A35800" w:rsidDel="00EE2BBB" w14:paraId="5A26F6DA" w14:textId="5F9D4936" w:rsidTr="0093111F">
        <w:trPr>
          <w:trHeight w:val="546"/>
          <w:tblHeader/>
        </w:trPr>
        <w:tc>
          <w:tcPr>
            <w:tcW w:w="969" w:type="dxa"/>
            <w:shd w:val="clear" w:color="auto" w:fill="auto"/>
          </w:tcPr>
          <w:p w14:paraId="76F26606" w14:textId="6C804C41" w:rsidR="0093111F" w:rsidRPr="00A35800" w:rsidDel="00EE2BBB" w:rsidRDefault="00AE16EB" w:rsidP="00A35800">
            <w:pPr>
              <w:pStyle w:val="Tablewriting"/>
            </w:pPr>
            <w:r w:rsidRPr="00AE16EB">
              <w:t>12478R</w:t>
            </w:r>
          </w:p>
        </w:tc>
        <w:tc>
          <w:tcPr>
            <w:tcW w:w="2400" w:type="dxa"/>
            <w:shd w:val="clear" w:color="auto" w:fill="auto"/>
          </w:tcPr>
          <w:p w14:paraId="4C40F7E7" w14:textId="39205605" w:rsidR="0093111F" w:rsidRPr="00A35800" w:rsidDel="00EE2BBB" w:rsidRDefault="00AE16EB" w:rsidP="00AE16EB">
            <w:pPr>
              <w:pStyle w:val="Tablewriting"/>
            </w:pPr>
            <w:r>
              <w:t>G</w:t>
            </w:r>
            <w:r w:rsidRPr="00AE16EB">
              <w:t>alcanezumab 120 mg/mL injection, 1 mL pen device</w:t>
            </w:r>
          </w:p>
        </w:tc>
        <w:tc>
          <w:tcPr>
            <w:tcW w:w="1701" w:type="dxa"/>
            <w:shd w:val="clear" w:color="auto" w:fill="auto"/>
          </w:tcPr>
          <w:p w14:paraId="73733F58" w14:textId="7EC62E07" w:rsidR="0093111F" w:rsidRPr="00A35800" w:rsidDel="00EE2BBB" w:rsidRDefault="00B8099A" w:rsidP="00A35800">
            <w:pPr>
              <w:pStyle w:val="Tablewriting"/>
            </w:pPr>
            <w:r>
              <w:t>2</w:t>
            </w:r>
          </w:p>
        </w:tc>
        <w:tc>
          <w:tcPr>
            <w:tcW w:w="850" w:type="dxa"/>
            <w:shd w:val="clear" w:color="auto" w:fill="auto"/>
          </w:tcPr>
          <w:p w14:paraId="2751F86C" w14:textId="13E0C811" w:rsidR="0093111F" w:rsidRPr="00A35800" w:rsidDel="00EE2BBB" w:rsidRDefault="00B8099A" w:rsidP="00A35800">
            <w:pPr>
              <w:pStyle w:val="Tablewriting"/>
            </w:pPr>
            <w:r>
              <w:t>1</w:t>
            </w:r>
          </w:p>
        </w:tc>
        <w:tc>
          <w:tcPr>
            <w:tcW w:w="1040" w:type="dxa"/>
            <w:shd w:val="clear" w:color="auto" w:fill="auto"/>
          </w:tcPr>
          <w:p w14:paraId="0EB41EFB" w14:textId="46A15368" w:rsidR="0093111F" w:rsidRPr="00A35800" w:rsidDel="00EE2BBB" w:rsidRDefault="00B8099A" w:rsidP="00A35800">
            <w:pPr>
              <w:pStyle w:val="Tablewriting"/>
            </w:pPr>
            <w:r w:rsidRPr="00B8099A">
              <w:t>$1037.13</w:t>
            </w:r>
          </w:p>
        </w:tc>
        <w:tc>
          <w:tcPr>
            <w:tcW w:w="2104" w:type="dxa"/>
            <w:shd w:val="clear" w:color="auto" w:fill="auto"/>
          </w:tcPr>
          <w:p w14:paraId="2F152B32" w14:textId="4058F8F7" w:rsidR="0093111F" w:rsidRPr="00A35800" w:rsidDel="00EE2BBB" w:rsidRDefault="00B8099A" w:rsidP="00A35800">
            <w:pPr>
              <w:pStyle w:val="Tablewriting"/>
            </w:pPr>
            <w:r w:rsidRPr="00B334B6">
              <w:t>Emgality</w:t>
            </w:r>
            <w:r>
              <w:t xml:space="preserve">, </w:t>
            </w:r>
            <w:r w:rsidRPr="00DB0F37">
              <w:t>Eli Lilly Australia Pty Ltd</w:t>
            </w:r>
          </w:p>
        </w:tc>
      </w:tr>
    </w:tbl>
    <w:p w14:paraId="3F3D5B5C" w14:textId="77777777" w:rsidR="00D267CE" w:rsidRDefault="007408C7" w:rsidP="00E44C7A">
      <w:pPr>
        <w:pStyle w:val="Notes"/>
        <w:spacing w:after="0"/>
      </w:pPr>
      <w:r w:rsidRPr="00A35800" w:rsidDel="00EE2BBB">
        <w:t xml:space="preserve">Source: </w:t>
      </w:r>
      <w:r w:rsidR="001624D7" w:rsidDel="00EE2BBB">
        <w:t xml:space="preserve">the </w:t>
      </w:r>
      <w:hyperlink r:id="rId17" w:history="1">
        <w:r w:rsidR="001624D7" w:rsidRPr="001624D7" w:rsidDel="00EE2BBB">
          <w:rPr>
            <w:rStyle w:val="Hyperlink"/>
          </w:rPr>
          <w:t>PBS website</w:t>
        </w:r>
      </w:hyperlink>
      <w:r w:rsidR="001624D7" w:rsidDel="00EE2BBB">
        <w:t>.</w:t>
      </w:r>
      <w:r w:rsidR="0080485E" w:rsidDel="00EE2BBB">
        <w:t xml:space="preserve">  </w:t>
      </w:r>
    </w:p>
    <w:p w14:paraId="1183F151" w14:textId="54EB0B40" w:rsidR="007247B9" w:rsidRDefault="00D267CE" w:rsidP="00E44C7A">
      <w:pPr>
        <w:pStyle w:val="Notes"/>
        <w:spacing w:after="0"/>
      </w:pPr>
      <w:r>
        <w:t>Note: A</w:t>
      </w:r>
      <w:r w:rsidR="0080485E" w:rsidRPr="0080485E" w:rsidDel="00EE2BBB">
        <w:t xml:space="preserve"> Special Pricing Arrangement is in place.</w:t>
      </w:r>
    </w:p>
    <w:p w14:paraId="706B076E" w14:textId="5D69D783" w:rsidR="00B8099A" w:rsidRPr="001420B3" w:rsidDel="00EE2BBB" w:rsidRDefault="00B8099A" w:rsidP="00B8099A">
      <w:pPr>
        <w:pStyle w:val="Tabletitle"/>
      </w:pPr>
      <w:r w:rsidRPr="001420B3" w:rsidDel="00EE2BBB">
        <w:t xml:space="preserve">Table </w:t>
      </w:r>
      <w:r w:rsidR="00AB3CC2">
        <w:t>4</w:t>
      </w:r>
      <w:r w:rsidRPr="001420B3" w:rsidDel="00EE2BBB">
        <w:t xml:space="preserve">: </w:t>
      </w:r>
      <w:r w:rsidDel="00EE2BBB">
        <w:t xml:space="preserve">PBS listing of </w:t>
      </w:r>
      <w:r w:rsidR="008110F6">
        <w:t>f</w:t>
      </w:r>
      <w:r w:rsidR="00BA6B3F" w:rsidRPr="00BA6B3F">
        <w:t>remanezumab</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B8099A" w:rsidRPr="00A35800" w:rsidDel="00EE2BBB" w14:paraId="79B894AD" w14:textId="77777777">
        <w:trPr>
          <w:trHeight w:val="694"/>
          <w:tblHeader/>
        </w:trPr>
        <w:tc>
          <w:tcPr>
            <w:tcW w:w="969" w:type="dxa"/>
            <w:shd w:val="clear" w:color="auto" w:fill="BFBFBF" w:themeFill="background1" w:themeFillShade="BF"/>
          </w:tcPr>
          <w:p w14:paraId="55090284" w14:textId="77777777" w:rsidR="00B8099A" w:rsidRPr="00A35800" w:rsidDel="00EE2BBB" w:rsidRDefault="00B8099A">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55B27006" w14:textId="77777777" w:rsidR="00B8099A" w:rsidRPr="00A35800" w:rsidDel="00EE2BBB" w:rsidRDefault="00B8099A">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39806980" w14:textId="77777777" w:rsidR="00B8099A" w:rsidRPr="00A35800" w:rsidDel="00EE2BBB" w:rsidRDefault="00B8099A">
            <w:pPr>
              <w:pStyle w:val="Tableheading"/>
              <w:rPr>
                <w:sz w:val="20"/>
                <w:szCs w:val="20"/>
              </w:rPr>
            </w:pPr>
            <w:r w:rsidRPr="00A35800" w:rsidDel="00EE2BBB">
              <w:rPr>
                <w:sz w:val="20"/>
                <w:szCs w:val="20"/>
              </w:rPr>
              <w:t xml:space="preserve">Max. quant. </w:t>
            </w:r>
          </w:p>
        </w:tc>
        <w:tc>
          <w:tcPr>
            <w:tcW w:w="850" w:type="dxa"/>
            <w:shd w:val="clear" w:color="auto" w:fill="BFBFBF" w:themeFill="background1" w:themeFillShade="BF"/>
          </w:tcPr>
          <w:p w14:paraId="0E5C2CBE" w14:textId="77777777" w:rsidR="00B8099A" w:rsidRPr="00A35800" w:rsidDel="00EE2BBB" w:rsidRDefault="00B8099A">
            <w:pPr>
              <w:pStyle w:val="Tableheading"/>
              <w:rPr>
                <w:sz w:val="20"/>
                <w:szCs w:val="20"/>
              </w:rPr>
            </w:pPr>
            <w:r w:rsidRPr="00A35800" w:rsidDel="00EE2BBB">
              <w:rPr>
                <w:sz w:val="20"/>
                <w:szCs w:val="20"/>
              </w:rPr>
              <w:t xml:space="preserve">Rpts </w:t>
            </w:r>
          </w:p>
        </w:tc>
        <w:tc>
          <w:tcPr>
            <w:tcW w:w="1040" w:type="dxa"/>
            <w:shd w:val="clear" w:color="auto" w:fill="BFBFBF" w:themeFill="background1" w:themeFillShade="BF"/>
          </w:tcPr>
          <w:p w14:paraId="012D3551" w14:textId="77777777" w:rsidR="00B8099A" w:rsidRPr="00A35800" w:rsidDel="00EE2BBB" w:rsidRDefault="00B8099A">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3E63120F" w14:textId="77777777" w:rsidR="00B8099A" w:rsidRPr="00A35800" w:rsidDel="00EE2BBB" w:rsidRDefault="00B8099A">
            <w:pPr>
              <w:pStyle w:val="Tableheading"/>
              <w:rPr>
                <w:sz w:val="20"/>
                <w:szCs w:val="20"/>
              </w:rPr>
            </w:pPr>
            <w:r w:rsidRPr="00A35800" w:rsidDel="00EE2BBB">
              <w:rPr>
                <w:sz w:val="20"/>
                <w:szCs w:val="20"/>
              </w:rPr>
              <w:t>Brand name and manufacturer</w:t>
            </w:r>
          </w:p>
        </w:tc>
      </w:tr>
      <w:tr w:rsidR="00B8099A" w:rsidRPr="00A35800" w:rsidDel="00EE2BBB" w14:paraId="1A04D161" w14:textId="77777777">
        <w:trPr>
          <w:trHeight w:val="552"/>
          <w:tblHeader/>
        </w:trPr>
        <w:tc>
          <w:tcPr>
            <w:tcW w:w="969" w:type="dxa"/>
            <w:shd w:val="clear" w:color="auto" w:fill="auto"/>
          </w:tcPr>
          <w:p w14:paraId="392CA43D" w14:textId="2B881305" w:rsidR="00B8099A" w:rsidRPr="00A35800" w:rsidDel="00EE2BBB" w:rsidRDefault="00716F5E">
            <w:pPr>
              <w:pStyle w:val="Tablewriting"/>
            </w:pPr>
            <w:r w:rsidRPr="00716F5E">
              <w:t>12603H</w:t>
            </w:r>
          </w:p>
        </w:tc>
        <w:tc>
          <w:tcPr>
            <w:tcW w:w="2400" w:type="dxa"/>
            <w:shd w:val="clear" w:color="auto" w:fill="auto"/>
          </w:tcPr>
          <w:p w14:paraId="00A58783" w14:textId="7FF616D8" w:rsidR="00B8099A" w:rsidRPr="00A35800" w:rsidDel="00EE2BBB" w:rsidRDefault="00716F5E">
            <w:pPr>
              <w:pStyle w:val="Tablewriting"/>
            </w:pPr>
            <w:r>
              <w:t>F</w:t>
            </w:r>
            <w:r w:rsidRPr="00716F5E">
              <w:t>remanezumab 225 mg/1.5 mL injection, 1.5 mL syringe</w:t>
            </w:r>
          </w:p>
        </w:tc>
        <w:tc>
          <w:tcPr>
            <w:tcW w:w="1701" w:type="dxa"/>
            <w:shd w:val="clear" w:color="auto" w:fill="auto"/>
          </w:tcPr>
          <w:p w14:paraId="694C6DC6" w14:textId="3919A636" w:rsidR="00B8099A" w:rsidRPr="00A35800" w:rsidDel="00EE2BBB" w:rsidRDefault="00716F5E">
            <w:pPr>
              <w:pStyle w:val="Tablewriting"/>
            </w:pPr>
            <w:r>
              <w:t>1</w:t>
            </w:r>
          </w:p>
        </w:tc>
        <w:tc>
          <w:tcPr>
            <w:tcW w:w="850" w:type="dxa"/>
            <w:shd w:val="clear" w:color="auto" w:fill="auto"/>
          </w:tcPr>
          <w:p w14:paraId="341C462F" w14:textId="280A386A" w:rsidR="00B8099A" w:rsidRPr="00A35800" w:rsidDel="00EE2BBB" w:rsidRDefault="00716F5E">
            <w:pPr>
              <w:pStyle w:val="Tablewriting"/>
            </w:pPr>
            <w:r>
              <w:t>5</w:t>
            </w:r>
          </w:p>
        </w:tc>
        <w:tc>
          <w:tcPr>
            <w:tcW w:w="1040" w:type="dxa"/>
            <w:shd w:val="clear" w:color="auto" w:fill="auto"/>
          </w:tcPr>
          <w:p w14:paraId="3BBD44AD" w14:textId="6680BD31" w:rsidR="00B8099A" w:rsidRPr="00A35800" w:rsidDel="00EE2BBB" w:rsidRDefault="00716F5E">
            <w:pPr>
              <w:pStyle w:val="Tablewriting"/>
            </w:pPr>
            <w:r w:rsidRPr="00716F5E">
              <w:t>$559.92</w:t>
            </w:r>
          </w:p>
        </w:tc>
        <w:tc>
          <w:tcPr>
            <w:tcW w:w="2104" w:type="dxa"/>
            <w:shd w:val="clear" w:color="auto" w:fill="auto"/>
          </w:tcPr>
          <w:p w14:paraId="67008540" w14:textId="561B987E" w:rsidR="00B8099A" w:rsidRPr="00A35800" w:rsidDel="00EE2BBB" w:rsidRDefault="00A06A88">
            <w:pPr>
              <w:pStyle w:val="Tablewriting"/>
            </w:pPr>
            <w:r w:rsidRPr="00A06A88">
              <w:t>Ajovy</w:t>
            </w:r>
            <w:r>
              <w:t xml:space="preserve">, </w:t>
            </w:r>
            <w:r w:rsidR="00952E56" w:rsidRPr="00952E56">
              <w:t>Teva Pharma Australia Pty Ltd</w:t>
            </w:r>
          </w:p>
        </w:tc>
      </w:tr>
      <w:tr w:rsidR="00B8099A" w:rsidRPr="00A35800" w:rsidDel="00EE2BBB" w14:paraId="7F36FE9A" w14:textId="77777777">
        <w:trPr>
          <w:trHeight w:val="546"/>
          <w:tblHeader/>
        </w:trPr>
        <w:tc>
          <w:tcPr>
            <w:tcW w:w="969" w:type="dxa"/>
            <w:shd w:val="clear" w:color="auto" w:fill="auto"/>
          </w:tcPr>
          <w:p w14:paraId="45E123A5" w14:textId="0B146CA0" w:rsidR="00B8099A" w:rsidRPr="00A35800" w:rsidDel="00EE2BBB" w:rsidRDefault="001F58C0">
            <w:pPr>
              <w:pStyle w:val="Tablewriting"/>
            </w:pPr>
            <w:r w:rsidRPr="001F58C0">
              <w:t>12611R</w:t>
            </w:r>
          </w:p>
        </w:tc>
        <w:tc>
          <w:tcPr>
            <w:tcW w:w="2400" w:type="dxa"/>
            <w:shd w:val="clear" w:color="auto" w:fill="auto"/>
          </w:tcPr>
          <w:p w14:paraId="69214DA0" w14:textId="7AA4ED2B" w:rsidR="00B8099A" w:rsidRPr="00A35800" w:rsidDel="00EE2BBB" w:rsidRDefault="001F58C0">
            <w:pPr>
              <w:pStyle w:val="Tablewriting"/>
            </w:pPr>
            <w:r>
              <w:t>F</w:t>
            </w:r>
            <w:r w:rsidRPr="001F58C0">
              <w:t>remanezumab 225 mg/1.5 mL injection, 1.5 mL syringe</w:t>
            </w:r>
          </w:p>
        </w:tc>
        <w:tc>
          <w:tcPr>
            <w:tcW w:w="1701" w:type="dxa"/>
            <w:shd w:val="clear" w:color="auto" w:fill="auto"/>
          </w:tcPr>
          <w:p w14:paraId="3DABE76A" w14:textId="242B83EF" w:rsidR="00B8099A" w:rsidRPr="00A35800" w:rsidDel="00EE2BBB" w:rsidRDefault="001F58C0">
            <w:pPr>
              <w:pStyle w:val="Tablewriting"/>
            </w:pPr>
            <w:r>
              <w:t>1</w:t>
            </w:r>
          </w:p>
        </w:tc>
        <w:tc>
          <w:tcPr>
            <w:tcW w:w="850" w:type="dxa"/>
            <w:shd w:val="clear" w:color="auto" w:fill="auto"/>
          </w:tcPr>
          <w:p w14:paraId="06D9A3C1" w14:textId="34711E4C" w:rsidR="00B8099A" w:rsidRPr="00A35800" w:rsidDel="00EE2BBB" w:rsidRDefault="001F58C0">
            <w:pPr>
              <w:pStyle w:val="Tablewriting"/>
            </w:pPr>
            <w:r>
              <w:t>2</w:t>
            </w:r>
          </w:p>
        </w:tc>
        <w:tc>
          <w:tcPr>
            <w:tcW w:w="1040" w:type="dxa"/>
            <w:shd w:val="clear" w:color="auto" w:fill="auto"/>
          </w:tcPr>
          <w:p w14:paraId="666BD936" w14:textId="04140F8E" w:rsidR="00B8099A" w:rsidRPr="00A35800" w:rsidDel="00EE2BBB" w:rsidRDefault="00F81863">
            <w:pPr>
              <w:pStyle w:val="Tablewriting"/>
            </w:pPr>
            <w:r w:rsidRPr="00F81863">
              <w:t>$559.92</w:t>
            </w:r>
          </w:p>
        </w:tc>
        <w:tc>
          <w:tcPr>
            <w:tcW w:w="2104" w:type="dxa"/>
            <w:shd w:val="clear" w:color="auto" w:fill="auto"/>
          </w:tcPr>
          <w:p w14:paraId="5278CC00" w14:textId="0F7A9243" w:rsidR="00B8099A" w:rsidRPr="00A35800" w:rsidDel="00EE2BBB" w:rsidRDefault="00952E56">
            <w:pPr>
              <w:pStyle w:val="Tablewriting"/>
            </w:pPr>
            <w:r w:rsidRPr="00A06A88">
              <w:t>Ajovy</w:t>
            </w:r>
            <w:r>
              <w:t xml:space="preserve">, </w:t>
            </w:r>
            <w:r w:rsidRPr="00952E56">
              <w:t>Teva Pharma Australia Pty Ltd</w:t>
            </w:r>
          </w:p>
        </w:tc>
      </w:tr>
      <w:tr w:rsidR="00F81863" w:rsidRPr="00A35800" w:rsidDel="00EE2BBB" w14:paraId="341D7149" w14:textId="77777777">
        <w:trPr>
          <w:trHeight w:val="546"/>
          <w:tblHeader/>
        </w:trPr>
        <w:tc>
          <w:tcPr>
            <w:tcW w:w="969" w:type="dxa"/>
            <w:shd w:val="clear" w:color="auto" w:fill="auto"/>
          </w:tcPr>
          <w:p w14:paraId="32CC1365" w14:textId="2A973195" w:rsidR="00F81863" w:rsidRPr="001F58C0" w:rsidRDefault="00B852C9">
            <w:pPr>
              <w:pStyle w:val="Tablewriting"/>
            </w:pPr>
            <w:r w:rsidRPr="00B852C9">
              <w:t>13115G</w:t>
            </w:r>
          </w:p>
        </w:tc>
        <w:tc>
          <w:tcPr>
            <w:tcW w:w="2400" w:type="dxa"/>
            <w:shd w:val="clear" w:color="auto" w:fill="auto"/>
          </w:tcPr>
          <w:p w14:paraId="5A10E4F4" w14:textId="45207620" w:rsidR="00F81863" w:rsidRDefault="000D6234">
            <w:pPr>
              <w:pStyle w:val="Tablewriting"/>
            </w:pPr>
            <w:r>
              <w:t>F</w:t>
            </w:r>
            <w:r w:rsidR="00B852C9" w:rsidRPr="00B852C9">
              <w:t>remanezumab 225 mg/1.5 mL injection, 1.5 mL pen device</w:t>
            </w:r>
          </w:p>
        </w:tc>
        <w:tc>
          <w:tcPr>
            <w:tcW w:w="1701" w:type="dxa"/>
            <w:shd w:val="clear" w:color="auto" w:fill="auto"/>
          </w:tcPr>
          <w:p w14:paraId="552C479F" w14:textId="3FF5E70F" w:rsidR="00F81863" w:rsidRDefault="00B852C9">
            <w:pPr>
              <w:pStyle w:val="Tablewriting"/>
            </w:pPr>
            <w:r>
              <w:t>1</w:t>
            </w:r>
          </w:p>
        </w:tc>
        <w:tc>
          <w:tcPr>
            <w:tcW w:w="850" w:type="dxa"/>
            <w:shd w:val="clear" w:color="auto" w:fill="auto"/>
          </w:tcPr>
          <w:p w14:paraId="1EC47694" w14:textId="57AE11ED" w:rsidR="00F81863" w:rsidRDefault="00B852C9">
            <w:pPr>
              <w:pStyle w:val="Tablewriting"/>
            </w:pPr>
            <w:r>
              <w:t>2</w:t>
            </w:r>
          </w:p>
        </w:tc>
        <w:tc>
          <w:tcPr>
            <w:tcW w:w="1040" w:type="dxa"/>
            <w:shd w:val="clear" w:color="auto" w:fill="auto"/>
          </w:tcPr>
          <w:p w14:paraId="7205E11B" w14:textId="2BDF51A2" w:rsidR="00F81863" w:rsidRPr="00F81863" w:rsidRDefault="00B852C9">
            <w:pPr>
              <w:pStyle w:val="Tablewriting"/>
            </w:pPr>
            <w:r w:rsidRPr="00B852C9">
              <w:t>$559.92</w:t>
            </w:r>
          </w:p>
        </w:tc>
        <w:tc>
          <w:tcPr>
            <w:tcW w:w="2104" w:type="dxa"/>
            <w:shd w:val="clear" w:color="auto" w:fill="auto"/>
          </w:tcPr>
          <w:p w14:paraId="6699C4BD" w14:textId="6C49C0EB" w:rsidR="00F81863" w:rsidRPr="00A35800" w:rsidDel="00EE2BBB" w:rsidRDefault="00952E56">
            <w:pPr>
              <w:pStyle w:val="Tablewriting"/>
            </w:pPr>
            <w:r w:rsidRPr="00A06A88">
              <w:t>Ajovy</w:t>
            </w:r>
            <w:r>
              <w:t xml:space="preserve">, </w:t>
            </w:r>
            <w:r w:rsidRPr="00952E56">
              <w:t>Teva Pharma Australia Pty Ltd</w:t>
            </w:r>
          </w:p>
        </w:tc>
      </w:tr>
      <w:tr w:rsidR="00B852C9" w:rsidRPr="00A35800" w:rsidDel="00EE2BBB" w14:paraId="0F7D08C6" w14:textId="77777777">
        <w:trPr>
          <w:trHeight w:val="546"/>
          <w:tblHeader/>
        </w:trPr>
        <w:tc>
          <w:tcPr>
            <w:tcW w:w="969" w:type="dxa"/>
            <w:shd w:val="clear" w:color="auto" w:fill="auto"/>
          </w:tcPr>
          <w:p w14:paraId="1BA321DE" w14:textId="2F873E5D" w:rsidR="00B852C9" w:rsidRPr="00B852C9" w:rsidRDefault="000D6234">
            <w:pPr>
              <w:pStyle w:val="Tablewriting"/>
            </w:pPr>
            <w:r w:rsidRPr="000D6234">
              <w:t>13129B</w:t>
            </w:r>
          </w:p>
        </w:tc>
        <w:tc>
          <w:tcPr>
            <w:tcW w:w="2400" w:type="dxa"/>
            <w:shd w:val="clear" w:color="auto" w:fill="auto"/>
          </w:tcPr>
          <w:p w14:paraId="5C57083B" w14:textId="58D9644B" w:rsidR="00B852C9" w:rsidRPr="00B852C9" w:rsidRDefault="000D6234">
            <w:pPr>
              <w:pStyle w:val="Tablewriting"/>
            </w:pPr>
            <w:r>
              <w:t>F</w:t>
            </w:r>
            <w:r w:rsidRPr="000D6234">
              <w:t>remanezumab 225 mg/1.5 mL injection, 1.5 mL pen device</w:t>
            </w:r>
          </w:p>
        </w:tc>
        <w:tc>
          <w:tcPr>
            <w:tcW w:w="1701" w:type="dxa"/>
            <w:shd w:val="clear" w:color="auto" w:fill="auto"/>
          </w:tcPr>
          <w:p w14:paraId="11E39D52" w14:textId="26E986A9" w:rsidR="00B852C9" w:rsidRDefault="000D6234">
            <w:pPr>
              <w:pStyle w:val="Tablewriting"/>
            </w:pPr>
            <w:r>
              <w:t>1</w:t>
            </w:r>
          </w:p>
        </w:tc>
        <w:tc>
          <w:tcPr>
            <w:tcW w:w="850" w:type="dxa"/>
            <w:shd w:val="clear" w:color="auto" w:fill="auto"/>
          </w:tcPr>
          <w:p w14:paraId="64171D1E" w14:textId="44361022" w:rsidR="00B852C9" w:rsidRDefault="00A06A88">
            <w:pPr>
              <w:pStyle w:val="Tablewriting"/>
            </w:pPr>
            <w:r>
              <w:t>5</w:t>
            </w:r>
          </w:p>
        </w:tc>
        <w:tc>
          <w:tcPr>
            <w:tcW w:w="1040" w:type="dxa"/>
            <w:shd w:val="clear" w:color="auto" w:fill="auto"/>
          </w:tcPr>
          <w:p w14:paraId="65C4E8EE" w14:textId="69CD9094" w:rsidR="00B852C9" w:rsidRPr="00B852C9" w:rsidRDefault="00A06A88">
            <w:pPr>
              <w:pStyle w:val="Tablewriting"/>
            </w:pPr>
            <w:r w:rsidRPr="00A06A88">
              <w:t>$559.92</w:t>
            </w:r>
          </w:p>
        </w:tc>
        <w:tc>
          <w:tcPr>
            <w:tcW w:w="2104" w:type="dxa"/>
            <w:shd w:val="clear" w:color="auto" w:fill="auto"/>
          </w:tcPr>
          <w:p w14:paraId="4E28D4EB" w14:textId="647AFA7E" w:rsidR="00B852C9" w:rsidRPr="00A35800" w:rsidDel="00EE2BBB" w:rsidRDefault="00952E56">
            <w:pPr>
              <w:pStyle w:val="Tablewriting"/>
            </w:pPr>
            <w:r w:rsidRPr="00A06A88">
              <w:t>Ajovy</w:t>
            </w:r>
            <w:r>
              <w:t xml:space="preserve">, </w:t>
            </w:r>
            <w:r w:rsidRPr="00952E56">
              <w:t>Teva Pharma Australia Pty Ltd</w:t>
            </w:r>
          </w:p>
        </w:tc>
      </w:tr>
    </w:tbl>
    <w:p w14:paraId="32A1B1C2" w14:textId="77777777" w:rsidR="00E44C7A" w:rsidRDefault="00B8099A" w:rsidP="00E44C7A">
      <w:pPr>
        <w:pStyle w:val="Notes"/>
        <w:spacing w:after="0"/>
      </w:pPr>
      <w:r w:rsidRPr="00A35800" w:rsidDel="00EE2BBB">
        <w:t xml:space="preserve">Source: </w:t>
      </w:r>
      <w:r w:rsidDel="00EE2BBB">
        <w:t xml:space="preserve">the </w:t>
      </w:r>
      <w:hyperlink r:id="rId18" w:history="1">
        <w:r w:rsidRPr="001624D7" w:rsidDel="00EE2BBB">
          <w:rPr>
            <w:rStyle w:val="Hyperlink"/>
          </w:rPr>
          <w:t>PBS website</w:t>
        </w:r>
      </w:hyperlink>
      <w:r w:rsidDel="00EE2BBB">
        <w:t xml:space="preserve">.  </w:t>
      </w:r>
    </w:p>
    <w:p w14:paraId="7BD25BA5" w14:textId="42685344" w:rsidR="00B8099A" w:rsidRPr="00A35800" w:rsidDel="00EE2BBB" w:rsidRDefault="00E44C7A" w:rsidP="00E44C7A">
      <w:pPr>
        <w:pStyle w:val="Notes"/>
        <w:spacing w:after="0"/>
      </w:pPr>
      <w:r>
        <w:t>Note: A</w:t>
      </w:r>
      <w:r w:rsidR="00B8099A" w:rsidRPr="0080485E" w:rsidDel="00EE2BBB">
        <w:t xml:space="preserve"> Special Pricing Arrangement is in place.</w:t>
      </w:r>
    </w:p>
    <w:p w14:paraId="4FC91658" w14:textId="77777777" w:rsidR="00B8099A" w:rsidRPr="00A35800" w:rsidDel="00EE2BBB" w:rsidRDefault="00B8099A" w:rsidP="00BB1D3B">
      <w:pPr>
        <w:pStyle w:val="Notes"/>
      </w:pPr>
    </w:p>
    <w:p w14:paraId="1AFA1485" w14:textId="3186A599" w:rsidR="004C3186" w:rsidDel="00EE2BBB" w:rsidRDefault="004C3186" w:rsidP="00CF5E22">
      <w:pPr>
        <w:pStyle w:val="Heading3"/>
      </w:pPr>
      <w:r w:rsidDel="00EE2BBB">
        <w:lastRenderedPageBreak/>
        <w:t>Restriction</w:t>
      </w:r>
    </w:p>
    <w:p w14:paraId="404542D5" w14:textId="079C21BE" w:rsidR="00733D9E" w:rsidRPr="009322FB" w:rsidRDefault="009322FB" w:rsidP="00A35800">
      <w:pPr>
        <w:rPr>
          <w:i/>
          <w:iCs/>
        </w:rPr>
      </w:pPr>
      <w:r w:rsidRPr="009322FB">
        <w:rPr>
          <w:i/>
          <w:iCs/>
        </w:rPr>
        <w:t xml:space="preserve">Galcanezumab for </w:t>
      </w:r>
      <w:r w:rsidR="00FF7744" w:rsidRPr="009322FB">
        <w:rPr>
          <w:i/>
          <w:iCs/>
        </w:rPr>
        <w:t xml:space="preserve">Chronic migraine </w:t>
      </w:r>
    </w:p>
    <w:p w14:paraId="37DA44EB" w14:textId="46E526A2" w:rsidR="00F322A6" w:rsidRDefault="00FF7744" w:rsidP="00A35800">
      <w:r w:rsidRPr="00FF7744">
        <w:t xml:space="preserve">Treatment Phase: Initial treatment </w:t>
      </w:r>
    </w:p>
    <w:p w14:paraId="5A01CE6E" w14:textId="6534DB9F" w:rsidR="00FF7744" w:rsidRDefault="00FF7744" w:rsidP="00A35800">
      <w:r w:rsidRPr="00FF7744">
        <w:t xml:space="preserve">Treatment criteria: * Must be treated by a neurologist, AND * Patient must not be undergoing concurrent treatment with the following PBS benefits: (i) botulinum toxin type A listed for this PBS indication, (ii) another drug in the same pharmacological class as this drug listed for this PBS indication. </w:t>
      </w:r>
    </w:p>
    <w:p w14:paraId="73D8109F" w14:textId="77777777" w:rsidR="007D77E5" w:rsidRDefault="00FF7744" w:rsidP="00A35800">
      <w:r w:rsidRPr="00FF7744">
        <w:t xml:space="preserve">Clinical criteria: * Patient must have experienced an average of 15 or more headache days per month, with at least 8 days of migraine, over a period of at least 6 months, prior to commencement of treatment with this medicine for this condition, AND * Patient must have experienced an inadequate response, intolerance or a contraindication to at least three prophylactic migraine medications prior to commencement of treatment with this drug for this condition, AND * Patient must be appropriately managed by his or her practitioner for medication overuse headache, prior to initiation of treatment with this drug. Population criteria: * Patient must be aged 18 years or older. </w:t>
      </w:r>
    </w:p>
    <w:p w14:paraId="55F77C4F" w14:textId="77777777" w:rsidR="007D77E5" w:rsidRDefault="00FF7744" w:rsidP="00A35800">
      <w:r w:rsidRPr="00FF7744">
        <w:t xml:space="preserve">Prophylactic migraine medications are propranolol, amitriptyline, pizotifen, candesartan, verapamil, nortriptyline, sodium valproate or topiramate. </w:t>
      </w:r>
    </w:p>
    <w:p w14:paraId="69CE6867" w14:textId="43029ABF" w:rsidR="007F1803" w:rsidRDefault="00FF7744" w:rsidP="00A35800">
      <w:pPr>
        <w:rPr>
          <w:highlight w:val="yellow"/>
        </w:rPr>
      </w:pPr>
      <w:r w:rsidRPr="00FF7744">
        <w:t>Patient must have the number of migraine days per month documented in their medical records.</w:t>
      </w:r>
    </w:p>
    <w:p w14:paraId="0B4C8787" w14:textId="3A031F5D" w:rsidR="00733D9E" w:rsidRDefault="00733D9E" w:rsidP="00A35800">
      <w:r w:rsidRPr="00733D9E">
        <w:t xml:space="preserve">Treatment Phase: Continuing treatment </w:t>
      </w:r>
    </w:p>
    <w:p w14:paraId="516317F7" w14:textId="77777777" w:rsidR="009322FB" w:rsidRDefault="00733D9E" w:rsidP="00A35800">
      <w:r w:rsidRPr="00733D9E">
        <w:t xml:space="preserve">Treatment criteria: * Must be treated by a specialist neurologist or in consultation with a specialist neurologist, AND * Patient must not be undergoing concurrent treatment with the following PBS benefits: (i) botulinum toxin type A listed for this PBS indication, (ii) another drug in the same pharmacological class as this drug listed for this PBS indication. </w:t>
      </w:r>
    </w:p>
    <w:p w14:paraId="1E7F208E" w14:textId="77777777" w:rsidR="009322FB" w:rsidRDefault="00733D9E" w:rsidP="00A35800">
      <w:r w:rsidRPr="00733D9E">
        <w:t xml:space="preserve">Clinical criteria: * Patient must have previously received PBS-subsidised treatment with this drug for this condition, AND * Patient must have achieved and maintained a 50% or greater reduction from baseline in the number of migraine days per month, AND * Patient must continue to be appropriately managed for medication overuse headache. </w:t>
      </w:r>
    </w:p>
    <w:p w14:paraId="357DDD7A" w14:textId="619B50FF" w:rsidR="007F1803" w:rsidRDefault="00733D9E" w:rsidP="00A35800">
      <w:r w:rsidRPr="00733D9E">
        <w:t>Patient must have the number of migraine days per month documented in their medical records.</w:t>
      </w:r>
    </w:p>
    <w:p w14:paraId="6A9E0B55" w14:textId="4EE157D6" w:rsidR="003D069A" w:rsidRDefault="003D069A" w:rsidP="003D069A">
      <w:r>
        <w:t>Notes</w:t>
      </w:r>
    </w:p>
    <w:p w14:paraId="43C26A11" w14:textId="625DEB15" w:rsidR="003D069A" w:rsidRDefault="003D069A" w:rsidP="003D069A">
      <w:pPr>
        <w:pStyle w:val="ListParagraph"/>
        <w:numPr>
          <w:ilvl w:val="0"/>
          <w:numId w:val="7"/>
        </w:numPr>
      </w:pPr>
      <w:r>
        <w:t>No increase in the maximum quantity or number of units may be authorised.</w:t>
      </w:r>
    </w:p>
    <w:p w14:paraId="2E13FD7C" w14:textId="422CE1DB" w:rsidR="003D069A" w:rsidRDefault="003D069A" w:rsidP="003D069A">
      <w:pPr>
        <w:pStyle w:val="ListParagraph"/>
        <w:numPr>
          <w:ilvl w:val="0"/>
          <w:numId w:val="7"/>
        </w:numPr>
      </w:pPr>
      <w:r>
        <w:t>No increase in the maximum number of repeats may be authorised.</w:t>
      </w:r>
    </w:p>
    <w:p w14:paraId="4DDBCA56" w14:textId="4FF0398A" w:rsidR="00363DCD" w:rsidRDefault="003D069A" w:rsidP="003D069A">
      <w:pPr>
        <w:pStyle w:val="ListParagraph"/>
        <w:numPr>
          <w:ilvl w:val="0"/>
          <w:numId w:val="7"/>
        </w:numPr>
      </w:pPr>
      <w:r>
        <w:t>Special Pricing Arrangements apply.</w:t>
      </w:r>
    </w:p>
    <w:p w14:paraId="5648E2C2" w14:textId="77777777" w:rsidR="006F2BD9" w:rsidRDefault="006F2BD9" w:rsidP="006F2BD9"/>
    <w:p w14:paraId="169D1FDD" w14:textId="77777777" w:rsidR="006F2BD9" w:rsidRDefault="006F2BD9" w:rsidP="006F2BD9"/>
    <w:p w14:paraId="0FE3DC64" w14:textId="3F08F851" w:rsidR="00EE47E5" w:rsidRPr="00354445" w:rsidRDefault="00354445" w:rsidP="00A35800">
      <w:pPr>
        <w:rPr>
          <w:i/>
          <w:iCs/>
        </w:rPr>
      </w:pPr>
      <w:r w:rsidRPr="00354445">
        <w:rPr>
          <w:i/>
          <w:iCs/>
        </w:rPr>
        <w:lastRenderedPageBreak/>
        <w:t>Fremanezumab for t</w:t>
      </w:r>
      <w:r w:rsidR="00EE47E5" w:rsidRPr="00354445">
        <w:rPr>
          <w:i/>
          <w:iCs/>
        </w:rPr>
        <w:t xml:space="preserve">reatment-resistant migraine </w:t>
      </w:r>
    </w:p>
    <w:p w14:paraId="4ABC8754" w14:textId="77777777" w:rsidR="00354445" w:rsidRDefault="00EE47E5" w:rsidP="00A35800">
      <w:r w:rsidRPr="00EE47E5">
        <w:t>Treatment Phase: Initial treatment</w:t>
      </w:r>
    </w:p>
    <w:p w14:paraId="441BE805" w14:textId="77777777" w:rsidR="00354445" w:rsidRDefault="00EE47E5" w:rsidP="00A35800">
      <w:r w:rsidRPr="00EE47E5">
        <w:t xml:space="preserve">Treatment criteria: * Must be treated by a neurologist, AND * Patient must not be undergoing concurrent treatment with the following PBS benefits: (i) botulinum toxin type A listed for this PBS indication, (ii) another drug in the same pharmacological class as this drug listed for this PBS indication. </w:t>
      </w:r>
    </w:p>
    <w:p w14:paraId="2056D7B2" w14:textId="77777777" w:rsidR="00354445" w:rsidRDefault="00EE47E5" w:rsidP="00A35800">
      <w:r w:rsidRPr="00EE47E5">
        <w:t xml:space="preserve">Clinical criteria: * Patient must have experienced at least 8 migraine headache days per month, over a period of at least 6 months, prior to commencement of treatment with this medicine for this condition, AND * Patient must have experienced an inadequate response, intolerance or a contraindication to at least three prophylactic migraine medications prior to commencement of treatment with this drug for this condition, AND * Patient must be appropriately managed by their practitioner for medication overuse headache, prior to initiation of treatment with this drug. Population criteria: * Patient must be at least 18 years of age. </w:t>
      </w:r>
    </w:p>
    <w:p w14:paraId="3E557A0A" w14:textId="77777777" w:rsidR="00354445" w:rsidRDefault="00EE47E5" w:rsidP="00A35800">
      <w:r w:rsidRPr="00EE47E5">
        <w:t xml:space="preserve">Prophylactic migraine medications are propranolol, amitriptyline, pizotifen, candesartan, verapamil, nortriptyline, sodium valproate or topiramate. </w:t>
      </w:r>
    </w:p>
    <w:p w14:paraId="51E10184" w14:textId="3E9D9477" w:rsidR="009322FB" w:rsidRDefault="00EE47E5" w:rsidP="00A35800">
      <w:r w:rsidRPr="00EE47E5">
        <w:t>Patient must have the number of migraine headache days per month documented in their medical records.</w:t>
      </w:r>
    </w:p>
    <w:p w14:paraId="743C611A" w14:textId="77777777" w:rsidR="00E26DC0" w:rsidRDefault="00E26DC0" w:rsidP="00A35800">
      <w:r w:rsidRPr="00E26DC0">
        <w:t xml:space="preserve">Treatment Phase: Continuing treatment </w:t>
      </w:r>
    </w:p>
    <w:p w14:paraId="26915FF8" w14:textId="77777777" w:rsidR="00E26DC0" w:rsidRDefault="00E26DC0" w:rsidP="00A35800">
      <w:r w:rsidRPr="00E26DC0">
        <w:t xml:space="preserve">Treatment criteria: * Must be treated by a neurologist; OR * Must be treated by a general practitioner in consultation with a neurologist, AND * Patient must not be undergoing concurrent treatment with the following PBS benefits: (i) botulinum toxin type A listed for this PBS indication, (ii) another drug in the same pharmacological class as this drug listed for this PBS indication. </w:t>
      </w:r>
    </w:p>
    <w:p w14:paraId="4F660EE1" w14:textId="77777777" w:rsidR="00E26DC0" w:rsidRDefault="00E26DC0" w:rsidP="00A35800">
      <w:r w:rsidRPr="00E26DC0">
        <w:t xml:space="preserve">Clinical criteria: * Patient must have previously received PBS-subsidised treatment with this drug for this condition, AND * Patient must have achieved and maintained at least 50% reduction from baseline in the number of migraine headache days per month, AND * Patient must continue to be appropriately managed for medication overuse headache. </w:t>
      </w:r>
    </w:p>
    <w:p w14:paraId="20E2A7D7" w14:textId="4AA8F905" w:rsidR="00354445" w:rsidRDefault="00E26DC0" w:rsidP="00A35800">
      <w:r w:rsidRPr="00E26DC0">
        <w:t>Patient must have the number of migraine headache days per month documented in their medical records.</w:t>
      </w:r>
    </w:p>
    <w:p w14:paraId="495CCEC0" w14:textId="3E90CFB0" w:rsidR="00964829" w:rsidRDefault="00964829" w:rsidP="00964829">
      <w:r>
        <w:t>Notes</w:t>
      </w:r>
    </w:p>
    <w:p w14:paraId="737CEAC6" w14:textId="77777777" w:rsidR="00964829" w:rsidRDefault="00964829" w:rsidP="00964829">
      <w:pPr>
        <w:pStyle w:val="ListParagraph"/>
        <w:numPr>
          <w:ilvl w:val="0"/>
          <w:numId w:val="8"/>
        </w:numPr>
      </w:pPr>
      <w:r>
        <w:t>Pharmaceutical benefits that have the form fremanezumab 225 mg/1.5 mL syringes and pharmaceutical benefits that have the form fremanezumab 225 mg/1.5 mL pen devices are equivalent for the purposes of substitution.</w:t>
      </w:r>
    </w:p>
    <w:p w14:paraId="1E35B6D3" w14:textId="0A519C46" w:rsidR="00964829" w:rsidRDefault="00964829" w:rsidP="00964829">
      <w:pPr>
        <w:pStyle w:val="ListParagraph"/>
        <w:numPr>
          <w:ilvl w:val="0"/>
          <w:numId w:val="8"/>
        </w:numPr>
      </w:pPr>
      <w:r>
        <w:t>No increase in the maximum quantity or number of units may be authorised.</w:t>
      </w:r>
    </w:p>
    <w:p w14:paraId="684410C8" w14:textId="2D2722D1" w:rsidR="00964829" w:rsidRDefault="00964829" w:rsidP="00964829">
      <w:pPr>
        <w:pStyle w:val="ListParagraph"/>
        <w:numPr>
          <w:ilvl w:val="0"/>
          <w:numId w:val="8"/>
        </w:numPr>
      </w:pPr>
      <w:r>
        <w:t>No increase in the maximum number of repeats may be authorised.</w:t>
      </w:r>
    </w:p>
    <w:p w14:paraId="3E8E3226" w14:textId="1644B049" w:rsidR="00964829" w:rsidRPr="00E26DC0" w:rsidRDefault="00964829" w:rsidP="00964829">
      <w:pPr>
        <w:pStyle w:val="ListParagraph"/>
        <w:numPr>
          <w:ilvl w:val="0"/>
          <w:numId w:val="8"/>
        </w:numPr>
      </w:pPr>
      <w:r>
        <w:t>Special Pricing Arrangements apply.</w:t>
      </w:r>
    </w:p>
    <w:p w14:paraId="34D2D3D8" w14:textId="24DC124A" w:rsidR="004A4847" w:rsidRPr="006F2BD9" w:rsidDel="00EE2BBB" w:rsidRDefault="006775F1" w:rsidP="00A35800">
      <w:pPr>
        <w:rPr>
          <w:color w:val="0000FF" w:themeColor="hyperlink"/>
          <w:u w:val="single"/>
        </w:rPr>
      </w:pPr>
      <w:r w:rsidRPr="006775F1" w:rsidDel="00EE2BBB">
        <w:lastRenderedPageBreak/>
        <w:t xml:space="preserve">For </w:t>
      </w:r>
      <w:r w:rsidR="00835337" w:rsidDel="00EE2BBB">
        <w:t xml:space="preserve">details of the current PBS listing refer to the </w:t>
      </w:r>
      <w:hyperlink r:id="rId19" w:history="1">
        <w:r w:rsidR="00835337" w:rsidRPr="00645D51" w:rsidDel="00EE2BBB">
          <w:rPr>
            <w:rStyle w:val="Hyperlink"/>
          </w:rPr>
          <w:t>PBS website</w:t>
        </w:r>
      </w:hyperlink>
      <w:r w:rsidR="00835337" w:rsidDel="00EE2BBB">
        <w:rPr>
          <w:rStyle w:val="Hyperlink"/>
        </w:rPr>
        <w:t>.</w:t>
      </w:r>
    </w:p>
    <w:p w14:paraId="39EF75ED" w14:textId="73256AB5" w:rsidR="00675BB1" w:rsidRPr="00675BB1" w:rsidDel="00EE2BBB" w:rsidRDefault="00675BB1" w:rsidP="00CF5E22">
      <w:pPr>
        <w:pStyle w:val="Heading3"/>
      </w:pPr>
      <w:r w:rsidRPr="00675BB1" w:rsidDel="00EE2BBB">
        <w:t>Changes to listing</w:t>
      </w:r>
    </w:p>
    <w:p w14:paraId="1DE584B9" w14:textId="4F1D3F51" w:rsidR="00381B27" w:rsidRDefault="00E95489" w:rsidP="00BF544D">
      <w:bookmarkStart w:id="1" w:name="_Hlk164850695"/>
      <w:r>
        <w:t xml:space="preserve">On 1 November 2023 the restriction for the initial treatment </w:t>
      </w:r>
      <w:r w:rsidR="004D5230">
        <w:t xml:space="preserve">with </w:t>
      </w:r>
      <w:r w:rsidR="008E34B6">
        <w:t>f</w:t>
      </w:r>
      <w:r w:rsidR="00B07B55" w:rsidRPr="00B07B55">
        <w:t>remanezumab</w:t>
      </w:r>
      <w:r w:rsidR="00B07B55">
        <w:t xml:space="preserve"> changed f</w:t>
      </w:r>
      <w:r w:rsidR="008E34B6">
        <w:t>ro</w:t>
      </w:r>
      <w:r w:rsidR="00B07B55">
        <w:t xml:space="preserve">m chronic migraine to treatment resistant migraine and </w:t>
      </w:r>
      <w:r w:rsidR="00C92D44">
        <w:t xml:space="preserve">the </w:t>
      </w:r>
      <w:r w:rsidR="008E34B6">
        <w:t>c</w:t>
      </w:r>
      <w:r w:rsidR="00C92D44" w:rsidRPr="00C92D44">
        <w:t>linical criteria</w:t>
      </w:r>
      <w:r w:rsidR="00C92D44">
        <w:t xml:space="preserve">: </w:t>
      </w:r>
      <w:r w:rsidR="00C92D44" w:rsidRPr="00C92D44">
        <w:t xml:space="preserve"> </w:t>
      </w:r>
    </w:p>
    <w:p w14:paraId="271C8B5E" w14:textId="7C10DD26" w:rsidR="00687C5D" w:rsidRDefault="00C92D44" w:rsidP="00381B27">
      <w:pPr>
        <w:pStyle w:val="ListParagraph"/>
        <w:numPr>
          <w:ilvl w:val="0"/>
          <w:numId w:val="6"/>
        </w:numPr>
      </w:pPr>
      <w:r w:rsidRPr="00C92D44">
        <w:t>Patient must have experienced an average of 15 or more headache days per month, with at least 8 days of migraine, over a period of at least 6 months, prior to commencement of treatment with this medicine for this condition</w:t>
      </w:r>
      <w:r w:rsidR="00381B27">
        <w:t>.</w:t>
      </w:r>
    </w:p>
    <w:p w14:paraId="7717888E" w14:textId="5C4C1A75" w:rsidR="00381B27" w:rsidRDefault="00381B27" w:rsidP="00381B27">
      <w:r>
        <w:t>Changed to:</w:t>
      </w:r>
    </w:p>
    <w:p w14:paraId="079043E4" w14:textId="7C338190" w:rsidR="00381B27" w:rsidRDefault="003B288D" w:rsidP="003B288D">
      <w:pPr>
        <w:pStyle w:val="ListParagraph"/>
        <w:numPr>
          <w:ilvl w:val="0"/>
          <w:numId w:val="6"/>
        </w:numPr>
      </w:pPr>
      <w:r w:rsidRPr="003B288D">
        <w:t>Patient must have experienced at least 8 migraine headache days per month, over a period of at least 6 months, prior to commencement of treatment with this medicine for this condition</w:t>
      </w:r>
      <w:r w:rsidR="00CA6283">
        <w:t>.</w:t>
      </w:r>
    </w:p>
    <w:bookmarkEnd w:id="1"/>
    <w:p w14:paraId="2C1ECD51" w14:textId="18B8B66F" w:rsidR="00F410F6" w:rsidRPr="002F61CA" w:rsidDel="00EE2BBB" w:rsidRDefault="00BF544D" w:rsidP="00BF544D">
      <w:r w:rsidRPr="002F61CA" w:rsidDel="00EE2BBB">
        <w:t xml:space="preserve">Current PBS listing details are available from </w:t>
      </w:r>
      <w:r w:rsidDel="00EE2BBB">
        <w:t xml:space="preserve">the </w:t>
      </w:r>
      <w:hyperlink r:id="rId20"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1F209A41" w14:textId="2C53CA17" w:rsidR="00A727D7" w:rsidRDefault="00A727D7" w:rsidP="00735DA3">
      <w:pPr>
        <w:spacing w:after="0"/>
      </w:pPr>
      <w:r>
        <w:t xml:space="preserve">At its November 2019 meeting the PBAC </w:t>
      </w:r>
      <w:r w:rsidR="00FD3605">
        <w:t xml:space="preserve">deferred making a recommendation for fremanezumab for the treatment of chronic migraine The PBAC considered fremanezumab was an alternative treatment to Botox and galcanezumab for patients with chronic migraine and provided a similar reduction in monthly migraine days. The PBAC was of a mind to recommend fremanezumab for listing </w:t>
      </w:r>
      <w:proofErr w:type="gramStart"/>
      <w:r w:rsidR="00FD3605">
        <w:t>on the basis of</w:t>
      </w:r>
      <w:proofErr w:type="gramEnd"/>
      <w:r w:rsidR="00FD3605">
        <w:t xml:space="preserve"> cost-minimisation to Botox or galcanezumab but deferred making a recommendation to address the uncertainties regarding the number of patients who would be treated and the net financial cost of listing fremanezumab on the PBS.</w:t>
      </w:r>
      <w:r w:rsidR="008B6F01">
        <w:t xml:space="preserve"> At its March 2020 meeting the </w:t>
      </w:r>
      <w:r w:rsidR="00747A4F">
        <w:t xml:space="preserve">PBAC </w:t>
      </w:r>
      <w:r w:rsidR="00093A5B">
        <w:t xml:space="preserve">recommended the listing of fremanezumab for the treatment of chronic migraine </w:t>
      </w:r>
      <w:r w:rsidR="005663C3">
        <w:t xml:space="preserve">based on </w:t>
      </w:r>
      <w:r w:rsidR="00622A59">
        <w:t xml:space="preserve">additional information provided by the </w:t>
      </w:r>
      <w:r w:rsidR="00622A59" w:rsidRPr="002C1161">
        <w:t>sponsor to address</w:t>
      </w:r>
      <w:r w:rsidR="00735DA3" w:rsidRPr="002C1161">
        <w:t xml:space="preserve"> the PBAC’s concerns from the November 2019 PBAC meeting.</w:t>
      </w:r>
    </w:p>
    <w:p w14:paraId="1990DF98" w14:textId="77777777" w:rsidR="00FD3605" w:rsidRDefault="00FD3605" w:rsidP="00FD3605">
      <w:pPr>
        <w:spacing w:after="0"/>
      </w:pPr>
    </w:p>
    <w:p w14:paraId="15897A4E" w14:textId="760A57F9" w:rsidR="00D31574" w:rsidRDefault="00327E42" w:rsidP="00327E42">
      <w:pPr>
        <w:spacing w:after="0"/>
      </w:pPr>
      <w:r>
        <w:t xml:space="preserve">At its March 2022 meeting the PBAC recommended amending the current PBS listing of galcanezumab for chronic migraine to include the treatment of patients with high frequency episodic migraine (HFEM) by removing the criteria for patients to have an average of 15 or more headache days per month. The resulting PBS listing for galcanezumab </w:t>
      </w:r>
      <w:r w:rsidR="000B3A39">
        <w:t>would be</w:t>
      </w:r>
      <w:r>
        <w:t xml:space="preserve"> for the treatment of patients who have an inadequate response, intolerance, or a contraindication to at least three prophylactic migraine medications, with 8 or more migraine headache days per month. </w:t>
      </w:r>
    </w:p>
    <w:p w14:paraId="3C37E841" w14:textId="77777777" w:rsidR="009757B7" w:rsidRDefault="009757B7" w:rsidP="00327E42">
      <w:pPr>
        <w:spacing w:after="0"/>
      </w:pPr>
    </w:p>
    <w:p w14:paraId="1AB08603" w14:textId="5759C7B3" w:rsidR="00327E42" w:rsidRDefault="00327E42" w:rsidP="009757B7">
      <w:r>
        <w:t xml:space="preserve">For further details refer to </w:t>
      </w:r>
      <w:r w:rsidRPr="00F65F0D">
        <w:t xml:space="preserve">the </w:t>
      </w:r>
      <w:hyperlink r:id="rId21" w:history="1">
        <w:r w:rsidRPr="007F7B88">
          <w:rPr>
            <w:rStyle w:val="Hyperlink"/>
          </w:rPr>
          <w:t>Public Summary Document</w:t>
        </w:r>
      </w:hyperlink>
      <w:r w:rsidRPr="00F65F0D">
        <w:t xml:space="preserve"> from the </w:t>
      </w:r>
      <w:r>
        <w:t>March 2022 PBAC meeting.</w:t>
      </w:r>
    </w:p>
    <w:p w14:paraId="5DFABB43" w14:textId="35B06013" w:rsidR="00721CFA" w:rsidRDefault="00FB7F6D" w:rsidP="00721CFA">
      <w:pPr>
        <w:spacing w:after="0"/>
      </w:pPr>
      <w:r>
        <w:t>At its November 20</w:t>
      </w:r>
      <w:r w:rsidR="003A1C47">
        <w:t xml:space="preserve">22 meeting the </w:t>
      </w:r>
      <w:r w:rsidR="00E72389">
        <w:t>PBAC recommended amending the listing of fremanezumab for chronic migraine to include the treatment of patients with treatment-resistant HFEM</w:t>
      </w:r>
      <w:r w:rsidR="00921C47">
        <w:t xml:space="preserve"> </w:t>
      </w:r>
      <w:r w:rsidR="00BD1190">
        <w:t xml:space="preserve">defined as patients having an average 8 to 14 headache days per month, </w:t>
      </w:r>
      <w:r w:rsidR="00BD1190">
        <w:lastRenderedPageBreak/>
        <w:t>and who have had an inadequate response, intolerance, or a contraindication to at least three prophylactic migraine medications.</w:t>
      </w:r>
      <w:r w:rsidR="00721CFA">
        <w:t xml:space="preserve"> Consistent with its March 2022 recommendation for galcanezumab in this population, the PBAC considered fremanezumab would be cost-effective for the HFEM population at a price no higher than the effective price for fremanezumab for patients with chronic migraine (para 7.1 Fremanezumab PSD, November 2022 PBAC meeting with Out of Session Addendum August 2023).</w:t>
      </w:r>
    </w:p>
    <w:p w14:paraId="47393731" w14:textId="76EEEB4E" w:rsidR="00FB7F6D" w:rsidRDefault="00FB7F6D" w:rsidP="00BD1190">
      <w:pPr>
        <w:spacing w:after="0"/>
      </w:pPr>
    </w:p>
    <w:p w14:paraId="5697078C" w14:textId="0CE7EB56" w:rsidR="00504B57" w:rsidRDefault="00504B57" w:rsidP="00504B57">
      <w:pPr>
        <w:spacing w:after="0"/>
      </w:pPr>
      <w:r>
        <w:t xml:space="preserve">PBAC </w:t>
      </w:r>
      <w:r w:rsidR="00C933FE">
        <w:t>noted</w:t>
      </w:r>
      <w:r w:rsidR="00770D5E">
        <w:t xml:space="preserve"> that t</w:t>
      </w:r>
      <w:r>
        <w:t>he proposed comparator, galcanezumab, was recommended by the PBAC in March 2022 for patients with HFEM (8 to 14 migraine days per month) who have</w:t>
      </w:r>
    </w:p>
    <w:p w14:paraId="6973513C" w14:textId="77F645A4" w:rsidR="00504B57" w:rsidRDefault="00504B57" w:rsidP="00504B57">
      <w:pPr>
        <w:spacing w:after="0"/>
      </w:pPr>
      <w:r>
        <w:t>failed/tried ≥3 prophylactic migraine medications. The PBAC considered galcanezumab would be cost-effective for the HFEM patient population at a price no higher than the current effective price for patients with chronic migraine (para 7.1, Galcanezumab PSD, March 2022 PBAC meeting). Galcanezumab was not listed on the PBS for HFEM at the time of PBAC consideration.</w:t>
      </w:r>
    </w:p>
    <w:p w14:paraId="2504AC4C" w14:textId="77777777" w:rsidR="00504B57" w:rsidRDefault="00504B57" w:rsidP="00504B57">
      <w:pPr>
        <w:spacing w:after="0"/>
      </w:pPr>
    </w:p>
    <w:p w14:paraId="1A2B4D2E" w14:textId="72468B4D" w:rsidR="004B6ECA" w:rsidRPr="00F65F0D" w:rsidRDefault="00D94863" w:rsidP="00D94863">
      <w:r>
        <w:t xml:space="preserve">For further details refer to </w:t>
      </w:r>
      <w:r w:rsidRPr="00F65F0D">
        <w:t xml:space="preserve">the </w:t>
      </w:r>
      <w:hyperlink r:id="rId22" w:history="1">
        <w:r w:rsidRPr="007F7B88">
          <w:rPr>
            <w:rStyle w:val="Hyperlink"/>
          </w:rPr>
          <w:t>Public Summary Document</w:t>
        </w:r>
      </w:hyperlink>
      <w:r w:rsidRPr="00F65F0D">
        <w:t xml:space="preserve"> from the </w:t>
      </w:r>
      <w:r w:rsidR="007F7B88">
        <w:t>November 2022</w:t>
      </w:r>
      <w:r>
        <w:t xml:space="preserve"> PBAC meeting.</w:t>
      </w:r>
    </w:p>
    <w:p w14:paraId="54A50C93" w14:textId="51494330" w:rsidR="008E7F72" w:rsidRDefault="00ED633B" w:rsidP="00A63D70">
      <w:pPr>
        <w:pStyle w:val="Heading2"/>
      </w:pPr>
      <w:r>
        <w:t>A</w:t>
      </w:r>
      <w:r w:rsidR="000F2F51">
        <w:t xml:space="preserve">pproach </w:t>
      </w:r>
      <w:r>
        <w:t xml:space="preserve">taken to </w:t>
      </w:r>
      <w:r w:rsidR="000F2F51">
        <w:t>estimat</w:t>
      </w:r>
      <w:r>
        <w:t>e</w:t>
      </w:r>
      <w:r w:rsidR="000F2F51">
        <w:t xml:space="preserve"> utilisation</w:t>
      </w:r>
    </w:p>
    <w:p w14:paraId="7D0ABC22" w14:textId="0A72D741" w:rsidR="000256E1" w:rsidRPr="00E47F51" w:rsidRDefault="00E47F51" w:rsidP="00A8394F">
      <w:pPr>
        <w:spacing w:after="0"/>
        <w:rPr>
          <w:u w:val="single"/>
        </w:rPr>
      </w:pPr>
      <w:r w:rsidRPr="00E47F51">
        <w:rPr>
          <w:u w:val="single"/>
        </w:rPr>
        <w:t>Galcanezumab</w:t>
      </w:r>
    </w:p>
    <w:p w14:paraId="7C81A44C" w14:textId="77777777" w:rsidR="000256E1" w:rsidRDefault="000256E1" w:rsidP="00A8394F">
      <w:pPr>
        <w:spacing w:after="0"/>
      </w:pPr>
    </w:p>
    <w:p w14:paraId="6929D337" w14:textId="6EFA7471" w:rsidR="008E7F72" w:rsidRDefault="003D319A" w:rsidP="004D56DA">
      <w:pPr>
        <w:spacing w:after="0"/>
      </w:pPr>
      <w:r>
        <w:t>The submission to the July 2019 PBAC meeting</w:t>
      </w:r>
      <w:r w:rsidR="00980DF8">
        <w:t xml:space="preserve"> took a</w:t>
      </w:r>
      <w:r w:rsidR="00685BF9">
        <w:t xml:space="preserve"> mixed model approach, with a combination of market share displacement (substitution of Botox) and an epidemiological analysis (new patients) was used to estimate the usage and financial impact of the PBS listing of galcanezumab.</w:t>
      </w:r>
      <w:r w:rsidR="004D56DA">
        <w:t xml:space="preserve"> </w:t>
      </w:r>
    </w:p>
    <w:p w14:paraId="321AFC49" w14:textId="77777777" w:rsidR="000608EE" w:rsidRDefault="000608EE" w:rsidP="004D56DA">
      <w:pPr>
        <w:spacing w:after="0"/>
      </w:pPr>
    </w:p>
    <w:p w14:paraId="636E38E7" w14:textId="32823AE7" w:rsidR="00192D83" w:rsidRDefault="00340CD0" w:rsidP="006170EA">
      <w:pPr>
        <w:shd w:val="clear" w:color="auto" w:fill="FFFFFF" w:themeFill="background1"/>
        <w:spacing w:after="0"/>
        <w:rPr>
          <w:shd w:val="clear" w:color="auto" w:fill="BFBFBF" w:themeFill="background1" w:themeFillShade="BF"/>
        </w:rPr>
      </w:pPr>
      <w:r>
        <w:rPr>
          <w:shd w:val="clear" w:color="auto" w:fill="FFFFFF" w:themeFill="background1"/>
        </w:rPr>
        <w:t xml:space="preserve">Within the agreed financial </w:t>
      </w:r>
      <w:proofErr w:type="gramStart"/>
      <w:r>
        <w:rPr>
          <w:shd w:val="clear" w:color="auto" w:fill="FFFFFF" w:themeFill="background1"/>
        </w:rPr>
        <w:t>estimates</w:t>
      </w:r>
      <w:proofErr w:type="gramEnd"/>
      <w:r>
        <w:rPr>
          <w:shd w:val="clear" w:color="auto" w:fill="FFFFFF" w:themeFill="background1"/>
        </w:rPr>
        <w:t xml:space="preserve"> t</w:t>
      </w:r>
      <w:r w:rsidR="009D25C7" w:rsidRPr="00F61967">
        <w:rPr>
          <w:shd w:val="clear" w:color="auto" w:fill="FFFFFF" w:themeFill="background1"/>
        </w:rPr>
        <w:t xml:space="preserve">he </w:t>
      </w:r>
      <w:r w:rsidR="009D25C7">
        <w:rPr>
          <w:shd w:val="clear" w:color="auto" w:fill="FFFFFF" w:themeFill="background1"/>
        </w:rPr>
        <w:t xml:space="preserve">predicted uptake of galcanezumab was </w:t>
      </w:r>
      <w:r w:rsidR="009B11B3" w:rsidRPr="009B11B3">
        <w:rPr>
          <w:highlight w:val="black"/>
          <w:shd w:val="clear" w:color="auto" w:fill="BFBFBF" w:themeFill="background1" w:themeFillShade="BF"/>
        </w:rPr>
        <w:t>XXXXX</w:t>
      </w:r>
      <w:r w:rsidR="009D25C7">
        <w:rPr>
          <w:shd w:val="clear" w:color="auto" w:fill="FFFFFF" w:themeFill="background1"/>
        </w:rPr>
        <w:t xml:space="preserve"> in year 1 and </w:t>
      </w:r>
      <w:r w:rsidR="009B11B3" w:rsidRPr="009B11B3">
        <w:rPr>
          <w:highlight w:val="black"/>
          <w:shd w:val="clear" w:color="auto" w:fill="BFBFBF" w:themeFill="background1" w:themeFillShade="BF"/>
        </w:rPr>
        <w:t>XXXXX</w:t>
      </w:r>
      <w:r w:rsidR="009D25C7">
        <w:rPr>
          <w:shd w:val="clear" w:color="auto" w:fill="FFFFFF" w:themeFill="background1"/>
        </w:rPr>
        <w:t xml:space="preserve"> in year 2.</w:t>
      </w:r>
      <w:r w:rsidR="00771880">
        <w:t xml:space="preserve"> It was </w:t>
      </w:r>
      <w:r w:rsidR="00F061A4">
        <w:t xml:space="preserve">estimated that continuation </w:t>
      </w:r>
      <w:r w:rsidR="00BA26BF">
        <w:t xml:space="preserve">rate </w:t>
      </w:r>
      <w:r w:rsidR="001264CF">
        <w:t xml:space="preserve">at 3 months of </w:t>
      </w:r>
      <w:r w:rsidR="009B11B3" w:rsidRPr="009B11B3">
        <w:rPr>
          <w:highlight w:val="black"/>
          <w:shd w:val="clear" w:color="auto" w:fill="BFBFBF" w:themeFill="background1" w:themeFillShade="BF"/>
        </w:rPr>
        <w:t>XXX</w:t>
      </w:r>
      <w:r w:rsidR="001264CF">
        <w:t xml:space="preserve"> with a probability of continuation for the remainder of </w:t>
      </w:r>
      <w:r w:rsidR="00FA7853">
        <w:t xml:space="preserve">the </w:t>
      </w:r>
      <w:r w:rsidR="001264CF">
        <w:t xml:space="preserve">year (9 months) at </w:t>
      </w:r>
      <w:r w:rsidR="009B11B3" w:rsidRPr="009B11B3">
        <w:rPr>
          <w:highlight w:val="black"/>
          <w:shd w:val="clear" w:color="auto" w:fill="BFBFBF" w:themeFill="background1" w:themeFillShade="BF"/>
        </w:rPr>
        <w:t>XXXX</w:t>
      </w:r>
      <w:r w:rsidR="003B55D3" w:rsidRPr="009B11B3">
        <w:rPr>
          <w:highlight w:val="black"/>
          <w:shd w:val="clear" w:color="auto" w:fill="BFBFBF" w:themeFill="background1" w:themeFillShade="BF"/>
        </w:rPr>
        <w:t>.</w:t>
      </w:r>
      <w:r w:rsidR="00B77ADD">
        <w:rPr>
          <w:shd w:val="clear" w:color="auto" w:fill="BFBFBF" w:themeFill="background1" w:themeFillShade="BF"/>
        </w:rPr>
        <w:t xml:space="preserve"> </w:t>
      </w:r>
    </w:p>
    <w:p w14:paraId="4F3AC3C5" w14:textId="77777777" w:rsidR="00A63D70" w:rsidRDefault="00A63D70" w:rsidP="006170EA">
      <w:pPr>
        <w:shd w:val="clear" w:color="auto" w:fill="FFFFFF" w:themeFill="background1"/>
        <w:spacing w:after="0"/>
        <w:rPr>
          <w:shd w:val="clear" w:color="auto" w:fill="BFBFBF" w:themeFill="background1" w:themeFillShade="BF"/>
        </w:rPr>
      </w:pPr>
    </w:p>
    <w:p w14:paraId="0B707F08" w14:textId="77777777" w:rsidR="00A63D70" w:rsidRPr="000256E1" w:rsidRDefault="00A63D70" w:rsidP="00A63D70">
      <w:pPr>
        <w:rPr>
          <w:u w:val="single"/>
        </w:rPr>
      </w:pPr>
      <w:r w:rsidRPr="000256E1">
        <w:rPr>
          <w:u w:val="single"/>
        </w:rPr>
        <w:t>Fremanezumab</w:t>
      </w:r>
    </w:p>
    <w:p w14:paraId="75C608DB" w14:textId="77777777" w:rsidR="00A63D70" w:rsidRDefault="00A63D70" w:rsidP="00A63D70">
      <w:pPr>
        <w:spacing w:after="0"/>
      </w:pPr>
      <w:r w:rsidRPr="007237B0">
        <w:t>The</w:t>
      </w:r>
      <w:r>
        <w:t xml:space="preserve"> submission to the November 2019 PBAC meeting took a</w:t>
      </w:r>
      <w:r w:rsidRPr="007237B0">
        <w:t xml:space="preserve"> mixed market share and epidemiological approach </w:t>
      </w:r>
      <w:r>
        <w:t xml:space="preserve">to estimate the expected utilisation of </w:t>
      </w:r>
      <w:r w:rsidRPr="00276089">
        <w:t>fremanezumab</w:t>
      </w:r>
      <w:r w:rsidRPr="007237B0">
        <w:t xml:space="preserve">. </w:t>
      </w:r>
    </w:p>
    <w:p w14:paraId="494EA72E" w14:textId="77777777" w:rsidR="00A63D70" w:rsidRDefault="00A63D70" w:rsidP="00A63D70">
      <w:pPr>
        <w:spacing w:after="0"/>
      </w:pPr>
    </w:p>
    <w:p w14:paraId="56DD8628" w14:textId="7E7E1942" w:rsidR="00A63D70" w:rsidRPr="00A63D70" w:rsidRDefault="00A63D70" w:rsidP="00A63D70">
      <w:pPr>
        <w:spacing w:after="0"/>
      </w:pPr>
      <w:r>
        <w:t xml:space="preserve">The submission to the November 2019 PBAC meeting assumed that </w:t>
      </w:r>
      <w:r w:rsidR="00447E71" w:rsidRPr="00447E71">
        <w:rPr>
          <w:highlight w:val="black"/>
        </w:rPr>
        <w:t>XXXXX</w:t>
      </w:r>
      <w:r>
        <w:t xml:space="preserve"> of patients would continue treatment beyond 12 weeks based on the continuation rate for Botox at 24 weeks reported in the 2017 DUSC Botox review. The submission considered that fremanezumab would displace the use of Botox. </w:t>
      </w:r>
      <w:r w:rsidRPr="00FD7CAD">
        <w:t xml:space="preserve">In its resubmission to the March 2020 PBAC meeting the sponsor </w:t>
      </w:r>
      <w:r>
        <w:t xml:space="preserve">applied a </w:t>
      </w:r>
      <w:r w:rsidRPr="00FD7CAD">
        <w:t xml:space="preserve">yearly discontinuation rate </w:t>
      </w:r>
      <w:r>
        <w:t>of</w:t>
      </w:r>
      <w:r w:rsidRPr="00FD7CAD">
        <w:t xml:space="preserve"> </w:t>
      </w:r>
      <w:r w:rsidR="00447E71" w:rsidRPr="00447E71">
        <w:rPr>
          <w:highlight w:val="black"/>
        </w:rPr>
        <w:t>XXX</w:t>
      </w:r>
      <w:r w:rsidRPr="00FD7CAD">
        <w:t>.</w:t>
      </w:r>
    </w:p>
    <w:p w14:paraId="3B923D7A" w14:textId="77777777" w:rsidR="004A4847" w:rsidRDefault="004A4847" w:rsidP="006170EA">
      <w:pPr>
        <w:shd w:val="clear" w:color="auto" w:fill="FFFFFF" w:themeFill="background1"/>
        <w:spacing w:after="0"/>
      </w:pPr>
    </w:p>
    <w:p w14:paraId="17DCDDD0" w14:textId="77777777" w:rsidR="009B11B3" w:rsidRDefault="009B11B3" w:rsidP="006170EA">
      <w:pPr>
        <w:shd w:val="clear" w:color="auto" w:fill="FFFFFF" w:themeFill="background1"/>
        <w:spacing w:after="0"/>
      </w:pPr>
    </w:p>
    <w:p w14:paraId="2C20B401" w14:textId="77777777" w:rsidR="009B11B3" w:rsidRDefault="009B11B3" w:rsidP="006170EA">
      <w:pPr>
        <w:shd w:val="clear" w:color="auto" w:fill="FFFFFF" w:themeFill="background1"/>
        <w:spacing w:after="0"/>
      </w:pPr>
    </w:p>
    <w:p w14:paraId="4D5B6DE2" w14:textId="77777777" w:rsidR="009B11B3" w:rsidRPr="007237B0" w:rsidRDefault="009B11B3" w:rsidP="006170EA">
      <w:pPr>
        <w:shd w:val="clear" w:color="auto" w:fill="FFFFFF" w:themeFill="background1"/>
        <w:spacing w:after="0"/>
      </w:pPr>
    </w:p>
    <w:p w14:paraId="0DEBD50F" w14:textId="69B931E7" w:rsidR="00094DCF" w:rsidRDefault="00ED633B" w:rsidP="00CF5E22">
      <w:pPr>
        <w:pStyle w:val="Heading2"/>
      </w:pPr>
      <w:r>
        <w:lastRenderedPageBreak/>
        <w:t xml:space="preserve">Previous reviews by </w:t>
      </w:r>
      <w:r w:rsidR="00177B86">
        <w:t xml:space="preserve">the </w:t>
      </w:r>
      <w:r>
        <w:t>DUSC</w:t>
      </w:r>
    </w:p>
    <w:p w14:paraId="52ABEF44" w14:textId="4CDC85AE" w:rsidR="00336BF0" w:rsidRDefault="005001F1" w:rsidP="00A35800">
      <w:pPr>
        <w:rPr>
          <w:u w:val="single"/>
        </w:rPr>
      </w:pPr>
      <w:r w:rsidRPr="005001F1">
        <w:rPr>
          <w:u w:val="single"/>
        </w:rPr>
        <w:t>June 2017</w:t>
      </w:r>
    </w:p>
    <w:p w14:paraId="21D0293C" w14:textId="0DB47F64" w:rsidR="005001F1" w:rsidRDefault="00D54DE4" w:rsidP="00A35800">
      <w:bookmarkStart w:id="2" w:name="_Hlk160783537"/>
      <w:r w:rsidRPr="00D54DE4">
        <w:t>Botulinum toxin type A for chronic migraine</w:t>
      </w:r>
    </w:p>
    <w:bookmarkEnd w:id="2"/>
    <w:p w14:paraId="57D9BFC6" w14:textId="77777777" w:rsidR="00447C69" w:rsidRPr="00447C69" w:rsidRDefault="00447C69" w:rsidP="00447C69">
      <w:pPr>
        <w:keepNext/>
        <w:spacing w:before="240"/>
        <w:outlineLvl w:val="1"/>
        <w:rPr>
          <w:rFonts w:ascii="Calibri" w:eastAsia="Times New Roman" w:hAnsi="Calibri" w:cs="Times New Roman"/>
          <w:bCs/>
          <w:iCs/>
        </w:rPr>
      </w:pPr>
      <w:r w:rsidRPr="00447C69">
        <w:rPr>
          <w:rFonts w:ascii="Calibri" w:eastAsia="Times New Roman" w:hAnsi="Calibri" w:cs="Times New Roman"/>
          <w:bCs/>
          <w:iCs/>
        </w:rPr>
        <w:t>Key Findings</w:t>
      </w:r>
    </w:p>
    <w:p w14:paraId="579EF5BB" w14:textId="77777777" w:rsidR="00447C69" w:rsidRPr="00447C69" w:rsidRDefault="00447C69" w:rsidP="00447C69">
      <w:pPr>
        <w:numPr>
          <w:ilvl w:val="0"/>
          <w:numId w:val="9"/>
        </w:numPr>
        <w:ind w:left="357" w:hanging="357"/>
        <w:contextualSpacing/>
        <w:rPr>
          <w:rFonts w:ascii="Calibri" w:eastAsia="Times New Roman" w:hAnsi="Calibri" w:cs="Times New Roman"/>
        </w:rPr>
      </w:pPr>
      <w:r w:rsidRPr="00447C69">
        <w:rPr>
          <w:rFonts w:ascii="Calibri" w:eastAsia="Times New Roman" w:hAnsi="Calibri" w:cs="Times New Roman"/>
        </w:rPr>
        <w:t>There were 3,517 and 5,444 patients treated with botulinum toxin for chronic migraine in the first and second year of PBS listing, respectively. The number of patients treated was substantially higher than predicted.</w:t>
      </w:r>
    </w:p>
    <w:p w14:paraId="0845E8DE" w14:textId="77777777" w:rsidR="00447C69" w:rsidRPr="00447C69" w:rsidRDefault="00447C69" w:rsidP="00447C69">
      <w:pPr>
        <w:numPr>
          <w:ilvl w:val="0"/>
          <w:numId w:val="9"/>
        </w:numPr>
        <w:ind w:left="357" w:hanging="357"/>
        <w:contextualSpacing/>
        <w:rPr>
          <w:rFonts w:ascii="Calibri" w:eastAsia="Times New Roman" w:hAnsi="Calibri" w:cs="Times New Roman"/>
        </w:rPr>
      </w:pPr>
      <w:r w:rsidRPr="00447C69">
        <w:rPr>
          <w:rFonts w:ascii="Calibri" w:eastAsia="Times New Roman" w:hAnsi="Calibri" w:cs="Times New Roman"/>
        </w:rPr>
        <w:t>There were 7,826 and 13,873 services for the administration of botulinum toxin in the first and second year of listing, respectively, substantially more than expected.</w:t>
      </w:r>
    </w:p>
    <w:p w14:paraId="7D034FA2" w14:textId="77D19F73" w:rsidR="00447C69" w:rsidRPr="00447C69" w:rsidRDefault="00447C69" w:rsidP="00447C69">
      <w:pPr>
        <w:numPr>
          <w:ilvl w:val="0"/>
          <w:numId w:val="9"/>
        </w:numPr>
        <w:ind w:left="357" w:hanging="357"/>
        <w:contextualSpacing/>
        <w:rPr>
          <w:rFonts w:ascii="Calibri" w:eastAsia="Times New Roman" w:hAnsi="Calibri" w:cs="Times New Roman"/>
        </w:rPr>
      </w:pPr>
      <w:r w:rsidRPr="00447C69">
        <w:rPr>
          <w:rFonts w:ascii="Calibri" w:eastAsia="Times New Roman" w:hAnsi="Calibri" w:cs="Times New Roman"/>
        </w:rPr>
        <w:t>Continuation rate on treatment at 24 weeks (i.e. after 2 treatments), 71.4%, was more than double that predicted from trial data, 32.9%.</w:t>
      </w:r>
    </w:p>
    <w:p w14:paraId="0312E288" w14:textId="35A39DC4" w:rsidR="00447C69" w:rsidRPr="00447C69" w:rsidRDefault="00447C69" w:rsidP="00447C69">
      <w:pPr>
        <w:numPr>
          <w:ilvl w:val="0"/>
          <w:numId w:val="9"/>
        </w:numPr>
        <w:ind w:left="357" w:hanging="357"/>
        <w:contextualSpacing/>
        <w:rPr>
          <w:rFonts w:ascii="Calibri" w:eastAsia="Times New Roman" w:hAnsi="Calibri" w:cs="Times New Roman"/>
        </w:rPr>
      </w:pPr>
      <w:r w:rsidRPr="00447C69">
        <w:rPr>
          <w:rFonts w:ascii="Calibri" w:eastAsia="Times New Roman" w:hAnsi="Calibri" w:cs="Times New Roman"/>
        </w:rPr>
        <w:t xml:space="preserve">PBS prescription data </w:t>
      </w:r>
      <w:r w:rsidR="008E34B6">
        <w:rPr>
          <w:rFonts w:ascii="Calibri" w:eastAsia="Times New Roman" w:hAnsi="Calibri" w:cs="Times New Roman"/>
        </w:rPr>
        <w:t>we</w:t>
      </w:r>
      <w:r w:rsidRPr="00447C69">
        <w:rPr>
          <w:rFonts w:ascii="Calibri" w:eastAsia="Times New Roman" w:hAnsi="Calibri" w:cs="Times New Roman"/>
        </w:rPr>
        <w:t xml:space="preserve">re insufficient to assess compliance with the PBS restriction regarding patients having experienced an inadequate response, intolerance or a contraindication to at least three prophylactic migraine medications and management of medication overuse headache prior to commencing botulinum toxin. Many prophylactic and acute treatments for migraine </w:t>
      </w:r>
      <w:r w:rsidR="008E34B6">
        <w:rPr>
          <w:rFonts w:ascii="Calibri" w:eastAsia="Times New Roman" w:hAnsi="Calibri" w:cs="Times New Roman"/>
        </w:rPr>
        <w:t>we</w:t>
      </w:r>
      <w:r w:rsidRPr="00447C69">
        <w:rPr>
          <w:rFonts w:ascii="Calibri" w:eastAsia="Times New Roman" w:hAnsi="Calibri" w:cs="Times New Roman"/>
        </w:rPr>
        <w:t>re available over the counter, c</w:t>
      </w:r>
      <w:r w:rsidR="008E34B6">
        <w:rPr>
          <w:rFonts w:ascii="Calibri" w:eastAsia="Times New Roman" w:hAnsi="Calibri" w:cs="Times New Roman"/>
        </w:rPr>
        <w:t>ould</w:t>
      </w:r>
      <w:r w:rsidRPr="00447C69">
        <w:rPr>
          <w:rFonts w:ascii="Calibri" w:eastAsia="Times New Roman" w:hAnsi="Calibri" w:cs="Times New Roman"/>
        </w:rPr>
        <w:t xml:space="preserve"> be provided on private prescription, and/or </w:t>
      </w:r>
      <w:r w:rsidR="008E34B6">
        <w:rPr>
          <w:rFonts w:ascii="Calibri" w:eastAsia="Times New Roman" w:hAnsi="Calibri" w:cs="Times New Roman"/>
        </w:rPr>
        <w:t>we</w:t>
      </w:r>
      <w:r w:rsidRPr="00447C69">
        <w:rPr>
          <w:rFonts w:ascii="Calibri" w:eastAsia="Times New Roman" w:hAnsi="Calibri" w:cs="Times New Roman"/>
        </w:rPr>
        <w:t>re priced under the general patient co</w:t>
      </w:r>
      <w:r w:rsidRPr="00447C69">
        <w:rPr>
          <w:rFonts w:ascii="Calibri" w:eastAsia="Times New Roman" w:hAnsi="Calibri" w:cs="Times New Roman"/>
        </w:rPr>
        <w:noBreakHyphen/>
        <w:t>payment and are not included in the PBS dataset.</w:t>
      </w:r>
    </w:p>
    <w:p w14:paraId="06892572" w14:textId="77777777" w:rsidR="00447C69" w:rsidRPr="00447C69" w:rsidRDefault="00447C69" w:rsidP="00447C69">
      <w:pPr>
        <w:numPr>
          <w:ilvl w:val="0"/>
          <w:numId w:val="9"/>
        </w:numPr>
        <w:ind w:left="357" w:hanging="357"/>
        <w:contextualSpacing/>
        <w:rPr>
          <w:rFonts w:ascii="Calibri" w:eastAsia="Times New Roman" w:hAnsi="Calibri" w:cs="Times New Roman"/>
        </w:rPr>
      </w:pPr>
      <w:r w:rsidRPr="00447C69">
        <w:rPr>
          <w:rFonts w:ascii="Calibri" w:eastAsia="Times New Roman" w:hAnsi="Calibri" w:cs="Times New Roman"/>
        </w:rPr>
        <w:t>Treatment rates in most states were similar with approximately 23-32 patients per 100,000. Treatment rates were substantially higher in the ACT (105 per 100,000) and substantially lower in the NT (5 per 100,000).</w:t>
      </w:r>
    </w:p>
    <w:p w14:paraId="783C4A75" w14:textId="77777777" w:rsidR="00D54DE4" w:rsidRPr="00D54DE4" w:rsidRDefault="00D54DE4" w:rsidP="00A35800"/>
    <w:p w14:paraId="5C143877" w14:textId="29608B6D" w:rsidR="00E371EA" w:rsidRPr="00ED633B" w:rsidRDefault="009D1ED5" w:rsidP="00A35800">
      <w:r>
        <w:t xml:space="preserve">For details of the DUSC consideration of </w:t>
      </w:r>
      <w:r w:rsidR="00D2226B" w:rsidRPr="00D2226B">
        <w:t>Botulinum toxin type A for chronic migraine</w:t>
      </w:r>
      <w:r>
        <w:t xml:space="preserve"> refer to the</w:t>
      </w:r>
      <w:r w:rsidR="000404B0">
        <w:t xml:space="preserve"> Public Release Document</w:t>
      </w:r>
      <w:r>
        <w:t xml:space="preserve"> </w:t>
      </w:r>
      <w:hyperlink r:id="rId23" w:history="1">
        <w:r w:rsidR="003670EF" w:rsidRPr="003670EF">
          <w:rPr>
            <w:rStyle w:val="Hyperlink"/>
          </w:rPr>
          <w:t>Botulinum toxin type A for chronic migraine: 24 month predicted versus actual analysis</w:t>
        </w:r>
      </w:hyperlink>
      <w:r>
        <w:t xml:space="preserve"> from the </w:t>
      </w:r>
      <w:r w:rsidR="00D2226B">
        <w:t>June 2017</w:t>
      </w:r>
      <w:r>
        <w:t xml:space="preserve"> DUSC meeting.</w:t>
      </w:r>
    </w:p>
    <w:p w14:paraId="0312FFEC" w14:textId="5C6A9662" w:rsidR="00E677DD" w:rsidRDefault="00E677DD" w:rsidP="00CF5E22">
      <w:pPr>
        <w:pStyle w:val="Heading1"/>
      </w:pPr>
      <w:r w:rsidRPr="005E22C2">
        <w:t>Method</w:t>
      </w:r>
      <w:r w:rsidR="001B5D37" w:rsidRPr="005E22C2">
        <w:t>s</w:t>
      </w:r>
    </w:p>
    <w:p w14:paraId="01BE1531" w14:textId="78861A5D" w:rsidR="001820A4" w:rsidRPr="00B80402" w:rsidRDefault="005C394C" w:rsidP="005C394C">
      <w:proofErr w:type="gramStart"/>
      <w:r w:rsidRPr="00B80402">
        <w:t>Authorities</w:t>
      </w:r>
      <w:proofErr w:type="gramEnd"/>
      <w:r w:rsidRPr="00B80402">
        <w:t xml:space="preserve"> data and prescriptions data </w:t>
      </w:r>
      <w:r w:rsidRPr="0012469C">
        <w:rPr>
          <w:rFonts w:cstheme="minorHAnsi"/>
          <w:color w:val="222222"/>
          <w:shd w:val="clear" w:color="auto" w:fill="FFFFFF"/>
        </w:rPr>
        <w:t>maintained by the Department of Health and Aged Care, processed by Services Australia,</w:t>
      </w:r>
      <w:r>
        <w:rPr>
          <w:rFonts w:ascii="Open Sans" w:hAnsi="Open Sans" w:cs="Open Sans"/>
          <w:color w:val="222222"/>
          <w:sz w:val="20"/>
          <w:szCs w:val="20"/>
          <w:shd w:val="clear" w:color="auto" w:fill="FFFFFF"/>
        </w:rPr>
        <w:t> </w:t>
      </w:r>
      <w:r w:rsidRPr="00B80402">
        <w:t xml:space="preserve">was extracted from 1 </w:t>
      </w:r>
      <w:r w:rsidR="00774962">
        <w:t>June 2021</w:t>
      </w:r>
      <w:r w:rsidRPr="00B80402">
        <w:t>. Data was extracted based on the date of supply. Unless otherwise specified</w:t>
      </w:r>
      <w:r w:rsidR="008177F5">
        <w:t>,</w:t>
      </w:r>
      <w:r w:rsidRPr="00B80402">
        <w:t xml:space="preserve"> data is presented by listing year </w:t>
      </w:r>
      <w:r>
        <w:t xml:space="preserve">for the period </w:t>
      </w:r>
      <w:r w:rsidR="00FF201E">
        <w:t xml:space="preserve">June-May </w:t>
      </w:r>
      <w:r w:rsidR="001820A4">
        <w:t xml:space="preserve">for galcanezumab and </w:t>
      </w:r>
      <w:r w:rsidR="00FF201E">
        <w:t>August-</w:t>
      </w:r>
      <w:r w:rsidR="005B25A0">
        <w:t>July</w:t>
      </w:r>
      <w:r w:rsidR="001820A4">
        <w:t xml:space="preserve"> for </w:t>
      </w:r>
      <w:r w:rsidR="001820A4" w:rsidRPr="00CA10B6">
        <w:t>fremanezumab</w:t>
      </w:r>
      <w:r w:rsidRPr="00B80402">
        <w:t>.</w:t>
      </w:r>
    </w:p>
    <w:p w14:paraId="41538148" w14:textId="77777777" w:rsidR="005C394C" w:rsidRPr="00B80402" w:rsidRDefault="005C394C" w:rsidP="005C394C">
      <w:pPr>
        <w:spacing w:before="240"/>
        <w:rPr>
          <w:b/>
          <w:bCs/>
          <w:i/>
          <w:iCs/>
        </w:rPr>
      </w:pPr>
      <w:r w:rsidRPr="00B80402">
        <w:rPr>
          <w:b/>
          <w:bCs/>
          <w:i/>
          <w:iCs/>
        </w:rPr>
        <w:t>Patient level analysis</w:t>
      </w:r>
    </w:p>
    <w:p w14:paraId="3B936E57" w14:textId="77777777" w:rsidR="005C394C" w:rsidRPr="00B80402" w:rsidRDefault="005C394C" w:rsidP="005C394C">
      <w:r w:rsidRPr="00B80402">
        <w:t>The number of prevalent patients was determined by counting the number of people supplied at least one PBS prescription using person specific numbers (non-identifying) in the data for the specified time periods. Patient initiation was defined as the date of supply of the first PBS or RPBS prescription.</w:t>
      </w:r>
    </w:p>
    <w:p w14:paraId="21FCC883" w14:textId="77777777" w:rsidR="005C394C" w:rsidRDefault="005C394C" w:rsidP="005C394C">
      <w:r w:rsidRPr="00B80402">
        <w:t>Patient age</w:t>
      </w:r>
      <w:r>
        <w:t xml:space="preserve"> was derived as the age at first supply</w:t>
      </w:r>
      <w:r w:rsidRPr="00B80402">
        <w:t xml:space="preserve">. </w:t>
      </w:r>
    </w:p>
    <w:p w14:paraId="278757C4" w14:textId="77777777" w:rsidR="007018D0" w:rsidRDefault="007018D0" w:rsidP="000F5CE4">
      <w:pPr>
        <w:spacing w:after="0"/>
        <w:contextualSpacing/>
      </w:pPr>
      <w:r>
        <w:lastRenderedPageBreak/>
        <w:t xml:space="preserve">PBS prescription data also contains age and gender information. This information was used </w:t>
      </w:r>
    </w:p>
    <w:p w14:paraId="1E205626" w14:textId="0E3EBAB8" w:rsidR="007018D0" w:rsidRDefault="007018D0" w:rsidP="000F5CE4">
      <w:pPr>
        <w:spacing w:after="0"/>
        <w:contextualSpacing/>
      </w:pPr>
      <w:r>
        <w:t>to perform a breakdown of prevalent patients by age and gender.</w:t>
      </w:r>
    </w:p>
    <w:p w14:paraId="5891E1DB" w14:textId="77777777" w:rsidR="000F5CE4" w:rsidRDefault="000F5CE4" w:rsidP="000F5CE4">
      <w:pPr>
        <w:spacing w:after="0"/>
        <w:contextualSpacing/>
      </w:pPr>
    </w:p>
    <w:p w14:paraId="6DC5BEBE" w14:textId="29B672C8" w:rsidR="008177F5" w:rsidRDefault="00B50995" w:rsidP="006F2BD9">
      <w:pPr>
        <w:spacing w:after="0"/>
        <w:contextualSpacing/>
      </w:pPr>
      <w:r>
        <w:t xml:space="preserve">Changes in the pattern of usage of galcanezumab and </w:t>
      </w:r>
      <w:r w:rsidRPr="00CA10B6">
        <w:t>fremanezumab</w:t>
      </w:r>
      <w:r>
        <w:t xml:space="preserve"> in females </w:t>
      </w:r>
      <w:r w:rsidR="00673283">
        <w:t xml:space="preserve">was analysed by age group over time and presented as a contour graph where the level of </w:t>
      </w:r>
      <w:r w:rsidR="00260894">
        <w:t xml:space="preserve">changes in </w:t>
      </w:r>
      <w:r w:rsidR="00673283">
        <w:t>usage is indicated by varying coloured contours.</w:t>
      </w:r>
    </w:p>
    <w:p w14:paraId="5294A4B7" w14:textId="77777777" w:rsidR="006F2BD9" w:rsidRPr="006F2BD9" w:rsidRDefault="006F2BD9" w:rsidP="006F2BD9">
      <w:pPr>
        <w:spacing w:after="0"/>
        <w:contextualSpacing/>
      </w:pPr>
    </w:p>
    <w:p w14:paraId="79A5194F" w14:textId="118D1E07" w:rsidR="005C394C" w:rsidRPr="00B80402" w:rsidRDefault="005C394C" w:rsidP="005C394C">
      <w:pPr>
        <w:rPr>
          <w:b/>
          <w:bCs/>
          <w:i/>
          <w:iCs/>
        </w:rPr>
      </w:pPr>
      <w:r w:rsidRPr="00B80402">
        <w:rPr>
          <w:b/>
          <w:bCs/>
          <w:i/>
          <w:iCs/>
        </w:rPr>
        <w:t>Predicted versus actual analysis</w:t>
      </w:r>
    </w:p>
    <w:p w14:paraId="4DC8F617" w14:textId="70505586" w:rsidR="005C394C" w:rsidRPr="00B80402" w:rsidRDefault="005C394C" w:rsidP="005C394C">
      <w:r w:rsidRPr="00B80402">
        <w:t xml:space="preserve">Predicted versus actual analysis of the number of patients treated, </w:t>
      </w:r>
      <w:r w:rsidR="001F3D6F">
        <w:t xml:space="preserve">and </w:t>
      </w:r>
      <w:r w:rsidRPr="00B80402">
        <w:t xml:space="preserve">prescriptions dispensed. </w:t>
      </w:r>
    </w:p>
    <w:p w14:paraId="3195BD14" w14:textId="77777777" w:rsidR="005C394C" w:rsidRPr="00B80402" w:rsidRDefault="005C394C" w:rsidP="005C394C">
      <w:r w:rsidRPr="00B80402">
        <w:t>The differences in actual compared to predicted utilisation was determined using the following calculation:</w:t>
      </w:r>
    </w:p>
    <w:p w14:paraId="132FC760" w14:textId="744D4C35" w:rsidR="00F410F6" w:rsidRPr="00B80402" w:rsidRDefault="005C394C" w:rsidP="005C394C">
      <w:r w:rsidRPr="00B80402">
        <w:t>Difference (%) = ((Actual – Predicted)/Predicted) x 100.</w:t>
      </w:r>
    </w:p>
    <w:p w14:paraId="0A206E0E" w14:textId="77777777" w:rsidR="005C394C" w:rsidRPr="00B80402" w:rsidRDefault="005C394C" w:rsidP="005C394C">
      <w:pPr>
        <w:spacing w:before="240"/>
        <w:rPr>
          <w:b/>
          <w:bCs/>
          <w:i/>
          <w:iCs/>
        </w:rPr>
      </w:pPr>
      <w:r w:rsidRPr="00B80402">
        <w:rPr>
          <w:b/>
          <w:bCs/>
          <w:i/>
          <w:iCs/>
        </w:rPr>
        <w:t>Treatment duration analysis</w:t>
      </w:r>
    </w:p>
    <w:p w14:paraId="192ACA22" w14:textId="62C222DB" w:rsidR="005C394C" w:rsidRPr="00B80402" w:rsidRDefault="00FD3321" w:rsidP="005C394C">
      <w:r>
        <w:t xml:space="preserve">Time (days) on treatment for all patients initiating fremanezumab or galcanezumab for chronic migraine </w:t>
      </w:r>
      <w:r w:rsidR="005C394C" w:rsidRPr="00B80402">
        <w:t xml:space="preserve">with follow-up to the end </w:t>
      </w:r>
      <w:r w:rsidR="005C394C">
        <w:t>of</w:t>
      </w:r>
      <w:r w:rsidR="005C394C" w:rsidRPr="00B80402">
        <w:t xml:space="preserve"> February 202</w:t>
      </w:r>
      <w:r w:rsidR="00D36279">
        <w:t>4</w:t>
      </w:r>
      <w:r w:rsidR="00610A52">
        <w:t xml:space="preserve">. </w:t>
      </w:r>
      <w:r w:rsidR="005C394C" w:rsidRPr="00B80402">
        <w:t>Kaplan-Meier analysis was undertaken to analyse the time on treatment. Time on treatment was determined with and without treatment breaks.</w:t>
      </w:r>
    </w:p>
    <w:p w14:paraId="199932ED" w14:textId="4483BB1F" w:rsidR="005C394C" w:rsidRPr="00B80402" w:rsidRDefault="005C394C" w:rsidP="005C394C">
      <w:r w:rsidRPr="00B80402">
        <w:t xml:space="preserve">Patients were assumed to have had a break in therapy if there was a period of no supply equivalent to three times the median time between supplies. </w:t>
      </w:r>
    </w:p>
    <w:p w14:paraId="254366E5" w14:textId="417BB28D" w:rsidR="005C394C" w:rsidRDefault="005C394C" w:rsidP="005C394C">
      <w:r w:rsidRPr="00B80402">
        <w:t xml:space="preserve">Patients who had a supply within </w:t>
      </w:r>
      <w:r w:rsidR="00D76600">
        <w:t>90</w:t>
      </w:r>
      <w:r w:rsidRPr="00B80402">
        <w:t xml:space="preserve"> days </w:t>
      </w:r>
      <w:r w:rsidR="003E060C">
        <w:t>for</w:t>
      </w:r>
      <w:r w:rsidR="00162528">
        <w:t xml:space="preserve"> galcanezumab</w:t>
      </w:r>
      <w:r w:rsidR="003E060C">
        <w:t xml:space="preserve"> </w:t>
      </w:r>
      <w:r w:rsidR="00C858F5">
        <w:t>or</w:t>
      </w:r>
      <w:r w:rsidR="003E060C">
        <w:t xml:space="preserve"> </w:t>
      </w:r>
      <w:r w:rsidR="0080215E">
        <w:t>98</w:t>
      </w:r>
      <w:r w:rsidR="003E060C">
        <w:t xml:space="preserve"> days for </w:t>
      </w:r>
      <w:r w:rsidR="00224B15" w:rsidRPr="00CA10B6">
        <w:t>fremanezumab</w:t>
      </w:r>
      <w:r w:rsidR="00224B15" w:rsidRPr="00B80402">
        <w:t xml:space="preserve"> </w:t>
      </w:r>
      <w:r w:rsidRPr="00B80402">
        <w:t xml:space="preserve">of the analysis end date were assumed to be </w:t>
      </w:r>
      <w:proofErr w:type="gramStart"/>
      <w:r w:rsidRPr="00B80402">
        <w:t>continuing on</w:t>
      </w:r>
      <w:proofErr w:type="gramEnd"/>
      <w:r w:rsidRPr="00B80402">
        <w:t xml:space="preserve"> therapy. These patients were censored from the Kaplan-Meier analysis.</w:t>
      </w:r>
    </w:p>
    <w:p w14:paraId="11ABCC9B" w14:textId="2DC1B81D" w:rsidR="005C394C" w:rsidRPr="00B80402" w:rsidRDefault="00A13663" w:rsidP="005C394C">
      <w:pPr>
        <w:spacing w:before="240"/>
        <w:rPr>
          <w:b/>
          <w:bCs/>
          <w:i/>
          <w:iCs/>
        </w:rPr>
      </w:pPr>
      <w:r>
        <w:rPr>
          <w:b/>
          <w:bCs/>
          <w:i/>
          <w:iCs/>
        </w:rPr>
        <w:t>Co-</w:t>
      </w:r>
      <w:r w:rsidR="007159DD">
        <w:rPr>
          <w:b/>
          <w:bCs/>
          <w:i/>
          <w:iCs/>
        </w:rPr>
        <w:t>dispensing</w:t>
      </w:r>
      <w:r w:rsidR="005C394C" w:rsidRPr="00B80402">
        <w:rPr>
          <w:b/>
          <w:bCs/>
          <w:i/>
          <w:iCs/>
        </w:rPr>
        <w:t xml:space="preserve"> therapy analysis</w:t>
      </w:r>
    </w:p>
    <w:p w14:paraId="7B45381D" w14:textId="3FA75F54" w:rsidR="005A0E31" w:rsidRDefault="005C394C" w:rsidP="00A35800">
      <w:r>
        <w:t xml:space="preserve">To determine the </w:t>
      </w:r>
      <w:r w:rsidR="00FE7864">
        <w:t>therapies being co-</w:t>
      </w:r>
      <w:r w:rsidR="00AF37CD">
        <w:t>administered with</w:t>
      </w:r>
      <w:r w:rsidR="00831604">
        <w:t xml:space="preserve"> </w:t>
      </w:r>
      <w:r w:rsidR="00224B15">
        <w:t>fremanezumab</w:t>
      </w:r>
      <w:r w:rsidR="00831604">
        <w:t xml:space="preserve"> and </w:t>
      </w:r>
      <w:r w:rsidR="00224B15">
        <w:t>galcanezumab</w:t>
      </w:r>
      <w:r>
        <w:t xml:space="preserve">, prescription data for the drugs listed in Appendix A were extracted from </w:t>
      </w:r>
      <w:r w:rsidR="00AF37CD">
        <w:t xml:space="preserve">June 2021 </w:t>
      </w:r>
      <w:r>
        <w:t>to the end of February 202</w:t>
      </w:r>
      <w:r w:rsidR="00EA7678">
        <w:t>4</w:t>
      </w:r>
      <w:r>
        <w:t xml:space="preserve">. These data were merged with patients who had been supplied </w:t>
      </w:r>
      <w:r w:rsidR="00224B15">
        <w:t>fremanezumab</w:t>
      </w:r>
      <w:r w:rsidR="00A95468">
        <w:t xml:space="preserve"> or </w:t>
      </w:r>
      <w:r w:rsidR="00224B15">
        <w:t>galcanezumab</w:t>
      </w:r>
      <w:r>
        <w:t xml:space="preserve">. </w:t>
      </w:r>
      <w:r w:rsidR="008405A0">
        <w:t xml:space="preserve">Only </w:t>
      </w:r>
      <w:r w:rsidR="00A65ED4">
        <w:t>non-</w:t>
      </w:r>
      <w:r w:rsidR="00926ECD">
        <w:t>opioid</w:t>
      </w:r>
      <w:r w:rsidR="00A65ED4">
        <w:t xml:space="preserve"> </w:t>
      </w:r>
      <w:r w:rsidR="00926ECD">
        <w:t>analgesia</w:t>
      </w:r>
      <w:r w:rsidR="00A65ED4">
        <w:t xml:space="preserve"> and </w:t>
      </w:r>
      <w:r w:rsidR="008177F5">
        <w:t>first</w:t>
      </w:r>
      <w:r w:rsidR="0096090D">
        <w:t>-</w:t>
      </w:r>
      <w:r w:rsidR="00A65ED4">
        <w:t xml:space="preserve">line </w:t>
      </w:r>
      <w:r w:rsidR="00926ECD">
        <w:t>medications</w:t>
      </w:r>
      <w:r w:rsidR="00A65ED4">
        <w:t xml:space="preserve"> for migraine prophylaxis which</w:t>
      </w:r>
      <w:r w:rsidR="00926ECD">
        <w:t xml:space="preserve"> were either </w:t>
      </w:r>
      <w:r w:rsidR="00D40862">
        <w:t>unrestricted</w:t>
      </w:r>
      <w:r w:rsidR="00926ECD">
        <w:t xml:space="preserve"> or had a </w:t>
      </w:r>
      <w:r w:rsidR="001F4B73">
        <w:t xml:space="preserve">PBS </w:t>
      </w:r>
      <w:r w:rsidR="00926ECD">
        <w:t>re</w:t>
      </w:r>
      <w:r w:rsidR="001F4B73">
        <w:t xml:space="preserve">striction (or ARTG indication) that included </w:t>
      </w:r>
      <w:r w:rsidR="00D40862">
        <w:t>treatment or prevention of migraine w</w:t>
      </w:r>
      <w:r w:rsidR="00425DCA">
        <w:t>ere</w:t>
      </w:r>
      <w:r w:rsidR="00D40862">
        <w:t xml:space="preserve"> included.</w:t>
      </w:r>
    </w:p>
    <w:p w14:paraId="71AEA11D" w14:textId="213D54B9" w:rsidR="003251DC" w:rsidRDefault="003251DC" w:rsidP="00A35800">
      <w:pPr>
        <w:rPr>
          <w:b/>
          <w:bCs/>
          <w:i/>
          <w:iCs/>
        </w:rPr>
      </w:pPr>
      <w:r w:rsidRPr="003251DC">
        <w:rPr>
          <w:b/>
          <w:bCs/>
          <w:i/>
          <w:iCs/>
        </w:rPr>
        <w:t>Treatment sequence</w:t>
      </w:r>
    </w:p>
    <w:p w14:paraId="06428D27" w14:textId="15A55B41" w:rsidR="003251DC" w:rsidRDefault="007B03A0" w:rsidP="00243DC3">
      <w:pPr>
        <w:spacing w:after="0"/>
      </w:pPr>
      <w:r w:rsidRPr="007B03A0">
        <w:t>To determine the therap</w:t>
      </w:r>
      <w:r>
        <w:t xml:space="preserve">y sequence from </w:t>
      </w:r>
      <w:r w:rsidR="008177F5" w:rsidRPr="00673283">
        <w:t>f</w:t>
      </w:r>
      <w:r w:rsidR="008177F5">
        <w:t>irst</w:t>
      </w:r>
      <w:r>
        <w:t xml:space="preserve"> line to </w:t>
      </w:r>
      <w:r w:rsidR="008177F5">
        <w:t>second</w:t>
      </w:r>
      <w:r w:rsidR="00D844F5">
        <w:t xml:space="preserve"> line treatment </w:t>
      </w:r>
      <w:r w:rsidRPr="007B03A0">
        <w:t>with</w:t>
      </w:r>
      <w:r w:rsidR="00D844F5">
        <w:t xml:space="preserve"> either </w:t>
      </w:r>
      <w:r w:rsidRPr="007B03A0">
        <w:t xml:space="preserve">fremanezumab </w:t>
      </w:r>
      <w:r w:rsidR="00D844F5">
        <w:t xml:space="preserve">or </w:t>
      </w:r>
      <w:r w:rsidRPr="007B03A0">
        <w:t xml:space="preserve">galcanezumab, prescription data for the </w:t>
      </w:r>
      <w:r w:rsidR="008177F5">
        <w:t>first</w:t>
      </w:r>
      <w:r w:rsidR="006B0CBB">
        <w:t xml:space="preserve"> line medications for the prophylaxis of migraine</w:t>
      </w:r>
      <w:r w:rsidRPr="007B03A0">
        <w:t xml:space="preserve"> listed in Appendix A were extracted from </w:t>
      </w:r>
      <w:r w:rsidR="00D844F5">
        <w:t xml:space="preserve">the start of </w:t>
      </w:r>
      <w:r w:rsidRPr="007B03A0">
        <w:t>June 2021 to the end of February 2024. These data were merged with patients who had been supplied fremanezumab or galcanezumab</w:t>
      </w:r>
      <w:r w:rsidR="00576EB3">
        <w:t xml:space="preserve"> to identify th</w:t>
      </w:r>
      <w:r w:rsidR="007453F7">
        <w:t>e l</w:t>
      </w:r>
      <w:r w:rsidR="002A7EAD" w:rsidRPr="002A7EAD">
        <w:t xml:space="preserve">ast </w:t>
      </w:r>
      <w:r w:rsidR="008177F5">
        <w:t>first</w:t>
      </w:r>
      <w:r w:rsidR="00943DFB">
        <w:t>-</w:t>
      </w:r>
      <w:r w:rsidR="002A7EAD" w:rsidRPr="002A7EAD">
        <w:t xml:space="preserve">line </w:t>
      </w:r>
      <w:r w:rsidR="007453F7">
        <w:t>medication</w:t>
      </w:r>
      <w:r w:rsidR="00243DC3">
        <w:t xml:space="preserve"> which was used</w:t>
      </w:r>
      <w:r w:rsidR="002A7EAD" w:rsidRPr="002A7EAD">
        <w:t xml:space="preserve"> directly prior to the most recent use of fremanezumab</w:t>
      </w:r>
      <w:r w:rsidR="002A7EAD">
        <w:t xml:space="preserve"> or </w:t>
      </w:r>
      <w:r w:rsidR="0084756F" w:rsidRPr="0084756F">
        <w:t>galcanezumab</w:t>
      </w:r>
      <w:r w:rsidR="00B74F08">
        <w:t>.</w:t>
      </w:r>
    </w:p>
    <w:p w14:paraId="1B25A504" w14:textId="77777777" w:rsidR="00B74F08" w:rsidRDefault="00B74F08" w:rsidP="00243DC3">
      <w:pPr>
        <w:spacing w:after="0"/>
      </w:pPr>
    </w:p>
    <w:p w14:paraId="1F729F89" w14:textId="1CDAEC8D" w:rsidR="004A4847" w:rsidRDefault="00B74F08" w:rsidP="00243DC3">
      <w:pPr>
        <w:spacing w:after="0"/>
      </w:pPr>
      <w:r w:rsidRPr="007B03A0">
        <w:lastRenderedPageBreak/>
        <w:t>To determine the therap</w:t>
      </w:r>
      <w:r>
        <w:t xml:space="preserve">y sequence </w:t>
      </w:r>
      <w:r w:rsidR="00364982">
        <w:t>within the</w:t>
      </w:r>
      <w:r>
        <w:t xml:space="preserve"> </w:t>
      </w:r>
      <w:r w:rsidR="008177F5">
        <w:t>second</w:t>
      </w:r>
      <w:r>
        <w:t xml:space="preserve"> line</w:t>
      </w:r>
      <w:r w:rsidR="000925A8">
        <w:t xml:space="preserve"> prophylaxis of migraine</w:t>
      </w:r>
      <w:r w:rsidRPr="007B03A0">
        <w:t>, prescription data for the</w:t>
      </w:r>
      <w:r w:rsidR="008177F5">
        <w:rPr>
          <w:vertAlign w:val="superscript"/>
        </w:rPr>
        <w:t xml:space="preserve"> </w:t>
      </w:r>
      <w:r w:rsidR="008177F5">
        <w:t>second</w:t>
      </w:r>
      <w:r w:rsidR="000925A8">
        <w:t xml:space="preserve"> </w:t>
      </w:r>
      <w:r>
        <w:t>line medications for the prophylaxis of migraine</w:t>
      </w:r>
      <w:r w:rsidRPr="007B03A0">
        <w:t xml:space="preserve"> listed in Appendix A were extracted from </w:t>
      </w:r>
      <w:r>
        <w:t xml:space="preserve">the start of </w:t>
      </w:r>
      <w:r w:rsidRPr="007B03A0">
        <w:t xml:space="preserve">June 2021 to the end of February 2024. </w:t>
      </w:r>
    </w:p>
    <w:p w14:paraId="7339F4C5" w14:textId="77777777" w:rsidR="000E73BE" w:rsidRDefault="000E73BE" w:rsidP="000E73BE">
      <w:pPr>
        <w:tabs>
          <w:tab w:val="left" w:pos="720"/>
        </w:tabs>
        <w:autoSpaceDE w:val="0"/>
        <w:autoSpaceDN w:val="0"/>
        <w:adjustRightInd w:val="0"/>
        <w:spacing w:before="240"/>
        <w:rPr>
          <w:rFonts w:ascii="Calibri" w:hAnsi="Calibri" w:cs="Calibri"/>
          <w:b/>
          <w:bCs/>
          <w:i/>
          <w:iCs/>
        </w:rPr>
      </w:pPr>
      <w:r>
        <w:rPr>
          <w:rFonts w:ascii="Calibri" w:hAnsi="Calibri" w:cs="Calibri"/>
          <w:b/>
          <w:bCs/>
          <w:i/>
          <w:iCs/>
        </w:rPr>
        <w:t>Prescriber analysis</w:t>
      </w:r>
    </w:p>
    <w:p w14:paraId="6ADA0AAB" w14:textId="1CB0486B" w:rsidR="00243DC3" w:rsidRPr="000E73BE" w:rsidRDefault="000E73BE" w:rsidP="000E73BE">
      <w:pPr>
        <w:autoSpaceDE w:val="0"/>
        <w:autoSpaceDN w:val="0"/>
        <w:adjustRightInd w:val="0"/>
        <w:rPr>
          <w:rFonts w:ascii="Calibri" w:hAnsi="Calibri" w:cs="Calibri"/>
        </w:rPr>
      </w:pPr>
      <w:r>
        <w:rPr>
          <w:rFonts w:ascii="Calibri" w:hAnsi="Calibri" w:cs="Calibri"/>
        </w:rPr>
        <w:t>Number and proportion of prescriptions dispensed by prescriber type over time was derived by specialities.</w:t>
      </w:r>
    </w:p>
    <w:p w14:paraId="2DB305CB" w14:textId="0B3D752D" w:rsidR="005A0E31" w:rsidRPr="00A30E9A" w:rsidRDefault="00A30E9A" w:rsidP="00A35800">
      <w:pPr>
        <w:rPr>
          <w:rFonts w:eastAsia="Calibri" w:cs="Times New Roman"/>
          <w:b/>
          <w:bCs/>
          <w:i/>
          <w:iCs/>
        </w:rPr>
      </w:pPr>
      <w:r w:rsidRPr="00A30E9A">
        <w:rPr>
          <w:rFonts w:eastAsia="Calibri" w:cs="Times New Roman"/>
          <w:b/>
          <w:bCs/>
          <w:i/>
          <w:iCs/>
        </w:rPr>
        <w:t>Mapping</w:t>
      </w:r>
    </w:p>
    <w:p w14:paraId="15A4A2FA" w14:textId="77777777" w:rsidR="00AE00A5" w:rsidRPr="00AE00A5" w:rsidRDefault="00AE00A5" w:rsidP="00AE00A5">
      <w:pPr>
        <w:spacing w:after="0"/>
        <w:rPr>
          <w:rFonts w:eastAsia="Calibri" w:cs="Times New Roman"/>
        </w:rPr>
      </w:pPr>
      <w:r w:rsidRPr="00AE00A5">
        <w:rPr>
          <w:rFonts w:eastAsia="Calibri" w:cs="Times New Roman"/>
        </w:rPr>
        <w:t>Mapping data was created using patient post codes supplied upon dispensing. Prescriptions</w:t>
      </w:r>
    </w:p>
    <w:p w14:paraId="680D081E" w14:textId="77777777" w:rsidR="00AE00A5" w:rsidRPr="00AE00A5" w:rsidRDefault="00AE00A5" w:rsidP="00AE00A5">
      <w:pPr>
        <w:spacing w:after="0"/>
        <w:rPr>
          <w:rFonts w:eastAsia="Calibri" w:cs="Times New Roman"/>
        </w:rPr>
      </w:pPr>
      <w:r w:rsidRPr="00AE00A5">
        <w:rPr>
          <w:rFonts w:eastAsia="Calibri" w:cs="Times New Roman"/>
        </w:rPr>
        <w:t xml:space="preserve">were then aggregated by approximate Statistical Area Level 4 (SA4) geographical areas as </w:t>
      </w:r>
    </w:p>
    <w:p w14:paraId="56FD42AF" w14:textId="77777777" w:rsidR="00AE00A5" w:rsidRPr="00AE00A5" w:rsidRDefault="00AE00A5" w:rsidP="00AE00A5">
      <w:pPr>
        <w:spacing w:after="0"/>
        <w:rPr>
          <w:rFonts w:eastAsia="Calibri" w:cs="Times New Roman"/>
        </w:rPr>
      </w:pPr>
      <w:r w:rsidRPr="00AE00A5">
        <w:rPr>
          <w:rFonts w:eastAsia="Calibri" w:cs="Times New Roman"/>
        </w:rPr>
        <w:t xml:space="preserve">determined by the Australian Statistical Geography Standard established by the Australian </w:t>
      </w:r>
    </w:p>
    <w:p w14:paraId="4CF420F8" w14:textId="77777777" w:rsidR="00AE00A5" w:rsidRPr="00AE00A5" w:rsidRDefault="00AE00A5" w:rsidP="00AE00A5">
      <w:pPr>
        <w:spacing w:after="0"/>
        <w:rPr>
          <w:rFonts w:eastAsia="Calibri" w:cs="Times New Roman"/>
        </w:rPr>
      </w:pPr>
      <w:r w:rsidRPr="00AE00A5">
        <w:rPr>
          <w:rFonts w:eastAsia="Calibri" w:cs="Times New Roman"/>
        </w:rPr>
        <w:t xml:space="preserve">Bureau of Statistics. Some patients were linked to post codes reserved for PO boxes that </w:t>
      </w:r>
    </w:p>
    <w:p w14:paraId="4CA1AB6D" w14:textId="77777777" w:rsidR="00AE00A5" w:rsidRPr="00AE00A5" w:rsidRDefault="00AE00A5" w:rsidP="00AE00A5">
      <w:pPr>
        <w:spacing w:after="0"/>
        <w:rPr>
          <w:rFonts w:eastAsia="Calibri" w:cs="Times New Roman"/>
        </w:rPr>
      </w:pPr>
      <w:r w:rsidRPr="00AE00A5">
        <w:rPr>
          <w:rFonts w:eastAsia="Calibri" w:cs="Times New Roman"/>
        </w:rPr>
        <w:t xml:space="preserve">did not map to SA4 regions. Pharmacy post code data was used instead of patient post </w:t>
      </w:r>
    </w:p>
    <w:p w14:paraId="33EB80C9" w14:textId="713A4C90" w:rsidR="00AE00A5" w:rsidRDefault="00AE00A5" w:rsidP="00AE00A5">
      <w:pPr>
        <w:spacing w:after="0"/>
        <w:rPr>
          <w:rFonts w:eastAsia="Calibri" w:cs="Times New Roman"/>
        </w:rPr>
      </w:pPr>
      <w:r w:rsidRPr="00AE00A5">
        <w:rPr>
          <w:rFonts w:eastAsia="Calibri" w:cs="Times New Roman"/>
        </w:rPr>
        <w:t>code for these prescriptions.</w:t>
      </w:r>
    </w:p>
    <w:p w14:paraId="5ECE4B1F" w14:textId="77777777" w:rsidR="00502DAE" w:rsidRDefault="00502DAE" w:rsidP="00AE00A5">
      <w:pPr>
        <w:spacing w:after="0"/>
        <w:rPr>
          <w:rFonts w:eastAsia="Calibri" w:cs="Times New Roman"/>
        </w:rPr>
      </w:pPr>
    </w:p>
    <w:p w14:paraId="506685D0" w14:textId="373B03E8" w:rsidR="004501EA" w:rsidRDefault="00502DAE" w:rsidP="00AE00A5">
      <w:pPr>
        <w:spacing w:after="0"/>
        <w:rPr>
          <w:rFonts w:eastAsia="Calibri" w:cs="Times New Roman"/>
        </w:rPr>
      </w:pPr>
      <w:r>
        <w:rPr>
          <w:rFonts w:eastAsia="Calibri" w:cs="Times New Roman"/>
        </w:rPr>
        <w:t xml:space="preserve">Mapping data </w:t>
      </w:r>
      <w:r w:rsidR="001A2F58">
        <w:rPr>
          <w:rFonts w:eastAsia="Calibri" w:cs="Times New Roman"/>
        </w:rPr>
        <w:t xml:space="preserve">for service delivery </w:t>
      </w:r>
      <w:r w:rsidR="002500FE">
        <w:rPr>
          <w:rFonts w:eastAsia="Calibri" w:cs="Times New Roman"/>
        </w:rPr>
        <w:t xml:space="preserve">of </w:t>
      </w:r>
      <w:r w:rsidR="00BB0ED5">
        <w:rPr>
          <w:rFonts w:eastAsia="Calibri" w:cs="Times New Roman"/>
        </w:rPr>
        <w:t>migraine treatment</w:t>
      </w:r>
      <w:r w:rsidR="0068203C">
        <w:rPr>
          <w:rFonts w:eastAsia="Calibri" w:cs="Times New Roman"/>
        </w:rPr>
        <w:t xml:space="preserve"> used</w:t>
      </w:r>
      <w:r w:rsidR="00BB0ED5">
        <w:rPr>
          <w:rFonts w:eastAsia="Calibri" w:cs="Times New Roman"/>
        </w:rPr>
        <w:t xml:space="preserve"> a proxy</w:t>
      </w:r>
      <w:r w:rsidR="0068203C">
        <w:rPr>
          <w:rFonts w:eastAsia="Calibri" w:cs="Times New Roman"/>
        </w:rPr>
        <w:t xml:space="preserve"> measure</w:t>
      </w:r>
      <w:r w:rsidR="001A2F58">
        <w:rPr>
          <w:rFonts w:eastAsia="Calibri" w:cs="Times New Roman"/>
        </w:rPr>
        <w:t xml:space="preserve"> based on </w:t>
      </w:r>
      <w:r w:rsidR="00D33660" w:rsidRPr="00D33660">
        <w:rPr>
          <w:rFonts w:eastAsia="Calibri" w:cs="Times New Roman"/>
        </w:rPr>
        <w:t>Medicare Benefits Scheme</w:t>
      </w:r>
      <w:r w:rsidR="00C86373">
        <w:rPr>
          <w:rFonts w:eastAsia="Calibri" w:cs="Times New Roman"/>
        </w:rPr>
        <w:t xml:space="preserve"> data for </w:t>
      </w:r>
      <w:r w:rsidR="002500FE">
        <w:rPr>
          <w:rFonts w:eastAsia="Calibri" w:cs="Times New Roman"/>
        </w:rPr>
        <w:t>services</w:t>
      </w:r>
      <w:r w:rsidR="00C86373">
        <w:rPr>
          <w:rFonts w:eastAsia="Calibri" w:cs="Times New Roman"/>
        </w:rPr>
        <w:t xml:space="preserve"> under </w:t>
      </w:r>
      <w:r w:rsidR="00D33660" w:rsidRPr="00D33660">
        <w:rPr>
          <w:rFonts w:eastAsia="Calibri" w:cs="Times New Roman"/>
        </w:rPr>
        <w:t>Medicare Benefits Schedule</w:t>
      </w:r>
      <w:r w:rsidR="00C86373">
        <w:rPr>
          <w:rFonts w:eastAsia="Calibri" w:cs="Times New Roman"/>
        </w:rPr>
        <w:t xml:space="preserve"> item code 18377 </w:t>
      </w:r>
      <w:r w:rsidR="006263A7">
        <w:rPr>
          <w:rFonts w:eastAsia="Calibri" w:cs="Times New Roman"/>
        </w:rPr>
        <w:t>(</w:t>
      </w:r>
      <w:r w:rsidR="006263A7" w:rsidRPr="006263A7">
        <w:rPr>
          <w:rFonts w:eastAsia="Calibri" w:cs="Times New Roman"/>
        </w:rPr>
        <w:t xml:space="preserve">Botulinum Toxin Type </w:t>
      </w:r>
      <w:proofErr w:type="gramStart"/>
      <w:r w:rsidR="006263A7" w:rsidRPr="006263A7">
        <w:rPr>
          <w:rFonts w:eastAsia="Calibri" w:cs="Times New Roman"/>
        </w:rPr>
        <w:t>A</w:t>
      </w:r>
      <w:proofErr w:type="gramEnd"/>
      <w:r w:rsidR="006263A7" w:rsidRPr="006263A7">
        <w:rPr>
          <w:rFonts w:eastAsia="Calibri" w:cs="Times New Roman"/>
        </w:rPr>
        <w:t xml:space="preserve"> Purified Neurotoxin Complex (Botox), injection of, for the treatment of chronic migraine</w:t>
      </w:r>
      <w:r w:rsidR="00D74FE3">
        <w:rPr>
          <w:rFonts w:eastAsia="Calibri" w:cs="Times New Roman"/>
        </w:rPr>
        <w:t>)</w:t>
      </w:r>
      <w:r w:rsidR="00B307F9">
        <w:rPr>
          <w:rFonts w:eastAsia="Calibri" w:cs="Times New Roman"/>
        </w:rPr>
        <w:t xml:space="preserve"> </w:t>
      </w:r>
      <w:r w:rsidR="00B307F9" w:rsidRPr="00B307F9">
        <w:rPr>
          <w:rFonts w:eastAsia="Calibri" w:cs="Times New Roman"/>
        </w:rPr>
        <w:t>aggregated by approximate SA4</w:t>
      </w:r>
      <w:r w:rsidR="00D74FE3">
        <w:rPr>
          <w:rFonts w:eastAsia="Calibri" w:cs="Times New Roman"/>
        </w:rPr>
        <w:t xml:space="preserve"> </w:t>
      </w:r>
      <w:r w:rsidR="00A22E0A" w:rsidRPr="00A22E0A">
        <w:rPr>
          <w:rFonts w:eastAsia="Calibri" w:cs="Times New Roman"/>
        </w:rPr>
        <w:t xml:space="preserve">geographical areas </w:t>
      </w:r>
      <w:r w:rsidR="00C86373">
        <w:rPr>
          <w:rFonts w:eastAsia="Calibri" w:cs="Times New Roman"/>
        </w:rPr>
        <w:t>and geo-coded to the provider’s practice locations. Data was based on date-of-service</w:t>
      </w:r>
      <w:r w:rsidR="002500FE">
        <w:rPr>
          <w:rFonts w:eastAsia="Calibri" w:cs="Times New Roman"/>
        </w:rPr>
        <w:t xml:space="preserve"> processed to 25 March 2024.</w:t>
      </w:r>
    </w:p>
    <w:p w14:paraId="395E95AB" w14:textId="77777777" w:rsidR="001F6CAC" w:rsidRDefault="001F6CAC" w:rsidP="00AE00A5">
      <w:pPr>
        <w:spacing w:after="0"/>
        <w:rPr>
          <w:rFonts w:eastAsia="Calibri" w:cs="Times New Roman"/>
        </w:rPr>
      </w:pPr>
    </w:p>
    <w:p w14:paraId="372C4F23" w14:textId="77777777" w:rsidR="001F6CAC" w:rsidRDefault="001F6CAC" w:rsidP="00AE00A5">
      <w:pPr>
        <w:spacing w:after="0"/>
        <w:rPr>
          <w:rFonts w:eastAsia="Calibri" w:cs="Times New Roman"/>
        </w:rPr>
      </w:pPr>
    </w:p>
    <w:p w14:paraId="17A72C2D" w14:textId="77777777" w:rsidR="001F6CAC" w:rsidRDefault="001F6CAC" w:rsidP="00AE00A5">
      <w:pPr>
        <w:spacing w:after="0"/>
        <w:rPr>
          <w:rFonts w:eastAsia="Calibri" w:cs="Times New Roman"/>
        </w:rPr>
      </w:pPr>
    </w:p>
    <w:p w14:paraId="28CDE626" w14:textId="77777777" w:rsidR="001F6CAC" w:rsidRDefault="001F6CAC" w:rsidP="00AE00A5">
      <w:pPr>
        <w:spacing w:after="0"/>
        <w:rPr>
          <w:rFonts w:eastAsia="Calibri" w:cs="Times New Roman"/>
        </w:rPr>
      </w:pPr>
    </w:p>
    <w:p w14:paraId="56A86FDF" w14:textId="77777777" w:rsidR="001F6CAC" w:rsidRDefault="001F6CAC" w:rsidP="00AE00A5">
      <w:pPr>
        <w:spacing w:after="0"/>
        <w:rPr>
          <w:rFonts w:eastAsia="Calibri" w:cs="Times New Roman"/>
        </w:rPr>
      </w:pPr>
    </w:p>
    <w:p w14:paraId="1217ABE6" w14:textId="77777777" w:rsidR="001F6CAC" w:rsidRDefault="001F6CAC" w:rsidP="00AE00A5">
      <w:pPr>
        <w:spacing w:after="0"/>
        <w:rPr>
          <w:rFonts w:eastAsia="Calibri" w:cs="Times New Roman"/>
        </w:rPr>
      </w:pPr>
    </w:p>
    <w:p w14:paraId="411307CC" w14:textId="77777777" w:rsidR="001F6CAC" w:rsidRDefault="001F6CAC" w:rsidP="00AE00A5">
      <w:pPr>
        <w:spacing w:after="0"/>
        <w:rPr>
          <w:rFonts w:eastAsia="Calibri" w:cs="Times New Roman"/>
        </w:rPr>
      </w:pPr>
    </w:p>
    <w:p w14:paraId="4B617E04" w14:textId="77777777" w:rsidR="001F6CAC" w:rsidRDefault="001F6CAC" w:rsidP="00AE00A5">
      <w:pPr>
        <w:spacing w:after="0"/>
        <w:rPr>
          <w:rFonts w:eastAsia="Calibri" w:cs="Times New Roman"/>
        </w:rPr>
      </w:pPr>
    </w:p>
    <w:p w14:paraId="18629226" w14:textId="77777777" w:rsidR="001F6CAC" w:rsidRDefault="001F6CAC" w:rsidP="00AE00A5">
      <w:pPr>
        <w:spacing w:after="0"/>
        <w:rPr>
          <w:rFonts w:eastAsia="Calibri" w:cs="Times New Roman"/>
        </w:rPr>
      </w:pPr>
    </w:p>
    <w:p w14:paraId="03D37BC4" w14:textId="77777777" w:rsidR="001F6CAC" w:rsidRDefault="001F6CAC" w:rsidP="00AE00A5">
      <w:pPr>
        <w:spacing w:after="0"/>
        <w:rPr>
          <w:rFonts w:eastAsia="Calibri" w:cs="Times New Roman"/>
        </w:rPr>
      </w:pPr>
    </w:p>
    <w:p w14:paraId="1E6953BB" w14:textId="77777777" w:rsidR="001F6CAC" w:rsidRDefault="001F6CAC" w:rsidP="00AE00A5">
      <w:pPr>
        <w:spacing w:after="0"/>
        <w:rPr>
          <w:rFonts w:eastAsia="Calibri" w:cs="Times New Roman"/>
        </w:rPr>
      </w:pPr>
    </w:p>
    <w:p w14:paraId="1902B805" w14:textId="77777777" w:rsidR="001F6CAC" w:rsidRDefault="001F6CAC" w:rsidP="00AE00A5">
      <w:pPr>
        <w:spacing w:after="0"/>
        <w:rPr>
          <w:rFonts w:eastAsia="Calibri" w:cs="Times New Roman"/>
        </w:rPr>
      </w:pPr>
    </w:p>
    <w:p w14:paraId="5CC1FA00" w14:textId="77777777" w:rsidR="001F6CAC" w:rsidRDefault="001F6CAC" w:rsidP="00AE00A5">
      <w:pPr>
        <w:spacing w:after="0"/>
        <w:rPr>
          <w:rFonts w:eastAsia="Calibri" w:cs="Times New Roman"/>
        </w:rPr>
      </w:pPr>
    </w:p>
    <w:p w14:paraId="697C8B4A" w14:textId="77777777" w:rsidR="001F6CAC" w:rsidRDefault="001F6CAC" w:rsidP="00AE00A5">
      <w:pPr>
        <w:spacing w:after="0"/>
        <w:rPr>
          <w:rFonts w:eastAsia="Calibri" w:cs="Times New Roman"/>
        </w:rPr>
      </w:pPr>
    </w:p>
    <w:p w14:paraId="7DBCFD07" w14:textId="77777777" w:rsidR="001F6CAC" w:rsidRDefault="001F6CAC" w:rsidP="00AE00A5">
      <w:pPr>
        <w:spacing w:after="0"/>
        <w:rPr>
          <w:rFonts w:eastAsia="Calibri" w:cs="Times New Roman"/>
        </w:rPr>
      </w:pPr>
    </w:p>
    <w:p w14:paraId="068285CB" w14:textId="77777777" w:rsidR="001F6CAC" w:rsidRDefault="001F6CAC" w:rsidP="00AE00A5">
      <w:pPr>
        <w:spacing w:after="0"/>
        <w:rPr>
          <w:rFonts w:eastAsia="Calibri" w:cs="Times New Roman"/>
        </w:rPr>
      </w:pPr>
    </w:p>
    <w:p w14:paraId="16E20B67" w14:textId="77777777" w:rsidR="001F6CAC" w:rsidRDefault="001F6CAC" w:rsidP="00AE00A5">
      <w:pPr>
        <w:spacing w:after="0"/>
        <w:rPr>
          <w:rFonts w:eastAsia="Calibri" w:cs="Times New Roman"/>
        </w:rPr>
      </w:pPr>
    </w:p>
    <w:p w14:paraId="3379D86C" w14:textId="77777777" w:rsidR="001F6CAC" w:rsidRDefault="001F6CAC" w:rsidP="00AE00A5">
      <w:pPr>
        <w:spacing w:after="0"/>
        <w:rPr>
          <w:rFonts w:eastAsia="Calibri" w:cs="Times New Roman"/>
        </w:rPr>
      </w:pPr>
    </w:p>
    <w:p w14:paraId="46A23ACA" w14:textId="77777777" w:rsidR="001F6CAC" w:rsidRDefault="001F6CAC" w:rsidP="00AE00A5">
      <w:pPr>
        <w:spacing w:after="0"/>
        <w:rPr>
          <w:rFonts w:eastAsia="Calibri" w:cs="Times New Roman"/>
        </w:rPr>
      </w:pPr>
    </w:p>
    <w:p w14:paraId="4F91A98A" w14:textId="00180E30"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r w:rsidRPr="005E22C2">
        <w:t>Overall utilisation</w:t>
      </w:r>
    </w:p>
    <w:p w14:paraId="338BCBAB" w14:textId="61E90F09" w:rsidR="00BB012F" w:rsidRPr="006A3636" w:rsidRDefault="00BB012F" w:rsidP="00BB012F">
      <w:pPr>
        <w:pStyle w:val="Figurecaption"/>
        <w:spacing w:before="200" w:after="20"/>
        <w:rPr>
          <w:b/>
          <w:bCs/>
          <w:sz w:val="24"/>
          <w:szCs w:val="24"/>
        </w:rPr>
      </w:pPr>
      <w:r w:rsidRPr="006A3636">
        <w:rPr>
          <w:b/>
          <w:bCs/>
          <w:sz w:val="24"/>
          <w:szCs w:val="24"/>
        </w:rPr>
        <w:t xml:space="preserve">Table </w:t>
      </w:r>
      <w:r w:rsidR="0019329E">
        <w:rPr>
          <w:b/>
          <w:bCs/>
          <w:sz w:val="24"/>
          <w:szCs w:val="24"/>
        </w:rPr>
        <w:t>5</w:t>
      </w:r>
      <w:r w:rsidRPr="006A3636">
        <w:rPr>
          <w:b/>
          <w:bCs/>
          <w:sz w:val="24"/>
          <w:szCs w:val="24"/>
        </w:rPr>
        <w:t>: Number of incident (new) prevalent (total treated) patients and scripts by listing year</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8"/>
        <w:gridCol w:w="2266"/>
        <w:gridCol w:w="2265"/>
        <w:gridCol w:w="2266"/>
      </w:tblGrid>
      <w:tr w:rsidR="00BB012F" w:rsidRPr="00D111D2" w14:paraId="123F1554" w14:textId="77777777" w:rsidTr="00750A78">
        <w:trPr>
          <w:trHeight w:val="312"/>
        </w:trPr>
        <w:tc>
          <w:tcPr>
            <w:tcW w:w="2388" w:type="dxa"/>
            <w:shd w:val="clear" w:color="auto" w:fill="BFBFBF" w:themeFill="background1" w:themeFillShade="BF"/>
            <w:noWrap/>
            <w:hideMark/>
          </w:tcPr>
          <w:p w14:paraId="15111DEA" w14:textId="77777777" w:rsidR="00BB012F" w:rsidRPr="001C68E6" w:rsidRDefault="00BB012F">
            <w:pPr>
              <w:spacing w:before="60" w:after="60"/>
              <w:rPr>
                <w:rFonts w:ascii="Calibri" w:eastAsia="Times New Roman" w:hAnsi="Calibri" w:cs="Calibri"/>
                <w:color w:val="000000"/>
                <w:sz w:val="20"/>
                <w:szCs w:val="20"/>
              </w:rPr>
            </w:pPr>
          </w:p>
        </w:tc>
        <w:tc>
          <w:tcPr>
            <w:tcW w:w="2266" w:type="dxa"/>
            <w:shd w:val="clear" w:color="auto" w:fill="BFBFBF" w:themeFill="background1" w:themeFillShade="BF"/>
            <w:noWrap/>
            <w:vAlign w:val="center"/>
            <w:hideMark/>
          </w:tcPr>
          <w:p w14:paraId="4CB555BA" w14:textId="13AC37C2" w:rsidR="00BB012F" w:rsidRPr="001C68E6" w:rsidRDefault="00BB012F">
            <w:pPr>
              <w:spacing w:before="60" w:after="60"/>
              <w:jc w:val="center"/>
              <w:rPr>
                <w:rFonts w:ascii="Calibri" w:eastAsia="Times New Roman" w:hAnsi="Calibri" w:cs="Calibri"/>
                <w:b/>
                <w:bCs/>
                <w:color w:val="000000"/>
                <w:sz w:val="20"/>
                <w:szCs w:val="20"/>
              </w:rPr>
            </w:pPr>
            <w:r w:rsidRPr="001C68E6">
              <w:rPr>
                <w:rFonts w:ascii="Calibri" w:eastAsia="Times New Roman" w:hAnsi="Calibri" w:cs="Calibri"/>
                <w:b/>
                <w:bCs/>
                <w:color w:val="000000"/>
                <w:sz w:val="20"/>
                <w:szCs w:val="20"/>
              </w:rPr>
              <w:t>Year 1</w:t>
            </w:r>
          </w:p>
        </w:tc>
        <w:tc>
          <w:tcPr>
            <w:tcW w:w="2265" w:type="dxa"/>
            <w:shd w:val="clear" w:color="auto" w:fill="BFBFBF" w:themeFill="background1" w:themeFillShade="BF"/>
            <w:noWrap/>
            <w:vAlign w:val="center"/>
            <w:hideMark/>
          </w:tcPr>
          <w:p w14:paraId="63A6917E" w14:textId="5BB82187" w:rsidR="00BB012F" w:rsidRPr="001C68E6" w:rsidRDefault="00BB012F">
            <w:pPr>
              <w:spacing w:before="60" w:after="60"/>
              <w:jc w:val="center"/>
              <w:rPr>
                <w:rFonts w:ascii="Calibri" w:eastAsia="Times New Roman" w:hAnsi="Calibri" w:cs="Calibri"/>
                <w:b/>
                <w:bCs/>
                <w:color w:val="000000"/>
                <w:sz w:val="20"/>
                <w:szCs w:val="20"/>
              </w:rPr>
            </w:pPr>
            <w:r w:rsidRPr="001C68E6">
              <w:rPr>
                <w:rFonts w:ascii="Calibri" w:eastAsia="Times New Roman" w:hAnsi="Calibri" w:cs="Calibri"/>
                <w:b/>
                <w:bCs/>
                <w:color w:val="000000"/>
                <w:sz w:val="20"/>
                <w:szCs w:val="20"/>
              </w:rPr>
              <w:t>Year 2</w:t>
            </w:r>
          </w:p>
        </w:tc>
        <w:tc>
          <w:tcPr>
            <w:tcW w:w="2266" w:type="dxa"/>
            <w:shd w:val="clear" w:color="auto" w:fill="BFBFBF" w:themeFill="background1" w:themeFillShade="BF"/>
            <w:noWrap/>
            <w:vAlign w:val="center"/>
            <w:hideMark/>
          </w:tcPr>
          <w:p w14:paraId="08286F36" w14:textId="41EB0CDD" w:rsidR="00BB012F" w:rsidRPr="001C68E6" w:rsidRDefault="00BB012F">
            <w:pPr>
              <w:spacing w:before="60" w:after="60"/>
              <w:jc w:val="center"/>
              <w:rPr>
                <w:rFonts w:ascii="Calibri" w:eastAsia="Times New Roman" w:hAnsi="Calibri" w:cs="Calibri"/>
                <w:b/>
                <w:bCs/>
                <w:color w:val="000000"/>
                <w:sz w:val="20"/>
                <w:szCs w:val="20"/>
              </w:rPr>
            </w:pPr>
            <w:r w:rsidRPr="001C68E6">
              <w:rPr>
                <w:rFonts w:ascii="Calibri" w:eastAsia="Times New Roman" w:hAnsi="Calibri" w:cs="Calibri"/>
                <w:b/>
                <w:bCs/>
                <w:color w:val="000000"/>
                <w:sz w:val="20"/>
                <w:szCs w:val="20"/>
              </w:rPr>
              <w:t>Year 3</w:t>
            </w:r>
          </w:p>
        </w:tc>
      </w:tr>
      <w:tr w:rsidR="004C4DB6" w:rsidRPr="00D111D2" w14:paraId="357C0392" w14:textId="77777777" w:rsidTr="00750A78">
        <w:trPr>
          <w:trHeight w:val="300"/>
        </w:trPr>
        <w:tc>
          <w:tcPr>
            <w:tcW w:w="9185" w:type="dxa"/>
            <w:gridSpan w:val="4"/>
            <w:shd w:val="clear" w:color="auto" w:fill="auto"/>
            <w:noWrap/>
            <w:vAlign w:val="center"/>
          </w:tcPr>
          <w:p w14:paraId="6A5AB91A" w14:textId="3C032AE4" w:rsidR="004C4DB6" w:rsidRPr="00780271" w:rsidRDefault="00780271" w:rsidP="00780271">
            <w:pPr>
              <w:spacing w:before="60" w:after="60"/>
              <w:rPr>
                <w:rFonts w:ascii="Calibri" w:hAnsi="Calibri" w:cs="Calibri"/>
                <w:b/>
                <w:bCs/>
                <w:color w:val="000000"/>
                <w:sz w:val="20"/>
                <w:szCs w:val="20"/>
              </w:rPr>
            </w:pPr>
            <w:r w:rsidRPr="00780271">
              <w:rPr>
                <w:rFonts w:ascii="Calibri" w:hAnsi="Calibri" w:cs="Calibri"/>
                <w:b/>
                <w:bCs/>
                <w:color w:val="000000"/>
                <w:sz w:val="20"/>
                <w:szCs w:val="20"/>
              </w:rPr>
              <w:t>Galcanezumab</w:t>
            </w:r>
            <w:r w:rsidR="000F5CE4">
              <w:rPr>
                <w:rFonts w:ascii="Calibri" w:hAnsi="Calibri" w:cs="Calibri"/>
                <w:b/>
                <w:bCs/>
                <w:color w:val="000000"/>
                <w:sz w:val="20"/>
                <w:szCs w:val="20"/>
                <w:vertAlign w:val="superscript"/>
              </w:rPr>
              <w:t>a</w:t>
            </w:r>
          </w:p>
        </w:tc>
      </w:tr>
      <w:tr w:rsidR="00E95195" w:rsidRPr="00D111D2" w14:paraId="1D1B8603" w14:textId="77777777" w:rsidTr="00750A78">
        <w:trPr>
          <w:trHeight w:val="300"/>
        </w:trPr>
        <w:tc>
          <w:tcPr>
            <w:tcW w:w="2388" w:type="dxa"/>
            <w:shd w:val="clear" w:color="auto" w:fill="auto"/>
            <w:noWrap/>
            <w:vAlign w:val="center"/>
          </w:tcPr>
          <w:p w14:paraId="385C12E2" w14:textId="30A46F7B" w:rsidR="00E95195" w:rsidRPr="001C68E6" w:rsidRDefault="00E95195" w:rsidP="00E95195">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Incident patients</w:t>
            </w:r>
          </w:p>
        </w:tc>
        <w:tc>
          <w:tcPr>
            <w:tcW w:w="2266" w:type="dxa"/>
            <w:shd w:val="clear" w:color="auto" w:fill="auto"/>
            <w:noWrap/>
          </w:tcPr>
          <w:p w14:paraId="3F4D3F3E" w14:textId="5A313643" w:rsidR="00E95195" w:rsidRPr="00E95195" w:rsidRDefault="00E95195" w:rsidP="00E95195">
            <w:pPr>
              <w:spacing w:before="60" w:after="60"/>
              <w:jc w:val="center"/>
              <w:rPr>
                <w:rFonts w:ascii="Calibri" w:hAnsi="Calibri" w:cs="Calibri"/>
                <w:color w:val="000000"/>
                <w:sz w:val="20"/>
                <w:szCs w:val="20"/>
              </w:rPr>
            </w:pPr>
            <w:r w:rsidRPr="00E95195">
              <w:rPr>
                <w:sz w:val="20"/>
                <w:szCs w:val="20"/>
              </w:rPr>
              <w:t>9</w:t>
            </w:r>
            <w:r w:rsidR="007F528A">
              <w:rPr>
                <w:sz w:val="20"/>
                <w:szCs w:val="20"/>
              </w:rPr>
              <w:t>,</w:t>
            </w:r>
            <w:r w:rsidRPr="00E95195">
              <w:rPr>
                <w:sz w:val="20"/>
                <w:szCs w:val="20"/>
              </w:rPr>
              <w:t>759</w:t>
            </w:r>
          </w:p>
        </w:tc>
        <w:tc>
          <w:tcPr>
            <w:tcW w:w="2265" w:type="dxa"/>
            <w:shd w:val="clear" w:color="auto" w:fill="auto"/>
            <w:noWrap/>
          </w:tcPr>
          <w:p w14:paraId="118010E2" w14:textId="2CFB9C1B" w:rsidR="00E95195" w:rsidRPr="00E95195" w:rsidRDefault="00E95195" w:rsidP="00E95195">
            <w:pPr>
              <w:spacing w:before="60" w:after="60"/>
              <w:jc w:val="center"/>
              <w:rPr>
                <w:rFonts w:ascii="Calibri" w:hAnsi="Calibri" w:cs="Calibri"/>
                <w:color w:val="000000"/>
                <w:sz w:val="20"/>
                <w:szCs w:val="20"/>
              </w:rPr>
            </w:pPr>
            <w:r w:rsidRPr="00E95195">
              <w:rPr>
                <w:sz w:val="20"/>
                <w:szCs w:val="20"/>
              </w:rPr>
              <w:t>4</w:t>
            </w:r>
            <w:r w:rsidR="007F528A">
              <w:rPr>
                <w:sz w:val="20"/>
                <w:szCs w:val="20"/>
              </w:rPr>
              <w:t>,</w:t>
            </w:r>
            <w:r w:rsidRPr="00E95195">
              <w:rPr>
                <w:sz w:val="20"/>
                <w:szCs w:val="20"/>
              </w:rPr>
              <w:t>056</w:t>
            </w:r>
          </w:p>
        </w:tc>
        <w:tc>
          <w:tcPr>
            <w:tcW w:w="2266" w:type="dxa"/>
            <w:shd w:val="clear" w:color="auto" w:fill="auto"/>
            <w:noWrap/>
          </w:tcPr>
          <w:p w14:paraId="79145C08" w14:textId="4BA083A3" w:rsidR="00E95195" w:rsidRPr="00E95195" w:rsidRDefault="00E95195" w:rsidP="00E95195">
            <w:pPr>
              <w:spacing w:before="60" w:after="60"/>
              <w:jc w:val="center"/>
              <w:rPr>
                <w:rFonts w:ascii="Calibri" w:hAnsi="Calibri" w:cs="Calibri"/>
                <w:color w:val="000000"/>
                <w:sz w:val="20"/>
                <w:szCs w:val="20"/>
              </w:rPr>
            </w:pPr>
            <w:r w:rsidRPr="00E95195">
              <w:rPr>
                <w:sz w:val="20"/>
                <w:szCs w:val="20"/>
              </w:rPr>
              <w:t>2</w:t>
            </w:r>
            <w:r w:rsidR="007F528A">
              <w:rPr>
                <w:sz w:val="20"/>
                <w:szCs w:val="20"/>
              </w:rPr>
              <w:t>,</w:t>
            </w:r>
            <w:r w:rsidRPr="00E95195">
              <w:rPr>
                <w:sz w:val="20"/>
                <w:szCs w:val="20"/>
              </w:rPr>
              <w:t>035</w:t>
            </w:r>
          </w:p>
        </w:tc>
      </w:tr>
      <w:tr w:rsidR="00E95195" w:rsidRPr="00D111D2" w14:paraId="55FED2EA" w14:textId="77777777" w:rsidTr="00750A78">
        <w:trPr>
          <w:trHeight w:val="300"/>
        </w:trPr>
        <w:tc>
          <w:tcPr>
            <w:tcW w:w="2388" w:type="dxa"/>
            <w:shd w:val="clear" w:color="auto" w:fill="auto"/>
            <w:noWrap/>
            <w:vAlign w:val="center"/>
          </w:tcPr>
          <w:p w14:paraId="14271AA0" w14:textId="2F559EB5" w:rsidR="00E95195" w:rsidRPr="001C68E6" w:rsidRDefault="00E95195" w:rsidP="00E95195">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Prevalent patients</w:t>
            </w:r>
          </w:p>
        </w:tc>
        <w:tc>
          <w:tcPr>
            <w:tcW w:w="2266" w:type="dxa"/>
            <w:shd w:val="clear" w:color="auto" w:fill="auto"/>
            <w:noWrap/>
          </w:tcPr>
          <w:p w14:paraId="3B351D21" w14:textId="67E6D729" w:rsidR="00E95195" w:rsidRPr="00E95195" w:rsidRDefault="00E95195" w:rsidP="00E95195">
            <w:pPr>
              <w:spacing w:before="60" w:after="60"/>
              <w:jc w:val="center"/>
              <w:rPr>
                <w:rFonts w:ascii="Calibri" w:hAnsi="Calibri" w:cs="Calibri"/>
                <w:color w:val="000000"/>
                <w:sz w:val="20"/>
                <w:szCs w:val="20"/>
              </w:rPr>
            </w:pPr>
            <w:r w:rsidRPr="00E95195">
              <w:rPr>
                <w:sz w:val="20"/>
                <w:szCs w:val="20"/>
              </w:rPr>
              <w:t>9</w:t>
            </w:r>
            <w:r w:rsidR="007F528A">
              <w:rPr>
                <w:sz w:val="20"/>
                <w:szCs w:val="20"/>
              </w:rPr>
              <w:t>,</w:t>
            </w:r>
            <w:r w:rsidRPr="00E95195">
              <w:rPr>
                <w:sz w:val="20"/>
                <w:szCs w:val="20"/>
              </w:rPr>
              <w:t>759</w:t>
            </w:r>
          </w:p>
        </w:tc>
        <w:tc>
          <w:tcPr>
            <w:tcW w:w="2265" w:type="dxa"/>
            <w:shd w:val="clear" w:color="auto" w:fill="auto"/>
            <w:noWrap/>
          </w:tcPr>
          <w:p w14:paraId="7FAB4CE2" w14:textId="1DD91CA8" w:rsidR="00E95195" w:rsidRPr="00E95195" w:rsidRDefault="00E95195" w:rsidP="00E95195">
            <w:pPr>
              <w:spacing w:before="60" w:after="60"/>
              <w:jc w:val="center"/>
              <w:rPr>
                <w:rFonts w:ascii="Calibri" w:hAnsi="Calibri" w:cs="Calibri"/>
                <w:color w:val="000000"/>
                <w:sz w:val="20"/>
                <w:szCs w:val="20"/>
              </w:rPr>
            </w:pPr>
            <w:r w:rsidRPr="00E95195">
              <w:rPr>
                <w:sz w:val="20"/>
                <w:szCs w:val="20"/>
              </w:rPr>
              <w:t>10</w:t>
            </w:r>
            <w:r w:rsidR="007F528A">
              <w:rPr>
                <w:sz w:val="20"/>
                <w:szCs w:val="20"/>
              </w:rPr>
              <w:t>,</w:t>
            </w:r>
            <w:r w:rsidRPr="00E95195">
              <w:rPr>
                <w:sz w:val="20"/>
                <w:szCs w:val="20"/>
              </w:rPr>
              <w:t>521</w:t>
            </w:r>
          </w:p>
        </w:tc>
        <w:tc>
          <w:tcPr>
            <w:tcW w:w="2266" w:type="dxa"/>
            <w:shd w:val="clear" w:color="auto" w:fill="auto"/>
            <w:noWrap/>
          </w:tcPr>
          <w:p w14:paraId="69B16865" w14:textId="2D2D2DED" w:rsidR="00E95195" w:rsidRPr="00E95195" w:rsidRDefault="00E95195" w:rsidP="00E95195">
            <w:pPr>
              <w:spacing w:before="60" w:after="60"/>
              <w:jc w:val="center"/>
              <w:rPr>
                <w:rFonts w:ascii="Calibri" w:hAnsi="Calibri" w:cs="Calibri"/>
                <w:color w:val="000000"/>
                <w:sz w:val="20"/>
                <w:szCs w:val="20"/>
              </w:rPr>
            </w:pPr>
            <w:r w:rsidRPr="00E95195">
              <w:rPr>
                <w:sz w:val="20"/>
                <w:szCs w:val="20"/>
              </w:rPr>
              <w:t>9</w:t>
            </w:r>
            <w:r w:rsidR="007F528A">
              <w:rPr>
                <w:sz w:val="20"/>
                <w:szCs w:val="20"/>
              </w:rPr>
              <w:t>,</w:t>
            </w:r>
            <w:r w:rsidRPr="00E95195">
              <w:rPr>
                <w:sz w:val="20"/>
                <w:szCs w:val="20"/>
              </w:rPr>
              <w:t>139</w:t>
            </w:r>
          </w:p>
        </w:tc>
      </w:tr>
      <w:tr w:rsidR="00E95195" w:rsidRPr="00D111D2" w14:paraId="6D1AF5A9" w14:textId="77777777" w:rsidTr="00750A78">
        <w:trPr>
          <w:trHeight w:val="300"/>
        </w:trPr>
        <w:tc>
          <w:tcPr>
            <w:tcW w:w="2388" w:type="dxa"/>
            <w:shd w:val="clear" w:color="auto" w:fill="auto"/>
            <w:noWrap/>
            <w:vAlign w:val="center"/>
          </w:tcPr>
          <w:p w14:paraId="1AE47365" w14:textId="02B65FDC" w:rsidR="00E95195" w:rsidRPr="001C68E6" w:rsidRDefault="00E95195" w:rsidP="00E95195">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Total scripts</w:t>
            </w:r>
            <w:r>
              <w:rPr>
                <w:rFonts w:ascii="Calibri" w:eastAsia="Times New Roman" w:hAnsi="Calibri" w:cs="Calibri"/>
                <w:color w:val="000000"/>
                <w:sz w:val="20"/>
                <w:szCs w:val="20"/>
              </w:rPr>
              <w:t xml:space="preserve"> supplied</w:t>
            </w:r>
          </w:p>
        </w:tc>
        <w:tc>
          <w:tcPr>
            <w:tcW w:w="2266" w:type="dxa"/>
            <w:shd w:val="clear" w:color="auto" w:fill="auto"/>
            <w:noWrap/>
          </w:tcPr>
          <w:p w14:paraId="492BA329" w14:textId="3947AF38" w:rsidR="00E95195" w:rsidRPr="00E95195" w:rsidRDefault="00E95195" w:rsidP="00E95195">
            <w:pPr>
              <w:spacing w:before="60" w:after="60"/>
              <w:jc w:val="center"/>
              <w:rPr>
                <w:rFonts w:ascii="Calibri" w:hAnsi="Calibri" w:cs="Calibri"/>
                <w:color w:val="000000"/>
                <w:sz w:val="20"/>
                <w:szCs w:val="20"/>
              </w:rPr>
            </w:pPr>
            <w:r w:rsidRPr="00E95195">
              <w:rPr>
                <w:sz w:val="20"/>
                <w:szCs w:val="20"/>
              </w:rPr>
              <w:t>56</w:t>
            </w:r>
            <w:r w:rsidR="007F528A">
              <w:rPr>
                <w:sz w:val="20"/>
                <w:szCs w:val="20"/>
              </w:rPr>
              <w:t>,</w:t>
            </w:r>
            <w:r w:rsidRPr="00E95195">
              <w:rPr>
                <w:sz w:val="20"/>
                <w:szCs w:val="20"/>
              </w:rPr>
              <w:t>185</w:t>
            </w:r>
          </w:p>
        </w:tc>
        <w:tc>
          <w:tcPr>
            <w:tcW w:w="2265" w:type="dxa"/>
            <w:shd w:val="clear" w:color="auto" w:fill="auto"/>
            <w:noWrap/>
          </w:tcPr>
          <w:p w14:paraId="2A1F41F3" w14:textId="0E19D42F" w:rsidR="00E95195" w:rsidRPr="00E95195" w:rsidRDefault="00E95195" w:rsidP="00E95195">
            <w:pPr>
              <w:spacing w:before="60" w:after="60"/>
              <w:jc w:val="center"/>
              <w:rPr>
                <w:rFonts w:ascii="Calibri" w:hAnsi="Calibri" w:cs="Calibri"/>
                <w:color w:val="000000"/>
                <w:sz w:val="20"/>
                <w:szCs w:val="20"/>
              </w:rPr>
            </w:pPr>
            <w:r w:rsidRPr="00E95195">
              <w:rPr>
                <w:sz w:val="20"/>
                <w:szCs w:val="20"/>
              </w:rPr>
              <w:t>77</w:t>
            </w:r>
            <w:r w:rsidR="007F528A">
              <w:rPr>
                <w:sz w:val="20"/>
                <w:szCs w:val="20"/>
              </w:rPr>
              <w:t>,</w:t>
            </w:r>
            <w:r w:rsidRPr="00E95195">
              <w:rPr>
                <w:sz w:val="20"/>
                <w:szCs w:val="20"/>
              </w:rPr>
              <w:t>294</w:t>
            </w:r>
          </w:p>
        </w:tc>
        <w:tc>
          <w:tcPr>
            <w:tcW w:w="2266" w:type="dxa"/>
            <w:shd w:val="clear" w:color="auto" w:fill="auto"/>
            <w:noWrap/>
          </w:tcPr>
          <w:p w14:paraId="0C31C9E4" w14:textId="0FEDC494" w:rsidR="00E95195" w:rsidRPr="00E95195" w:rsidRDefault="00E95195" w:rsidP="00E95195">
            <w:pPr>
              <w:spacing w:before="60" w:after="60"/>
              <w:jc w:val="center"/>
              <w:rPr>
                <w:rFonts w:ascii="Calibri" w:hAnsi="Calibri" w:cs="Calibri"/>
                <w:color w:val="000000"/>
                <w:sz w:val="20"/>
                <w:szCs w:val="20"/>
              </w:rPr>
            </w:pPr>
            <w:r w:rsidRPr="00E95195">
              <w:rPr>
                <w:sz w:val="20"/>
                <w:szCs w:val="20"/>
              </w:rPr>
              <w:t>50</w:t>
            </w:r>
            <w:r w:rsidR="007F528A">
              <w:rPr>
                <w:sz w:val="20"/>
                <w:szCs w:val="20"/>
              </w:rPr>
              <w:t>,</w:t>
            </w:r>
            <w:r w:rsidRPr="00E95195">
              <w:rPr>
                <w:sz w:val="20"/>
                <w:szCs w:val="20"/>
              </w:rPr>
              <w:t>293</w:t>
            </w:r>
          </w:p>
        </w:tc>
      </w:tr>
      <w:tr w:rsidR="000F5CE4" w:rsidRPr="00D111D2" w14:paraId="5AADF5FC" w14:textId="77777777">
        <w:trPr>
          <w:trHeight w:val="300"/>
        </w:trPr>
        <w:tc>
          <w:tcPr>
            <w:tcW w:w="9185" w:type="dxa"/>
            <w:gridSpan w:val="4"/>
            <w:shd w:val="clear" w:color="auto" w:fill="auto"/>
            <w:noWrap/>
            <w:vAlign w:val="center"/>
          </w:tcPr>
          <w:p w14:paraId="70D9480C" w14:textId="4B7948DE" w:rsidR="000F5CE4" w:rsidRPr="00E95195" w:rsidRDefault="000F5CE4" w:rsidP="000F5CE4">
            <w:pPr>
              <w:spacing w:before="60" w:after="60"/>
              <w:rPr>
                <w:sz w:val="20"/>
                <w:szCs w:val="20"/>
              </w:rPr>
            </w:pPr>
            <w:r w:rsidRPr="00780271">
              <w:rPr>
                <w:rFonts w:ascii="Calibri" w:eastAsia="Times New Roman" w:hAnsi="Calibri" w:cs="Calibri"/>
                <w:b/>
                <w:bCs/>
                <w:color w:val="000000"/>
                <w:sz w:val="20"/>
                <w:szCs w:val="20"/>
              </w:rPr>
              <w:t>Fremanezumab</w:t>
            </w:r>
            <w:r>
              <w:rPr>
                <w:rFonts w:ascii="Calibri" w:eastAsia="Times New Roman" w:hAnsi="Calibri" w:cs="Calibri"/>
                <w:b/>
                <w:bCs/>
                <w:color w:val="000000"/>
                <w:sz w:val="20"/>
                <w:szCs w:val="20"/>
                <w:vertAlign w:val="superscript"/>
              </w:rPr>
              <w:t>b</w:t>
            </w:r>
          </w:p>
        </w:tc>
      </w:tr>
      <w:tr w:rsidR="000F5CE4" w:rsidRPr="00D111D2" w14:paraId="5C12DCB6" w14:textId="77777777" w:rsidTr="00750A78">
        <w:trPr>
          <w:trHeight w:val="300"/>
        </w:trPr>
        <w:tc>
          <w:tcPr>
            <w:tcW w:w="2388" w:type="dxa"/>
            <w:shd w:val="clear" w:color="auto" w:fill="auto"/>
            <w:noWrap/>
            <w:vAlign w:val="center"/>
          </w:tcPr>
          <w:p w14:paraId="7866BFE9" w14:textId="0FF36B2A" w:rsidR="000F5CE4" w:rsidRPr="001C68E6" w:rsidRDefault="000F5CE4" w:rsidP="000F5CE4">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Incident patients</w:t>
            </w:r>
          </w:p>
        </w:tc>
        <w:tc>
          <w:tcPr>
            <w:tcW w:w="2266" w:type="dxa"/>
            <w:shd w:val="clear" w:color="auto" w:fill="auto"/>
            <w:noWrap/>
          </w:tcPr>
          <w:p w14:paraId="18DD3C17" w14:textId="0862E561" w:rsidR="000F5CE4" w:rsidRPr="00E95195" w:rsidRDefault="000F5CE4" w:rsidP="000F5CE4">
            <w:pPr>
              <w:spacing w:before="60" w:after="60"/>
              <w:jc w:val="center"/>
              <w:rPr>
                <w:sz w:val="20"/>
                <w:szCs w:val="20"/>
              </w:rPr>
            </w:pPr>
            <w:r w:rsidRPr="001E14A7">
              <w:rPr>
                <w:sz w:val="20"/>
                <w:szCs w:val="20"/>
              </w:rPr>
              <w:t>6</w:t>
            </w:r>
            <w:r>
              <w:rPr>
                <w:sz w:val="20"/>
                <w:szCs w:val="20"/>
              </w:rPr>
              <w:t>,</w:t>
            </w:r>
            <w:r w:rsidRPr="001E14A7">
              <w:rPr>
                <w:sz w:val="20"/>
                <w:szCs w:val="20"/>
              </w:rPr>
              <w:t>189</w:t>
            </w:r>
          </w:p>
        </w:tc>
        <w:tc>
          <w:tcPr>
            <w:tcW w:w="2265" w:type="dxa"/>
            <w:shd w:val="clear" w:color="auto" w:fill="auto"/>
            <w:noWrap/>
          </w:tcPr>
          <w:p w14:paraId="7A570E4D" w14:textId="550679C7" w:rsidR="000F5CE4" w:rsidRPr="00E95195" w:rsidRDefault="000F5CE4" w:rsidP="000F5CE4">
            <w:pPr>
              <w:spacing w:before="60" w:after="60"/>
              <w:jc w:val="center"/>
              <w:rPr>
                <w:sz w:val="20"/>
                <w:szCs w:val="20"/>
              </w:rPr>
            </w:pPr>
            <w:r w:rsidRPr="001E14A7">
              <w:rPr>
                <w:sz w:val="20"/>
                <w:szCs w:val="20"/>
              </w:rPr>
              <w:t>6</w:t>
            </w:r>
            <w:r>
              <w:rPr>
                <w:sz w:val="20"/>
                <w:szCs w:val="20"/>
              </w:rPr>
              <w:t>,</w:t>
            </w:r>
            <w:r w:rsidRPr="001E14A7">
              <w:rPr>
                <w:sz w:val="20"/>
                <w:szCs w:val="20"/>
              </w:rPr>
              <w:t>746</w:t>
            </w:r>
          </w:p>
        </w:tc>
        <w:tc>
          <w:tcPr>
            <w:tcW w:w="2266" w:type="dxa"/>
            <w:shd w:val="clear" w:color="auto" w:fill="auto"/>
            <w:noWrap/>
          </w:tcPr>
          <w:p w14:paraId="78CC98E7" w14:textId="747AA254" w:rsidR="000F5CE4" w:rsidRPr="00E95195" w:rsidRDefault="000F5CE4" w:rsidP="000F5CE4">
            <w:pPr>
              <w:spacing w:before="60" w:after="60"/>
              <w:jc w:val="center"/>
              <w:rPr>
                <w:sz w:val="20"/>
                <w:szCs w:val="20"/>
              </w:rPr>
            </w:pPr>
            <w:r w:rsidRPr="001E14A7">
              <w:rPr>
                <w:sz w:val="20"/>
                <w:szCs w:val="20"/>
              </w:rPr>
              <w:t>8</w:t>
            </w:r>
            <w:r>
              <w:rPr>
                <w:sz w:val="20"/>
                <w:szCs w:val="20"/>
              </w:rPr>
              <w:t>,</w:t>
            </w:r>
            <w:r w:rsidRPr="001E14A7">
              <w:rPr>
                <w:sz w:val="20"/>
                <w:szCs w:val="20"/>
              </w:rPr>
              <w:t>226</w:t>
            </w:r>
          </w:p>
        </w:tc>
      </w:tr>
      <w:tr w:rsidR="000F5CE4" w:rsidRPr="00D111D2" w14:paraId="0704644F" w14:textId="77777777">
        <w:trPr>
          <w:trHeight w:val="300"/>
        </w:trPr>
        <w:tc>
          <w:tcPr>
            <w:tcW w:w="2388" w:type="dxa"/>
            <w:shd w:val="clear" w:color="auto" w:fill="auto"/>
            <w:noWrap/>
            <w:vAlign w:val="center"/>
          </w:tcPr>
          <w:p w14:paraId="2FA646C2" w14:textId="1FB264F5" w:rsidR="000F5CE4" w:rsidRPr="001C68E6" w:rsidRDefault="000F5CE4" w:rsidP="000F5CE4">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Prevalent patients</w:t>
            </w:r>
          </w:p>
        </w:tc>
        <w:tc>
          <w:tcPr>
            <w:tcW w:w="2266" w:type="dxa"/>
            <w:shd w:val="clear" w:color="auto" w:fill="auto"/>
            <w:noWrap/>
            <w:vAlign w:val="bottom"/>
          </w:tcPr>
          <w:p w14:paraId="18F54D6E" w14:textId="19D7C8F9" w:rsidR="000F5CE4" w:rsidRPr="00E95195" w:rsidRDefault="000F5CE4" w:rsidP="000F5CE4">
            <w:pPr>
              <w:spacing w:before="60" w:after="60"/>
              <w:jc w:val="center"/>
              <w:rPr>
                <w:sz w:val="20"/>
                <w:szCs w:val="20"/>
              </w:rPr>
            </w:pPr>
            <w:r w:rsidRPr="001E14A7">
              <w:rPr>
                <w:rFonts w:ascii="Calibri" w:hAnsi="Calibri" w:cs="Calibri"/>
                <w:color w:val="000000"/>
                <w:sz w:val="20"/>
                <w:szCs w:val="20"/>
              </w:rPr>
              <w:t>6</w:t>
            </w:r>
            <w:r>
              <w:rPr>
                <w:rFonts w:ascii="Calibri" w:hAnsi="Calibri" w:cs="Calibri"/>
                <w:color w:val="000000"/>
                <w:sz w:val="20"/>
                <w:szCs w:val="20"/>
              </w:rPr>
              <w:t>,</w:t>
            </w:r>
            <w:r w:rsidRPr="001E14A7">
              <w:rPr>
                <w:rFonts w:ascii="Calibri" w:hAnsi="Calibri" w:cs="Calibri"/>
                <w:color w:val="000000"/>
                <w:sz w:val="20"/>
                <w:szCs w:val="20"/>
              </w:rPr>
              <w:t>189</w:t>
            </w:r>
          </w:p>
        </w:tc>
        <w:tc>
          <w:tcPr>
            <w:tcW w:w="2265" w:type="dxa"/>
            <w:shd w:val="clear" w:color="auto" w:fill="auto"/>
            <w:noWrap/>
            <w:vAlign w:val="bottom"/>
          </w:tcPr>
          <w:p w14:paraId="15A83D58" w14:textId="0645B441" w:rsidR="000F5CE4" w:rsidRPr="00E95195" w:rsidRDefault="000F5CE4" w:rsidP="000F5CE4">
            <w:pPr>
              <w:spacing w:before="60" w:after="60"/>
              <w:jc w:val="center"/>
              <w:rPr>
                <w:sz w:val="20"/>
                <w:szCs w:val="20"/>
              </w:rPr>
            </w:pPr>
            <w:r w:rsidRPr="001E14A7">
              <w:rPr>
                <w:rFonts w:ascii="Calibri" w:hAnsi="Calibri" w:cs="Calibri"/>
                <w:color w:val="000000"/>
                <w:sz w:val="20"/>
                <w:szCs w:val="20"/>
              </w:rPr>
              <w:t>10</w:t>
            </w:r>
            <w:r>
              <w:rPr>
                <w:rFonts w:ascii="Calibri" w:hAnsi="Calibri" w:cs="Calibri"/>
                <w:color w:val="000000"/>
                <w:sz w:val="20"/>
                <w:szCs w:val="20"/>
              </w:rPr>
              <w:t>,</w:t>
            </w:r>
            <w:r w:rsidRPr="001E14A7">
              <w:rPr>
                <w:rFonts w:ascii="Calibri" w:hAnsi="Calibri" w:cs="Calibri"/>
                <w:color w:val="000000"/>
                <w:sz w:val="20"/>
                <w:szCs w:val="20"/>
              </w:rPr>
              <w:t>997</w:t>
            </w:r>
          </w:p>
        </w:tc>
        <w:tc>
          <w:tcPr>
            <w:tcW w:w="2266" w:type="dxa"/>
            <w:shd w:val="clear" w:color="auto" w:fill="auto"/>
            <w:noWrap/>
            <w:vAlign w:val="bottom"/>
          </w:tcPr>
          <w:p w14:paraId="72461E46" w14:textId="3B20D324" w:rsidR="000F5CE4" w:rsidRPr="00E95195" w:rsidRDefault="000F5CE4" w:rsidP="000F5CE4">
            <w:pPr>
              <w:spacing w:before="60" w:after="60"/>
              <w:jc w:val="center"/>
              <w:rPr>
                <w:sz w:val="20"/>
                <w:szCs w:val="20"/>
              </w:rPr>
            </w:pPr>
            <w:r w:rsidRPr="001E14A7">
              <w:rPr>
                <w:rFonts w:ascii="Calibri" w:hAnsi="Calibri" w:cs="Calibri"/>
                <w:color w:val="000000"/>
                <w:sz w:val="20"/>
                <w:szCs w:val="20"/>
              </w:rPr>
              <w:t>16</w:t>
            </w:r>
            <w:r>
              <w:rPr>
                <w:rFonts w:ascii="Calibri" w:hAnsi="Calibri" w:cs="Calibri"/>
                <w:color w:val="000000"/>
                <w:sz w:val="20"/>
                <w:szCs w:val="20"/>
              </w:rPr>
              <w:t>,</w:t>
            </w:r>
            <w:r w:rsidRPr="001E14A7">
              <w:rPr>
                <w:rFonts w:ascii="Calibri" w:hAnsi="Calibri" w:cs="Calibri"/>
                <w:color w:val="000000"/>
                <w:sz w:val="20"/>
                <w:szCs w:val="20"/>
              </w:rPr>
              <w:t>040</w:t>
            </w:r>
          </w:p>
        </w:tc>
      </w:tr>
      <w:tr w:rsidR="000F5CE4" w:rsidRPr="00D111D2" w14:paraId="71463800" w14:textId="77777777">
        <w:trPr>
          <w:trHeight w:val="300"/>
        </w:trPr>
        <w:tc>
          <w:tcPr>
            <w:tcW w:w="2388" w:type="dxa"/>
            <w:shd w:val="clear" w:color="auto" w:fill="auto"/>
            <w:noWrap/>
            <w:vAlign w:val="center"/>
          </w:tcPr>
          <w:p w14:paraId="0999C449" w14:textId="7550E863" w:rsidR="000F5CE4" w:rsidRPr="001C68E6" w:rsidRDefault="000F5CE4" w:rsidP="000F5CE4">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Total scripts</w:t>
            </w:r>
            <w:r>
              <w:rPr>
                <w:rFonts w:ascii="Calibri" w:eastAsia="Times New Roman" w:hAnsi="Calibri" w:cs="Calibri"/>
                <w:color w:val="000000"/>
                <w:sz w:val="20"/>
                <w:szCs w:val="20"/>
              </w:rPr>
              <w:t xml:space="preserve"> supplied</w:t>
            </w:r>
          </w:p>
        </w:tc>
        <w:tc>
          <w:tcPr>
            <w:tcW w:w="2266" w:type="dxa"/>
            <w:shd w:val="clear" w:color="auto" w:fill="auto"/>
            <w:noWrap/>
            <w:vAlign w:val="bottom"/>
          </w:tcPr>
          <w:p w14:paraId="6B0BD6B8" w14:textId="3BF015C7" w:rsidR="000F5CE4" w:rsidRPr="00E95195" w:rsidRDefault="000F5CE4" w:rsidP="000F5CE4">
            <w:pPr>
              <w:spacing w:before="60" w:after="60"/>
              <w:jc w:val="center"/>
              <w:rPr>
                <w:sz w:val="20"/>
                <w:szCs w:val="20"/>
              </w:rPr>
            </w:pPr>
            <w:r w:rsidRPr="00653A25">
              <w:rPr>
                <w:rFonts w:ascii="Calibri" w:hAnsi="Calibri" w:cs="Calibri"/>
                <w:color w:val="000000"/>
                <w:sz w:val="20"/>
                <w:szCs w:val="20"/>
              </w:rPr>
              <w:t>34</w:t>
            </w:r>
            <w:r>
              <w:rPr>
                <w:rFonts w:ascii="Calibri" w:hAnsi="Calibri" w:cs="Calibri"/>
                <w:color w:val="000000"/>
                <w:sz w:val="20"/>
                <w:szCs w:val="20"/>
              </w:rPr>
              <w:t>,</w:t>
            </w:r>
            <w:r w:rsidRPr="00653A25">
              <w:rPr>
                <w:rFonts w:ascii="Calibri" w:hAnsi="Calibri" w:cs="Calibri"/>
                <w:color w:val="000000"/>
                <w:sz w:val="20"/>
                <w:szCs w:val="20"/>
              </w:rPr>
              <w:t>774</w:t>
            </w:r>
          </w:p>
        </w:tc>
        <w:tc>
          <w:tcPr>
            <w:tcW w:w="2265" w:type="dxa"/>
            <w:shd w:val="clear" w:color="auto" w:fill="auto"/>
            <w:noWrap/>
            <w:vAlign w:val="bottom"/>
          </w:tcPr>
          <w:p w14:paraId="40394582" w14:textId="048037DB" w:rsidR="000F5CE4" w:rsidRPr="00E95195" w:rsidRDefault="000F5CE4" w:rsidP="000F5CE4">
            <w:pPr>
              <w:spacing w:before="60" w:after="60"/>
              <w:jc w:val="center"/>
              <w:rPr>
                <w:sz w:val="20"/>
                <w:szCs w:val="20"/>
              </w:rPr>
            </w:pPr>
            <w:r w:rsidRPr="00653A25">
              <w:rPr>
                <w:rFonts w:ascii="Calibri" w:hAnsi="Calibri" w:cs="Calibri"/>
                <w:color w:val="000000"/>
                <w:sz w:val="20"/>
                <w:szCs w:val="20"/>
              </w:rPr>
              <w:t>70</w:t>
            </w:r>
            <w:r>
              <w:rPr>
                <w:rFonts w:ascii="Calibri" w:hAnsi="Calibri" w:cs="Calibri"/>
                <w:color w:val="000000"/>
                <w:sz w:val="20"/>
                <w:szCs w:val="20"/>
              </w:rPr>
              <w:t>,</w:t>
            </w:r>
            <w:r w:rsidRPr="00653A25">
              <w:rPr>
                <w:rFonts w:ascii="Calibri" w:hAnsi="Calibri" w:cs="Calibri"/>
                <w:color w:val="000000"/>
                <w:sz w:val="20"/>
                <w:szCs w:val="20"/>
              </w:rPr>
              <w:t>866</w:t>
            </w:r>
          </w:p>
        </w:tc>
        <w:tc>
          <w:tcPr>
            <w:tcW w:w="2266" w:type="dxa"/>
            <w:shd w:val="clear" w:color="auto" w:fill="auto"/>
            <w:noWrap/>
            <w:vAlign w:val="center"/>
          </w:tcPr>
          <w:p w14:paraId="702C5F05" w14:textId="77C3BD9E" w:rsidR="000F5CE4" w:rsidRPr="00E95195" w:rsidRDefault="000F5CE4" w:rsidP="000F5CE4">
            <w:pPr>
              <w:spacing w:before="60" w:after="60"/>
              <w:jc w:val="center"/>
              <w:rPr>
                <w:sz w:val="20"/>
                <w:szCs w:val="20"/>
              </w:rPr>
            </w:pPr>
            <w:r w:rsidRPr="00653A25">
              <w:rPr>
                <w:rFonts w:ascii="Calibri" w:hAnsi="Calibri" w:cs="Calibri"/>
                <w:color w:val="000000"/>
                <w:sz w:val="20"/>
                <w:szCs w:val="20"/>
              </w:rPr>
              <w:t>68</w:t>
            </w:r>
            <w:r>
              <w:rPr>
                <w:rFonts w:ascii="Calibri" w:hAnsi="Calibri" w:cs="Calibri"/>
                <w:color w:val="000000"/>
                <w:sz w:val="20"/>
                <w:szCs w:val="20"/>
              </w:rPr>
              <w:t>,</w:t>
            </w:r>
            <w:r w:rsidRPr="00653A25">
              <w:rPr>
                <w:rFonts w:ascii="Calibri" w:hAnsi="Calibri" w:cs="Calibri"/>
                <w:color w:val="000000"/>
                <w:sz w:val="20"/>
                <w:szCs w:val="20"/>
              </w:rPr>
              <w:t>990</w:t>
            </w:r>
          </w:p>
        </w:tc>
      </w:tr>
    </w:tbl>
    <w:p w14:paraId="1F7491A2" w14:textId="77777777" w:rsidR="00BB012F" w:rsidRPr="00945AEB" w:rsidRDefault="00BB012F" w:rsidP="00BB012F">
      <w:pPr>
        <w:spacing w:after="0"/>
        <w:rPr>
          <w:sz w:val="20"/>
          <w:szCs w:val="20"/>
        </w:rPr>
      </w:pPr>
      <w:r>
        <w:rPr>
          <w:sz w:val="20"/>
          <w:szCs w:val="20"/>
        </w:rPr>
        <w:t>Note:</w:t>
      </w:r>
    </w:p>
    <w:p w14:paraId="5915B27E" w14:textId="6A506050" w:rsidR="00207664" w:rsidRPr="000F5CE4" w:rsidRDefault="00BB012F" w:rsidP="00207664">
      <w:pPr>
        <w:spacing w:after="0"/>
        <w:rPr>
          <w:sz w:val="20"/>
          <w:szCs w:val="20"/>
          <w:vertAlign w:val="superscript"/>
        </w:rPr>
      </w:pPr>
      <w:r w:rsidRPr="00F94204">
        <w:rPr>
          <w:sz w:val="20"/>
          <w:szCs w:val="20"/>
          <w:vertAlign w:val="superscript"/>
        </w:rPr>
        <w:t>a</w:t>
      </w:r>
      <w:r w:rsidR="00B94780" w:rsidRPr="00B94780">
        <w:rPr>
          <w:sz w:val="20"/>
          <w:szCs w:val="20"/>
        </w:rPr>
        <w:t>The figures are presented in listing years (</w:t>
      </w:r>
      <w:r w:rsidR="00531DD2">
        <w:rPr>
          <w:sz w:val="20"/>
          <w:szCs w:val="20"/>
        </w:rPr>
        <w:t>June</w:t>
      </w:r>
      <w:r w:rsidR="00B94780" w:rsidRPr="00B94780">
        <w:rPr>
          <w:sz w:val="20"/>
          <w:szCs w:val="20"/>
        </w:rPr>
        <w:t xml:space="preserve"> to </w:t>
      </w:r>
      <w:r w:rsidR="00531DD2">
        <w:rPr>
          <w:sz w:val="20"/>
          <w:szCs w:val="20"/>
        </w:rPr>
        <w:t>May</w:t>
      </w:r>
      <w:r w:rsidR="00B94780" w:rsidRPr="00B94780">
        <w:rPr>
          <w:sz w:val="20"/>
          <w:szCs w:val="20"/>
        </w:rPr>
        <w:t xml:space="preserve">). Utilisation in year to date in year 3 from 1 </w:t>
      </w:r>
      <w:r w:rsidR="00531DD2">
        <w:rPr>
          <w:sz w:val="20"/>
          <w:szCs w:val="20"/>
        </w:rPr>
        <w:t>June</w:t>
      </w:r>
      <w:r w:rsidR="00B94780" w:rsidRPr="00B94780">
        <w:rPr>
          <w:sz w:val="20"/>
          <w:szCs w:val="20"/>
        </w:rPr>
        <w:t xml:space="preserve"> 202</w:t>
      </w:r>
      <w:r w:rsidR="00A12535">
        <w:rPr>
          <w:sz w:val="20"/>
          <w:szCs w:val="20"/>
        </w:rPr>
        <w:t>3</w:t>
      </w:r>
      <w:r w:rsidR="00B94780" w:rsidRPr="00B94780">
        <w:rPr>
          <w:sz w:val="20"/>
          <w:szCs w:val="20"/>
        </w:rPr>
        <w:t xml:space="preserve"> to 29 February 2024 based on date of supply.</w:t>
      </w:r>
    </w:p>
    <w:p w14:paraId="378A62BE" w14:textId="169AC390" w:rsidR="000F5CE4" w:rsidRPr="007E40DD" w:rsidRDefault="000F5CE4" w:rsidP="000F5CE4">
      <w:pPr>
        <w:spacing w:after="0"/>
        <w:rPr>
          <w:sz w:val="20"/>
          <w:szCs w:val="20"/>
          <w:vertAlign w:val="superscript"/>
        </w:rPr>
      </w:pPr>
      <w:r w:rsidRPr="002708DE">
        <w:rPr>
          <w:sz w:val="20"/>
          <w:szCs w:val="20"/>
          <w:vertAlign w:val="superscript"/>
        </w:rPr>
        <w:t>b</w:t>
      </w:r>
      <w:r w:rsidRPr="00F94204">
        <w:rPr>
          <w:sz w:val="20"/>
          <w:szCs w:val="20"/>
        </w:rPr>
        <w:t>The figures are presented in listing years (</w:t>
      </w:r>
      <w:r>
        <w:rPr>
          <w:sz w:val="20"/>
          <w:szCs w:val="20"/>
        </w:rPr>
        <w:t>August</w:t>
      </w:r>
      <w:r w:rsidRPr="00F94204">
        <w:rPr>
          <w:sz w:val="20"/>
          <w:szCs w:val="20"/>
        </w:rPr>
        <w:t xml:space="preserve"> to </w:t>
      </w:r>
      <w:r>
        <w:rPr>
          <w:sz w:val="20"/>
          <w:szCs w:val="20"/>
        </w:rPr>
        <w:t>July</w:t>
      </w:r>
      <w:r w:rsidRPr="00F94204">
        <w:rPr>
          <w:sz w:val="20"/>
          <w:szCs w:val="20"/>
        </w:rPr>
        <w:t>).</w:t>
      </w:r>
      <w:r>
        <w:rPr>
          <w:sz w:val="20"/>
          <w:szCs w:val="20"/>
          <w:vertAlign w:val="superscript"/>
        </w:rPr>
        <w:t xml:space="preserve"> </w:t>
      </w:r>
      <w:r w:rsidRPr="00721FB9">
        <w:rPr>
          <w:sz w:val="20"/>
          <w:szCs w:val="20"/>
        </w:rPr>
        <w:t xml:space="preserve">Utilisation in year to date </w:t>
      </w:r>
      <w:r>
        <w:rPr>
          <w:sz w:val="20"/>
          <w:szCs w:val="20"/>
        </w:rPr>
        <w:t xml:space="preserve">in year 3 </w:t>
      </w:r>
      <w:r w:rsidRPr="00721FB9">
        <w:rPr>
          <w:sz w:val="20"/>
          <w:szCs w:val="20"/>
        </w:rPr>
        <w:t xml:space="preserve">from 1 </w:t>
      </w:r>
      <w:r>
        <w:rPr>
          <w:sz w:val="20"/>
          <w:szCs w:val="20"/>
        </w:rPr>
        <w:t>August</w:t>
      </w:r>
      <w:r w:rsidRPr="00721FB9">
        <w:rPr>
          <w:sz w:val="20"/>
          <w:szCs w:val="20"/>
        </w:rPr>
        <w:t xml:space="preserve"> 20</w:t>
      </w:r>
      <w:r>
        <w:rPr>
          <w:sz w:val="20"/>
          <w:szCs w:val="20"/>
        </w:rPr>
        <w:t>2</w:t>
      </w:r>
      <w:r w:rsidR="00A12535">
        <w:rPr>
          <w:sz w:val="20"/>
          <w:szCs w:val="20"/>
        </w:rPr>
        <w:t>3</w:t>
      </w:r>
      <w:r w:rsidRPr="00721FB9">
        <w:rPr>
          <w:sz w:val="20"/>
          <w:szCs w:val="20"/>
        </w:rPr>
        <w:t xml:space="preserve"> to </w:t>
      </w:r>
      <w:r>
        <w:rPr>
          <w:sz w:val="20"/>
          <w:szCs w:val="20"/>
        </w:rPr>
        <w:t>29 February 2024 based on date of supply</w:t>
      </w:r>
      <w:r w:rsidRPr="00721FB9">
        <w:rPr>
          <w:sz w:val="20"/>
          <w:szCs w:val="20"/>
        </w:rPr>
        <w:t>.</w:t>
      </w:r>
    </w:p>
    <w:p w14:paraId="06B73DCC" w14:textId="77777777" w:rsidR="007D2EE9" w:rsidRDefault="007D2EE9" w:rsidP="00A35800"/>
    <w:p w14:paraId="7DCD9F0D" w14:textId="77777777" w:rsidR="001F6CAC" w:rsidRDefault="001F6CAC" w:rsidP="00A35800"/>
    <w:p w14:paraId="6AEBBAE0" w14:textId="52A2C5BB" w:rsidR="002E7E64" w:rsidRDefault="002E7E64" w:rsidP="00A35800">
      <w:r>
        <w:rPr>
          <w:noProof/>
        </w:rPr>
        <w:lastRenderedPageBreak/>
        <w:drawing>
          <wp:inline distT="0" distB="0" distL="0" distR="0" wp14:anchorId="498882AE" wp14:editId="4C803713">
            <wp:extent cx="5581650" cy="3600450"/>
            <wp:effectExtent l="0" t="0" r="0" b="0"/>
            <wp:docPr id="3" name="Chart 3">
              <a:extLst xmlns:a="http://schemas.openxmlformats.org/drawingml/2006/main">
                <a:ext uri="{FF2B5EF4-FFF2-40B4-BE49-F238E27FC236}">
                  <a16:creationId xmlns:a16="http://schemas.microsoft.com/office/drawing/2014/main" id="{6E7EA005-5542-3FEC-57C4-56CE37D04F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44E683" w14:textId="6C4EFC2D" w:rsidR="00470BED" w:rsidRDefault="00470BED" w:rsidP="00470BED">
      <w:pPr>
        <w:spacing w:after="0"/>
        <w:rPr>
          <w:b/>
          <w:bCs/>
        </w:rPr>
      </w:pPr>
      <w:r w:rsidRPr="00CA4DD2">
        <w:rPr>
          <w:b/>
          <w:bCs/>
        </w:rPr>
        <w:t xml:space="preserve">Figure </w:t>
      </w:r>
      <w:r w:rsidR="0019329E">
        <w:rPr>
          <w:b/>
          <w:bCs/>
        </w:rPr>
        <w:t>2</w:t>
      </w:r>
      <w:r w:rsidRPr="00CA4DD2">
        <w:rPr>
          <w:b/>
          <w:bCs/>
        </w:rPr>
        <w:t>:</w:t>
      </w:r>
      <w:r>
        <w:rPr>
          <w:b/>
          <w:bCs/>
        </w:rPr>
        <w:t xml:space="preserve"> Number of treated prevalent patients and scripts by quarter for </w:t>
      </w:r>
      <w:r w:rsidR="000F5CE4">
        <w:rPr>
          <w:b/>
          <w:bCs/>
        </w:rPr>
        <w:t>g</w:t>
      </w:r>
      <w:r w:rsidR="000F5CE4" w:rsidRPr="00953FB6">
        <w:rPr>
          <w:b/>
          <w:bCs/>
        </w:rPr>
        <w:t>alcanezumab</w:t>
      </w:r>
      <w:r w:rsidR="000F5CE4">
        <w:rPr>
          <w:b/>
          <w:bCs/>
        </w:rPr>
        <w:t xml:space="preserve"> and </w:t>
      </w:r>
      <w:r w:rsidR="00050C8F">
        <w:rPr>
          <w:b/>
          <w:bCs/>
        </w:rPr>
        <w:t>f</w:t>
      </w:r>
      <w:r w:rsidR="00953FB6" w:rsidRPr="00953FB6">
        <w:rPr>
          <w:b/>
          <w:bCs/>
        </w:rPr>
        <w:t>remanezumab</w:t>
      </w:r>
    </w:p>
    <w:p w14:paraId="707B60FE" w14:textId="1942C343" w:rsidR="00470BED" w:rsidRPr="00750A78" w:rsidRDefault="00470BED" w:rsidP="003A271C">
      <w:pPr>
        <w:spacing w:after="0"/>
        <w:rPr>
          <w:sz w:val="20"/>
          <w:szCs w:val="20"/>
        </w:rPr>
      </w:pPr>
      <w:r w:rsidRPr="00750A78">
        <w:rPr>
          <w:sz w:val="20"/>
          <w:szCs w:val="20"/>
        </w:rPr>
        <w:t>Note:</w:t>
      </w:r>
    </w:p>
    <w:p w14:paraId="56F3F4DF" w14:textId="7BB64A1E" w:rsidR="00AB2982" w:rsidRDefault="003A271C" w:rsidP="006246C7">
      <w:pPr>
        <w:spacing w:after="0"/>
        <w:rPr>
          <w:sz w:val="20"/>
          <w:szCs w:val="20"/>
        </w:rPr>
      </w:pPr>
      <w:r w:rsidRPr="00750A78">
        <w:rPr>
          <w:sz w:val="20"/>
          <w:szCs w:val="20"/>
        </w:rPr>
        <w:t>Scripts (dotted line) are marked on the secondary axis.</w:t>
      </w:r>
    </w:p>
    <w:p w14:paraId="767AEF04" w14:textId="77777777" w:rsidR="006246C7" w:rsidRPr="006246C7" w:rsidRDefault="006246C7" w:rsidP="006246C7">
      <w:pPr>
        <w:spacing w:after="0"/>
        <w:rPr>
          <w:sz w:val="20"/>
          <w:szCs w:val="20"/>
        </w:rPr>
      </w:pPr>
    </w:p>
    <w:p w14:paraId="6D9A8122" w14:textId="680DB446" w:rsidR="00113D1B" w:rsidRDefault="00113D1B" w:rsidP="00A35800">
      <w:r>
        <w:t>Figure 2 shows that the number of scripts dispen</w:t>
      </w:r>
      <w:r w:rsidR="00B8396B">
        <w:t>s</w:t>
      </w:r>
      <w:r>
        <w:t>ed closely follows the pre</w:t>
      </w:r>
      <w:r w:rsidR="008E4185">
        <w:t>valent patient pool. The divergence seen for fremanezumab from the</w:t>
      </w:r>
      <w:r w:rsidR="004A2640">
        <w:t xml:space="preserve"> </w:t>
      </w:r>
      <w:r w:rsidR="006246C7">
        <w:t>fourth</w:t>
      </w:r>
      <w:r w:rsidR="004A2640">
        <w:t xml:space="preserve"> quarter of 2023 </w:t>
      </w:r>
      <w:r w:rsidR="00243453">
        <w:t xml:space="preserve">into the </w:t>
      </w:r>
      <w:r w:rsidR="006246C7">
        <w:t>first</w:t>
      </w:r>
      <w:r w:rsidR="00243453">
        <w:t xml:space="preserve"> quarter of 2024 </w:t>
      </w:r>
      <w:r w:rsidR="004A2640">
        <w:t xml:space="preserve">may have been the result </w:t>
      </w:r>
      <w:r w:rsidR="00243453">
        <w:t xml:space="preserve">of an increase in patient numbers due to the broadening of the restriction combined with a limit in the supply of </w:t>
      </w:r>
      <w:r w:rsidR="004A4847">
        <w:t>galcanezumab</w:t>
      </w:r>
      <w:r w:rsidR="00243453">
        <w:t xml:space="preserve"> during this period. The same divergence may not have occurred with galcanezumab possibly </w:t>
      </w:r>
      <w:proofErr w:type="gramStart"/>
      <w:r w:rsidR="00243453">
        <w:t>as a result of</w:t>
      </w:r>
      <w:proofErr w:type="gramEnd"/>
      <w:r w:rsidR="00243453">
        <w:t xml:space="preserve"> the lower patient numbers being adequately suppl</w:t>
      </w:r>
      <w:r w:rsidR="00991BFD">
        <w:t>i</w:t>
      </w:r>
      <w:r w:rsidR="00243453">
        <w:t>ed with the medication</w:t>
      </w:r>
      <w:r w:rsidR="006246C7">
        <w:t xml:space="preserve"> along with a proportion of patients substituting with fremanezumab or Botox when the supply of galcanezumab was limited over the same period.</w:t>
      </w:r>
    </w:p>
    <w:p w14:paraId="0839CA31" w14:textId="77777777" w:rsidR="004A2640" w:rsidRDefault="004A2640" w:rsidP="00A35800"/>
    <w:p w14:paraId="41E1BEB0" w14:textId="77777777" w:rsidR="004A2640" w:rsidRDefault="004A2640" w:rsidP="00A35800"/>
    <w:p w14:paraId="6FB80EB9" w14:textId="77777777" w:rsidR="004A2640" w:rsidRDefault="004A2640" w:rsidP="00A35800"/>
    <w:p w14:paraId="0CF52666" w14:textId="77777777" w:rsidR="004A2640" w:rsidRDefault="004A2640" w:rsidP="00A35800"/>
    <w:p w14:paraId="2116F6BC" w14:textId="77777777" w:rsidR="004A2640" w:rsidRDefault="004A2640" w:rsidP="00A35800"/>
    <w:p w14:paraId="0661ACE6" w14:textId="77777777" w:rsidR="004A2640" w:rsidRDefault="004A2640" w:rsidP="00A35800"/>
    <w:p w14:paraId="6D5A29DB" w14:textId="77777777" w:rsidR="004A2640" w:rsidRDefault="004A2640" w:rsidP="00A35800"/>
    <w:p w14:paraId="0B7F6169" w14:textId="77777777" w:rsidR="004A2640" w:rsidRDefault="004A2640" w:rsidP="00A35800"/>
    <w:p w14:paraId="09F9D349" w14:textId="7427B89F" w:rsidR="00736041" w:rsidRDefault="00736041" w:rsidP="00CF5E22">
      <w:pPr>
        <w:pStyle w:val="Heading3"/>
      </w:pPr>
      <w:r w:rsidRPr="005E22C2">
        <w:lastRenderedPageBreak/>
        <w:t>Utilisation by relevant sub-populations/regions</w:t>
      </w:r>
      <w:r w:rsidR="001B5D37" w:rsidRPr="005E22C2">
        <w:t xml:space="preserve"> or patient level analysis</w:t>
      </w:r>
    </w:p>
    <w:p w14:paraId="4442A74A" w14:textId="5817EF1D" w:rsidR="007F5927" w:rsidRDefault="00B15312" w:rsidP="007F5927">
      <w:r>
        <w:rPr>
          <w:noProof/>
        </w:rPr>
        <w:drawing>
          <wp:inline distT="0" distB="0" distL="0" distR="0" wp14:anchorId="6C6F3481" wp14:editId="561AAAD1">
            <wp:extent cx="5480685" cy="3103245"/>
            <wp:effectExtent l="0" t="0" r="5715" b="1905"/>
            <wp:docPr id="2121347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0685" cy="3103245"/>
                    </a:xfrm>
                    <a:prstGeom prst="rect">
                      <a:avLst/>
                    </a:prstGeom>
                    <a:noFill/>
                  </pic:spPr>
                </pic:pic>
              </a:graphicData>
            </a:graphic>
          </wp:inline>
        </w:drawing>
      </w:r>
    </w:p>
    <w:p w14:paraId="05F67378" w14:textId="4408ADAB" w:rsidR="003E7726" w:rsidRDefault="003E7726" w:rsidP="003E7726">
      <w:pPr>
        <w:spacing w:before="20"/>
        <w:rPr>
          <w:b/>
          <w:bCs/>
        </w:rPr>
      </w:pPr>
      <w:r>
        <w:rPr>
          <w:b/>
          <w:bCs/>
        </w:rPr>
        <w:t xml:space="preserve">Figure </w:t>
      </w:r>
      <w:r w:rsidR="0019329E">
        <w:rPr>
          <w:b/>
          <w:bCs/>
        </w:rPr>
        <w:t>3</w:t>
      </w:r>
      <w:r>
        <w:rPr>
          <w:b/>
          <w:bCs/>
        </w:rPr>
        <w:t xml:space="preserve">: Incident patients </w:t>
      </w:r>
      <w:r w:rsidR="00B60FAB">
        <w:rPr>
          <w:b/>
          <w:bCs/>
        </w:rPr>
        <w:t>of g</w:t>
      </w:r>
      <w:r w:rsidR="007D6DC2">
        <w:rPr>
          <w:b/>
          <w:bCs/>
        </w:rPr>
        <w:t xml:space="preserve">alcanezumab </w:t>
      </w:r>
      <w:r>
        <w:rPr>
          <w:b/>
          <w:bCs/>
        </w:rPr>
        <w:t>by gender and 5-year age group</w:t>
      </w:r>
    </w:p>
    <w:p w14:paraId="5AB865CF" w14:textId="1DBB5FA0" w:rsidR="003E7726" w:rsidRDefault="003E7726" w:rsidP="003E7726">
      <w:r w:rsidRPr="00F36395">
        <w:t xml:space="preserve">Figure </w:t>
      </w:r>
      <w:r w:rsidR="004A2640">
        <w:t>3</w:t>
      </w:r>
      <w:r w:rsidRPr="00F36395">
        <w:t xml:space="preserve"> provides a distribution of </w:t>
      </w:r>
      <w:r>
        <w:t>galcanezumab</w:t>
      </w:r>
      <w:r w:rsidRPr="00F36395">
        <w:t xml:space="preserve"> supply by age</w:t>
      </w:r>
      <w:r>
        <w:t xml:space="preserve"> and gender </w:t>
      </w:r>
      <w:r w:rsidRPr="00F36395">
        <w:t xml:space="preserve">from </w:t>
      </w:r>
      <w:r>
        <w:t>1 June 2021</w:t>
      </w:r>
      <w:r w:rsidRPr="00F36395">
        <w:t xml:space="preserve"> to </w:t>
      </w:r>
      <w:r>
        <w:t>29 February 2024.</w:t>
      </w:r>
    </w:p>
    <w:p w14:paraId="0B1D814F" w14:textId="661CB5C0" w:rsidR="003E7726" w:rsidRDefault="00B15312" w:rsidP="007F5927">
      <w:r>
        <w:rPr>
          <w:noProof/>
        </w:rPr>
        <w:drawing>
          <wp:inline distT="0" distB="0" distL="0" distR="0" wp14:anchorId="2FC29E97" wp14:editId="214EC65E">
            <wp:extent cx="5480685" cy="3035935"/>
            <wp:effectExtent l="0" t="0" r="5715" b="0"/>
            <wp:docPr id="922688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0685" cy="3035935"/>
                    </a:xfrm>
                    <a:prstGeom prst="rect">
                      <a:avLst/>
                    </a:prstGeom>
                    <a:noFill/>
                  </pic:spPr>
                </pic:pic>
              </a:graphicData>
            </a:graphic>
          </wp:inline>
        </w:drawing>
      </w:r>
    </w:p>
    <w:p w14:paraId="510FDE3D" w14:textId="140954C6" w:rsidR="00343C1F" w:rsidRDefault="00343C1F" w:rsidP="00343C1F">
      <w:pPr>
        <w:spacing w:before="20"/>
        <w:rPr>
          <w:b/>
          <w:bCs/>
        </w:rPr>
      </w:pPr>
      <w:r>
        <w:rPr>
          <w:b/>
          <w:bCs/>
        </w:rPr>
        <w:t xml:space="preserve">Figure </w:t>
      </w:r>
      <w:r w:rsidR="0019329E">
        <w:rPr>
          <w:b/>
          <w:bCs/>
        </w:rPr>
        <w:t>4</w:t>
      </w:r>
      <w:r>
        <w:rPr>
          <w:b/>
          <w:bCs/>
        </w:rPr>
        <w:t xml:space="preserve">: Incident patients </w:t>
      </w:r>
      <w:r w:rsidR="007D6DC2">
        <w:rPr>
          <w:b/>
          <w:bCs/>
        </w:rPr>
        <w:t xml:space="preserve">of fremanezumab </w:t>
      </w:r>
      <w:r>
        <w:rPr>
          <w:b/>
          <w:bCs/>
        </w:rPr>
        <w:t>by gender and 5-year age group</w:t>
      </w:r>
    </w:p>
    <w:p w14:paraId="7F9A42CC" w14:textId="223FF3E8" w:rsidR="005153A5" w:rsidRDefault="00343C1F" w:rsidP="007F5927">
      <w:r w:rsidRPr="00F36395">
        <w:t xml:space="preserve">Figure </w:t>
      </w:r>
      <w:r w:rsidR="004A2640">
        <w:t>4</w:t>
      </w:r>
      <w:r w:rsidRPr="00F36395">
        <w:t xml:space="preserve"> provides a distribution of </w:t>
      </w:r>
      <w:r>
        <w:t>f</w:t>
      </w:r>
      <w:r w:rsidRPr="00343C1F">
        <w:t xml:space="preserve">remanezumab </w:t>
      </w:r>
      <w:r w:rsidRPr="00F36395">
        <w:t>supply by age</w:t>
      </w:r>
      <w:r>
        <w:t xml:space="preserve"> and gender </w:t>
      </w:r>
      <w:r w:rsidRPr="00F36395">
        <w:t xml:space="preserve">from </w:t>
      </w:r>
      <w:r>
        <w:t>1 June 2021</w:t>
      </w:r>
      <w:r w:rsidRPr="00F36395">
        <w:t xml:space="preserve"> to </w:t>
      </w:r>
      <w:r>
        <w:t>29 February 2024.</w:t>
      </w:r>
    </w:p>
    <w:p w14:paraId="0A6793EC" w14:textId="19112275" w:rsidR="005153A5" w:rsidRDefault="005153A5" w:rsidP="007F5927">
      <w:r>
        <w:rPr>
          <w:noProof/>
        </w:rPr>
        <w:lastRenderedPageBreak/>
        <w:drawing>
          <wp:inline distT="0" distB="0" distL="0" distR="0" wp14:anchorId="41639D2C" wp14:editId="6973C99A">
            <wp:extent cx="5525870" cy="3729963"/>
            <wp:effectExtent l="0" t="0" r="17780" b="4445"/>
            <wp:docPr id="1905237729" name="Chart 1905237729">
              <a:extLst xmlns:a="http://schemas.openxmlformats.org/drawingml/2006/main">
                <a:ext uri="{FF2B5EF4-FFF2-40B4-BE49-F238E27FC236}">
                  <a16:creationId xmlns:a16="http://schemas.microsoft.com/office/drawing/2014/main" id="{45504FDC-30DF-5A1D-C062-074BC46233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3F715C9" w14:textId="33C41019" w:rsidR="005153A5" w:rsidRPr="00FD6385" w:rsidRDefault="005153A5" w:rsidP="00FD6385">
      <w:pPr>
        <w:spacing w:before="20"/>
        <w:rPr>
          <w:b/>
          <w:bCs/>
        </w:rPr>
      </w:pPr>
      <w:r>
        <w:rPr>
          <w:b/>
          <w:bCs/>
        </w:rPr>
        <w:t xml:space="preserve">Figure </w:t>
      </w:r>
      <w:r w:rsidR="00703DF6">
        <w:rPr>
          <w:b/>
          <w:bCs/>
        </w:rPr>
        <w:t>5</w:t>
      </w:r>
      <w:r>
        <w:rPr>
          <w:b/>
          <w:bCs/>
        </w:rPr>
        <w:t>: Incident female patients of galcanezumab by quarter and 5-year age group</w:t>
      </w:r>
    </w:p>
    <w:p w14:paraId="4D0D8F20" w14:textId="5CC2BEEA" w:rsidR="00FA7C40" w:rsidRPr="005153A5" w:rsidRDefault="00D4013E" w:rsidP="005153A5">
      <w:pPr>
        <w:spacing w:before="20"/>
        <w:rPr>
          <w:b/>
          <w:bCs/>
        </w:rPr>
      </w:pPr>
      <w:r>
        <w:rPr>
          <w:noProof/>
        </w:rPr>
        <w:drawing>
          <wp:inline distT="0" distB="0" distL="0" distR="0" wp14:anchorId="6AB32B0B" wp14:editId="0553BEA2">
            <wp:extent cx="5581650" cy="3473404"/>
            <wp:effectExtent l="0" t="0" r="0" b="13335"/>
            <wp:docPr id="1905237728" name="Chart 1905237728">
              <a:extLst xmlns:a="http://schemas.openxmlformats.org/drawingml/2006/main">
                <a:ext uri="{FF2B5EF4-FFF2-40B4-BE49-F238E27FC236}">
                  <a16:creationId xmlns:a16="http://schemas.microsoft.com/office/drawing/2014/main" id="{3B22C1A3-8CA7-03D1-7CCB-C84E75A02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665944">
        <w:rPr>
          <w:b/>
          <w:bCs/>
        </w:rPr>
        <w:t xml:space="preserve">Figure </w:t>
      </w:r>
      <w:r w:rsidR="00703DF6">
        <w:rPr>
          <w:b/>
          <w:bCs/>
        </w:rPr>
        <w:t>6</w:t>
      </w:r>
      <w:r w:rsidR="00665944">
        <w:rPr>
          <w:b/>
          <w:bCs/>
        </w:rPr>
        <w:t>: Incident female patients of fremanezumab by quarter and 5-year age group</w:t>
      </w:r>
    </w:p>
    <w:p w14:paraId="145DB5C2" w14:textId="16276079" w:rsidR="00665944" w:rsidRDefault="005153A5" w:rsidP="00665944">
      <w:pPr>
        <w:spacing w:before="20"/>
      </w:pPr>
      <w:r w:rsidRPr="005153A5">
        <w:t xml:space="preserve">Figures </w:t>
      </w:r>
      <w:r w:rsidR="00703DF6">
        <w:t>5</w:t>
      </w:r>
      <w:r w:rsidRPr="005153A5">
        <w:t xml:space="preserve"> and </w:t>
      </w:r>
      <w:r w:rsidR="00703DF6">
        <w:t>6</w:t>
      </w:r>
      <w:r w:rsidRPr="005153A5">
        <w:t xml:space="preserve"> indicate that </w:t>
      </w:r>
      <w:r w:rsidR="00703DF6">
        <w:t>treatment with</w:t>
      </w:r>
      <w:r>
        <w:t xml:space="preserve"> galcanezumab </w:t>
      </w:r>
      <w:r w:rsidR="00703DF6">
        <w:t xml:space="preserve">for females </w:t>
      </w:r>
      <w:r>
        <w:t>age</w:t>
      </w:r>
      <w:r w:rsidR="00703DF6">
        <w:t>d</w:t>
      </w:r>
      <w:r>
        <w:t xml:space="preserve"> 40 to 54 ha</w:t>
      </w:r>
      <w:r w:rsidR="00703DF6">
        <w:t>s</w:t>
      </w:r>
      <w:r>
        <w:t xml:space="preserve"> decreased quarter on quarter while </w:t>
      </w:r>
      <w:r w:rsidR="00703DF6">
        <w:t xml:space="preserve">treatment with </w:t>
      </w:r>
      <w:r w:rsidR="00703DF6" w:rsidRPr="00703DF6">
        <w:t xml:space="preserve">fremanezumab </w:t>
      </w:r>
      <w:r w:rsidR="00703DF6">
        <w:t>for females of the</w:t>
      </w:r>
      <w:r>
        <w:t xml:space="preserve"> same age group h</w:t>
      </w:r>
      <w:r w:rsidR="00703DF6">
        <w:t>as</w:t>
      </w:r>
      <w:r>
        <w:t xml:space="preserve"> increased over a similar </w:t>
      </w:r>
      <w:proofErr w:type="gramStart"/>
      <w:r>
        <w:t>time period</w:t>
      </w:r>
      <w:proofErr w:type="gramEnd"/>
      <w:r>
        <w:t>.</w:t>
      </w:r>
      <w:r w:rsidR="00CD1B9E">
        <w:t xml:space="preserve"> The rise in treatment with </w:t>
      </w:r>
      <w:r w:rsidR="00CD1B9E" w:rsidRPr="00CD1B9E">
        <w:lastRenderedPageBreak/>
        <w:t xml:space="preserve">fremanezumab </w:t>
      </w:r>
      <w:r w:rsidR="00CD1B9E">
        <w:t xml:space="preserve">seen in the fourth quarter of 2023 is likely to be the result of the change in </w:t>
      </w:r>
      <w:r w:rsidR="00CD1B9E" w:rsidRPr="00CD1B9E">
        <w:t>fremanezumab</w:t>
      </w:r>
      <w:r w:rsidR="00CD1B9E">
        <w:t>’s restriction that occurred on 1</w:t>
      </w:r>
      <w:r w:rsidR="00CD1B9E" w:rsidRPr="00CD1B9E">
        <w:rPr>
          <w:vertAlign w:val="superscript"/>
        </w:rPr>
        <w:t>st</w:t>
      </w:r>
      <w:r w:rsidR="00CD1B9E">
        <w:t xml:space="preserve"> November 2023</w:t>
      </w:r>
      <w:r w:rsidR="00CA6283">
        <w:t xml:space="preserve"> </w:t>
      </w:r>
      <w:r w:rsidR="00067E59">
        <w:t xml:space="preserve">which removed the requirement for patients to have experienced an average of 15 or more headache days per month prior to commencement of treatment </w:t>
      </w:r>
      <w:r w:rsidR="004A4847">
        <w:t xml:space="preserve">along with limits on the supply of galcanezumab during the same </w:t>
      </w:r>
      <w:proofErr w:type="gramStart"/>
      <w:r w:rsidR="004A4847">
        <w:t>time period</w:t>
      </w:r>
      <w:proofErr w:type="gramEnd"/>
      <w:r w:rsidR="00CD1B9E">
        <w:t>.</w:t>
      </w:r>
    </w:p>
    <w:p w14:paraId="128A489C" w14:textId="77777777" w:rsidR="00673283" w:rsidRDefault="00673283" w:rsidP="00665944">
      <w:pPr>
        <w:spacing w:before="20"/>
      </w:pPr>
    </w:p>
    <w:p w14:paraId="4E3391AA" w14:textId="5A828EA4" w:rsidR="00673283" w:rsidRDefault="00673283" w:rsidP="00665944">
      <w:pPr>
        <w:spacing w:before="20"/>
      </w:pPr>
      <w:r>
        <w:rPr>
          <w:noProof/>
        </w:rPr>
        <w:drawing>
          <wp:inline distT="0" distB="0" distL="0" distR="0" wp14:anchorId="5DA704EA" wp14:editId="48F52B9E">
            <wp:extent cx="5844540" cy="3116580"/>
            <wp:effectExtent l="0" t="0" r="3810" b="7620"/>
            <wp:docPr id="12" name="Chart 12">
              <a:extLst xmlns:a="http://schemas.openxmlformats.org/drawingml/2006/main">
                <a:ext uri="{FF2B5EF4-FFF2-40B4-BE49-F238E27FC236}">
                  <a16:creationId xmlns:a16="http://schemas.microsoft.com/office/drawing/2014/main" id="{E8CD70A3-CECB-8647-E141-94D779C26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C684BE" w14:textId="3207E543" w:rsidR="00673283" w:rsidRPr="007D2EE9" w:rsidRDefault="00673283" w:rsidP="00665944">
      <w:pPr>
        <w:spacing w:before="20"/>
        <w:rPr>
          <w:b/>
          <w:bCs/>
        </w:rPr>
      </w:pPr>
      <w:r>
        <w:rPr>
          <w:b/>
          <w:bCs/>
        </w:rPr>
        <w:t xml:space="preserve">Figure </w:t>
      </w:r>
      <w:r w:rsidR="00BB5971">
        <w:rPr>
          <w:b/>
          <w:bCs/>
        </w:rPr>
        <w:t>7</w:t>
      </w:r>
      <w:r>
        <w:rPr>
          <w:b/>
          <w:bCs/>
        </w:rPr>
        <w:t>: Prevalent patients of galcanezumab by gender and list year</w:t>
      </w:r>
    </w:p>
    <w:p w14:paraId="7841CAB6" w14:textId="33529A29" w:rsidR="006E407D" w:rsidRDefault="00CC27DA" w:rsidP="007F5927">
      <w:r>
        <w:rPr>
          <w:noProof/>
        </w:rPr>
        <w:drawing>
          <wp:inline distT="0" distB="0" distL="0" distR="0" wp14:anchorId="462608D9" wp14:editId="7CD44283">
            <wp:extent cx="5844540" cy="3185160"/>
            <wp:effectExtent l="0" t="0" r="3810" b="15240"/>
            <wp:docPr id="6" name="Chart 6">
              <a:extLst xmlns:a="http://schemas.openxmlformats.org/drawingml/2006/main">
                <a:ext uri="{FF2B5EF4-FFF2-40B4-BE49-F238E27FC236}">
                  <a16:creationId xmlns:a16="http://schemas.microsoft.com/office/drawing/2014/main" id="{824ED163-95AA-476D-36A1-78513A3D59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9C640C0" w14:textId="1686A498" w:rsidR="006E407D" w:rsidRDefault="006E407D" w:rsidP="006E407D">
      <w:pPr>
        <w:spacing w:before="20"/>
        <w:rPr>
          <w:b/>
          <w:bCs/>
        </w:rPr>
      </w:pPr>
      <w:r>
        <w:rPr>
          <w:b/>
          <w:bCs/>
        </w:rPr>
        <w:t xml:space="preserve">Figure </w:t>
      </w:r>
      <w:r w:rsidR="00BB5971">
        <w:rPr>
          <w:b/>
          <w:bCs/>
        </w:rPr>
        <w:t>8</w:t>
      </w:r>
      <w:r>
        <w:rPr>
          <w:b/>
          <w:bCs/>
        </w:rPr>
        <w:t xml:space="preserve">: </w:t>
      </w:r>
      <w:r w:rsidR="00CC27DA">
        <w:rPr>
          <w:b/>
          <w:bCs/>
        </w:rPr>
        <w:t>Prevalent</w:t>
      </w:r>
      <w:r>
        <w:rPr>
          <w:b/>
          <w:bCs/>
        </w:rPr>
        <w:t xml:space="preserve"> patients of fremanezumab by gender and list year</w:t>
      </w:r>
    </w:p>
    <w:p w14:paraId="0DDC296E" w14:textId="6BCC7F5C" w:rsidR="006E407D" w:rsidRDefault="006E407D" w:rsidP="006E407D">
      <w:pPr>
        <w:spacing w:before="20"/>
        <w:rPr>
          <w:b/>
          <w:bCs/>
        </w:rPr>
      </w:pPr>
    </w:p>
    <w:p w14:paraId="4EEEB85B" w14:textId="6A450B0F" w:rsidR="006301E2" w:rsidRDefault="00CD1B9E" w:rsidP="007F5927">
      <w:r>
        <w:t xml:space="preserve">The ratio of female to male (prevalent patients) use of galcanezumab and fremanezumab is both approx. 4.4:1. Figures 7 and 8 indicates that this ratio has remained </w:t>
      </w:r>
      <w:proofErr w:type="gramStart"/>
      <w:r>
        <w:t>fairly stable</w:t>
      </w:r>
      <w:proofErr w:type="gramEnd"/>
      <w:r>
        <w:t xml:space="preserve"> over the analysis period. This compares with the female to male ratio of approx. 3:1 for migraine (prevalence) in Australia with similar rates of chronic migraine between the genders</w:t>
      </w:r>
      <w:r w:rsidRPr="007C7246">
        <w:rPr>
          <w:vertAlign w:val="superscript"/>
        </w:rPr>
        <w:t>4,5</w:t>
      </w:r>
      <w:r>
        <w:t>.</w:t>
      </w:r>
    </w:p>
    <w:p w14:paraId="0783A288" w14:textId="32E2A24D" w:rsidR="00DC49E9" w:rsidRPr="005E22C2" w:rsidRDefault="00DC49E9" w:rsidP="00CF5E22">
      <w:pPr>
        <w:pStyle w:val="Heading3"/>
      </w:pPr>
      <w:r w:rsidRPr="005E22C2">
        <w:t>Changes in the use of other drugs</w:t>
      </w:r>
    </w:p>
    <w:p w14:paraId="2A65845C" w14:textId="7B55694B" w:rsidR="00E93B3A" w:rsidRDefault="00E93B3A" w:rsidP="00A35800">
      <w:pPr>
        <w:rPr>
          <w:highlight w:val="yellow"/>
        </w:rPr>
      </w:pPr>
      <w:r>
        <w:rPr>
          <w:noProof/>
        </w:rPr>
        <w:drawing>
          <wp:inline distT="0" distB="0" distL="0" distR="0" wp14:anchorId="16B55CE8" wp14:editId="2EEC2133">
            <wp:extent cx="5648325" cy="3600450"/>
            <wp:effectExtent l="0" t="0" r="9525" b="0"/>
            <wp:docPr id="2" name="Chart 2">
              <a:extLst xmlns:a="http://schemas.openxmlformats.org/drawingml/2006/main">
                <a:ext uri="{FF2B5EF4-FFF2-40B4-BE49-F238E27FC236}">
                  <a16:creationId xmlns:a16="http://schemas.microsoft.com/office/drawing/2014/main" id="{29501064-99CC-2004-D99C-AD2ADEB038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CDA3CA6" w14:textId="0E7E60C3" w:rsidR="00E93B3A" w:rsidRDefault="00CA4DD2" w:rsidP="00745FDE">
      <w:pPr>
        <w:spacing w:after="0"/>
        <w:rPr>
          <w:b/>
          <w:bCs/>
        </w:rPr>
      </w:pPr>
      <w:r w:rsidRPr="00CA4DD2">
        <w:rPr>
          <w:b/>
          <w:bCs/>
        </w:rPr>
        <w:t xml:space="preserve">Figure </w:t>
      </w:r>
      <w:r w:rsidR="00AF3988">
        <w:rPr>
          <w:b/>
          <w:bCs/>
        </w:rPr>
        <w:t>9</w:t>
      </w:r>
      <w:r w:rsidRPr="00CA4DD2">
        <w:rPr>
          <w:b/>
          <w:bCs/>
        </w:rPr>
        <w:t>:</w:t>
      </w:r>
      <w:r>
        <w:rPr>
          <w:b/>
          <w:bCs/>
        </w:rPr>
        <w:t xml:space="preserve"> Number </w:t>
      </w:r>
      <w:r w:rsidR="00E72DE3">
        <w:rPr>
          <w:b/>
          <w:bCs/>
        </w:rPr>
        <w:t xml:space="preserve">of treated incident patients by quarter with </w:t>
      </w:r>
      <w:r w:rsidR="00631A16">
        <w:rPr>
          <w:b/>
          <w:bCs/>
        </w:rPr>
        <w:t>migraine</w:t>
      </w:r>
      <w:r w:rsidR="00E72DE3">
        <w:rPr>
          <w:b/>
          <w:bCs/>
        </w:rPr>
        <w:t xml:space="preserve"> </w:t>
      </w:r>
      <w:r w:rsidR="00631A16">
        <w:rPr>
          <w:b/>
          <w:bCs/>
        </w:rPr>
        <w:t>prophylaxis treatments</w:t>
      </w:r>
    </w:p>
    <w:p w14:paraId="4F5A082D" w14:textId="60B3BC73" w:rsidR="00631A16" w:rsidRPr="00CC7DBE" w:rsidRDefault="00631A16" w:rsidP="00745FDE">
      <w:pPr>
        <w:spacing w:after="0"/>
        <w:rPr>
          <w:sz w:val="20"/>
          <w:szCs w:val="20"/>
        </w:rPr>
      </w:pPr>
      <w:r w:rsidRPr="00CC7DBE">
        <w:rPr>
          <w:sz w:val="20"/>
          <w:szCs w:val="20"/>
        </w:rPr>
        <w:t>Note:</w:t>
      </w:r>
    </w:p>
    <w:p w14:paraId="513A03A1" w14:textId="461A7EBA" w:rsidR="00631A16" w:rsidRPr="00CC7DBE" w:rsidRDefault="00745FDE" w:rsidP="00745FDE">
      <w:pPr>
        <w:spacing w:after="0"/>
        <w:rPr>
          <w:sz w:val="20"/>
          <w:szCs w:val="20"/>
        </w:rPr>
      </w:pPr>
      <w:r w:rsidRPr="00CC7DBE">
        <w:rPr>
          <w:sz w:val="20"/>
          <w:szCs w:val="20"/>
        </w:rPr>
        <w:t xml:space="preserve">Incident patients treated with first line therapy </w:t>
      </w:r>
      <w:r w:rsidR="00AC6E35" w:rsidRPr="00CC7DBE">
        <w:rPr>
          <w:sz w:val="20"/>
          <w:szCs w:val="20"/>
        </w:rPr>
        <w:t>and triptans</w:t>
      </w:r>
      <w:r w:rsidR="00C26909" w:rsidRPr="00CC7DBE">
        <w:rPr>
          <w:sz w:val="20"/>
          <w:szCs w:val="20"/>
        </w:rPr>
        <w:t xml:space="preserve"> </w:t>
      </w:r>
      <w:r w:rsidRPr="00CC7DBE">
        <w:rPr>
          <w:sz w:val="20"/>
          <w:szCs w:val="20"/>
        </w:rPr>
        <w:t>(dotted line) are marked on the secondary axis.</w:t>
      </w:r>
    </w:p>
    <w:p w14:paraId="5DF06445" w14:textId="6146B6F3" w:rsidR="00745FDE" w:rsidRPr="00CC7DBE" w:rsidRDefault="00522259" w:rsidP="00745FDE">
      <w:pPr>
        <w:spacing w:after="0"/>
        <w:rPr>
          <w:sz w:val="20"/>
          <w:szCs w:val="20"/>
        </w:rPr>
      </w:pPr>
      <w:r w:rsidRPr="00CC7DBE">
        <w:rPr>
          <w:sz w:val="20"/>
          <w:szCs w:val="20"/>
        </w:rPr>
        <w:t>First line therapies are not PBS restricted to migraine prophylaxis and are used for other indications.</w:t>
      </w:r>
    </w:p>
    <w:p w14:paraId="2E8C6D8F" w14:textId="2B91E1A3" w:rsidR="00607B47" w:rsidRDefault="00413FA6" w:rsidP="00F7622C">
      <w:pPr>
        <w:spacing w:after="0"/>
        <w:rPr>
          <w:sz w:val="20"/>
          <w:szCs w:val="20"/>
        </w:rPr>
      </w:pPr>
      <w:r w:rsidRPr="00CC7DBE">
        <w:rPr>
          <w:sz w:val="20"/>
          <w:szCs w:val="20"/>
        </w:rPr>
        <w:t>Quarter 4 data only includes the first two months of 2024.</w:t>
      </w:r>
    </w:p>
    <w:p w14:paraId="4C9E29BC" w14:textId="77777777" w:rsidR="00DF7CA0" w:rsidRDefault="00DF7CA0" w:rsidP="00F7622C">
      <w:pPr>
        <w:spacing w:after="0"/>
        <w:rPr>
          <w:sz w:val="20"/>
          <w:szCs w:val="20"/>
        </w:rPr>
      </w:pPr>
    </w:p>
    <w:p w14:paraId="12D4D4F3" w14:textId="4E3CCDFD" w:rsidR="00DF7CA0" w:rsidRPr="00A0625A" w:rsidRDefault="007C7246" w:rsidP="00F7622C">
      <w:pPr>
        <w:spacing w:after="0"/>
      </w:pPr>
      <w:bookmarkStart w:id="3" w:name="_Hlk164154697"/>
      <w:r>
        <w:t xml:space="preserve">Figure </w:t>
      </w:r>
      <w:r w:rsidR="00AF3988">
        <w:t>9</w:t>
      </w:r>
      <w:r>
        <w:t xml:space="preserve"> </w:t>
      </w:r>
      <w:r w:rsidR="00354FAF">
        <w:t xml:space="preserve">shows </w:t>
      </w:r>
      <w:r w:rsidR="004A4847">
        <w:t>an</w:t>
      </w:r>
      <w:r w:rsidR="00DF7CA0" w:rsidRPr="00A0625A">
        <w:t xml:space="preserve"> </w:t>
      </w:r>
      <w:r w:rsidR="00AD70ED" w:rsidRPr="00A0625A">
        <w:t>increase</w:t>
      </w:r>
      <w:r w:rsidR="00AD70ED">
        <w:t xml:space="preserve"> in the </w:t>
      </w:r>
      <w:r w:rsidR="00DF7CA0" w:rsidRPr="00A0625A">
        <w:t xml:space="preserve">use of </w:t>
      </w:r>
      <w:r w:rsidR="0019310C" w:rsidRPr="00A0625A">
        <w:t xml:space="preserve">fremanezumab commencing in the </w:t>
      </w:r>
      <w:r w:rsidR="00260865">
        <w:t>fourth</w:t>
      </w:r>
      <w:r w:rsidR="0019310C" w:rsidRPr="00A0625A">
        <w:t xml:space="preserve"> quarter of 2023 </w:t>
      </w:r>
      <w:r w:rsidR="006301E2">
        <w:t xml:space="preserve">which </w:t>
      </w:r>
      <w:r w:rsidR="0019310C" w:rsidRPr="00A0625A">
        <w:t xml:space="preserve">is likely the result of the </w:t>
      </w:r>
      <w:r w:rsidR="00A7238F" w:rsidRPr="00A0625A">
        <w:t>broadening</w:t>
      </w:r>
      <w:r w:rsidR="0019310C" w:rsidRPr="00A0625A">
        <w:t xml:space="preserve"> of the restriction that occurred </w:t>
      </w:r>
      <w:r w:rsidR="00576384" w:rsidRPr="00A0625A">
        <w:t xml:space="preserve">on </w:t>
      </w:r>
      <w:r w:rsidR="007D2EE9">
        <w:t xml:space="preserve">         </w:t>
      </w:r>
      <w:r w:rsidR="00576384" w:rsidRPr="00A0625A">
        <w:t>1 November 2023 when freman</w:t>
      </w:r>
      <w:r w:rsidR="00A0625A" w:rsidRPr="00A0625A">
        <w:t>ezumab’s indication</w:t>
      </w:r>
      <w:r w:rsidR="00576384" w:rsidRPr="00A0625A">
        <w:t xml:space="preserve"> changed from chronic migraine to treatment resistant migraine</w:t>
      </w:r>
      <w:r w:rsidR="002D556D">
        <w:t xml:space="preserve"> and possibly to a lessor extant </w:t>
      </w:r>
      <w:r w:rsidR="004A4847">
        <w:t xml:space="preserve">on </w:t>
      </w:r>
      <w:r w:rsidR="002D556D">
        <w:t>the limits on supply of galcanezumab from 22 November 2023</w:t>
      </w:r>
      <w:r w:rsidR="00A0625A" w:rsidRPr="00A0625A">
        <w:t>.</w:t>
      </w:r>
      <w:r w:rsidR="00A7238F">
        <w:t xml:space="preserve"> The decrease in use of </w:t>
      </w:r>
      <w:r w:rsidR="00087ADE" w:rsidRPr="00087ADE">
        <w:t>galcanezumab</w:t>
      </w:r>
      <w:r w:rsidR="00087ADE">
        <w:t xml:space="preserve"> in the same period </w:t>
      </w:r>
      <w:r w:rsidR="00056DC0">
        <w:t>is likely</w:t>
      </w:r>
      <w:r w:rsidR="00087ADE">
        <w:t xml:space="preserve"> the result of </w:t>
      </w:r>
      <w:r w:rsidR="00583990">
        <w:t xml:space="preserve">its limited </w:t>
      </w:r>
      <w:r w:rsidR="007B44CF">
        <w:t xml:space="preserve">availability from </w:t>
      </w:r>
      <w:r w:rsidR="00FA4414">
        <w:t xml:space="preserve">the end of </w:t>
      </w:r>
      <w:r w:rsidR="007B44CF">
        <w:t>November 2023</w:t>
      </w:r>
      <w:r w:rsidR="00FA4414">
        <w:t xml:space="preserve"> to </w:t>
      </w:r>
      <w:r w:rsidR="007D2EE9">
        <w:t xml:space="preserve">        </w:t>
      </w:r>
      <w:r w:rsidR="00502602">
        <w:t xml:space="preserve">13 </w:t>
      </w:r>
      <w:r w:rsidR="00FA4414">
        <w:t>March 2024</w:t>
      </w:r>
      <w:r w:rsidR="008F6FE6">
        <w:t xml:space="preserve">. The decline in the use of galcanezumab </w:t>
      </w:r>
      <w:r w:rsidR="009778BD">
        <w:t xml:space="preserve">and the </w:t>
      </w:r>
      <w:r w:rsidR="006301E2">
        <w:t>increased</w:t>
      </w:r>
      <w:r w:rsidR="009778BD">
        <w:t xml:space="preserve"> use of fre</w:t>
      </w:r>
      <w:r w:rsidR="00797D93">
        <w:t xml:space="preserve">manezumab </w:t>
      </w:r>
      <w:r w:rsidR="008F6FE6">
        <w:t xml:space="preserve">from </w:t>
      </w:r>
      <w:r w:rsidR="009778BD">
        <w:t>the third quarter 2022</w:t>
      </w:r>
      <w:r w:rsidR="00FA4414">
        <w:t xml:space="preserve"> </w:t>
      </w:r>
      <w:r w:rsidR="00797D93">
        <w:t xml:space="preserve">may </w:t>
      </w:r>
      <w:r w:rsidR="00FA4414">
        <w:t xml:space="preserve">possibly </w:t>
      </w:r>
      <w:r w:rsidR="00797D93">
        <w:t xml:space="preserve">be due to </w:t>
      </w:r>
      <w:r w:rsidR="00FA4414">
        <w:t xml:space="preserve">some switching </w:t>
      </w:r>
      <w:r w:rsidR="003138D1">
        <w:t xml:space="preserve">from </w:t>
      </w:r>
      <w:r w:rsidR="003138D1" w:rsidRPr="00087ADE">
        <w:t>galcanezumab</w:t>
      </w:r>
      <w:r w:rsidR="003138D1">
        <w:t xml:space="preserve"> to </w:t>
      </w:r>
      <w:r w:rsidR="003138D1" w:rsidRPr="00A0625A">
        <w:t>fremanezumab</w:t>
      </w:r>
      <w:r w:rsidR="003138D1">
        <w:t xml:space="preserve"> (see </w:t>
      </w:r>
      <w:r w:rsidR="007334E5">
        <w:t>T</w:t>
      </w:r>
      <w:r w:rsidR="003138D1">
        <w:t xml:space="preserve">able </w:t>
      </w:r>
      <w:r w:rsidR="007334E5">
        <w:t>13</w:t>
      </w:r>
      <w:r w:rsidR="00146B07">
        <w:t xml:space="preserve"> </w:t>
      </w:r>
      <w:r w:rsidR="00673283">
        <w:t xml:space="preserve">within </w:t>
      </w:r>
      <w:r w:rsidR="00F304A0">
        <w:t>second l</w:t>
      </w:r>
      <w:r w:rsidR="00146B07">
        <w:t>ine</w:t>
      </w:r>
      <w:r w:rsidR="007334E5">
        <w:t xml:space="preserve"> treatment sequences</w:t>
      </w:r>
      <w:r w:rsidR="003138D1">
        <w:t>)</w:t>
      </w:r>
      <w:r w:rsidR="00146B07">
        <w:t xml:space="preserve">. The increase in the use of Botox </w:t>
      </w:r>
      <w:r w:rsidR="00AF6113">
        <w:t>in the fourth quarter of 2023</w:t>
      </w:r>
      <w:r w:rsidR="00146B07">
        <w:t xml:space="preserve"> </w:t>
      </w:r>
      <w:r w:rsidR="00823679">
        <w:t xml:space="preserve">may have been </w:t>
      </w:r>
      <w:r w:rsidR="00146B07">
        <w:t>the result of</w:t>
      </w:r>
      <w:r w:rsidR="00823679">
        <w:t xml:space="preserve"> </w:t>
      </w:r>
      <w:r w:rsidR="009C3442">
        <w:lastRenderedPageBreak/>
        <w:t>limits on</w:t>
      </w:r>
      <w:r w:rsidR="00823679">
        <w:t xml:space="preserve"> the</w:t>
      </w:r>
      <w:r w:rsidR="00A96EF6">
        <w:t xml:space="preserve"> availability of </w:t>
      </w:r>
      <w:r w:rsidR="00A96EF6" w:rsidRPr="00087ADE">
        <w:t>galcanezumab</w:t>
      </w:r>
      <w:r w:rsidR="00357D37">
        <w:t xml:space="preserve"> from 22 November 2023</w:t>
      </w:r>
      <w:r w:rsidR="00A96EF6">
        <w:t>.</w:t>
      </w:r>
      <w:r w:rsidR="00357D37">
        <w:t xml:space="preserve"> The limited availability of </w:t>
      </w:r>
      <w:r w:rsidR="00357D37" w:rsidRPr="00A0625A">
        <w:t>fremanezumab</w:t>
      </w:r>
      <w:r w:rsidR="00357D37">
        <w:t xml:space="preserve"> from 6 February 2024 does not impact on this analysis.</w:t>
      </w:r>
    </w:p>
    <w:bookmarkEnd w:id="3"/>
    <w:p w14:paraId="40CFCD04" w14:textId="77777777" w:rsidR="006301E2" w:rsidRPr="007D2EE9" w:rsidRDefault="006301E2" w:rsidP="006C07D2">
      <w:pPr>
        <w:spacing w:after="0"/>
      </w:pPr>
    </w:p>
    <w:p w14:paraId="5A8832B1" w14:textId="241E4414" w:rsidR="006C07D2" w:rsidRDefault="006C07D2" w:rsidP="006C07D2">
      <w:pPr>
        <w:spacing w:after="0"/>
        <w:rPr>
          <w:b/>
          <w:bCs/>
          <w:i/>
          <w:iCs/>
        </w:rPr>
      </w:pPr>
      <w:r>
        <w:rPr>
          <w:b/>
          <w:bCs/>
          <w:i/>
          <w:iCs/>
        </w:rPr>
        <w:t>Co-dispensing</w:t>
      </w:r>
    </w:p>
    <w:p w14:paraId="360D9AA0" w14:textId="77777777" w:rsidR="006C07D2" w:rsidRDefault="006C07D2" w:rsidP="006C07D2">
      <w:pPr>
        <w:spacing w:after="0"/>
        <w:rPr>
          <w:b/>
          <w:bCs/>
          <w:i/>
          <w:iCs/>
        </w:rPr>
      </w:pPr>
    </w:p>
    <w:p w14:paraId="4ED19716" w14:textId="04570AAA" w:rsidR="006C07D2" w:rsidRPr="00B53B53" w:rsidRDefault="00B53B53" w:rsidP="006C07D2">
      <w:pPr>
        <w:spacing w:after="0"/>
        <w:rPr>
          <w:b/>
          <w:bCs/>
        </w:rPr>
      </w:pPr>
      <w:r w:rsidRPr="00B53B53">
        <w:rPr>
          <w:b/>
          <w:bCs/>
        </w:rPr>
        <w:t xml:space="preserve">Table </w:t>
      </w:r>
      <w:r w:rsidR="0019329E">
        <w:rPr>
          <w:b/>
          <w:bCs/>
        </w:rPr>
        <w:t>6</w:t>
      </w:r>
      <w:r w:rsidRPr="00B53B53">
        <w:rPr>
          <w:b/>
          <w:bCs/>
        </w:rPr>
        <w:t xml:space="preserve">: </w:t>
      </w:r>
      <w:r w:rsidR="006C07D2" w:rsidRPr="00B53B53">
        <w:rPr>
          <w:b/>
          <w:bCs/>
        </w:rPr>
        <w:t>Patient co-dispensed analgesia along with galcanezumab</w:t>
      </w:r>
      <w:r w:rsidR="006C07D2" w:rsidRPr="00B53B53">
        <w:rPr>
          <w:b/>
          <w:bCs/>
          <w:vertAlign w:val="superscript"/>
        </w:rPr>
        <w:t>1</w:t>
      </w:r>
    </w:p>
    <w:tbl>
      <w:tblPr>
        <w:tblStyle w:val="TableGrid"/>
        <w:tblW w:w="0" w:type="auto"/>
        <w:tblLook w:val="04A0" w:firstRow="1" w:lastRow="0" w:firstColumn="1" w:lastColumn="0" w:noHBand="0" w:noVBand="1"/>
      </w:tblPr>
      <w:tblGrid>
        <w:gridCol w:w="3241"/>
        <w:gridCol w:w="2853"/>
      </w:tblGrid>
      <w:tr w:rsidR="000F325C" w14:paraId="2DEBE7BE" w14:textId="77777777">
        <w:tc>
          <w:tcPr>
            <w:tcW w:w="3241" w:type="dxa"/>
            <w:shd w:val="clear" w:color="auto" w:fill="BFBFBF" w:themeFill="background1" w:themeFillShade="BF"/>
          </w:tcPr>
          <w:p w14:paraId="599DFAE9" w14:textId="77777777" w:rsidR="000F325C" w:rsidRPr="00433D34" w:rsidRDefault="000F325C">
            <w:pPr>
              <w:rPr>
                <w:b/>
                <w:bCs/>
                <w:sz w:val="20"/>
                <w:szCs w:val="20"/>
              </w:rPr>
            </w:pPr>
            <w:r w:rsidRPr="00433D34">
              <w:rPr>
                <w:b/>
                <w:bCs/>
                <w:sz w:val="20"/>
                <w:szCs w:val="20"/>
              </w:rPr>
              <w:t>Analgesia</w:t>
            </w:r>
          </w:p>
        </w:tc>
        <w:tc>
          <w:tcPr>
            <w:tcW w:w="2853" w:type="dxa"/>
            <w:shd w:val="clear" w:color="auto" w:fill="BFBFBF" w:themeFill="background1" w:themeFillShade="BF"/>
          </w:tcPr>
          <w:p w14:paraId="1CAFA745" w14:textId="77777777" w:rsidR="000F325C" w:rsidRPr="00433D34" w:rsidRDefault="000F325C">
            <w:pPr>
              <w:jc w:val="center"/>
              <w:rPr>
                <w:b/>
                <w:bCs/>
                <w:sz w:val="20"/>
                <w:szCs w:val="20"/>
              </w:rPr>
            </w:pPr>
            <w:r w:rsidRPr="00433D34">
              <w:rPr>
                <w:b/>
                <w:bCs/>
                <w:sz w:val="20"/>
                <w:szCs w:val="20"/>
              </w:rPr>
              <w:t>Patients</w:t>
            </w:r>
          </w:p>
        </w:tc>
      </w:tr>
      <w:tr w:rsidR="000F325C" w14:paraId="53D19CF4" w14:textId="77777777">
        <w:tc>
          <w:tcPr>
            <w:tcW w:w="3241" w:type="dxa"/>
          </w:tcPr>
          <w:p w14:paraId="4E263971" w14:textId="77777777" w:rsidR="000F325C" w:rsidRPr="00ED7CD2" w:rsidRDefault="000F325C">
            <w:pPr>
              <w:rPr>
                <w:caps/>
                <w:sz w:val="20"/>
                <w:szCs w:val="20"/>
              </w:rPr>
            </w:pPr>
            <w:r w:rsidRPr="00ED7CD2">
              <w:rPr>
                <w:caps/>
                <w:sz w:val="20"/>
                <w:szCs w:val="20"/>
              </w:rPr>
              <w:t>Diclofenac</w:t>
            </w:r>
          </w:p>
        </w:tc>
        <w:tc>
          <w:tcPr>
            <w:tcW w:w="2853" w:type="dxa"/>
          </w:tcPr>
          <w:p w14:paraId="2B768097" w14:textId="77777777" w:rsidR="000F325C" w:rsidRPr="00433D34" w:rsidRDefault="000F325C">
            <w:pPr>
              <w:jc w:val="center"/>
              <w:rPr>
                <w:sz w:val="20"/>
                <w:szCs w:val="20"/>
              </w:rPr>
            </w:pPr>
            <w:r w:rsidRPr="00433D34">
              <w:rPr>
                <w:sz w:val="20"/>
                <w:szCs w:val="20"/>
              </w:rPr>
              <w:t>160</w:t>
            </w:r>
          </w:p>
        </w:tc>
      </w:tr>
      <w:tr w:rsidR="000F325C" w14:paraId="1A59E947" w14:textId="77777777">
        <w:tc>
          <w:tcPr>
            <w:tcW w:w="3241" w:type="dxa"/>
          </w:tcPr>
          <w:p w14:paraId="2B7F186E" w14:textId="77777777" w:rsidR="000F325C" w:rsidRPr="00ED7CD2" w:rsidRDefault="000F325C">
            <w:pPr>
              <w:rPr>
                <w:caps/>
                <w:sz w:val="20"/>
                <w:szCs w:val="20"/>
              </w:rPr>
            </w:pPr>
            <w:r w:rsidRPr="00ED7CD2">
              <w:rPr>
                <w:caps/>
                <w:sz w:val="20"/>
                <w:szCs w:val="20"/>
              </w:rPr>
              <w:t>Ibuprofen</w:t>
            </w:r>
          </w:p>
        </w:tc>
        <w:tc>
          <w:tcPr>
            <w:tcW w:w="2853" w:type="dxa"/>
          </w:tcPr>
          <w:p w14:paraId="45D8FAFE" w14:textId="77777777" w:rsidR="000F325C" w:rsidRPr="00433D34" w:rsidRDefault="000F325C">
            <w:pPr>
              <w:jc w:val="center"/>
              <w:rPr>
                <w:sz w:val="20"/>
                <w:szCs w:val="20"/>
              </w:rPr>
            </w:pPr>
            <w:r w:rsidRPr="00433D34">
              <w:rPr>
                <w:sz w:val="20"/>
                <w:szCs w:val="20"/>
              </w:rPr>
              <w:t>1</w:t>
            </w:r>
            <w:r>
              <w:rPr>
                <w:sz w:val="20"/>
                <w:szCs w:val="20"/>
              </w:rPr>
              <w:t>1</w:t>
            </w:r>
          </w:p>
        </w:tc>
      </w:tr>
      <w:tr w:rsidR="000F325C" w14:paraId="33648A7F" w14:textId="77777777">
        <w:tc>
          <w:tcPr>
            <w:tcW w:w="3241" w:type="dxa"/>
          </w:tcPr>
          <w:p w14:paraId="065705B7" w14:textId="4EDD049F" w:rsidR="000F325C" w:rsidRPr="00ED7CD2" w:rsidRDefault="000F325C">
            <w:pPr>
              <w:rPr>
                <w:caps/>
                <w:sz w:val="20"/>
                <w:szCs w:val="20"/>
              </w:rPr>
            </w:pPr>
            <w:r w:rsidRPr="00ED7CD2">
              <w:rPr>
                <w:caps/>
                <w:sz w:val="20"/>
                <w:szCs w:val="20"/>
              </w:rPr>
              <w:t>Asp</w:t>
            </w:r>
            <w:r w:rsidR="003A58C5">
              <w:rPr>
                <w:caps/>
                <w:sz w:val="20"/>
                <w:szCs w:val="20"/>
              </w:rPr>
              <w:t>I</w:t>
            </w:r>
            <w:r w:rsidRPr="00ED7CD2">
              <w:rPr>
                <w:caps/>
                <w:sz w:val="20"/>
                <w:szCs w:val="20"/>
              </w:rPr>
              <w:t>rin</w:t>
            </w:r>
          </w:p>
        </w:tc>
        <w:tc>
          <w:tcPr>
            <w:tcW w:w="2853" w:type="dxa"/>
          </w:tcPr>
          <w:p w14:paraId="5382E471" w14:textId="644E365A" w:rsidR="000F325C" w:rsidRPr="00433D34" w:rsidRDefault="009A25A4">
            <w:pPr>
              <w:jc w:val="center"/>
              <w:rPr>
                <w:sz w:val="20"/>
                <w:szCs w:val="20"/>
              </w:rPr>
            </w:pPr>
            <w:r>
              <w:rPr>
                <w:sz w:val="20"/>
                <w:szCs w:val="20"/>
              </w:rPr>
              <w:t>&lt;5</w:t>
            </w:r>
          </w:p>
        </w:tc>
      </w:tr>
      <w:tr w:rsidR="009C42E2" w14:paraId="706B554B" w14:textId="77777777">
        <w:tc>
          <w:tcPr>
            <w:tcW w:w="3241" w:type="dxa"/>
          </w:tcPr>
          <w:p w14:paraId="29AB2356" w14:textId="3FFC8EE6" w:rsidR="009C42E2" w:rsidRPr="00ED7CD2" w:rsidRDefault="009C42E2">
            <w:pPr>
              <w:rPr>
                <w:caps/>
                <w:sz w:val="20"/>
                <w:szCs w:val="20"/>
              </w:rPr>
            </w:pPr>
            <w:r>
              <w:rPr>
                <w:caps/>
                <w:sz w:val="20"/>
                <w:szCs w:val="20"/>
              </w:rPr>
              <w:t>Opioid</w:t>
            </w:r>
            <w:r w:rsidRPr="008C2063">
              <w:rPr>
                <w:caps/>
                <w:sz w:val="20"/>
                <w:szCs w:val="20"/>
                <w:vertAlign w:val="superscript"/>
              </w:rPr>
              <w:t>2</w:t>
            </w:r>
          </w:p>
        </w:tc>
        <w:tc>
          <w:tcPr>
            <w:tcW w:w="2853" w:type="dxa"/>
          </w:tcPr>
          <w:p w14:paraId="25776506" w14:textId="2B3D7F79" w:rsidR="009C42E2" w:rsidRPr="00433D34" w:rsidRDefault="00512514" w:rsidP="00512514">
            <w:pPr>
              <w:tabs>
                <w:tab w:val="center" w:pos="1318"/>
                <w:tab w:val="right" w:pos="2637"/>
              </w:tabs>
              <w:rPr>
                <w:sz w:val="20"/>
                <w:szCs w:val="20"/>
              </w:rPr>
            </w:pPr>
            <w:r>
              <w:rPr>
                <w:sz w:val="20"/>
                <w:szCs w:val="20"/>
              </w:rPr>
              <w:tab/>
            </w:r>
            <w:r w:rsidR="001322A0">
              <w:rPr>
                <w:sz w:val="20"/>
                <w:szCs w:val="20"/>
              </w:rPr>
              <w:t>345</w:t>
            </w:r>
            <w:r>
              <w:rPr>
                <w:sz w:val="20"/>
                <w:szCs w:val="20"/>
              </w:rPr>
              <w:tab/>
            </w:r>
          </w:p>
        </w:tc>
      </w:tr>
    </w:tbl>
    <w:p w14:paraId="33220686" w14:textId="77777777" w:rsidR="006C07D2" w:rsidRDefault="006C07D2" w:rsidP="006C07D2">
      <w:pPr>
        <w:spacing w:after="0"/>
        <w:rPr>
          <w:sz w:val="20"/>
          <w:szCs w:val="20"/>
        </w:rPr>
      </w:pPr>
      <w:r w:rsidRPr="008957CE">
        <w:rPr>
          <w:sz w:val="20"/>
          <w:szCs w:val="20"/>
        </w:rPr>
        <w:t>Note:</w:t>
      </w:r>
    </w:p>
    <w:p w14:paraId="17594E73" w14:textId="6E54B714" w:rsidR="006C07D2" w:rsidRDefault="006C07D2" w:rsidP="006C07D2">
      <w:pPr>
        <w:spacing w:after="0"/>
        <w:rPr>
          <w:sz w:val="20"/>
          <w:szCs w:val="20"/>
        </w:rPr>
      </w:pPr>
      <w:r w:rsidRPr="00AF11A1">
        <w:rPr>
          <w:sz w:val="20"/>
          <w:szCs w:val="20"/>
          <w:vertAlign w:val="superscript"/>
        </w:rPr>
        <w:t>1</w:t>
      </w:r>
      <w:r>
        <w:rPr>
          <w:sz w:val="20"/>
          <w:szCs w:val="20"/>
        </w:rPr>
        <w:t xml:space="preserve">Does not include patients being co-dispensed non-opioid analgesia over the counter. </w:t>
      </w:r>
    </w:p>
    <w:p w14:paraId="25909E12" w14:textId="7E28D0F9" w:rsidR="008C2063" w:rsidRDefault="008C2063" w:rsidP="006C07D2">
      <w:pPr>
        <w:spacing w:after="0"/>
        <w:rPr>
          <w:sz w:val="20"/>
          <w:szCs w:val="20"/>
        </w:rPr>
      </w:pPr>
      <w:r w:rsidRPr="008C2063">
        <w:rPr>
          <w:sz w:val="20"/>
          <w:szCs w:val="20"/>
          <w:vertAlign w:val="superscript"/>
        </w:rPr>
        <w:t>2</w:t>
      </w:r>
      <w:r>
        <w:rPr>
          <w:sz w:val="20"/>
          <w:szCs w:val="20"/>
        </w:rPr>
        <w:t>For severe pain</w:t>
      </w:r>
      <w:r w:rsidR="00C8451E">
        <w:rPr>
          <w:sz w:val="20"/>
          <w:szCs w:val="20"/>
        </w:rPr>
        <w:t xml:space="preserve"> (see Appendix A for list of medications)</w:t>
      </w:r>
      <w:r w:rsidR="00C77143">
        <w:rPr>
          <w:sz w:val="20"/>
          <w:szCs w:val="20"/>
        </w:rPr>
        <w:t>.</w:t>
      </w:r>
    </w:p>
    <w:p w14:paraId="43005F32" w14:textId="77777777" w:rsidR="00D4546D" w:rsidRDefault="00D4546D" w:rsidP="00D4546D">
      <w:pPr>
        <w:spacing w:after="0"/>
        <w:rPr>
          <w:sz w:val="20"/>
          <w:szCs w:val="20"/>
        </w:rPr>
      </w:pPr>
      <w:r>
        <w:rPr>
          <w:sz w:val="20"/>
          <w:szCs w:val="20"/>
        </w:rPr>
        <w:t>Medication dispensed may not be specifically for treatment of migraine.</w:t>
      </w:r>
    </w:p>
    <w:p w14:paraId="58234660" w14:textId="77777777" w:rsidR="006C07D2" w:rsidRPr="005D3703" w:rsidRDefault="006C07D2" w:rsidP="006C07D2">
      <w:pPr>
        <w:spacing w:after="0"/>
      </w:pPr>
    </w:p>
    <w:p w14:paraId="7A461E44" w14:textId="3E429963" w:rsidR="006C07D2" w:rsidRPr="002827FD" w:rsidRDefault="006C07D2" w:rsidP="290FD5AE">
      <w:pPr>
        <w:spacing w:after="0"/>
        <w:rPr>
          <w:b/>
          <w:bCs/>
          <w:vertAlign w:val="superscript"/>
        </w:rPr>
      </w:pPr>
      <w:r w:rsidRPr="290FD5AE">
        <w:rPr>
          <w:b/>
          <w:bCs/>
        </w:rPr>
        <w:t xml:space="preserve">Table </w:t>
      </w:r>
      <w:r w:rsidR="0019329E">
        <w:rPr>
          <w:b/>
          <w:bCs/>
        </w:rPr>
        <w:t>7</w:t>
      </w:r>
      <w:r w:rsidRPr="290FD5AE">
        <w:rPr>
          <w:b/>
          <w:bCs/>
        </w:rPr>
        <w:t>: Patient co-dispensed a triptan or a</w:t>
      </w:r>
      <w:r w:rsidR="000F03BC">
        <w:rPr>
          <w:b/>
          <w:bCs/>
          <w:vertAlign w:val="superscript"/>
        </w:rPr>
        <w:t xml:space="preserve"> </w:t>
      </w:r>
      <w:r w:rsidR="000F03BC">
        <w:rPr>
          <w:b/>
          <w:bCs/>
        </w:rPr>
        <w:t>first</w:t>
      </w:r>
      <w:r w:rsidRPr="290FD5AE">
        <w:rPr>
          <w:b/>
          <w:bCs/>
        </w:rPr>
        <w:t xml:space="preserve"> line migraine prophylactic medication along with galcanezumab</w:t>
      </w:r>
    </w:p>
    <w:tbl>
      <w:tblPr>
        <w:tblStyle w:val="TableGrid"/>
        <w:tblW w:w="0" w:type="auto"/>
        <w:tblLook w:val="04A0" w:firstRow="1" w:lastRow="0" w:firstColumn="1" w:lastColumn="0" w:noHBand="0" w:noVBand="1"/>
      </w:tblPr>
      <w:tblGrid>
        <w:gridCol w:w="3241"/>
        <w:gridCol w:w="2853"/>
      </w:tblGrid>
      <w:tr w:rsidR="009732E5" w:rsidRPr="006F2BD9" w14:paraId="5ACF27AC" w14:textId="77777777">
        <w:tc>
          <w:tcPr>
            <w:tcW w:w="3241" w:type="dxa"/>
            <w:shd w:val="clear" w:color="auto" w:fill="BFBFBF" w:themeFill="background1" w:themeFillShade="BF"/>
          </w:tcPr>
          <w:p w14:paraId="6F0410E9" w14:textId="77777777" w:rsidR="009732E5" w:rsidRPr="006F2BD9" w:rsidRDefault="009732E5">
            <w:pPr>
              <w:rPr>
                <w:b/>
                <w:bCs/>
                <w:sz w:val="20"/>
                <w:szCs w:val="20"/>
              </w:rPr>
            </w:pPr>
            <w:r w:rsidRPr="006F2BD9">
              <w:rPr>
                <w:b/>
                <w:bCs/>
                <w:sz w:val="20"/>
                <w:szCs w:val="20"/>
              </w:rPr>
              <w:t>Triptan</w:t>
            </w:r>
          </w:p>
        </w:tc>
        <w:tc>
          <w:tcPr>
            <w:tcW w:w="2853" w:type="dxa"/>
            <w:shd w:val="clear" w:color="auto" w:fill="BFBFBF" w:themeFill="background1" w:themeFillShade="BF"/>
          </w:tcPr>
          <w:p w14:paraId="0A099E61" w14:textId="77777777" w:rsidR="009732E5" w:rsidRPr="006F2BD9" w:rsidRDefault="009732E5">
            <w:pPr>
              <w:jc w:val="center"/>
              <w:rPr>
                <w:b/>
                <w:bCs/>
                <w:sz w:val="20"/>
                <w:szCs w:val="20"/>
              </w:rPr>
            </w:pPr>
            <w:r w:rsidRPr="006F2BD9">
              <w:rPr>
                <w:b/>
                <w:bCs/>
                <w:sz w:val="20"/>
                <w:szCs w:val="20"/>
              </w:rPr>
              <w:t>Patients</w:t>
            </w:r>
          </w:p>
        </w:tc>
      </w:tr>
      <w:tr w:rsidR="009732E5" w:rsidRPr="006F2BD9" w14:paraId="22EC9FA7" w14:textId="77777777">
        <w:tc>
          <w:tcPr>
            <w:tcW w:w="3241" w:type="dxa"/>
          </w:tcPr>
          <w:p w14:paraId="5831C6AD" w14:textId="77777777" w:rsidR="009732E5" w:rsidRPr="006F2BD9" w:rsidRDefault="009732E5" w:rsidP="00FB7800">
            <w:pPr>
              <w:rPr>
                <w:sz w:val="20"/>
                <w:szCs w:val="20"/>
              </w:rPr>
            </w:pPr>
            <w:r w:rsidRPr="006F2BD9">
              <w:rPr>
                <w:sz w:val="20"/>
                <w:szCs w:val="20"/>
              </w:rPr>
              <w:t>RIZATRIPTAN</w:t>
            </w:r>
          </w:p>
        </w:tc>
        <w:tc>
          <w:tcPr>
            <w:tcW w:w="2853" w:type="dxa"/>
          </w:tcPr>
          <w:p w14:paraId="089FC8D9" w14:textId="77777777" w:rsidR="009732E5" w:rsidRPr="006F2BD9" w:rsidRDefault="009732E5" w:rsidP="00FB7800">
            <w:pPr>
              <w:jc w:val="center"/>
              <w:rPr>
                <w:sz w:val="20"/>
                <w:szCs w:val="20"/>
              </w:rPr>
            </w:pPr>
            <w:r w:rsidRPr="006F2BD9">
              <w:rPr>
                <w:sz w:val="20"/>
                <w:szCs w:val="20"/>
              </w:rPr>
              <w:t>743</w:t>
            </w:r>
          </w:p>
        </w:tc>
      </w:tr>
      <w:tr w:rsidR="009732E5" w:rsidRPr="006F2BD9" w14:paraId="41113763" w14:textId="77777777">
        <w:tc>
          <w:tcPr>
            <w:tcW w:w="3241" w:type="dxa"/>
          </w:tcPr>
          <w:p w14:paraId="6AB589BB" w14:textId="77777777" w:rsidR="009732E5" w:rsidRPr="006F2BD9" w:rsidRDefault="009732E5" w:rsidP="00FB7800">
            <w:pPr>
              <w:rPr>
                <w:sz w:val="20"/>
                <w:szCs w:val="20"/>
              </w:rPr>
            </w:pPr>
            <w:r w:rsidRPr="006F2BD9">
              <w:rPr>
                <w:sz w:val="20"/>
                <w:szCs w:val="20"/>
              </w:rPr>
              <w:t>ELETRIPTAN</w:t>
            </w:r>
          </w:p>
        </w:tc>
        <w:tc>
          <w:tcPr>
            <w:tcW w:w="2853" w:type="dxa"/>
          </w:tcPr>
          <w:p w14:paraId="5171B063" w14:textId="77777777" w:rsidR="009732E5" w:rsidRPr="006F2BD9" w:rsidRDefault="009732E5" w:rsidP="00FB7800">
            <w:pPr>
              <w:jc w:val="center"/>
              <w:rPr>
                <w:sz w:val="20"/>
                <w:szCs w:val="20"/>
              </w:rPr>
            </w:pPr>
            <w:r w:rsidRPr="006F2BD9">
              <w:rPr>
                <w:sz w:val="20"/>
                <w:szCs w:val="20"/>
              </w:rPr>
              <w:t>460</w:t>
            </w:r>
          </w:p>
        </w:tc>
      </w:tr>
      <w:tr w:rsidR="009732E5" w:rsidRPr="006F2BD9" w14:paraId="44D8D708" w14:textId="77777777">
        <w:tc>
          <w:tcPr>
            <w:tcW w:w="3241" w:type="dxa"/>
          </w:tcPr>
          <w:p w14:paraId="42ED8073" w14:textId="6025507F" w:rsidR="009732E5" w:rsidRPr="006F2BD9" w:rsidRDefault="009732E5" w:rsidP="00FB7800">
            <w:pPr>
              <w:rPr>
                <w:sz w:val="20"/>
                <w:szCs w:val="20"/>
              </w:rPr>
            </w:pPr>
            <w:r w:rsidRPr="006F2BD9">
              <w:rPr>
                <w:sz w:val="20"/>
                <w:szCs w:val="20"/>
              </w:rPr>
              <w:t>SUMATRIPTAN</w:t>
            </w:r>
          </w:p>
        </w:tc>
        <w:tc>
          <w:tcPr>
            <w:tcW w:w="2853" w:type="dxa"/>
          </w:tcPr>
          <w:p w14:paraId="2C658728" w14:textId="128E0875" w:rsidR="009732E5" w:rsidRPr="006F2BD9" w:rsidRDefault="009732E5" w:rsidP="00FB7800">
            <w:pPr>
              <w:jc w:val="center"/>
              <w:rPr>
                <w:sz w:val="20"/>
                <w:szCs w:val="20"/>
              </w:rPr>
            </w:pPr>
            <w:r w:rsidRPr="006F2BD9">
              <w:rPr>
                <w:sz w:val="20"/>
                <w:szCs w:val="20"/>
              </w:rPr>
              <w:t>448</w:t>
            </w:r>
          </w:p>
        </w:tc>
      </w:tr>
      <w:tr w:rsidR="009732E5" w:rsidRPr="006F2BD9" w14:paraId="5E3B5785" w14:textId="77777777">
        <w:tc>
          <w:tcPr>
            <w:tcW w:w="3241" w:type="dxa"/>
          </w:tcPr>
          <w:p w14:paraId="4C86B2E5" w14:textId="77777777" w:rsidR="009732E5" w:rsidRPr="006F2BD9" w:rsidRDefault="009732E5" w:rsidP="00FB7800">
            <w:pPr>
              <w:rPr>
                <w:sz w:val="20"/>
                <w:szCs w:val="20"/>
              </w:rPr>
            </w:pPr>
            <w:r w:rsidRPr="006F2BD9">
              <w:rPr>
                <w:sz w:val="20"/>
                <w:szCs w:val="20"/>
              </w:rPr>
              <w:t>NARATRIPTAN</w:t>
            </w:r>
          </w:p>
        </w:tc>
        <w:tc>
          <w:tcPr>
            <w:tcW w:w="2853" w:type="dxa"/>
          </w:tcPr>
          <w:p w14:paraId="6689E48A" w14:textId="77777777" w:rsidR="009732E5" w:rsidRPr="006F2BD9" w:rsidRDefault="009732E5" w:rsidP="00FB7800">
            <w:pPr>
              <w:jc w:val="center"/>
              <w:rPr>
                <w:sz w:val="20"/>
                <w:szCs w:val="20"/>
              </w:rPr>
            </w:pPr>
            <w:r w:rsidRPr="006F2BD9">
              <w:rPr>
                <w:sz w:val="20"/>
                <w:szCs w:val="20"/>
              </w:rPr>
              <w:t>93</w:t>
            </w:r>
          </w:p>
        </w:tc>
      </w:tr>
      <w:tr w:rsidR="009732E5" w:rsidRPr="006F2BD9" w14:paraId="27A73B77" w14:textId="77777777">
        <w:tc>
          <w:tcPr>
            <w:tcW w:w="3241" w:type="dxa"/>
          </w:tcPr>
          <w:p w14:paraId="49A8F225" w14:textId="77777777" w:rsidR="009732E5" w:rsidRPr="006F2BD9" w:rsidRDefault="009732E5" w:rsidP="00FB7800">
            <w:pPr>
              <w:rPr>
                <w:sz w:val="20"/>
                <w:szCs w:val="20"/>
              </w:rPr>
            </w:pPr>
            <w:r w:rsidRPr="006F2BD9">
              <w:rPr>
                <w:sz w:val="20"/>
                <w:szCs w:val="20"/>
              </w:rPr>
              <w:t>ZOLMITRIPTAN</w:t>
            </w:r>
          </w:p>
        </w:tc>
        <w:tc>
          <w:tcPr>
            <w:tcW w:w="2853" w:type="dxa"/>
          </w:tcPr>
          <w:p w14:paraId="715E4E9A" w14:textId="77777777" w:rsidR="009732E5" w:rsidRPr="006F2BD9" w:rsidRDefault="009732E5" w:rsidP="00FB7800">
            <w:pPr>
              <w:jc w:val="center"/>
              <w:rPr>
                <w:sz w:val="20"/>
                <w:szCs w:val="20"/>
              </w:rPr>
            </w:pPr>
            <w:r w:rsidRPr="006F2BD9">
              <w:rPr>
                <w:sz w:val="20"/>
                <w:szCs w:val="20"/>
              </w:rPr>
              <w:t>91</w:t>
            </w:r>
          </w:p>
        </w:tc>
      </w:tr>
      <w:tr w:rsidR="009732E5" w:rsidRPr="006F2BD9" w14:paraId="21C15C42" w14:textId="77777777" w:rsidTr="00AE333F">
        <w:tc>
          <w:tcPr>
            <w:tcW w:w="3241" w:type="dxa"/>
            <w:shd w:val="clear" w:color="auto" w:fill="BFBFBF" w:themeFill="background1" w:themeFillShade="BF"/>
          </w:tcPr>
          <w:p w14:paraId="55A1160D" w14:textId="77777777" w:rsidR="009732E5" w:rsidRPr="006F2BD9" w:rsidRDefault="009732E5" w:rsidP="00AA4F96">
            <w:pPr>
              <w:rPr>
                <w:b/>
                <w:bCs/>
                <w:sz w:val="20"/>
                <w:szCs w:val="20"/>
              </w:rPr>
            </w:pPr>
            <w:r w:rsidRPr="006F2BD9">
              <w:rPr>
                <w:b/>
                <w:bCs/>
                <w:sz w:val="20"/>
                <w:szCs w:val="20"/>
              </w:rPr>
              <w:t>1</w:t>
            </w:r>
            <w:r w:rsidRPr="006F2BD9">
              <w:rPr>
                <w:b/>
                <w:bCs/>
                <w:sz w:val="20"/>
                <w:szCs w:val="20"/>
                <w:vertAlign w:val="superscript"/>
              </w:rPr>
              <w:t>st</w:t>
            </w:r>
            <w:r w:rsidRPr="006F2BD9">
              <w:rPr>
                <w:b/>
                <w:bCs/>
                <w:sz w:val="20"/>
                <w:szCs w:val="20"/>
              </w:rPr>
              <w:t xml:space="preserve"> Line Prophylaxis</w:t>
            </w:r>
          </w:p>
        </w:tc>
        <w:tc>
          <w:tcPr>
            <w:tcW w:w="2853" w:type="dxa"/>
            <w:shd w:val="clear" w:color="auto" w:fill="BFBFBF" w:themeFill="background1" w:themeFillShade="BF"/>
          </w:tcPr>
          <w:p w14:paraId="1FD7D80D" w14:textId="77777777" w:rsidR="009732E5" w:rsidRPr="006F2BD9" w:rsidRDefault="009732E5" w:rsidP="00AA4F96">
            <w:pPr>
              <w:jc w:val="center"/>
              <w:rPr>
                <w:sz w:val="20"/>
                <w:szCs w:val="20"/>
              </w:rPr>
            </w:pPr>
            <w:r w:rsidRPr="006F2BD9">
              <w:rPr>
                <w:b/>
                <w:bCs/>
                <w:sz w:val="20"/>
                <w:szCs w:val="20"/>
              </w:rPr>
              <w:t>Patients</w:t>
            </w:r>
          </w:p>
        </w:tc>
      </w:tr>
      <w:tr w:rsidR="009732E5" w:rsidRPr="006F2BD9" w14:paraId="22C01F7C" w14:textId="77777777" w:rsidTr="00AE333F">
        <w:tc>
          <w:tcPr>
            <w:tcW w:w="3241" w:type="dxa"/>
            <w:shd w:val="clear" w:color="auto" w:fill="auto"/>
          </w:tcPr>
          <w:p w14:paraId="533D22A9" w14:textId="3993213A" w:rsidR="009732E5" w:rsidRPr="006F2BD9" w:rsidRDefault="009732E5" w:rsidP="00AE333F">
            <w:pPr>
              <w:rPr>
                <w:b/>
                <w:bCs/>
                <w:sz w:val="20"/>
                <w:szCs w:val="20"/>
              </w:rPr>
            </w:pPr>
            <w:r w:rsidRPr="006F2BD9">
              <w:rPr>
                <w:sz w:val="20"/>
                <w:szCs w:val="20"/>
              </w:rPr>
              <w:t>AMITRIPTYLINE</w:t>
            </w:r>
            <w:r w:rsidRPr="006F2BD9">
              <w:rPr>
                <w:sz w:val="20"/>
                <w:szCs w:val="20"/>
                <w:vertAlign w:val="superscript"/>
              </w:rPr>
              <w:t>1</w:t>
            </w:r>
          </w:p>
        </w:tc>
        <w:tc>
          <w:tcPr>
            <w:tcW w:w="2853" w:type="dxa"/>
            <w:shd w:val="clear" w:color="auto" w:fill="auto"/>
          </w:tcPr>
          <w:p w14:paraId="6B678B0D" w14:textId="5D9548F8" w:rsidR="009732E5" w:rsidRPr="006F2BD9" w:rsidRDefault="009732E5" w:rsidP="00AE333F">
            <w:pPr>
              <w:jc w:val="center"/>
              <w:rPr>
                <w:sz w:val="20"/>
                <w:szCs w:val="20"/>
              </w:rPr>
            </w:pPr>
            <w:r w:rsidRPr="006F2BD9">
              <w:rPr>
                <w:sz w:val="20"/>
                <w:szCs w:val="20"/>
              </w:rPr>
              <w:t>368</w:t>
            </w:r>
          </w:p>
        </w:tc>
      </w:tr>
      <w:tr w:rsidR="009732E5" w:rsidRPr="006F2BD9" w14:paraId="23E1EC1D" w14:textId="77777777" w:rsidTr="00AE333F">
        <w:tc>
          <w:tcPr>
            <w:tcW w:w="3241" w:type="dxa"/>
            <w:shd w:val="clear" w:color="auto" w:fill="FFFFFF" w:themeFill="background1"/>
          </w:tcPr>
          <w:p w14:paraId="11FD14EA" w14:textId="1632F4E6" w:rsidR="009732E5" w:rsidRPr="006F2BD9" w:rsidRDefault="009732E5" w:rsidP="00AE333F">
            <w:pPr>
              <w:rPr>
                <w:b/>
                <w:bCs/>
                <w:sz w:val="20"/>
                <w:szCs w:val="20"/>
              </w:rPr>
            </w:pPr>
            <w:r w:rsidRPr="006F2BD9">
              <w:rPr>
                <w:sz w:val="20"/>
                <w:szCs w:val="20"/>
              </w:rPr>
              <w:t>TOPIRAMATE</w:t>
            </w:r>
            <w:r w:rsidRPr="006F2BD9">
              <w:rPr>
                <w:sz w:val="20"/>
                <w:szCs w:val="20"/>
                <w:vertAlign w:val="superscript"/>
              </w:rPr>
              <w:t>2</w:t>
            </w:r>
          </w:p>
        </w:tc>
        <w:tc>
          <w:tcPr>
            <w:tcW w:w="2853" w:type="dxa"/>
            <w:shd w:val="clear" w:color="auto" w:fill="FFFFFF" w:themeFill="background1"/>
          </w:tcPr>
          <w:p w14:paraId="35180CAE" w14:textId="16758EB9" w:rsidR="009732E5" w:rsidRPr="006F2BD9" w:rsidRDefault="009732E5" w:rsidP="00AE333F">
            <w:pPr>
              <w:jc w:val="center"/>
              <w:rPr>
                <w:sz w:val="20"/>
                <w:szCs w:val="20"/>
              </w:rPr>
            </w:pPr>
            <w:r w:rsidRPr="006F2BD9">
              <w:rPr>
                <w:sz w:val="20"/>
                <w:szCs w:val="20"/>
              </w:rPr>
              <w:t>330</w:t>
            </w:r>
          </w:p>
        </w:tc>
      </w:tr>
      <w:tr w:rsidR="009732E5" w:rsidRPr="006F2BD9" w14:paraId="0B1B9BFD" w14:textId="77777777" w:rsidTr="00AE333F">
        <w:tc>
          <w:tcPr>
            <w:tcW w:w="3241" w:type="dxa"/>
            <w:shd w:val="clear" w:color="auto" w:fill="FFFFFF" w:themeFill="background1"/>
          </w:tcPr>
          <w:p w14:paraId="691CCD8A" w14:textId="154205DD" w:rsidR="009732E5" w:rsidRPr="006F2BD9" w:rsidRDefault="009732E5" w:rsidP="00AE333F">
            <w:pPr>
              <w:rPr>
                <w:sz w:val="20"/>
                <w:szCs w:val="20"/>
              </w:rPr>
            </w:pPr>
            <w:r w:rsidRPr="006F2BD9">
              <w:rPr>
                <w:sz w:val="20"/>
                <w:szCs w:val="20"/>
              </w:rPr>
              <w:t>CANDESARTAN</w:t>
            </w:r>
            <w:r w:rsidRPr="006F2BD9">
              <w:rPr>
                <w:sz w:val="20"/>
                <w:szCs w:val="20"/>
                <w:vertAlign w:val="superscript"/>
              </w:rPr>
              <w:t>1</w:t>
            </w:r>
          </w:p>
        </w:tc>
        <w:tc>
          <w:tcPr>
            <w:tcW w:w="2853" w:type="dxa"/>
            <w:shd w:val="clear" w:color="auto" w:fill="FFFFFF" w:themeFill="background1"/>
          </w:tcPr>
          <w:p w14:paraId="11061A9A" w14:textId="64ABFA0E" w:rsidR="009732E5" w:rsidRPr="006F2BD9" w:rsidRDefault="009732E5" w:rsidP="00AE333F">
            <w:pPr>
              <w:jc w:val="center"/>
              <w:rPr>
                <w:sz w:val="20"/>
                <w:szCs w:val="20"/>
              </w:rPr>
            </w:pPr>
            <w:r w:rsidRPr="006F2BD9">
              <w:rPr>
                <w:sz w:val="20"/>
                <w:szCs w:val="20"/>
              </w:rPr>
              <w:t>249</w:t>
            </w:r>
          </w:p>
        </w:tc>
      </w:tr>
      <w:tr w:rsidR="009732E5" w:rsidRPr="006F2BD9" w14:paraId="2CB6D0DA" w14:textId="77777777" w:rsidTr="00AE333F">
        <w:tc>
          <w:tcPr>
            <w:tcW w:w="3241" w:type="dxa"/>
            <w:shd w:val="clear" w:color="auto" w:fill="FFFFFF" w:themeFill="background1"/>
          </w:tcPr>
          <w:p w14:paraId="11492564" w14:textId="72EB7288" w:rsidR="009732E5" w:rsidRPr="006F2BD9" w:rsidRDefault="009732E5" w:rsidP="00AE333F">
            <w:pPr>
              <w:rPr>
                <w:sz w:val="20"/>
                <w:szCs w:val="20"/>
              </w:rPr>
            </w:pPr>
            <w:r w:rsidRPr="006F2BD9">
              <w:rPr>
                <w:sz w:val="20"/>
                <w:szCs w:val="20"/>
              </w:rPr>
              <w:t>PROPRANOLOL</w:t>
            </w:r>
            <w:r w:rsidRPr="006F2BD9">
              <w:rPr>
                <w:sz w:val="20"/>
                <w:szCs w:val="20"/>
                <w:vertAlign w:val="superscript"/>
              </w:rPr>
              <w:t>1</w:t>
            </w:r>
          </w:p>
        </w:tc>
        <w:tc>
          <w:tcPr>
            <w:tcW w:w="2853" w:type="dxa"/>
            <w:shd w:val="clear" w:color="auto" w:fill="FFFFFF" w:themeFill="background1"/>
          </w:tcPr>
          <w:p w14:paraId="3E2C1C89" w14:textId="3B4D38F9" w:rsidR="009732E5" w:rsidRPr="006F2BD9" w:rsidRDefault="009732E5" w:rsidP="00AE333F">
            <w:pPr>
              <w:jc w:val="center"/>
              <w:rPr>
                <w:sz w:val="20"/>
                <w:szCs w:val="20"/>
              </w:rPr>
            </w:pPr>
            <w:r w:rsidRPr="006F2BD9">
              <w:rPr>
                <w:sz w:val="20"/>
                <w:szCs w:val="20"/>
              </w:rPr>
              <w:t>173</w:t>
            </w:r>
          </w:p>
        </w:tc>
      </w:tr>
      <w:tr w:rsidR="009732E5" w:rsidRPr="006F2BD9" w14:paraId="0A52F536" w14:textId="77777777" w:rsidTr="00AE333F">
        <w:tc>
          <w:tcPr>
            <w:tcW w:w="3241" w:type="dxa"/>
            <w:shd w:val="clear" w:color="auto" w:fill="FFFFFF" w:themeFill="background1"/>
          </w:tcPr>
          <w:p w14:paraId="2D2BD174" w14:textId="1585DF0D" w:rsidR="009732E5" w:rsidRPr="006F2BD9" w:rsidRDefault="009732E5" w:rsidP="00AE333F">
            <w:pPr>
              <w:rPr>
                <w:b/>
                <w:bCs/>
                <w:sz w:val="20"/>
                <w:szCs w:val="20"/>
              </w:rPr>
            </w:pPr>
            <w:r w:rsidRPr="006F2BD9">
              <w:rPr>
                <w:sz w:val="20"/>
                <w:szCs w:val="20"/>
              </w:rPr>
              <w:t>PIZOTIFEN</w:t>
            </w:r>
            <w:r w:rsidRPr="006F2BD9">
              <w:rPr>
                <w:sz w:val="20"/>
                <w:szCs w:val="20"/>
                <w:vertAlign w:val="superscript"/>
              </w:rPr>
              <w:t>3</w:t>
            </w:r>
          </w:p>
        </w:tc>
        <w:tc>
          <w:tcPr>
            <w:tcW w:w="2853" w:type="dxa"/>
            <w:shd w:val="clear" w:color="auto" w:fill="FFFFFF" w:themeFill="background1"/>
          </w:tcPr>
          <w:p w14:paraId="050F1C78" w14:textId="24D314F0" w:rsidR="009732E5" w:rsidRPr="006F2BD9" w:rsidRDefault="009732E5" w:rsidP="00AE333F">
            <w:pPr>
              <w:jc w:val="center"/>
              <w:rPr>
                <w:sz w:val="20"/>
                <w:szCs w:val="20"/>
              </w:rPr>
            </w:pPr>
            <w:r w:rsidRPr="006F2BD9">
              <w:rPr>
                <w:sz w:val="20"/>
                <w:szCs w:val="20"/>
              </w:rPr>
              <w:t>78</w:t>
            </w:r>
          </w:p>
        </w:tc>
      </w:tr>
      <w:tr w:rsidR="009732E5" w:rsidRPr="006F2BD9" w14:paraId="3F3B0FA3" w14:textId="77777777" w:rsidTr="00AE333F">
        <w:tc>
          <w:tcPr>
            <w:tcW w:w="3241" w:type="dxa"/>
            <w:shd w:val="clear" w:color="auto" w:fill="FFFFFF" w:themeFill="background1"/>
          </w:tcPr>
          <w:p w14:paraId="15619697" w14:textId="617AE553" w:rsidR="009732E5" w:rsidRPr="006F2BD9" w:rsidRDefault="009732E5" w:rsidP="00FB705A">
            <w:pPr>
              <w:rPr>
                <w:sz w:val="20"/>
                <w:szCs w:val="20"/>
              </w:rPr>
            </w:pPr>
            <w:r w:rsidRPr="006F2BD9">
              <w:rPr>
                <w:sz w:val="20"/>
                <w:szCs w:val="20"/>
              </w:rPr>
              <w:t>NORTRIPTYLINE</w:t>
            </w:r>
            <w:r w:rsidRPr="006F2BD9">
              <w:rPr>
                <w:sz w:val="20"/>
                <w:szCs w:val="20"/>
                <w:vertAlign w:val="superscript"/>
              </w:rPr>
              <w:t>4</w:t>
            </w:r>
          </w:p>
        </w:tc>
        <w:tc>
          <w:tcPr>
            <w:tcW w:w="2853" w:type="dxa"/>
            <w:shd w:val="clear" w:color="auto" w:fill="FFFFFF" w:themeFill="background1"/>
          </w:tcPr>
          <w:p w14:paraId="5BDAE630" w14:textId="54ECF166" w:rsidR="009732E5" w:rsidRPr="006F2BD9" w:rsidRDefault="009732E5" w:rsidP="00FB705A">
            <w:pPr>
              <w:jc w:val="center"/>
              <w:rPr>
                <w:sz w:val="20"/>
                <w:szCs w:val="20"/>
              </w:rPr>
            </w:pPr>
            <w:r w:rsidRPr="006F2BD9">
              <w:rPr>
                <w:sz w:val="20"/>
                <w:szCs w:val="20"/>
              </w:rPr>
              <w:t>52</w:t>
            </w:r>
          </w:p>
        </w:tc>
      </w:tr>
      <w:tr w:rsidR="009732E5" w:rsidRPr="006F2BD9" w14:paraId="1411F310" w14:textId="77777777" w:rsidTr="00AE333F">
        <w:tc>
          <w:tcPr>
            <w:tcW w:w="3241" w:type="dxa"/>
            <w:shd w:val="clear" w:color="auto" w:fill="FFFFFF" w:themeFill="background1"/>
          </w:tcPr>
          <w:p w14:paraId="19044892" w14:textId="19DA178C" w:rsidR="009732E5" w:rsidRPr="006F2BD9" w:rsidRDefault="009732E5" w:rsidP="00FB705A">
            <w:pPr>
              <w:rPr>
                <w:sz w:val="20"/>
                <w:szCs w:val="20"/>
              </w:rPr>
            </w:pPr>
            <w:r w:rsidRPr="006F2BD9">
              <w:rPr>
                <w:sz w:val="20"/>
                <w:szCs w:val="20"/>
              </w:rPr>
              <w:t>VALPROATE</w:t>
            </w:r>
            <w:r w:rsidRPr="006F2BD9">
              <w:rPr>
                <w:sz w:val="20"/>
                <w:szCs w:val="20"/>
                <w:vertAlign w:val="superscript"/>
              </w:rPr>
              <w:t>1</w:t>
            </w:r>
          </w:p>
        </w:tc>
        <w:tc>
          <w:tcPr>
            <w:tcW w:w="2853" w:type="dxa"/>
            <w:shd w:val="clear" w:color="auto" w:fill="FFFFFF" w:themeFill="background1"/>
          </w:tcPr>
          <w:p w14:paraId="5460BC24" w14:textId="5BCC3000" w:rsidR="009732E5" w:rsidRPr="006F2BD9" w:rsidRDefault="009732E5" w:rsidP="00FB705A">
            <w:pPr>
              <w:jc w:val="center"/>
              <w:rPr>
                <w:sz w:val="20"/>
                <w:szCs w:val="20"/>
              </w:rPr>
            </w:pPr>
            <w:r w:rsidRPr="006F2BD9">
              <w:rPr>
                <w:sz w:val="20"/>
                <w:szCs w:val="20"/>
              </w:rPr>
              <w:t>44</w:t>
            </w:r>
          </w:p>
        </w:tc>
      </w:tr>
      <w:tr w:rsidR="009732E5" w:rsidRPr="006F2BD9" w14:paraId="465552D5" w14:textId="77777777" w:rsidTr="00AE333F">
        <w:tc>
          <w:tcPr>
            <w:tcW w:w="3241" w:type="dxa"/>
            <w:shd w:val="clear" w:color="auto" w:fill="FFFFFF" w:themeFill="background1"/>
          </w:tcPr>
          <w:p w14:paraId="542EFFA3" w14:textId="48DE80C1" w:rsidR="009732E5" w:rsidRPr="006F2BD9" w:rsidRDefault="009732E5" w:rsidP="00FB705A">
            <w:pPr>
              <w:rPr>
                <w:sz w:val="20"/>
                <w:szCs w:val="20"/>
              </w:rPr>
            </w:pPr>
            <w:r w:rsidRPr="006F2BD9">
              <w:rPr>
                <w:sz w:val="20"/>
                <w:szCs w:val="20"/>
              </w:rPr>
              <w:t>VERAPAMIL</w:t>
            </w:r>
            <w:r w:rsidRPr="006F2BD9">
              <w:rPr>
                <w:sz w:val="20"/>
                <w:szCs w:val="20"/>
                <w:vertAlign w:val="superscript"/>
              </w:rPr>
              <w:t>1</w:t>
            </w:r>
          </w:p>
        </w:tc>
        <w:tc>
          <w:tcPr>
            <w:tcW w:w="2853" w:type="dxa"/>
            <w:shd w:val="clear" w:color="auto" w:fill="FFFFFF" w:themeFill="background1"/>
          </w:tcPr>
          <w:p w14:paraId="2A1204CE" w14:textId="1AFE576A" w:rsidR="009732E5" w:rsidRPr="006F2BD9" w:rsidRDefault="009732E5" w:rsidP="00FB705A">
            <w:pPr>
              <w:jc w:val="center"/>
              <w:rPr>
                <w:sz w:val="20"/>
                <w:szCs w:val="20"/>
              </w:rPr>
            </w:pPr>
            <w:r w:rsidRPr="006F2BD9">
              <w:rPr>
                <w:sz w:val="20"/>
                <w:szCs w:val="20"/>
              </w:rPr>
              <w:t>41</w:t>
            </w:r>
          </w:p>
        </w:tc>
      </w:tr>
    </w:tbl>
    <w:p w14:paraId="525B81D6" w14:textId="142EEE73" w:rsidR="00C27F1D" w:rsidRPr="006F2BD9" w:rsidRDefault="006C07D2" w:rsidP="006C07D2">
      <w:pPr>
        <w:spacing w:after="0"/>
        <w:rPr>
          <w:sz w:val="20"/>
          <w:szCs w:val="20"/>
        </w:rPr>
      </w:pPr>
      <w:r w:rsidRPr="006F2BD9">
        <w:rPr>
          <w:sz w:val="20"/>
          <w:szCs w:val="20"/>
        </w:rPr>
        <w:t>Note:</w:t>
      </w:r>
    </w:p>
    <w:p w14:paraId="3949B8D3" w14:textId="206BBAC7" w:rsidR="006C07D2" w:rsidRPr="006F2BD9" w:rsidRDefault="00DD15AC" w:rsidP="006C07D2">
      <w:pPr>
        <w:spacing w:after="0"/>
        <w:rPr>
          <w:sz w:val="20"/>
          <w:szCs w:val="20"/>
        </w:rPr>
      </w:pPr>
      <w:r w:rsidRPr="006F2BD9">
        <w:rPr>
          <w:sz w:val="20"/>
          <w:szCs w:val="20"/>
          <w:vertAlign w:val="superscript"/>
        </w:rPr>
        <w:t>1</w:t>
      </w:r>
      <w:r w:rsidR="006C07D2" w:rsidRPr="006F2BD9">
        <w:rPr>
          <w:sz w:val="20"/>
          <w:szCs w:val="20"/>
        </w:rPr>
        <w:t>Medication dispensed may not be specifically for migraine prophylaxis.</w:t>
      </w:r>
    </w:p>
    <w:p w14:paraId="4CAC9C84" w14:textId="108BC0D7" w:rsidR="00F02132" w:rsidRPr="006F2BD9" w:rsidRDefault="00DD15AC" w:rsidP="00AE1B4C">
      <w:pPr>
        <w:spacing w:after="0"/>
        <w:rPr>
          <w:sz w:val="20"/>
          <w:szCs w:val="20"/>
        </w:rPr>
      </w:pPr>
      <w:r w:rsidRPr="006F2BD9">
        <w:rPr>
          <w:sz w:val="20"/>
          <w:szCs w:val="20"/>
          <w:vertAlign w:val="superscript"/>
        </w:rPr>
        <w:t>2</w:t>
      </w:r>
      <w:r w:rsidR="00AE1B4C" w:rsidRPr="006F2BD9">
        <w:rPr>
          <w:sz w:val="20"/>
          <w:szCs w:val="20"/>
        </w:rPr>
        <w:t xml:space="preserve">Authority Required (STREAMLINED) code 14901 for </w:t>
      </w:r>
      <w:r w:rsidR="00436C0C" w:rsidRPr="006F2BD9">
        <w:rPr>
          <w:sz w:val="20"/>
          <w:szCs w:val="20"/>
        </w:rPr>
        <w:t>m</w:t>
      </w:r>
      <w:r w:rsidR="00AE1B4C" w:rsidRPr="006F2BD9">
        <w:rPr>
          <w:sz w:val="20"/>
          <w:szCs w:val="20"/>
        </w:rPr>
        <w:t>igraine.</w:t>
      </w:r>
    </w:p>
    <w:p w14:paraId="78602C3E" w14:textId="0F8B47E8" w:rsidR="00AE1B4C" w:rsidRPr="006F2BD9" w:rsidRDefault="00DD15AC" w:rsidP="00333C8E">
      <w:pPr>
        <w:spacing w:after="0"/>
        <w:rPr>
          <w:sz w:val="20"/>
          <w:szCs w:val="20"/>
        </w:rPr>
      </w:pPr>
      <w:r w:rsidRPr="006F2BD9">
        <w:rPr>
          <w:sz w:val="20"/>
          <w:szCs w:val="20"/>
          <w:vertAlign w:val="superscript"/>
        </w:rPr>
        <w:t>3</w:t>
      </w:r>
      <w:r w:rsidR="008A6773" w:rsidRPr="006F2BD9">
        <w:rPr>
          <w:sz w:val="20"/>
          <w:szCs w:val="20"/>
        </w:rPr>
        <w:t xml:space="preserve">TGA indicated for </w:t>
      </w:r>
      <w:r w:rsidR="00333C8E" w:rsidRPr="006F2BD9">
        <w:rPr>
          <w:sz w:val="20"/>
          <w:szCs w:val="20"/>
        </w:rPr>
        <w:t>Prophylactic (interval) treatment of vascular headaches</w:t>
      </w:r>
      <w:r w:rsidR="001452A7" w:rsidRPr="006F2BD9">
        <w:rPr>
          <w:sz w:val="20"/>
          <w:szCs w:val="20"/>
        </w:rPr>
        <w:t xml:space="preserve"> </w:t>
      </w:r>
      <w:r w:rsidR="00436C0C" w:rsidRPr="006F2BD9">
        <w:rPr>
          <w:sz w:val="20"/>
          <w:szCs w:val="20"/>
        </w:rPr>
        <w:t>including t</w:t>
      </w:r>
      <w:r w:rsidR="00333C8E" w:rsidRPr="006F2BD9">
        <w:rPr>
          <w:sz w:val="20"/>
          <w:szCs w:val="20"/>
        </w:rPr>
        <w:t>ypical and atypical migraine</w:t>
      </w:r>
      <w:r w:rsidR="001452A7" w:rsidRPr="006F2BD9">
        <w:rPr>
          <w:sz w:val="20"/>
          <w:szCs w:val="20"/>
        </w:rPr>
        <w:t>, v</w:t>
      </w:r>
      <w:r w:rsidR="00333C8E" w:rsidRPr="006F2BD9">
        <w:rPr>
          <w:sz w:val="20"/>
          <w:szCs w:val="20"/>
        </w:rPr>
        <w:t>asomotor headache</w:t>
      </w:r>
      <w:r w:rsidR="001452A7" w:rsidRPr="006F2BD9">
        <w:rPr>
          <w:sz w:val="20"/>
          <w:szCs w:val="20"/>
        </w:rPr>
        <w:t>, and</w:t>
      </w:r>
      <w:r w:rsidR="00333C8E" w:rsidRPr="006F2BD9">
        <w:rPr>
          <w:sz w:val="20"/>
          <w:szCs w:val="20"/>
        </w:rPr>
        <w:t xml:space="preserve"> </w:t>
      </w:r>
      <w:r w:rsidR="008A6773" w:rsidRPr="006F2BD9">
        <w:rPr>
          <w:sz w:val="20"/>
          <w:szCs w:val="20"/>
        </w:rPr>
        <w:t>c</w:t>
      </w:r>
      <w:r w:rsidR="00333C8E" w:rsidRPr="006F2BD9">
        <w:rPr>
          <w:sz w:val="20"/>
          <w:szCs w:val="20"/>
        </w:rPr>
        <w:t>luster headache (Horton's syndrome)</w:t>
      </w:r>
      <w:r w:rsidR="008A6773" w:rsidRPr="006F2BD9">
        <w:rPr>
          <w:sz w:val="20"/>
          <w:szCs w:val="20"/>
        </w:rPr>
        <w:t>.</w:t>
      </w:r>
    </w:p>
    <w:p w14:paraId="537F572D" w14:textId="301ED289" w:rsidR="003A3CF9" w:rsidRPr="006F2BD9" w:rsidRDefault="003A3CF9" w:rsidP="00333C8E">
      <w:pPr>
        <w:spacing w:after="0"/>
        <w:rPr>
          <w:sz w:val="20"/>
          <w:szCs w:val="20"/>
        </w:rPr>
      </w:pPr>
      <w:r w:rsidRPr="006F2BD9">
        <w:rPr>
          <w:sz w:val="20"/>
          <w:szCs w:val="20"/>
          <w:vertAlign w:val="superscript"/>
        </w:rPr>
        <w:t>4</w:t>
      </w:r>
      <w:r w:rsidRPr="006F2BD9">
        <w:rPr>
          <w:sz w:val="20"/>
          <w:szCs w:val="20"/>
        </w:rPr>
        <w:t>PBS restricted for major depression only.</w:t>
      </w:r>
    </w:p>
    <w:p w14:paraId="5C444ED7" w14:textId="77777777" w:rsidR="006C07D2" w:rsidRDefault="006C07D2" w:rsidP="006C07D2">
      <w:pPr>
        <w:spacing w:after="0"/>
      </w:pPr>
    </w:p>
    <w:p w14:paraId="40D9AC36" w14:textId="7C5B6F3B" w:rsidR="006C07D2" w:rsidRPr="002827FD" w:rsidRDefault="002827FD" w:rsidP="006C07D2">
      <w:pPr>
        <w:spacing w:after="0"/>
        <w:rPr>
          <w:b/>
          <w:bCs/>
        </w:rPr>
      </w:pPr>
      <w:r w:rsidRPr="002827FD">
        <w:rPr>
          <w:b/>
          <w:bCs/>
        </w:rPr>
        <w:t xml:space="preserve">Table </w:t>
      </w:r>
      <w:r w:rsidR="00C8451E">
        <w:rPr>
          <w:b/>
          <w:bCs/>
        </w:rPr>
        <w:t>8:</w:t>
      </w:r>
      <w:r w:rsidRPr="002827FD">
        <w:rPr>
          <w:b/>
          <w:bCs/>
        </w:rPr>
        <w:t xml:space="preserve"> </w:t>
      </w:r>
      <w:r w:rsidR="006C07D2" w:rsidRPr="002827FD">
        <w:rPr>
          <w:b/>
          <w:bCs/>
        </w:rPr>
        <w:t>Patient co-dispensed analgesia along with fremanezumab</w:t>
      </w:r>
      <w:r w:rsidR="006C07D2" w:rsidRPr="002827FD">
        <w:rPr>
          <w:b/>
          <w:bCs/>
          <w:vertAlign w:val="superscript"/>
        </w:rPr>
        <w:t xml:space="preserve"> 1</w:t>
      </w:r>
    </w:p>
    <w:tbl>
      <w:tblPr>
        <w:tblStyle w:val="TableGrid"/>
        <w:tblW w:w="0" w:type="auto"/>
        <w:tblLook w:val="04A0" w:firstRow="1" w:lastRow="0" w:firstColumn="1" w:lastColumn="0" w:noHBand="0" w:noVBand="1"/>
      </w:tblPr>
      <w:tblGrid>
        <w:gridCol w:w="3241"/>
        <w:gridCol w:w="2853"/>
      </w:tblGrid>
      <w:tr w:rsidR="00920EB3" w14:paraId="5595A119" w14:textId="77777777">
        <w:tc>
          <w:tcPr>
            <w:tcW w:w="3241" w:type="dxa"/>
            <w:shd w:val="clear" w:color="auto" w:fill="BFBFBF" w:themeFill="background1" w:themeFillShade="BF"/>
          </w:tcPr>
          <w:p w14:paraId="79B05999" w14:textId="77777777" w:rsidR="00920EB3" w:rsidRPr="00433D34" w:rsidRDefault="00920EB3">
            <w:pPr>
              <w:rPr>
                <w:b/>
                <w:bCs/>
                <w:sz w:val="20"/>
                <w:szCs w:val="20"/>
              </w:rPr>
            </w:pPr>
            <w:r w:rsidRPr="00433D34">
              <w:rPr>
                <w:b/>
                <w:bCs/>
                <w:sz w:val="20"/>
                <w:szCs w:val="20"/>
              </w:rPr>
              <w:t>Analgesia</w:t>
            </w:r>
          </w:p>
        </w:tc>
        <w:tc>
          <w:tcPr>
            <w:tcW w:w="2853" w:type="dxa"/>
            <w:shd w:val="clear" w:color="auto" w:fill="BFBFBF" w:themeFill="background1" w:themeFillShade="BF"/>
          </w:tcPr>
          <w:p w14:paraId="7D6A3572" w14:textId="77777777" w:rsidR="00920EB3" w:rsidRPr="00433D34" w:rsidRDefault="00920EB3">
            <w:pPr>
              <w:jc w:val="center"/>
              <w:rPr>
                <w:b/>
                <w:bCs/>
                <w:sz w:val="20"/>
                <w:szCs w:val="20"/>
              </w:rPr>
            </w:pPr>
            <w:r w:rsidRPr="00433D34">
              <w:rPr>
                <w:b/>
                <w:bCs/>
                <w:sz w:val="20"/>
                <w:szCs w:val="20"/>
              </w:rPr>
              <w:t>Patients</w:t>
            </w:r>
          </w:p>
        </w:tc>
      </w:tr>
      <w:tr w:rsidR="00920EB3" w14:paraId="5DC9ACDC" w14:textId="77777777">
        <w:tc>
          <w:tcPr>
            <w:tcW w:w="3241" w:type="dxa"/>
          </w:tcPr>
          <w:p w14:paraId="68521745" w14:textId="77777777" w:rsidR="00920EB3" w:rsidRPr="00BB6A1B" w:rsidRDefault="00920EB3">
            <w:pPr>
              <w:rPr>
                <w:caps/>
                <w:sz w:val="20"/>
                <w:szCs w:val="20"/>
              </w:rPr>
            </w:pPr>
            <w:r w:rsidRPr="00BB6A1B">
              <w:rPr>
                <w:caps/>
                <w:sz w:val="20"/>
                <w:szCs w:val="20"/>
              </w:rPr>
              <w:t>Diclofenac</w:t>
            </w:r>
          </w:p>
        </w:tc>
        <w:tc>
          <w:tcPr>
            <w:tcW w:w="2853" w:type="dxa"/>
          </w:tcPr>
          <w:p w14:paraId="30538E14" w14:textId="77777777" w:rsidR="00920EB3" w:rsidRPr="00433D34" w:rsidRDefault="00920EB3">
            <w:pPr>
              <w:jc w:val="center"/>
              <w:rPr>
                <w:sz w:val="20"/>
                <w:szCs w:val="20"/>
              </w:rPr>
            </w:pPr>
            <w:r>
              <w:rPr>
                <w:sz w:val="20"/>
                <w:szCs w:val="20"/>
              </w:rPr>
              <w:t>122</w:t>
            </w:r>
          </w:p>
        </w:tc>
      </w:tr>
      <w:tr w:rsidR="00920EB3" w14:paraId="4689F662" w14:textId="77777777">
        <w:tc>
          <w:tcPr>
            <w:tcW w:w="3241" w:type="dxa"/>
          </w:tcPr>
          <w:p w14:paraId="1CF94D04" w14:textId="77777777" w:rsidR="00920EB3" w:rsidRPr="00BB6A1B" w:rsidRDefault="00920EB3">
            <w:pPr>
              <w:rPr>
                <w:caps/>
                <w:sz w:val="20"/>
                <w:szCs w:val="20"/>
              </w:rPr>
            </w:pPr>
            <w:r w:rsidRPr="00BB6A1B">
              <w:rPr>
                <w:caps/>
                <w:sz w:val="20"/>
                <w:szCs w:val="20"/>
              </w:rPr>
              <w:t>Ibuprofen</w:t>
            </w:r>
          </w:p>
        </w:tc>
        <w:tc>
          <w:tcPr>
            <w:tcW w:w="2853" w:type="dxa"/>
          </w:tcPr>
          <w:p w14:paraId="230C44CF" w14:textId="77777777" w:rsidR="00920EB3" w:rsidRPr="00433D34" w:rsidRDefault="00920EB3">
            <w:pPr>
              <w:jc w:val="center"/>
              <w:rPr>
                <w:sz w:val="20"/>
                <w:szCs w:val="20"/>
              </w:rPr>
            </w:pPr>
            <w:r>
              <w:rPr>
                <w:sz w:val="20"/>
                <w:szCs w:val="20"/>
              </w:rPr>
              <w:t>17</w:t>
            </w:r>
          </w:p>
        </w:tc>
      </w:tr>
      <w:tr w:rsidR="00920EB3" w14:paraId="5745FA2B" w14:textId="77777777">
        <w:tc>
          <w:tcPr>
            <w:tcW w:w="3241" w:type="dxa"/>
          </w:tcPr>
          <w:p w14:paraId="35BDD635" w14:textId="77777777" w:rsidR="00920EB3" w:rsidRPr="00BB6A1B" w:rsidRDefault="00920EB3">
            <w:pPr>
              <w:rPr>
                <w:caps/>
                <w:sz w:val="20"/>
                <w:szCs w:val="20"/>
              </w:rPr>
            </w:pPr>
            <w:r w:rsidRPr="00BB6A1B">
              <w:rPr>
                <w:caps/>
                <w:sz w:val="20"/>
                <w:szCs w:val="20"/>
              </w:rPr>
              <w:t>Asprin</w:t>
            </w:r>
          </w:p>
        </w:tc>
        <w:tc>
          <w:tcPr>
            <w:tcW w:w="2853" w:type="dxa"/>
          </w:tcPr>
          <w:p w14:paraId="4ECF8978" w14:textId="3DDB7758" w:rsidR="00920EB3" w:rsidRPr="00433D34" w:rsidRDefault="00C0443A">
            <w:pPr>
              <w:jc w:val="center"/>
              <w:rPr>
                <w:sz w:val="20"/>
                <w:szCs w:val="20"/>
              </w:rPr>
            </w:pPr>
            <w:r>
              <w:rPr>
                <w:sz w:val="20"/>
                <w:szCs w:val="20"/>
              </w:rPr>
              <w:t>&lt;5</w:t>
            </w:r>
          </w:p>
        </w:tc>
      </w:tr>
      <w:tr w:rsidR="00C77143" w14:paraId="53FC02BF" w14:textId="77777777">
        <w:tc>
          <w:tcPr>
            <w:tcW w:w="3241" w:type="dxa"/>
          </w:tcPr>
          <w:p w14:paraId="1E20332E" w14:textId="1E937CD0" w:rsidR="00C77143" w:rsidRPr="00BB6A1B" w:rsidRDefault="00C77143">
            <w:pPr>
              <w:rPr>
                <w:caps/>
                <w:sz w:val="20"/>
                <w:szCs w:val="20"/>
              </w:rPr>
            </w:pPr>
            <w:r>
              <w:rPr>
                <w:caps/>
                <w:sz w:val="20"/>
                <w:szCs w:val="20"/>
              </w:rPr>
              <w:t>Opioid</w:t>
            </w:r>
            <w:r w:rsidRPr="008C2063">
              <w:rPr>
                <w:caps/>
                <w:sz w:val="20"/>
                <w:szCs w:val="20"/>
                <w:vertAlign w:val="superscript"/>
              </w:rPr>
              <w:t>2</w:t>
            </w:r>
          </w:p>
        </w:tc>
        <w:tc>
          <w:tcPr>
            <w:tcW w:w="2853" w:type="dxa"/>
          </w:tcPr>
          <w:p w14:paraId="54582122" w14:textId="470C9316" w:rsidR="00C77143" w:rsidRDefault="00ED6C00">
            <w:pPr>
              <w:jc w:val="center"/>
              <w:rPr>
                <w:sz w:val="20"/>
                <w:szCs w:val="20"/>
              </w:rPr>
            </w:pPr>
            <w:r>
              <w:rPr>
                <w:sz w:val="20"/>
                <w:szCs w:val="20"/>
              </w:rPr>
              <w:t>104</w:t>
            </w:r>
          </w:p>
        </w:tc>
      </w:tr>
    </w:tbl>
    <w:p w14:paraId="329B3A15" w14:textId="77777777" w:rsidR="006C07D2" w:rsidRDefault="006C07D2" w:rsidP="006C07D2">
      <w:pPr>
        <w:spacing w:after="0"/>
        <w:rPr>
          <w:sz w:val="20"/>
          <w:szCs w:val="20"/>
        </w:rPr>
      </w:pPr>
      <w:r w:rsidRPr="008957CE">
        <w:rPr>
          <w:sz w:val="20"/>
          <w:szCs w:val="20"/>
        </w:rPr>
        <w:t>Note:</w:t>
      </w:r>
    </w:p>
    <w:p w14:paraId="6C7ACEC1" w14:textId="40A2FE10" w:rsidR="006C07D2" w:rsidRDefault="006C07D2" w:rsidP="006C07D2">
      <w:pPr>
        <w:spacing w:after="0"/>
        <w:rPr>
          <w:sz w:val="20"/>
          <w:szCs w:val="20"/>
        </w:rPr>
      </w:pPr>
      <w:r w:rsidRPr="00AF11A1">
        <w:rPr>
          <w:sz w:val="20"/>
          <w:szCs w:val="20"/>
          <w:vertAlign w:val="superscript"/>
        </w:rPr>
        <w:t>1</w:t>
      </w:r>
      <w:r>
        <w:rPr>
          <w:sz w:val="20"/>
          <w:szCs w:val="20"/>
        </w:rPr>
        <w:t xml:space="preserve">Does not include patients being co-dispensed non-opioid analgesia over the counter. </w:t>
      </w:r>
    </w:p>
    <w:p w14:paraId="63E49249" w14:textId="47EFCD37" w:rsidR="00C77143" w:rsidRDefault="00C77143" w:rsidP="00C77143">
      <w:pPr>
        <w:spacing w:after="0"/>
        <w:rPr>
          <w:sz w:val="20"/>
          <w:szCs w:val="20"/>
        </w:rPr>
      </w:pPr>
      <w:r w:rsidRPr="008C2063">
        <w:rPr>
          <w:sz w:val="20"/>
          <w:szCs w:val="20"/>
          <w:vertAlign w:val="superscript"/>
        </w:rPr>
        <w:t>2</w:t>
      </w:r>
      <w:r>
        <w:rPr>
          <w:sz w:val="20"/>
          <w:szCs w:val="20"/>
        </w:rPr>
        <w:t>For severe pain</w:t>
      </w:r>
      <w:r w:rsidR="00C8451E">
        <w:rPr>
          <w:sz w:val="20"/>
          <w:szCs w:val="20"/>
        </w:rPr>
        <w:t xml:space="preserve"> (see Appendix A for list of medications)</w:t>
      </w:r>
      <w:r>
        <w:rPr>
          <w:sz w:val="20"/>
          <w:szCs w:val="20"/>
        </w:rPr>
        <w:t>.</w:t>
      </w:r>
    </w:p>
    <w:p w14:paraId="0CAC71D9" w14:textId="77777777" w:rsidR="00D4546D" w:rsidRDefault="00D4546D" w:rsidP="00D4546D">
      <w:pPr>
        <w:spacing w:after="0"/>
        <w:rPr>
          <w:sz w:val="20"/>
          <w:szCs w:val="20"/>
        </w:rPr>
      </w:pPr>
      <w:r>
        <w:rPr>
          <w:sz w:val="20"/>
          <w:szCs w:val="20"/>
        </w:rPr>
        <w:t>Medication dispensed may not be specifically for treatment of migraine.</w:t>
      </w:r>
    </w:p>
    <w:p w14:paraId="3BA9E100" w14:textId="77777777" w:rsidR="00FD6385" w:rsidRDefault="00FD6385" w:rsidP="006C07D2">
      <w:pPr>
        <w:spacing w:after="0"/>
      </w:pPr>
    </w:p>
    <w:p w14:paraId="135502B0" w14:textId="77777777" w:rsidR="006301E2" w:rsidRDefault="006301E2" w:rsidP="006C07D2">
      <w:pPr>
        <w:spacing w:after="0"/>
      </w:pPr>
    </w:p>
    <w:p w14:paraId="35C33160" w14:textId="77777777" w:rsidR="006301E2" w:rsidRPr="005D3703" w:rsidRDefault="006301E2" w:rsidP="006C07D2">
      <w:pPr>
        <w:spacing w:after="0"/>
      </w:pPr>
    </w:p>
    <w:p w14:paraId="256A7940" w14:textId="569963CE" w:rsidR="006C07D2" w:rsidRPr="002827FD" w:rsidRDefault="006C07D2" w:rsidP="290FD5AE">
      <w:pPr>
        <w:spacing w:after="0"/>
        <w:rPr>
          <w:b/>
          <w:bCs/>
          <w:vertAlign w:val="superscript"/>
        </w:rPr>
      </w:pPr>
      <w:r w:rsidRPr="290FD5AE">
        <w:rPr>
          <w:b/>
          <w:bCs/>
        </w:rPr>
        <w:t xml:space="preserve">Table </w:t>
      </w:r>
      <w:r w:rsidR="00C8451E">
        <w:rPr>
          <w:b/>
          <w:bCs/>
        </w:rPr>
        <w:t>9</w:t>
      </w:r>
      <w:r w:rsidRPr="290FD5AE">
        <w:rPr>
          <w:b/>
          <w:bCs/>
        </w:rPr>
        <w:t>: Patient co-dispensed a triptan or a</w:t>
      </w:r>
      <w:r w:rsidR="004A5F99">
        <w:rPr>
          <w:b/>
          <w:bCs/>
          <w:vertAlign w:val="superscript"/>
        </w:rPr>
        <w:t xml:space="preserve"> </w:t>
      </w:r>
      <w:r w:rsidR="004A5F99">
        <w:rPr>
          <w:b/>
          <w:bCs/>
        </w:rPr>
        <w:t>first</w:t>
      </w:r>
      <w:r w:rsidRPr="290FD5AE">
        <w:rPr>
          <w:b/>
          <w:bCs/>
        </w:rPr>
        <w:t xml:space="preserve"> line migraine prophylactic medication along with fremanezumab</w:t>
      </w:r>
    </w:p>
    <w:tbl>
      <w:tblPr>
        <w:tblStyle w:val="TableGrid"/>
        <w:tblW w:w="0" w:type="auto"/>
        <w:tblLook w:val="04A0" w:firstRow="1" w:lastRow="0" w:firstColumn="1" w:lastColumn="0" w:noHBand="0" w:noVBand="1"/>
      </w:tblPr>
      <w:tblGrid>
        <w:gridCol w:w="3241"/>
        <w:gridCol w:w="2853"/>
      </w:tblGrid>
      <w:tr w:rsidR="009732E5" w:rsidRPr="006F2BD9" w14:paraId="32B37637" w14:textId="77777777">
        <w:tc>
          <w:tcPr>
            <w:tcW w:w="3241" w:type="dxa"/>
            <w:shd w:val="clear" w:color="auto" w:fill="BFBFBF" w:themeFill="background1" w:themeFillShade="BF"/>
          </w:tcPr>
          <w:p w14:paraId="00BA578F" w14:textId="77777777" w:rsidR="009732E5" w:rsidRPr="006F2BD9" w:rsidRDefault="009732E5">
            <w:pPr>
              <w:rPr>
                <w:b/>
                <w:bCs/>
                <w:sz w:val="20"/>
                <w:szCs w:val="20"/>
              </w:rPr>
            </w:pPr>
            <w:r w:rsidRPr="006F2BD9">
              <w:rPr>
                <w:b/>
                <w:bCs/>
                <w:sz w:val="20"/>
                <w:szCs w:val="20"/>
              </w:rPr>
              <w:t>Triptan</w:t>
            </w:r>
          </w:p>
        </w:tc>
        <w:tc>
          <w:tcPr>
            <w:tcW w:w="2853" w:type="dxa"/>
            <w:shd w:val="clear" w:color="auto" w:fill="BFBFBF" w:themeFill="background1" w:themeFillShade="BF"/>
          </w:tcPr>
          <w:p w14:paraId="07BDAB1F" w14:textId="77777777" w:rsidR="009732E5" w:rsidRPr="006F2BD9" w:rsidRDefault="009732E5">
            <w:pPr>
              <w:jc w:val="center"/>
              <w:rPr>
                <w:b/>
                <w:bCs/>
                <w:sz w:val="20"/>
                <w:szCs w:val="20"/>
              </w:rPr>
            </w:pPr>
            <w:r w:rsidRPr="006F2BD9">
              <w:rPr>
                <w:b/>
                <w:bCs/>
                <w:sz w:val="20"/>
                <w:szCs w:val="20"/>
              </w:rPr>
              <w:t>Patients</w:t>
            </w:r>
          </w:p>
        </w:tc>
      </w:tr>
      <w:tr w:rsidR="009732E5" w:rsidRPr="006F2BD9" w14:paraId="40CBBE64" w14:textId="77777777">
        <w:tc>
          <w:tcPr>
            <w:tcW w:w="3241" w:type="dxa"/>
          </w:tcPr>
          <w:p w14:paraId="29CAEF0A" w14:textId="77777777" w:rsidR="009732E5" w:rsidRPr="006F2BD9" w:rsidRDefault="009732E5" w:rsidP="00031EDD">
            <w:pPr>
              <w:rPr>
                <w:sz w:val="20"/>
                <w:szCs w:val="20"/>
              </w:rPr>
            </w:pPr>
            <w:r w:rsidRPr="006F2BD9">
              <w:rPr>
                <w:sz w:val="20"/>
                <w:szCs w:val="20"/>
              </w:rPr>
              <w:t>RIZATRIPTAN</w:t>
            </w:r>
          </w:p>
        </w:tc>
        <w:tc>
          <w:tcPr>
            <w:tcW w:w="2853" w:type="dxa"/>
          </w:tcPr>
          <w:p w14:paraId="694126AA" w14:textId="77777777" w:rsidR="009732E5" w:rsidRPr="006F2BD9" w:rsidRDefault="009732E5" w:rsidP="00031EDD">
            <w:pPr>
              <w:jc w:val="center"/>
              <w:rPr>
                <w:sz w:val="20"/>
                <w:szCs w:val="20"/>
              </w:rPr>
            </w:pPr>
            <w:r w:rsidRPr="006F2BD9">
              <w:rPr>
                <w:sz w:val="20"/>
                <w:szCs w:val="20"/>
              </w:rPr>
              <w:t>956</w:t>
            </w:r>
          </w:p>
        </w:tc>
      </w:tr>
      <w:tr w:rsidR="009732E5" w:rsidRPr="006F2BD9" w14:paraId="23ECDBDC" w14:textId="77777777">
        <w:tc>
          <w:tcPr>
            <w:tcW w:w="3241" w:type="dxa"/>
          </w:tcPr>
          <w:p w14:paraId="3F2AF3D0" w14:textId="42E41AC9" w:rsidR="009732E5" w:rsidRPr="006F2BD9" w:rsidRDefault="009732E5" w:rsidP="00031EDD">
            <w:pPr>
              <w:rPr>
                <w:sz w:val="20"/>
                <w:szCs w:val="20"/>
              </w:rPr>
            </w:pPr>
            <w:r w:rsidRPr="006F2BD9">
              <w:rPr>
                <w:sz w:val="20"/>
                <w:szCs w:val="20"/>
              </w:rPr>
              <w:t>SUMATRIPTAN</w:t>
            </w:r>
          </w:p>
        </w:tc>
        <w:tc>
          <w:tcPr>
            <w:tcW w:w="2853" w:type="dxa"/>
          </w:tcPr>
          <w:p w14:paraId="6DD83B3E" w14:textId="43E47473" w:rsidR="009732E5" w:rsidRPr="006F2BD9" w:rsidRDefault="009732E5" w:rsidP="00031EDD">
            <w:pPr>
              <w:jc w:val="center"/>
              <w:rPr>
                <w:sz w:val="20"/>
                <w:szCs w:val="20"/>
              </w:rPr>
            </w:pPr>
            <w:r w:rsidRPr="006F2BD9">
              <w:rPr>
                <w:sz w:val="20"/>
                <w:szCs w:val="20"/>
              </w:rPr>
              <w:t>577</w:t>
            </w:r>
          </w:p>
        </w:tc>
      </w:tr>
      <w:tr w:rsidR="009732E5" w:rsidRPr="006F2BD9" w14:paraId="2EB7EFC7" w14:textId="77777777">
        <w:tc>
          <w:tcPr>
            <w:tcW w:w="3241" w:type="dxa"/>
          </w:tcPr>
          <w:p w14:paraId="6353CA2F" w14:textId="77777777" w:rsidR="009732E5" w:rsidRPr="006F2BD9" w:rsidRDefault="009732E5" w:rsidP="00031EDD">
            <w:pPr>
              <w:rPr>
                <w:sz w:val="20"/>
                <w:szCs w:val="20"/>
              </w:rPr>
            </w:pPr>
            <w:r w:rsidRPr="006F2BD9">
              <w:rPr>
                <w:sz w:val="20"/>
                <w:szCs w:val="20"/>
              </w:rPr>
              <w:t>ELETRIPTAN</w:t>
            </w:r>
          </w:p>
        </w:tc>
        <w:tc>
          <w:tcPr>
            <w:tcW w:w="2853" w:type="dxa"/>
          </w:tcPr>
          <w:p w14:paraId="20804E55" w14:textId="77777777" w:rsidR="009732E5" w:rsidRPr="006F2BD9" w:rsidRDefault="009732E5" w:rsidP="00031EDD">
            <w:pPr>
              <w:jc w:val="center"/>
              <w:rPr>
                <w:sz w:val="20"/>
                <w:szCs w:val="20"/>
              </w:rPr>
            </w:pPr>
            <w:r w:rsidRPr="006F2BD9">
              <w:rPr>
                <w:sz w:val="20"/>
                <w:szCs w:val="20"/>
              </w:rPr>
              <w:t>560</w:t>
            </w:r>
          </w:p>
        </w:tc>
      </w:tr>
      <w:tr w:rsidR="009732E5" w:rsidRPr="006F2BD9" w14:paraId="2FDB8EE3" w14:textId="77777777">
        <w:tc>
          <w:tcPr>
            <w:tcW w:w="3241" w:type="dxa"/>
          </w:tcPr>
          <w:p w14:paraId="77770556" w14:textId="31807C8F" w:rsidR="009732E5" w:rsidRPr="006F2BD9" w:rsidRDefault="009732E5" w:rsidP="00031EDD">
            <w:pPr>
              <w:rPr>
                <w:sz w:val="20"/>
                <w:szCs w:val="20"/>
              </w:rPr>
            </w:pPr>
            <w:r w:rsidRPr="006F2BD9">
              <w:rPr>
                <w:sz w:val="20"/>
                <w:szCs w:val="20"/>
              </w:rPr>
              <w:t>ZOLMITRIPTAN</w:t>
            </w:r>
          </w:p>
        </w:tc>
        <w:tc>
          <w:tcPr>
            <w:tcW w:w="2853" w:type="dxa"/>
          </w:tcPr>
          <w:p w14:paraId="2C14BC77" w14:textId="29375058" w:rsidR="009732E5" w:rsidRPr="006F2BD9" w:rsidRDefault="009732E5" w:rsidP="00031EDD">
            <w:pPr>
              <w:jc w:val="center"/>
              <w:rPr>
                <w:sz w:val="20"/>
                <w:szCs w:val="20"/>
              </w:rPr>
            </w:pPr>
            <w:r w:rsidRPr="006F2BD9">
              <w:rPr>
                <w:sz w:val="20"/>
                <w:szCs w:val="20"/>
              </w:rPr>
              <w:t>92</w:t>
            </w:r>
          </w:p>
        </w:tc>
      </w:tr>
      <w:tr w:rsidR="009732E5" w:rsidRPr="006F2BD9" w14:paraId="7A906463" w14:textId="77777777">
        <w:tc>
          <w:tcPr>
            <w:tcW w:w="3241" w:type="dxa"/>
          </w:tcPr>
          <w:p w14:paraId="6176723E" w14:textId="77777777" w:rsidR="009732E5" w:rsidRPr="006F2BD9" w:rsidRDefault="009732E5" w:rsidP="00031EDD">
            <w:pPr>
              <w:rPr>
                <w:sz w:val="20"/>
                <w:szCs w:val="20"/>
              </w:rPr>
            </w:pPr>
            <w:r w:rsidRPr="006F2BD9">
              <w:rPr>
                <w:sz w:val="20"/>
                <w:szCs w:val="20"/>
              </w:rPr>
              <w:t>NARATRIPTAN</w:t>
            </w:r>
          </w:p>
        </w:tc>
        <w:tc>
          <w:tcPr>
            <w:tcW w:w="2853" w:type="dxa"/>
          </w:tcPr>
          <w:p w14:paraId="1809A345" w14:textId="77777777" w:rsidR="009732E5" w:rsidRPr="006F2BD9" w:rsidRDefault="009732E5" w:rsidP="00031EDD">
            <w:pPr>
              <w:jc w:val="center"/>
              <w:rPr>
                <w:sz w:val="20"/>
                <w:szCs w:val="20"/>
              </w:rPr>
            </w:pPr>
            <w:r w:rsidRPr="006F2BD9">
              <w:rPr>
                <w:sz w:val="20"/>
                <w:szCs w:val="20"/>
              </w:rPr>
              <w:t>75</w:t>
            </w:r>
          </w:p>
        </w:tc>
      </w:tr>
      <w:tr w:rsidR="009732E5" w:rsidRPr="006F2BD9" w14:paraId="60EBAA8C" w14:textId="77777777">
        <w:tc>
          <w:tcPr>
            <w:tcW w:w="3241" w:type="dxa"/>
            <w:shd w:val="clear" w:color="auto" w:fill="BFBFBF" w:themeFill="background1" w:themeFillShade="BF"/>
          </w:tcPr>
          <w:p w14:paraId="20C049FA" w14:textId="7E009E5B" w:rsidR="009732E5" w:rsidRPr="006F2BD9" w:rsidRDefault="000A4D09" w:rsidP="00AA4F96">
            <w:pPr>
              <w:rPr>
                <w:b/>
                <w:bCs/>
                <w:sz w:val="20"/>
                <w:szCs w:val="20"/>
              </w:rPr>
            </w:pPr>
            <w:r w:rsidRPr="006F2BD9">
              <w:rPr>
                <w:b/>
                <w:bCs/>
                <w:sz w:val="20"/>
                <w:szCs w:val="20"/>
              </w:rPr>
              <w:t>First</w:t>
            </w:r>
            <w:r w:rsidR="009732E5" w:rsidRPr="006F2BD9">
              <w:rPr>
                <w:b/>
                <w:bCs/>
                <w:sz w:val="20"/>
                <w:szCs w:val="20"/>
              </w:rPr>
              <w:t xml:space="preserve"> Line Prophylaxis</w:t>
            </w:r>
          </w:p>
        </w:tc>
        <w:tc>
          <w:tcPr>
            <w:tcW w:w="2853" w:type="dxa"/>
            <w:shd w:val="clear" w:color="auto" w:fill="BFBFBF" w:themeFill="background1" w:themeFillShade="BF"/>
          </w:tcPr>
          <w:p w14:paraId="0BE2C089" w14:textId="77777777" w:rsidR="009732E5" w:rsidRPr="006F2BD9" w:rsidRDefault="009732E5" w:rsidP="00AA4F96">
            <w:pPr>
              <w:jc w:val="center"/>
              <w:rPr>
                <w:sz w:val="20"/>
                <w:szCs w:val="20"/>
              </w:rPr>
            </w:pPr>
            <w:r w:rsidRPr="006F2BD9">
              <w:rPr>
                <w:b/>
                <w:bCs/>
                <w:sz w:val="20"/>
                <w:szCs w:val="20"/>
              </w:rPr>
              <w:t>Patients</w:t>
            </w:r>
          </w:p>
        </w:tc>
      </w:tr>
      <w:tr w:rsidR="009732E5" w:rsidRPr="006F2BD9" w14:paraId="12DDEB52" w14:textId="77777777">
        <w:tc>
          <w:tcPr>
            <w:tcW w:w="3241" w:type="dxa"/>
            <w:shd w:val="clear" w:color="auto" w:fill="auto"/>
          </w:tcPr>
          <w:p w14:paraId="59022241" w14:textId="0B1978A6" w:rsidR="009732E5" w:rsidRPr="006F2BD9" w:rsidRDefault="009732E5" w:rsidP="00A56EE5">
            <w:pPr>
              <w:rPr>
                <w:b/>
                <w:bCs/>
                <w:sz w:val="20"/>
                <w:szCs w:val="20"/>
              </w:rPr>
            </w:pPr>
            <w:r w:rsidRPr="006F2BD9">
              <w:rPr>
                <w:sz w:val="20"/>
                <w:szCs w:val="20"/>
              </w:rPr>
              <w:t>AMITRIPTYLINE</w:t>
            </w:r>
            <w:r w:rsidRPr="006F2BD9">
              <w:rPr>
                <w:sz w:val="20"/>
                <w:szCs w:val="20"/>
                <w:vertAlign w:val="superscript"/>
              </w:rPr>
              <w:t>1</w:t>
            </w:r>
          </w:p>
        </w:tc>
        <w:tc>
          <w:tcPr>
            <w:tcW w:w="2853" w:type="dxa"/>
            <w:shd w:val="clear" w:color="auto" w:fill="auto"/>
          </w:tcPr>
          <w:p w14:paraId="41E8FC2B" w14:textId="2A7D2F99" w:rsidR="009732E5" w:rsidRPr="006F2BD9" w:rsidRDefault="009732E5" w:rsidP="00A56EE5">
            <w:pPr>
              <w:jc w:val="center"/>
              <w:rPr>
                <w:sz w:val="20"/>
                <w:szCs w:val="20"/>
              </w:rPr>
            </w:pPr>
            <w:r w:rsidRPr="006F2BD9">
              <w:rPr>
                <w:sz w:val="20"/>
                <w:szCs w:val="20"/>
              </w:rPr>
              <w:t>510</w:t>
            </w:r>
          </w:p>
        </w:tc>
      </w:tr>
      <w:tr w:rsidR="009732E5" w:rsidRPr="006F2BD9" w14:paraId="6CB27362" w14:textId="77777777" w:rsidTr="00C44DD1">
        <w:tc>
          <w:tcPr>
            <w:tcW w:w="3241" w:type="dxa"/>
            <w:shd w:val="clear" w:color="auto" w:fill="FFFFFF" w:themeFill="background1"/>
          </w:tcPr>
          <w:p w14:paraId="4BFA94F0" w14:textId="1748F432" w:rsidR="009732E5" w:rsidRPr="006F2BD9" w:rsidRDefault="009732E5" w:rsidP="00A56EE5">
            <w:pPr>
              <w:rPr>
                <w:b/>
                <w:bCs/>
                <w:sz w:val="20"/>
                <w:szCs w:val="20"/>
              </w:rPr>
            </w:pPr>
            <w:r w:rsidRPr="006F2BD9">
              <w:rPr>
                <w:sz w:val="20"/>
                <w:szCs w:val="20"/>
              </w:rPr>
              <w:t>TOPIRAMATE</w:t>
            </w:r>
            <w:r w:rsidRPr="006F2BD9">
              <w:rPr>
                <w:sz w:val="20"/>
                <w:szCs w:val="20"/>
                <w:vertAlign w:val="superscript"/>
              </w:rPr>
              <w:t>2</w:t>
            </w:r>
          </w:p>
        </w:tc>
        <w:tc>
          <w:tcPr>
            <w:tcW w:w="2853" w:type="dxa"/>
            <w:tcBorders>
              <w:bottom w:val="single" w:sz="4" w:space="0" w:color="auto"/>
            </w:tcBorders>
            <w:shd w:val="clear" w:color="auto" w:fill="FFFFFF" w:themeFill="background1"/>
          </w:tcPr>
          <w:p w14:paraId="673095B3" w14:textId="02DADB75" w:rsidR="009732E5" w:rsidRPr="006F2BD9" w:rsidRDefault="009732E5" w:rsidP="001A128B">
            <w:pPr>
              <w:jc w:val="center"/>
              <w:rPr>
                <w:sz w:val="20"/>
                <w:szCs w:val="20"/>
              </w:rPr>
            </w:pPr>
            <w:r w:rsidRPr="006F2BD9">
              <w:rPr>
                <w:sz w:val="20"/>
                <w:szCs w:val="20"/>
              </w:rPr>
              <w:t>443</w:t>
            </w:r>
          </w:p>
        </w:tc>
      </w:tr>
      <w:tr w:rsidR="009732E5" w:rsidRPr="006F2BD9" w14:paraId="1243FC01" w14:textId="77777777" w:rsidTr="00C44DD1">
        <w:tc>
          <w:tcPr>
            <w:tcW w:w="3241" w:type="dxa"/>
            <w:shd w:val="clear" w:color="auto" w:fill="FFFFFF" w:themeFill="background1"/>
          </w:tcPr>
          <w:p w14:paraId="4F9E51B9" w14:textId="2143C538" w:rsidR="009732E5" w:rsidRPr="006F2BD9" w:rsidRDefault="009732E5" w:rsidP="00A56EE5">
            <w:pPr>
              <w:rPr>
                <w:sz w:val="20"/>
                <w:szCs w:val="20"/>
              </w:rPr>
            </w:pPr>
            <w:r w:rsidRPr="006F2BD9">
              <w:rPr>
                <w:sz w:val="20"/>
                <w:szCs w:val="20"/>
              </w:rPr>
              <w:t>CANDESARTAN</w:t>
            </w:r>
            <w:r w:rsidRPr="006F2BD9">
              <w:rPr>
                <w:sz w:val="20"/>
                <w:szCs w:val="20"/>
                <w:vertAlign w:val="superscript"/>
              </w:rPr>
              <w:t>1</w:t>
            </w:r>
          </w:p>
        </w:tc>
        <w:tc>
          <w:tcPr>
            <w:tcW w:w="2853" w:type="dxa"/>
            <w:tcBorders>
              <w:bottom w:val="single" w:sz="4" w:space="0" w:color="auto"/>
            </w:tcBorders>
            <w:shd w:val="clear" w:color="auto" w:fill="FFFFFF" w:themeFill="background1"/>
          </w:tcPr>
          <w:p w14:paraId="07B1F718" w14:textId="3C991B66" w:rsidR="009732E5" w:rsidRPr="006F2BD9" w:rsidRDefault="009732E5" w:rsidP="008219B2">
            <w:pPr>
              <w:jc w:val="center"/>
              <w:rPr>
                <w:sz w:val="20"/>
                <w:szCs w:val="20"/>
              </w:rPr>
            </w:pPr>
            <w:r w:rsidRPr="006F2BD9">
              <w:rPr>
                <w:sz w:val="20"/>
                <w:szCs w:val="20"/>
              </w:rPr>
              <w:t>304</w:t>
            </w:r>
          </w:p>
        </w:tc>
      </w:tr>
      <w:tr w:rsidR="009732E5" w:rsidRPr="006F2BD9" w14:paraId="2D4066B1" w14:textId="77777777" w:rsidTr="00C44DD1">
        <w:tc>
          <w:tcPr>
            <w:tcW w:w="3241" w:type="dxa"/>
            <w:tcBorders>
              <w:right w:val="single" w:sz="4" w:space="0" w:color="auto"/>
            </w:tcBorders>
            <w:shd w:val="clear" w:color="auto" w:fill="FFFFFF" w:themeFill="background1"/>
          </w:tcPr>
          <w:p w14:paraId="7FDBFC22" w14:textId="35A4096D" w:rsidR="009732E5" w:rsidRPr="006F2BD9" w:rsidRDefault="009732E5" w:rsidP="00A56EE5">
            <w:pPr>
              <w:rPr>
                <w:sz w:val="20"/>
                <w:szCs w:val="20"/>
              </w:rPr>
            </w:pPr>
            <w:r w:rsidRPr="006F2BD9">
              <w:rPr>
                <w:sz w:val="20"/>
                <w:szCs w:val="20"/>
              </w:rPr>
              <w:t>PROPRANOLOL</w:t>
            </w:r>
            <w:r w:rsidRPr="006F2BD9">
              <w:rPr>
                <w:sz w:val="20"/>
                <w:szCs w:val="20"/>
                <w:vertAlign w:val="superscript"/>
              </w:rPr>
              <w:t>1</w:t>
            </w:r>
          </w:p>
        </w:tc>
        <w:tc>
          <w:tcPr>
            <w:tcW w:w="2853" w:type="dxa"/>
            <w:tcBorders>
              <w:top w:val="single" w:sz="4" w:space="0" w:color="auto"/>
              <w:left w:val="single" w:sz="4" w:space="0" w:color="auto"/>
              <w:bottom w:val="single" w:sz="4" w:space="0" w:color="auto"/>
              <w:right w:val="single" w:sz="4" w:space="0" w:color="auto"/>
            </w:tcBorders>
            <w:shd w:val="clear" w:color="auto" w:fill="FFFFFF" w:themeFill="background1"/>
          </w:tcPr>
          <w:p w14:paraId="35649ABD" w14:textId="74BD6A8E" w:rsidR="009732E5" w:rsidRPr="006F2BD9" w:rsidRDefault="009732E5" w:rsidP="00A56EE5">
            <w:pPr>
              <w:jc w:val="center"/>
              <w:rPr>
                <w:sz w:val="20"/>
                <w:szCs w:val="20"/>
              </w:rPr>
            </w:pPr>
            <w:r w:rsidRPr="006F2BD9">
              <w:rPr>
                <w:sz w:val="20"/>
                <w:szCs w:val="20"/>
              </w:rPr>
              <w:t>257</w:t>
            </w:r>
          </w:p>
        </w:tc>
      </w:tr>
      <w:tr w:rsidR="009732E5" w:rsidRPr="006F2BD9" w14:paraId="7B4B7135" w14:textId="77777777" w:rsidTr="00C44DD1">
        <w:tc>
          <w:tcPr>
            <w:tcW w:w="3241" w:type="dxa"/>
            <w:tcBorders>
              <w:right w:val="single" w:sz="4" w:space="0" w:color="auto"/>
            </w:tcBorders>
            <w:shd w:val="clear" w:color="auto" w:fill="FFFFFF" w:themeFill="background1"/>
          </w:tcPr>
          <w:p w14:paraId="15016E91" w14:textId="388C4516" w:rsidR="009732E5" w:rsidRPr="006F2BD9" w:rsidRDefault="009732E5" w:rsidP="00A56EE5">
            <w:pPr>
              <w:rPr>
                <w:b/>
                <w:bCs/>
                <w:sz w:val="20"/>
                <w:szCs w:val="20"/>
              </w:rPr>
            </w:pPr>
            <w:r w:rsidRPr="006F2BD9">
              <w:rPr>
                <w:sz w:val="20"/>
                <w:szCs w:val="20"/>
              </w:rPr>
              <w:t>PIZOTIFEN</w:t>
            </w:r>
            <w:r w:rsidRPr="006F2BD9">
              <w:rPr>
                <w:sz w:val="20"/>
                <w:szCs w:val="20"/>
                <w:vertAlign w:val="superscript"/>
              </w:rPr>
              <w:t>3</w:t>
            </w:r>
          </w:p>
        </w:tc>
        <w:tc>
          <w:tcPr>
            <w:tcW w:w="2853" w:type="dxa"/>
            <w:tcBorders>
              <w:top w:val="single" w:sz="4" w:space="0" w:color="auto"/>
              <w:left w:val="single" w:sz="4" w:space="0" w:color="auto"/>
              <w:bottom w:val="single" w:sz="4" w:space="0" w:color="auto"/>
              <w:right w:val="single" w:sz="4" w:space="0" w:color="auto"/>
            </w:tcBorders>
            <w:shd w:val="clear" w:color="auto" w:fill="FFFFFF" w:themeFill="background1"/>
          </w:tcPr>
          <w:p w14:paraId="72FB5CCE" w14:textId="020ED437" w:rsidR="009732E5" w:rsidRPr="006F2BD9" w:rsidRDefault="009732E5" w:rsidP="00A56EE5">
            <w:pPr>
              <w:jc w:val="center"/>
              <w:rPr>
                <w:sz w:val="20"/>
                <w:szCs w:val="20"/>
              </w:rPr>
            </w:pPr>
            <w:r w:rsidRPr="006F2BD9">
              <w:rPr>
                <w:sz w:val="20"/>
                <w:szCs w:val="20"/>
              </w:rPr>
              <w:t>113</w:t>
            </w:r>
          </w:p>
        </w:tc>
      </w:tr>
      <w:tr w:rsidR="009732E5" w:rsidRPr="006F2BD9" w14:paraId="33D1F803" w14:textId="77777777" w:rsidTr="00C44DD1">
        <w:tc>
          <w:tcPr>
            <w:tcW w:w="3241" w:type="dxa"/>
            <w:tcBorders>
              <w:right w:val="single" w:sz="4" w:space="0" w:color="auto"/>
            </w:tcBorders>
            <w:shd w:val="clear" w:color="auto" w:fill="FFFFFF" w:themeFill="background1"/>
          </w:tcPr>
          <w:p w14:paraId="246524E5" w14:textId="11E74EFF" w:rsidR="009732E5" w:rsidRPr="006F2BD9" w:rsidRDefault="009732E5" w:rsidP="004843A6">
            <w:pPr>
              <w:rPr>
                <w:sz w:val="20"/>
                <w:szCs w:val="20"/>
              </w:rPr>
            </w:pPr>
            <w:r w:rsidRPr="006F2BD9">
              <w:rPr>
                <w:sz w:val="20"/>
                <w:szCs w:val="20"/>
              </w:rPr>
              <w:t>NORTRIPTYLINE</w:t>
            </w:r>
            <w:r w:rsidRPr="006F2BD9">
              <w:rPr>
                <w:sz w:val="20"/>
                <w:szCs w:val="20"/>
                <w:vertAlign w:val="superscript"/>
              </w:rPr>
              <w:t>1</w:t>
            </w:r>
          </w:p>
        </w:tc>
        <w:tc>
          <w:tcPr>
            <w:tcW w:w="2853" w:type="dxa"/>
            <w:tcBorders>
              <w:top w:val="single" w:sz="4" w:space="0" w:color="auto"/>
              <w:left w:val="single" w:sz="4" w:space="0" w:color="auto"/>
              <w:bottom w:val="single" w:sz="4" w:space="0" w:color="auto"/>
              <w:right w:val="single" w:sz="4" w:space="0" w:color="auto"/>
            </w:tcBorders>
            <w:shd w:val="clear" w:color="auto" w:fill="FFFFFF" w:themeFill="background1"/>
          </w:tcPr>
          <w:p w14:paraId="5745342A" w14:textId="71CE5564" w:rsidR="009732E5" w:rsidRPr="006F2BD9" w:rsidRDefault="009732E5" w:rsidP="004843A6">
            <w:pPr>
              <w:jc w:val="center"/>
              <w:rPr>
                <w:sz w:val="20"/>
                <w:szCs w:val="20"/>
              </w:rPr>
            </w:pPr>
            <w:r w:rsidRPr="006F2BD9">
              <w:rPr>
                <w:sz w:val="20"/>
                <w:szCs w:val="20"/>
              </w:rPr>
              <w:t>89</w:t>
            </w:r>
          </w:p>
        </w:tc>
      </w:tr>
      <w:tr w:rsidR="009732E5" w:rsidRPr="006F2BD9" w14:paraId="029DC4B4" w14:textId="77777777" w:rsidTr="00C44DD1">
        <w:tc>
          <w:tcPr>
            <w:tcW w:w="3241" w:type="dxa"/>
            <w:shd w:val="clear" w:color="auto" w:fill="FFFFFF" w:themeFill="background1"/>
          </w:tcPr>
          <w:p w14:paraId="1842F47E" w14:textId="432E76FC" w:rsidR="009732E5" w:rsidRPr="006F2BD9" w:rsidRDefault="009732E5" w:rsidP="00A56EE5">
            <w:pPr>
              <w:rPr>
                <w:b/>
                <w:bCs/>
                <w:sz w:val="20"/>
                <w:szCs w:val="20"/>
              </w:rPr>
            </w:pPr>
            <w:r w:rsidRPr="006F2BD9">
              <w:rPr>
                <w:sz w:val="20"/>
                <w:szCs w:val="20"/>
              </w:rPr>
              <w:t>VERAPAMIL</w:t>
            </w:r>
            <w:r w:rsidRPr="006F2BD9">
              <w:rPr>
                <w:sz w:val="20"/>
                <w:szCs w:val="20"/>
                <w:vertAlign w:val="superscript"/>
              </w:rPr>
              <w:t>1</w:t>
            </w:r>
          </w:p>
        </w:tc>
        <w:tc>
          <w:tcPr>
            <w:tcW w:w="2853" w:type="dxa"/>
            <w:tcBorders>
              <w:top w:val="single" w:sz="4" w:space="0" w:color="auto"/>
            </w:tcBorders>
            <w:shd w:val="clear" w:color="auto" w:fill="FFFFFF" w:themeFill="background1"/>
          </w:tcPr>
          <w:p w14:paraId="5BAA5186" w14:textId="7AFFF2F9" w:rsidR="009732E5" w:rsidRPr="006F2BD9" w:rsidRDefault="009732E5" w:rsidP="00A56EE5">
            <w:pPr>
              <w:jc w:val="center"/>
              <w:rPr>
                <w:sz w:val="20"/>
                <w:szCs w:val="20"/>
              </w:rPr>
            </w:pPr>
            <w:r w:rsidRPr="006F2BD9">
              <w:rPr>
                <w:sz w:val="20"/>
                <w:szCs w:val="20"/>
              </w:rPr>
              <w:t>66</w:t>
            </w:r>
          </w:p>
        </w:tc>
      </w:tr>
      <w:tr w:rsidR="009732E5" w:rsidRPr="006F2BD9" w14:paraId="642A6128" w14:textId="77777777" w:rsidTr="00E87F90">
        <w:tc>
          <w:tcPr>
            <w:tcW w:w="3241" w:type="dxa"/>
            <w:shd w:val="clear" w:color="auto" w:fill="FFFFFF" w:themeFill="background1"/>
          </w:tcPr>
          <w:p w14:paraId="160D2417" w14:textId="6F7F2013" w:rsidR="009732E5" w:rsidRPr="006F2BD9" w:rsidRDefault="009732E5" w:rsidP="00867F48">
            <w:pPr>
              <w:rPr>
                <w:sz w:val="20"/>
                <w:szCs w:val="20"/>
              </w:rPr>
            </w:pPr>
            <w:r w:rsidRPr="006F2BD9">
              <w:rPr>
                <w:sz w:val="20"/>
                <w:szCs w:val="20"/>
              </w:rPr>
              <w:t>VALPROATE</w:t>
            </w:r>
            <w:r w:rsidRPr="006F2BD9">
              <w:rPr>
                <w:sz w:val="20"/>
                <w:szCs w:val="20"/>
                <w:vertAlign w:val="superscript"/>
              </w:rPr>
              <w:t>1</w:t>
            </w:r>
          </w:p>
        </w:tc>
        <w:tc>
          <w:tcPr>
            <w:tcW w:w="2853" w:type="dxa"/>
            <w:shd w:val="clear" w:color="auto" w:fill="FFFFFF" w:themeFill="background1"/>
          </w:tcPr>
          <w:p w14:paraId="112E3BDC" w14:textId="484AD4B3" w:rsidR="009732E5" w:rsidRPr="006F2BD9" w:rsidRDefault="009732E5" w:rsidP="00867F48">
            <w:pPr>
              <w:jc w:val="center"/>
              <w:rPr>
                <w:sz w:val="20"/>
                <w:szCs w:val="20"/>
              </w:rPr>
            </w:pPr>
            <w:r w:rsidRPr="006F2BD9">
              <w:rPr>
                <w:sz w:val="20"/>
                <w:szCs w:val="20"/>
              </w:rPr>
              <w:t>58</w:t>
            </w:r>
          </w:p>
        </w:tc>
      </w:tr>
    </w:tbl>
    <w:p w14:paraId="15EFE390" w14:textId="46A9653A" w:rsidR="00672192" w:rsidRPr="006F2BD9" w:rsidRDefault="006C07D2" w:rsidP="006C07D2">
      <w:pPr>
        <w:spacing w:after="0"/>
        <w:rPr>
          <w:sz w:val="20"/>
          <w:szCs w:val="20"/>
        </w:rPr>
      </w:pPr>
      <w:r w:rsidRPr="006F2BD9">
        <w:rPr>
          <w:sz w:val="20"/>
          <w:szCs w:val="20"/>
        </w:rPr>
        <w:t>Note:</w:t>
      </w:r>
    </w:p>
    <w:p w14:paraId="33BF0C1F" w14:textId="1784C9B5" w:rsidR="006C07D2" w:rsidRPr="006F2BD9" w:rsidRDefault="00DD15AC" w:rsidP="006C07D2">
      <w:pPr>
        <w:spacing w:after="0"/>
        <w:rPr>
          <w:sz w:val="20"/>
          <w:szCs w:val="20"/>
        </w:rPr>
      </w:pPr>
      <w:r w:rsidRPr="006F2BD9">
        <w:rPr>
          <w:sz w:val="20"/>
          <w:szCs w:val="20"/>
          <w:vertAlign w:val="superscript"/>
        </w:rPr>
        <w:t>1</w:t>
      </w:r>
      <w:r w:rsidR="006C07D2" w:rsidRPr="006F2BD9">
        <w:rPr>
          <w:sz w:val="20"/>
          <w:szCs w:val="20"/>
        </w:rPr>
        <w:t>Medication dispensed may not be specifically for migraine prophylaxis.</w:t>
      </w:r>
    </w:p>
    <w:p w14:paraId="2B66FC32" w14:textId="59F050CF" w:rsidR="00AE1B4C" w:rsidRPr="006F2BD9" w:rsidRDefault="00DD15AC" w:rsidP="00AE1B4C">
      <w:pPr>
        <w:spacing w:after="0"/>
        <w:rPr>
          <w:sz w:val="20"/>
          <w:szCs w:val="20"/>
        </w:rPr>
      </w:pPr>
      <w:r w:rsidRPr="006F2BD9">
        <w:rPr>
          <w:sz w:val="20"/>
          <w:szCs w:val="20"/>
          <w:vertAlign w:val="superscript"/>
        </w:rPr>
        <w:t>2</w:t>
      </w:r>
      <w:r w:rsidR="00AE1B4C" w:rsidRPr="006F2BD9">
        <w:rPr>
          <w:sz w:val="20"/>
          <w:szCs w:val="20"/>
        </w:rPr>
        <w:t xml:space="preserve">Authority Required (STREAMLINED) code 14901 for </w:t>
      </w:r>
      <w:r w:rsidR="00436C0C" w:rsidRPr="006F2BD9">
        <w:rPr>
          <w:sz w:val="20"/>
          <w:szCs w:val="20"/>
        </w:rPr>
        <w:t>m</w:t>
      </w:r>
      <w:r w:rsidR="00AE1B4C" w:rsidRPr="006F2BD9">
        <w:rPr>
          <w:sz w:val="20"/>
          <w:szCs w:val="20"/>
        </w:rPr>
        <w:t>igraine.</w:t>
      </w:r>
    </w:p>
    <w:p w14:paraId="12E4652C" w14:textId="0C162595" w:rsidR="00436C0C" w:rsidRPr="006F2BD9" w:rsidRDefault="00DD15AC" w:rsidP="00436C0C">
      <w:pPr>
        <w:spacing w:after="0"/>
        <w:rPr>
          <w:sz w:val="20"/>
          <w:szCs w:val="20"/>
        </w:rPr>
      </w:pPr>
      <w:r w:rsidRPr="006F2BD9">
        <w:rPr>
          <w:sz w:val="20"/>
          <w:szCs w:val="20"/>
          <w:vertAlign w:val="superscript"/>
        </w:rPr>
        <w:t>3</w:t>
      </w:r>
      <w:r w:rsidR="00436C0C" w:rsidRPr="006F2BD9">
        <w:rPr>
          <w:sz w:val="20"/>
          <w:szCs w:val="20"/>
        </w:rPr>
        <w:t>TGA indicated for Prophylactic (interval) treatment of vascular headaches including typical and atypical migraine, vasomotor headache, and cluster headache (Horton's syndrome).</w:t>
      </w:r>
    </w:p>
    <w:p w14:paraId="48D69CFF" w14:textId="77777777" w:rsidR="004843A6" w:rsidRPr="006F2BD9" w:rsidRDefault="004843A6" w:rsidP="004843A6">
      <w:pPr>
        <w:spacing w:after="0"/>
        <w:rPr>
          <w:sz w:val="20"/>
          <w:szCs w:val="20"/>
        </w:rPr>
      </w:pPr>
      <w:r w:rsidRPr="006F2BD9">
        <w:rPr>
          <w:sz w:val="20"/>
          <w:szCs w:val="20"/>
          <w:vertAlign w:val="superscript"/>
        </w:rPr>
        <w:t>4</w:t>
      </w:r>
      <w:r w:rsidRPr="006F2BD9">
        <w:rPr>
          <w:sz w:val="20"/>
          <w:szCs w:val="20"/>
        </w:rPr>
        <w:t>PBS restricted for major depression only.</w:t>
      </w:r>
    </w:p>
    <w:p w14:paraId="35DAA4B8" w14:textId="77777777" w:rsidR="00E24A99" w:rsidRDefault="00E24A99" w:rsidP="006C07D2">
      <w:pPr>
        <w:spacing w:after="0"/>
      </w:pPr>
    </w:p>
    <w:p w14:paraId="54DA0263" w14:textId="7025A80F" w:rsidR="00447EC1" w:rsidRDefault="00447EC1" w:rsidP="006C07D2">
      <w:pPr>
        <w:spacing w:after="0"/>
      </w:pPr>
      <w:r>
        <w:t xml:space="preserve">Table 6 and 8 indicate that only a small number of patients are being co-dispensed analgesia along with </w:t>
      </w:r>
      <w:r w:rsidR="00780E7D" w:rsidRPr="00780E7D">
        <w:t>galcanezumab</w:t>
      </w:r>
      <w:r w:rsidR="00780E7D">
        <w:t xml:space="preserve"> or </w:t>
      </w:r>
      <w:r w:rsidR="00780E7D" w:rsidRPr="00780E7D">
        <w:t>fremanezumab</w:t>
      </w:r>
      <w:r w:rsidR="00780E7D">
        <w:t xml:space="preserve">. </w:t>
      </w:r>
    </w:p>
    <w:p w14:paraId="38D8FF62" w14:textId="77777777" w:rsidR="00020BA2" w:rsidRPr="0022110A" w:rsidRDefault="00020BA2" w:rsidP="006C07D2">
      <w:pPr>
        <w:spacing w:after="0"/>
      </w:pPr>
    </w:p>
    <w:p w14:paraId="6CECFBE3" w14:textId="27C262E9" w:rsidR="006C07D2" w:rsidRDefault="006C07D2" w:rsidP="00275956">
      <w:pPr>
        <w:spacing w:after="0"/>
        <w:rPr>
          <w:b/>
          <w:bCs/>
          <w:i/>
          <w:iCs/>
        </w:rPr>
      </w:pPr>
      <w:r w:rsidRPr="00535F7A">
        <w:rPr>
          <w:b/>
          <w:bCs/>
          <w:i/>
          <w:iCs/>
        </w:rPr>
        <w:t>Treatment sequence</w:t>
      </w:r>
    </w:p>
    <w:p w14:paraId="6982189D" w14:textId="77777777" w:rsidR="00275956" w:rsidRDefault="00275956" w:rsidP="00275956">
      <w:pPr>
        <w:spacing w:after="0"/>
        <w:rPr>
          <w:b/>
          <w:bCs/>
          <w:i/>
          <w:iCs/>
        </w:rPr>
      </w:pPr>
    </w:p>
    <w:p w14:paraId="53AE2069" w14:textId="72AD488E" w:rsidR="00DE5E41" w:rsidRPr="00E24A99" w:rsidRDefault="00DE5E41" w:rsidP="00DE5E41">
      <w:pPr>
        <w:spacing w:after="0"/>
        <w:rPr>
          <w:b/>
          <w:bCs/>
        </w:rPr>
      </w:pPr>
      <w:r w:rsidRPr="00E24A99">
        <w:rPr>
          <w:b/>
          <w:bCs/>
        </w:rPr>
        <w:t xml:space="preserve">Table </w:t>
      </w:r>
      <w:r w:rsidR="00C8451E">
        <w:rPr>
          <w:b/>
          <w:bCs/>
        </w:rPr>
        <w:t>10</w:t>
      </w:r>
      <w:r w:rsidRPr="00E24A99">
        <w:rPr>
          <w:b/>
          <w:bCs/>
        </w:rPr>
        <w:t>: From Triptan to</w:t>
      </w:r>
      <w:r w:rsidR="00DB77CC">
        <w:rPr>
          <w:b/>
          <w:bCs/>
          <w:vertAlign w:val="superscript"/>
        </w:rPr>
        <w:t xml:space="preserve"> </w:t>
      </w:r>
      <w:r w:rsidR="00DB77CC">
        <w:rPr>
          <w:b/>
          <w:bCs/>
        </w:rPr>
        <w:t>first</w:t>
      </w:r>
      <w:r w:rsidRPr="00E24A99">
        <w:rPr>
          <w:b/>
          <w:bCs/>
        </w:rPr>
        <w:t xml:space="preserve"> Line Prophylaxis</w:t>
      </w:r>
      <w:r w:rsidR="00721DE8" w:rsidRPr="003E7167">
        <w:rPr>
          <w:b/>
          <w:bCs/>
          <w:vertAlign w:val="superscript"/>
        </w:rPr>
        <w:t>a</w:t>
      </w:r>
    </w:p>
    <w:tbl>
      <w:tblPr>
        <w:tblStyle w:val="TableGrid"/>
        <w:tblW w:w="0" w:type="auto"/>
        <w:tblLook w:val="04A0" w:firstRow="1" w:lastRow="0" w:firstColumn="1" w:lastColumn="0" w:noHBand="0" w:noVBand="1"/>
      </w:tblPr>
      <w:tblGrid>
        <w:gridCol w:w="4473"/>
        <w:gridCol w:w="2185"/>
      </w:tblGrid>
      <w:tr w:rsidR="00DE5E41" w14:paraId="3F1F7D2A" w14:textId="77777777" w:rsidTr="00A83EDC">
        <w:tc>
          <w:tcPr>
            <w:tcW w:w="4473" w:type="dxa"/>
            <w:shd w:val="clear" w:color="auto" w:fill="BFBFBF" w:themeFill="background1" w:themeFillShade="BF"/>
          </w:tcPr>
          <w:p w14:paraId="5A1E5125" w14:textId="2D14CE42" w:rsidR="00DE5E41" w:rsidRPr="000F058F" w:rsidRDefault="00E457A5" w:rsidP="00E457A5">
            <w:pPr>
              <w:tabs>
                <w:tab w:val="left" w:pos="1420"/>
              </w:tabs>
              <w:rPr>
                <w:b/>
                <w:bCs/>
                <w:sz w:val="20"/>
                <w:szCs w:val="20"/>
              </w:rPr>
            </w:pPr>
            <w:r w:rsidRPr="000F058F">
              <w:rPr>
                <w:b/>
                <w:bCs/>
                <w:sz w:val="20"/>
                <w:szCs w:val="20"/>
              </w:rPr>
              <w:t>Treatment sequence</w:t>
            </w:r>
          </w:p>
        </w:tc>
        <w:tc>
          <w:tcPr>
            <w:tcW w:w="2185" w:type="dxa"/>
            <w:shd w:val="clear" w:color="auto" w:fill="BFBFBF" w:themeFill="background1" w:themeFillShade="BF"/>
          </w:tcPr>
          <w:p w14:paraId="581BD74D" w14:textId="407BA5FC" w:rsidR="00DE5E41" w:rsidRPr="000F058F" w:rsidRDefault="00E457A5">
            <w:pPr>
              <w:rPr>
                <w:b/>
                <w:bCs/>
                <w:sz w:val="20"/>
                <w:szCs w:val="20"/>
              </w:rPr>
            </w:pPr>
            <w:r w:rsidRPr="000F058F">
              <w:rPr>
                <w:b/>
                <w:bCs/>
                <w:sz w:val="20"/>
                <w:szCs w:val="20"/>
              </w:rPr>
              <w:t>Patients</w:t>
            </w:r>
          </w:p>
        </w:tc>
      </w:tr>
      <w:tr w:rsidR="009E4519" w14:paraId="29BE5134" w14:textId="77777777" w:rsidTr="00A83EDC">
        <w:tc>
          <w:tcPr>
            <w:tcW w:w="4473" w:type="dxa"/>
            <w:vAlign w:val="bottom"/>
          </w:tcPr>
          <w:p w14:paraId="36118615" w14:textId="6BEF5D36" w:rsidR="009E4519" w:rsidRPr="009E4519" w:rsidRDefault="009E4519" w:rsidP="009E4519">
            <w:pPr>
              <w:rPr>
                <w:sz w:val="20"/>
                <w:szCs w:val="20"/>
              </w:rPr>
            </w:pPr>
            <w:r w:rsidRPr="009E4519">
              <w:rPr>
                <w:rFonts w:ascii="Calibri" w:hAnsi="Calibri" w:cs="Calibri"/>
                <w:color w:val="000000"/>
                <w:sz w:val="20"/>
                <w:szCs w:val="20"/>
              </w:rPr>
              <w:t>RIZATRIPTAN -&gt; AMITRIPTYLINE</w:t>
            </w:r>
          </w:p>
        </w:tc>
        <w:tc>
          <w:tcPr>
            <w:tcW w:w="2185" w:type="dxa"/>
            <w:vAlign w:val="bottom"/>
          </w:tcPr>
          <w:p w14:paraId="59519497" w14:textId="63EC9EEF" w:rsidR="009E4519" w:rsidRPr="009E4519" w:rsidRDefault="009E4519" w:rsidP="009E4519">
            <w:pPr>
              <w:jc w:val="center"/>
              <w:rPr>
                <w:sz w:val="20"/>
                <w:szCs w:val="20"/>
              </w:rPr>
            </w:pPr>
            <w:r w:rsidRPr="009E4519">
              <w:rPr>
                <w:rFonts w:ascii="Calibri" w:hAnsi="Calibri" w:cs="Calibri"/>
                <w:color w:val="000000"/>
                <w:sz w:val="20"/>
                <w:szCs w:val="20"/>
              </w:rPr>
              <w:t>11</w:t>
            </w:r>
            <w:r>
              <w:rPr>
                <w:rFonts w:ascii="Calibri" w:hAnsi="Calibri" w:cs="Calibri"/>
                <w:color w:val="000000"/>
                <w:sz w:val="20"/>
                <w:szCs w:val="20"/>
              </w:rPr>
              <w:t>,</w:t>
            </w:r>
            <w:r w:rsidRPr="009E4519">
              <w:rPr>
                <w:rFonts w:ascii="Calibri" w:hAnsi="Calibri" w:cs="Calibri"/>
                <w:color w:val="000000"/>
                <w:sz w:val="20"/>
                <w:szCs w:val="20"/>
              </w:rPr>
              <w:t>487</w:t>
            </w:r>
          </w:p>
        </w:tc>
      </w:tr>
      <w:tr w:rsidR="009E4519" w14:paraId="7B36E728" w14:textId="77777777" w:rsidTr="00A83EDC">
        <w:tc>
          <w:tcPr>
            <w:tcW w:w="4473" w:type="dxa"/>
            <w:vAlign w:val="bottom"/>
          </w:tcPr>
          <w:p w14:paraId="053E0465" w14:textId="6C2F1197" w:rsidR="009E4519" w:rsidRPr="009E4519" w:rsidRDefault="009E4519" w:rsidP="009E4519">
            <w:pPr>
              <w:rPr>
                <w:sz w:val="20"/>
                <w:szCs w:val="20"/>
              </w:rPr>
            </w:pPr>
            <w:r w:rsidRPr="009E4519">
              <w:rPr>
                <w:rFonts w:ascii="Calibri" w:hAnsi="Calibri" w:cs="Calibri"/>
                <w:color w:val="000000"/>
                <w:sz w:val="20"/>
                <w:szCs w:val="20"/>
              </w:rPr>
              <w:t>SUMATRIPTAN -&gt; AMITRIPTYLINE</w:t>
            </w:r>
          </w:p>
        </w:tc>
        <w:tc>
          <w:tcPr>
            <w:tcW w:w="2185" w:type="dxa"/>
            <w:vAlign w:val="bottom"/>
          </w:tcPr>
          <w:p w14:paraId="373B5BA0" w14:textId="079A2486" w:rsidR="009E4519" w:rsidRPr="009E4519" w:rsidRDefault="009E4519" w:rsidP="009E4519">
            <w:pPr>
              <w:jc w:val="center"/>
              <w:rPr>
                <w:sz w:val="20"/>
                <w:szCs w:val="20"/>
              </w:rPr>
            </w:pPr>
            <w:r w:rsidRPr="009E4519">
              <w:rPr>
                <w:rFonts w:ascii="Calibri" w:hAnsi="Calibri" w:cs="Calibri"/>
                <w:color w:val="000000"/>
                <w:sz w:val="20"/>
                <w:szCs w:val="20"/>
              </w:rPr>
              <w:t>9</w:t>
            </w:r>
            <w:r>
              <w:rPr>
                <w:rFonts w:ascii="Calibri" w:hAnsi="Calibri" w:cs="Calibri"/>
                <w:color w:val="000000"/>
                <w:sz w:val="20"/>
                <w:szCs w:val="20"/>
              </w:rPr>
              <w:t>,</w:t>
            </w:r>
            <w:r w:rsidRPr="009E4519">
              <w:rPr>
                <w:rFonts w:ascii="Calibri" w:hAnsi="Calibri" w:cs="Calibri"/>
                <w:color w:val="000000"/>
                <w:sz w:val="20"/>
                <w:szCs w:val="20"/>
              </w:rPr>
              <w:t>502</w:t>
            </w:r>
          </w:p>
        </w:tc>
      </w:tr>
      <w:tr w:rsidR="009E4519" w14:paraId="04B979A1" w14:textId="77777777" w:rsidTr="00A83EDC">
        <w:tc>
          <w:tcPr>
            <w:tcW w:w="4473" w:type="dxa"/>
            <w:vAlign w:val="bottom"/>
          </w:tcPr>
          <w:p w14:paraId="1F90EBCC" w14:textId="1C8833E4" w:rsidR="009E4519" w:rsidRPr="009E4519" w:rsidRDefault="009E4519" w:rsidP="009E4519">
            <w:pPr>
              <w:rPr>
                <w:sz w:val="20"/>
                <w:szCs w:val="20"/>
              </w:rPr>
            </w:pPr>
            <w:r w:rsidRPr="009E4519">
              <w:rPr>
                <w:rFonts w:ascii="Calibri" w:hAnsi="Calibri" w:cs="Calibri"/>
                <w:color w:val="000000"/>
                <w:sz w:val="20"/>
                <w:szCs w:val="20"/>
              </w:rPr>
              <w:t>RIZATRIPTAN -&gt; PROPRANOLOL</w:t>
            </w:r>
          </w:p>
        </w:tc>
        <w:tc>
          <w:tcPr>
            <w:tcW w:w="2185" w:type="dxa"/>
            <w:vAlign w:val="bottom"/>
          </w:tcPr>
          <w:p w14:paraId="15B2BAEB" w14:textId="3F77D929" w:rsidR="009E4519" w:rsidRPr="009E4519" w:rsidRDefault="009E4519" w:rsidP="009E4519">
            <w:pPr>
              <w:jc w:val="center"/>
              <w:rPr>
                <w:sz w:val="20"/>
                <w:szCs w:val="20"/>
              </w:rPr>
            </w:pPr>
            <w:r w:rsidRPr="009E4519">
              <w:rPr>
                <w:rFonts w:ascii="Calibri" w:hAnsi="Calibri" w:cs="Calibri"/>
                <w:color w:val="000000"/>
                <w:sz w:val="20"/>
                <w:szCs w:val="20"/>
              </w:rPr>
              <w:t>7</w:t>
            </w:r>
            <w:r>
              <w:rPr>
                <w:rFonts w:ascii="Calibri" w:hAnsi="Calibri" w:cs="Calibri"/>
                <w:color w:val="000000"/>
                <w:sz w:val="20"/>
                <w:szCs w:val="20"/>
              </w:rPr>
              <w:t>,</w:t>
            </w:r>
            <w:r w:rsidRPr="009E4519">
              <w:rPr>
                <w:rFonts w:ascii="Calibri" w:hAnsi="Calibri" w:cs="Calibri"/>
                <w:color w:val="000000"/>
                <w:sz w:val="20"/>
                <w:szCs w:val="20"/>
              </w:rPr>
              <w:t>204</w:t>
            </w:r>
          </w:p>
        </w:tc>
      </w:tr>
      <w:tr w:rsidR="009E4519" w14:paraId="52D74068" w14:textId="77777777" w:rsidTr="00A83EDC">
        <w:tc>
          <w:tcPr>
            <w:tcW w:w="4473" w:type="dxa"/>
            <w:vAlign w:val="bottom"/>
          </w:tcPr>
          <w:p w14:paraId="4BB4472B" w14:textId="7408B7B8" w:rsidR="009E4519" w:rsidRPr="009E4519" w:rsidRDefault="009E4519" w:rsidP="009E4519">
            <w:pPr>
              <w:rPr>
                <w:rFonts w:ascii="Calibri" w:hAnsi="Calibri" w:cs="Calibri"/>
                <w:color w:val="000000"/>
                <w:sz w:val="20"/>
                <w:szCs w:val="20"/>
              </w:rPr>
            </w:pPr>
            <w:r w:rsidRPr="009E4519">
              <w:rPr>
                <w:rFonts w:ascii="Calibri" w:hAnsi="Calibri" w:cs="Calibri"/>
                <w:color w:val="000000"/>
                <w:sz w:val="20"/>
                <w:szCs w:val="20"/>
              </w:rPr>
              <w:t>SUMATRIPTAN -&gt; PROPRANOLOL</w:t>
            </w:r>
          </w:p>
        </w:tc>
        <w:tc>
          <w:tcPr>
            <w:tcW w:w="2185" w:type="dxa"/>
            <w:vAlign w:val="bottom"/>
          </w:tcPr>
          <w:p w14:paraId="5E1B27EB" w14:textId="73D2C160" w:rsidR="009E4519" w:rsidRPr="009E4519" w:rsidRDefault="009E4519" w:rsidP="009E4519">
            <w:pPr>
              <w:jc w:val="center"/>
              <w:rPr>
                <w:rFonts w:ascii="Calibri" w:hAnsi="Calibri" w:cs="Calibri"/>
                <w:color w:val="000000"/>
                <w:sz w:val="20"/>
                <w:szCs w:val="20"/>
              </w:rPr>
            </w:pPr>
            <w:r w:rsidRPr="009E4519">
              <w:rPr>
                <w:rFonts w:ascii="Calibri" w:hAnsi="Calibri" w:cs="Calibri"/>
                <w:color w:val="000000"/>
                <w:sz w:val="20"/>
                <w:szCs w:val="20"/>
              </w:rPr>
              <w:t>6</w:t>
            </w:r>
            <w:r>
              <w:rPr>
                <w:rFonts w:ascii="Calibri" w:hAnsi="Calibri" w:cs="Calibri"/>
                <w:color w:val="000000"/>
                <w:sz w:val="20"/>
                <w:szCs w:val="20"/>
              </w:rPr>
              <w:t>,</w:t>
            </w:r>
            <w:r w:rsidRPr="009E4519">
              <w:rPr>
                <w:rFonts w:ascii="Calibri" w:hAnsi="Calibri" w:cs="Calibri"/>
                <w:color w:val="000000"/>
                <w:sz w:val="20"/>
                <w:szCs w:val="20"/>
              </w:rPr>
              <w:t>440</w:t>
            </w:r>
          </w:p>
        </w:tc>
      </w:tr>
      <w:tr w:rsidR="009E4519" w14:paraId="0CAB38BD" w14:textId="77777777" w:rsidTr="00A83EDC">
        <w:tc>
          <w:tcPr>
            <w:tcW w:w="4473" w:type="dxa"/>
            <w:vAlign w:val="bottom"/>
          </w:tcPr>
          <w:p w14:paraId="0E04E17A" w14:textId="0DAB40E9" w:rsidR="009E4519" w:rsidRPr="009E4519" w:rsidRDefault="009E4519" w:rsidP="009E4519">
            <w:pPr>
              <w:rPr>
                <w:rFonts w:ascii="Calibri" w:hAnsi="Calibri" w:cs="Calibri"/>
                <w:color w:val="000000"/>
                <w:sz w:val="20"/>
                <w:szCs w:val="20"/>
              </w:rPr>
            </w:pPr>
            <w:r w:rsidRPr="009E4519">
              <w:rPr>
                <w:rFonts w:ascii="Calibri" w:hAnsi="Calibri" w:cs="Calibri"/>
                <w:color w:val="000000"/>
                <w:sz w:val="20"/>
                <w:szCs w:val="20"/>
              </w:rPr>
              <w:t>RIZATRIPTAN -&gt; PIZOTIFEN</w:t>
            </w:r>
          </w:p>
        </w:tc>
        <w:tc>
          <w:tcPr>
            <w:tcW w:w="2185" w:type="dxa"/>
            <w:vAlign w:val="bottom"/>
          </w:tcPr>
          <w:p w14:paraId="6C4ACD19" w14:textId="775164A7" w:rsidR="009E4519" w:rsidRPr="009E4519" w:rsidRDefault="009E4519" w:rsidP="009E4519">
            <w:pPr>
              <w:jc w:val="center"/>
              <w:rPr>
                <w:rFonts w:ascii="Calibri" w:hAnsi="Calibri" w:cs="Calibri"/>
                <w:color w:val="000000"/>
                <w:sz w:val="20"/>
                <w:szCs w:val="20"/>
              </w:rPr>
            </w:pPr>
            <w:r w:rsidRPr="009E4519">
              <w:rPr>
                <w:rFonts w:ascii="Calibri" w:hAnsi="Calibri" w:cs="Calibri"/>
                <w:color w:val="000000"/>
                <w:sz w:val="20"/>
                <w:szCs w:val="20"/>
              </w:rPr>
              <w:t>3</w:t>
            </w:r>
            <w:r>
              <w:rPr>
                <w:rFonts w:ascii="Calibri" w:hAnsi="Calibri" w:cs="Calibri"/>
                <w:color w:val="000000"/>
                <w:sz w:val="20"/>
                <w:szCs w:val="20"/>
              </w:rPr>
              <w:t>,</w:t>
            </w:r>
            <w:r w:rsidRPr="009E4519">
              <w:rPr>
                <w:rFonts w:ascii="Calibri" w:hAnsi="Calibri" w:cs="Calibri"/>
                <w:color w:val="000000"/>
                <w:sz w:val="20"/>
                <w:szCs w:val="20"/>
              </w:rPr>
              <w:t>065</w:t>
            </w:r>
          </w:p>
        </w:tc>
      </w:tr>
      <w:tr w:rsidR="009E4519" w14:paraId="3B34C7EB" w14:textId="77777777" w:rsidTr="00A83EDC">
        <w:tc>
          <w:tcPr>
            <w:tcW w:w="4473" w:type="dxa"/>
            <w:vAlign w:val="bottom"/>
          </w:tcPr>
          <w:p w14:paraId="71241816" w14:textId="780B2B79" w:rsidR="009E4519" w:rsidRPr="009E4519" w:rsidRDefault="009E4519" w:rsidP="009E4519">
            <w:pPr>
              <w:rPr>
                <w:rFonts w:ascii="Calibri" w:hAnsi="Calibri" w:cs="Calibri"/>
                <w:color w:val="000000"/>
                <w:sz w:val="20"/>
                <w:szCs w:val="20"/>
              </w:rPr>
            </w:pPr>
            <w:r w:rsidRPr="009E4519">
              <w:rPr>
                <w:rFonts w:ascii="Calibri" w:hAnsi="Calibri" w:cs="Calibri"/>
                <w:color w:val="000000"/>
                <w:sz w:val="20"/>
                <w:szCs w:val="20"/>
              </w:rPr>
              <w:t>RIZATRIPTAN -&gt; TOPIRAMATE</w:t>
            </w:r>
          </w:p>
        </w:tc>
        <w:tc>
          <w:tcPr>
            <w:tcW w:w="2185" w:type="dxa"/>
            <w:vAlign w:val="bottom"/>
          </w:tcPr>
          <w:p w14:paraId="10BCEF4B" w14:textId="088F4059" w:rsidR="009E4519" w:rsidRPr="009E4519" w:rsidRDefault="009E4519" w:rsidP="009E4519">
            <w:pPr>
              <w:jc w:val="center"/>
              <w:rPr>
                <w:rFonts w:ascii="Calibri" w:hAnsi="Calibri" w:cs="Calibri"/>
                <w:color w:val="000000"/>
                <w:sz w:val="20"/>
                <w:szCs w:val="20"/>
              </w:rPr>
            </w:pPr>
            <w:r w:rsidRPr="009E4519">
              <w:rPr>
                <w:rFonts w:ascii="Calibri" w:hAnsi="Calibri" w:cs="Calibri"/>
                <w:color w:val="000000"/>
                <w:sz w:val="20"/>
                <w:szCs w:val="20"/>
              </w:rPr>
              <w:t>2</w:t>
            </w:r>
            <w:r>
              <w:rPr>
                <w:rFonts w:ascii="Calibri" w:hAnsi="Calibri" w:cs="Calibri"/>
                <w:color w:val="000000"/>
                <w:sz w:val="20"/>
                <w:szCs w:val="20"/>
              </w:rPr>
              <w:t>,</w:t>
            </w:r>
            <w:r w:rsidRPr="009E4519">
              <w:rPr>
                <w:rFonts w:ascii="Calibri" w:hAnsi="Calibri" w:cs="Calibri"/>
                <w:color w:val="000000"/>
                <w:sz w:val="20"/>
                <w:szCs w:val="20"/>
              </w:rPr>
              <w:t>914</w:t>
            </w:r>
          </w:p>
        </w:tc>
      </w:tr>
      <w:tr w:rsidR="009E4519" w14:paraId="32540FED" w14:textId="77777777" w:rsidTr="00A83EDC">
        <w:tc>
          <w:tcPr>
            <w:tcW w:w="4473" w:type="dxa"/>
            <w:vAlign w:val="bottom"/>
          </w:tcPr>
          <w:p w14:paraId="6D4A21A4" w14:textId="2600F587" w:rsidR="009E4519" w:rsidRPr="009E4519" w:rsidRDefault="009E4519" w:rsidP="009E4519">
            <w:pPr>
              <w:rPr>
                <w:rFonts w:ascii="Calibri" w:hAnsi="Calibri" w:cs="Calibri"/>
                <w:color w:val="000000"/>
                <w:sz w:val="20"/>
                <w:szCs w:val="20"/>
              </w:rPr>
            </w:pPr>
            <w:r w:rsidRPr="009E4519">
              <w:rPr>
                <w:rFonts w:ascii="Calibri" w:hAnsi="Calibri" w:cs="Calibri"/>
                <w:color w:val="000000"/>
                <w:sz w:val="20"/>
                <w:szCs w:val="20"/>
              </w:rPr>
              <w:t>SUMATRIPTAN -&gt; PIZOTIFEN</w:t>
            </w:r>
          </w:p>
        </w:tc>
        <w:tc>
          <w:tcPr>
            <w:tcW w:w="2185" w:type="dxa"/>
            <w:vAlign w:val="bottom"/>
          </w:tcPr>
          <w:p w14:paraId="4FF98444" w14:textId="7AA45C89" w:rsidR="009E4519" w:rsidRPr="009E4519" w:rsidRDefault="009E4519" w:rsidP="009E4519">
            <w:pPr>
              <w:jc w:val="center"/>
              <w:rPr>
                <w:rFonts w:ascii="Calibri" w:hAnsi="Calibri" w:cs="Calibri"/>
                <w:color w:val="000000"/>
                <w:sz w:val="20"/>
                <w:szCs w:val="20"/>
              </w:rPr>
            </w:pPr>
            <w:r w:rsidRPr="009E4519">
              <w:rPr>
                <w:rFonts w:ascii="Calibri" w:hAnsi="Calibri" w:cs="Calibri"/>
                <w:color w:val="000000"/>
                <w:sz w:val="20"/>
                <w:szCs w:val="20"/>
              </w:rPr>
              <w:t>2</w:t>
            </w:r>
            <w:r>
              <w:rPr>
                <w:rFonts w:ascii="Calibri" w:hAnsi="Calibri" w:cs="Calibri"/>
                <w:color w:val="000000"/>
                <w:sz w:val="20"/>
                <w:szCs w:val="20"/>
              </w:rPr>
              <w:t>,</w:t>
            </w:r>
            <w:r w:rsidRPr="009E4519">
              <w:rPr>
                <w:rFonts w:ascii="Calibri" w:hAnsi="Calibri" w:cs="Calibri"/>
                <w:color w:val="000000"/>
                <w:sz w:val="20"/>
                <w:szCs w:val="20"/>
              </w:rPr>
              <w:t>782</w:t>
            </w:r>
          </w:p>
        </w:tc>
      </w:tr>
      <w:tr w:rsidR="009E4519" w14:paraId="66E2C921" w14:textId="77777777" w:rsidTr="00A83EDC">
        <w:tc>
          <w:tcPr>
            <w:tcW w:w="4473" w:type="dxa"/>
            <w:vAlign w:val="bottom"/>
          </w:tcPr>
          <w:p w14:paraId="2D266913" w14:textId="31DB5E2B" w:rsidR="009E4519" w:rsidRPr="009E4519" w:rsidRDefault="009E4519" w:rsidP="009E4519">
            <w:pPr>
              <w:rPr>
                <w:rFonts w:ascii="Calibri" w:hAnsi="Calibri" w:cs="Calibri"/>
                <w:color w:val="000000"/>
                <w:sz w:val="20"/>
                <w:szCs w:val="20"/>
              </w:rPr>
            </w:pPr>
            <w:r w:rsidRPr="009E4519">
              <w:rPr>
                <w:rFonts w:ascii="Calibri" w:hAnsi="Calibri" w:cs="Calibri"/>
                <w:color w:val="000000"/>
                <w:sz w:val="20"/>
                <w:szCs w:val="20"/>
              </w:rPr>
              <w:t>ELETRIPTAN -&gt; AMITRIPTYLINE</w:t>
            </w:r>
          </w:p>
        </w:tc>
        <w:tc>
          <w:tcPr>
            <w:tcW w:w="2185" w:type="dxa"/>
            <w:vAlign w:val="bottom"/>
          </w:tcPr>
          <w:p w14:paraId="3599C336" w14:textId="572FB755" w:rsidR="009E4519" w:rsidRPr="009E4519" w:rsidRDefault="009E4519" w:rsidP="009E4519">
            <w:pPr>
              <w:jc w:val="center"/>
              <w:rPr>
                <w:rFonts w:ascii="Calibri" w:hAnsi="Calibri" w:cs="Calibri"/>
                <w:color w:val="000000"/>
                <w:sz w:val="20"/>
                <w:szCs w:val="20"/>
              </w:rPr>
            </w:pPr>
            <w:r w:rsidRPr="009E4519">
              <w:rPr>
                <w:rFonts w:ascii="Calibri" w:hAnsi="Calibri" w:cs="Calibri"/>
                <w:color w:val="000000"/>
                <w:sz w:val="20"/>
                <w:szCs w:val="20"/>
              </w:rPr>
              <w:t>2</w:t>
            </w:r>
            <w:r>
              <w:rPr>
                <w:rFonts w:ascii="Calibri" w:hAnsi="Calibri" w:cs="Calibri"/>
                <w:color w:val="000000"/>
                <w:sz w:val="20"/>
                <w:szCs w:val="20"/>
              </w:rPr>
              <w:t>,</w:t>
            </w:r>
            <w:r w:rsidRPr="009E4519">
              <w:rPr>
                <w:rFonts w:ascii="Calibri" w:hAnsi="Calibri" w:cs="Calibri"/>
                <w:color w:val="000000"/>
                <w:sz w:val="20"/>
                <w:szCs w:val="20"/>
              </w:rPr>
              <w:t>659</w:t>
            </w:r>
          </w:p>
        </w:tc>
      </w:tr>
      <w:tr w:rsidR="009E4519" w14:paraId="261401D7" w14:textId="77777777" w:rsidTr="00A83EDC">
        <w:tc>
          <w:tcPr>
            <w:tcW w:w="4473" w:type="dxa"/>
            <w:vAlign w:val="bottom"/>
          </w:tcPr>
          <w:p w14:paraId="0B76BB76" w14:textId="082241D9" w:rsidR="009E4519" w:rsidRPr="009E4519" w:rsidRDefault="009E4519" w:rsidP="009E4519">
            <w:pPr>
              <w:rPr>
                <w:rFonts w:ascii="Calibri" w:hAnsi="Calibri" w:cs="Calibri"/>
                <w:color w:val="000000"/>
                <w:sz w:val="20"/>
                <w:szCs w:val="20"/>
              </w:rPr>
            </w:pPr>
            <w:r w:rsidRPr="009E4519">
              <w:rPr>
                <w:rFonts w:ascii="Calibri" w:hAnsi="Calibri" w:cs="Calibri"/>
                <w:color w:val="000000"/>
                <w:sz w:val="20"/>
                <w:szCs w:val="20"/>
              </w:rPr>
              <w:t>RIZATRIPTAN -&gt; CANDESARTAN</w:t>
            </w:r>
          </w:p>
        </w:tc>
        <w:tc>
          <w:tcPr>
            <w:tcW w:w="2185" w:type="dxa"/>
            <w:vAlign w:val="bottom"/>
          </w:tcPr>
          <w:p w14:paraId="650258C2" w14:textId="5C992BF1" w:rsidR="009E4519" w:rsidRPr="009E4519" w:rsidRDefault="009E4519" w:rsidP="009E4519">
            <w:pPr>
              <w:jc w:val="center"/>
              <w:rPr>
                <w:rFonts w:ascii="Calibri" w:hAnsi="Calibri" w:cs="Calibri"/>
                <w:color w:val="000000"/>
                <w:sz w:val="20"/>
                <w:szCs w:val="20"/>
              </w:rPr>
            </w:pPr>
            <w:r w:rsidRPr="009E4519">
              <w:rPr>
                <w:rFonts w:ascii="Calibri" w:hAnsi="Calibri" w:cs="Calibri"/>
                <w:color w:val="000000"/>
                <w:sz w:val="20"/>
                <w:szCs w:val="20"/>
              </w:rPr>
              <w:t>2</w:t>
            </w:r>
            <w:r>
              <w:rPr>
                <w:rFonts w:ascii="Calibri" w:hAnsi="Calibri" w:cs="Calibri"/>
                <w:color w:val="000000"/>
                <w:sz w:val="20"/>
                <w:szCs w:val="20"/>
              </w:rPr>
              <w:t>,</w:t>
            </w:r>
            <w:r w:rsidRPr="009E4519">
              <w:rPr>
                <w:rFonts w:ascii="Calibri" w:hAnsi="Calibri" w:cs="Calibri"/>
                <w:color w:val="000000"/>
                <w:sz w:val="20"/>
                <w:szCs w:val="20"/>
              </w:rPr>
              <w:t>011</w:t>
            </w:r>
          </w:p>
        </w:tc>
      </w:tr>
      <w:tr w:rsidR="009E4519" w14:paraId="3B23BFC5" w14:textId="77777777" w:rsidTr="00A83EDC">
        <w:tc>
          <w:tcPr>
            <w:tcW w:w="4473" w:type="dxa"/>
            <w:vAlign w:val="bottom"/>
          </w:tcPr>
          <w:p w14:paraId="220D1968" w14:textId="5BE07312" w:rsidR="009E4519" w:rsidRPr="009E4519" w:rsidRDefault="009E4519" w:rsidP="009E4519">
            <w:pPr>
              <w:rPr>
                <w:rFonts w:ascii="Calibri" w:hAnsi="Calibri" w:cs="Calibri"/>
                <w:color w:val="000000"/>
                <w:sz w:val="20"/>
                <w:szCs w:val="20"/>
              </w:rPr>
            </w:pPr>
            <w:r w:rsidRPr="009E4519">
              <w:rPr>
                <w:rFonts w:ascii="Calibri" w:hAnsi="Calibri" w:cs="Calibri"/>
                <w:color w:val="000000"/>
                <w:sz w:val="20"/>
                <w:szCs w:val="20"/>
              </w:rPr>
              <w:t>SUMATRIPTAN -&gt; TOPIRAMATE</w:t>
            </w:r>
          </w:p>
        </w:tc>
        <w:tc>
          <w:tcPr>
            <w:tcW w:w="2185" w:type="dxa"/>
            <w:vAlign w:val="bottom"/>
          </w:tcPr>
          <w:p w14:paraId="6B9480F2" w14:textId="7B37A440" w:rsidR="009E4519" w:rsidRPr="009E4519" w:rsidRDefault="009E4519" w:rsidP="009E4519">
            <w:pPr>
              <w:jc w:val="center"/>
              <w:rPr>
                <w:rFonts w:ascii="Calibri" w:hAnsi="Calibri" w:cs="Calibri"/>
                <w:color w:val="000000"/>
                <w:sz w:val="20"/>
                <w:szCs w:val="20"/>
              </w:rPr>
            </w:pPr>
            <w:r w:rsidRPr="009E4519">
              <w:rPr>
                <w:rFonts w:ascii="Calibri" w:hAnsi="Calibri" w:cs="Calibri"/>
                <w:color w:val="000000"/>
                <w:sz w:val="20"/>
                <w:szCs w:val="20"/>
              </w:rPr>
              <w:t>1</w:t>
            </w:r>
            <w:r>
              <w:rPr>
                <w:rFonts w:ascii="Calibri" w:hAnsi="Calibri" w:cs="Calibri"/>
                <w:color w:val="000000"/>
                <w:sz w:val="20"/>
                <w:szCs w:val="20"/>
              </w:rPr>
              <w:t>,</w:t>
            </w:r>
            <w:r w:rsidRPr="009E4519">
              <w:rPr>
                <w:rFonts w:ascii="Calibri" w:hAnsi="Calibri" w:cs="Calibri"/>
                <w:color w:val="000000"/>
                <w:sz w:val="20"/>
                <w:szCs w:val="20"/>
              </w:rPr>
              <w:t>931</w:t>
            </w:r>
          </w:p>
        </w:tc>
      </w:tr>
    </w:tbl>
    <w:p w14:paraId="0C55D3E1" w14:textId="00A02249" w:rsidR="00DE5E41" w:rsidRPr="00853062" w:rsidRDefault="003E7167" w:rsidP="00275956">
      <w:pPr>
        <w:spacing w:after="0"/>
        <w:rPr>
          <w:sz w:val="20"/>
          <w:szCs w:val="20"/>
        </w:rPr>
      </w:pPr>
      <w:r w:rsidRPr="00853062">
        <w:rPr>
          <w:sz w:val="20"/>
          <w:szCs w:val="20"/>
        </w:rPr>
        <w:t>Note:</w:t>
      </w:r>
    </w:p>
    <w:p w14:paraId="2888A825" w14:textId="00007B46" w:rsidR="00D43E24" w:rsidRPr="00853062" w:rsidRDefault="003E7167" w:rsidP="00275956">
      <w:pPr>
        <w:spacing w:after="0"/>
        <w:rPr>
          <w:sz w:val="20"/>
          <w:szCs w:val="20"/>
        </w:rPr>
      </w:pPr>
      <w:r w:rsidRPr="00645D61">
        <w:rPr>
          <w:sz w:val="20"/>
          <w:szCs w:val="20"/>
          <w:vertAlign w:val="superscript"/>
        </w:rPr>
        <w:t>a</w:t>
      </w:r>
      <w:r w:rsidR="00645D61">
        <w:rPr>
          <w:sz w:val="20"/>
          <w:szCs w:val="20"/>
        </w:rPr>
        <w:t xml:space="preserve">Ten </w:t>
      </w:r>
      <w:r w:rsidR="00750A78">
        <w:rPr>
          <w:sz w:val="20"/>
          <w:szCs w:val="20"/>
        </w:rPr>
        <w:t xml:space="preserve">of the </w:t>
      </w:r>
      <w:r w:rsidR="00645D61">
        <w:rPr>
          <w:sz w:val="20"/>
          <w:szCs w:val="20"/>
        </w:rPr>
        <w:t xml:space="preserve">most </w:t>
      </w:r>
      <w:r w:rsidRPr="00853062">
        <w:rPr>
          <w:sz w:val="20"/>
          <w:szCs w:val="20"/>
        </w:rPr>
        <w:t xml:space="preserve">common </w:t>
      </w:r>
      <w:r w:rsidR="00566957" w:rsidRPr="00853062">
        <w:rPr>
          <w:sz w:val="20"/>
          <w:szCs w:val="20"/>
        </w:rPr>
        <w:t>Triptan to</w:t>
      </w:r>
      <w:r w:rsidR="00570D73">
        <w:rPr>
          <w:sz w:val="20"/>
          <w:szCs w:val="20"/>
          <w:vertAlign w:val="superscript"/>
        </w:rPr>
        <w:t xml:space="preserve"> </w:t>
      </w:r>
      <w:r w:rsidR="00570D73">
        <w:rPr>
          <w:sz w:val="20"/>
          <w:szCs w:val="20"/>
        </w:rPr>
        <w:t>first</w:t>
      </w:r>
      <w:r w:rsidR="00566957" w:rsidRPr="00853062">
        <w:rPr>
          <w:sz w:val="20"/>
          <w:szCs w:val="20"/>
        </w:rPr>
        <w:t xml:space="preserve"> line </w:t>
      </w:r>
      <w:r w:rsidR="00645D61" w:rsidRPr="00853062">
        <w:rPr>
          <w:sz w:val="20"/>
          <w:szCs w:val="20"/>
        </w:rPr>
        <w:t>prophylaxis</w:t>
      </w:r>
      <w:r w:rsidR="00645D61">
        <w:rPr>
          <w:sz w:val="20"/>
          <w:szCs w:val="20"/>
        </w:rPr>
        <w:t xml:space="preserve"> sequences</w:t>
      </w:r>
      <w:r w:rsidR="00853062" w:rsidRPr="00853062">
        <w:rPr>
          <w:sz w:val="20"/>
          <w:szCs w:val="20"/>
        </w:rPr>
        <w:t>.</w:t>
      </w:r>
    </w:p>
    <w:p w14:paraId="0F68FAEA" w14:textId="77777777" w:rsidR="00853062" w:rsidRDefault="00853062" w:rsidP="00275956">
      <w:pPr>
        <w:spacing w:after="0"/>
      </w:pPr>
    </w:p>
    <w:p w14:paraId="6FD27F3B" w14:textId="77777777" w:rsidR="00FD6385" w:rsidRDefault="00FD6385" w:rsidP="00275956">
      <w:pPr>
        <w:spacing w:after="0"/>
      </w:pPr>
    </w:p>
    <w:p w14:paraId="42AFA184" w14:textId="77777777" w:rsidR="00FD6385" w:rsidRDefault="00FD6385" w:rsidP="00275956">
      <w:pPr>
        <w:spacing w:after="0"/>
      </w:pPr>
    </w:p>
    <w:p w14:paraId="1A39C8BA" w14:textId="77777777" w:rsidR="00FD6385" w:rsidRDefault="00FD6385" w:rsidP="00275956">
      <w:pPr>
        <w:spacing w:after="0"/>
      </w:pPr>
    </w:p>
    <w:p w14:paraId="410F450D" w14:textId="77777777" w:rsidR="00FD6385" w:rsidRDefault="00FD6385" w:rsidP="00275956">
      <w:pPr>
        <w:spacing w:after="0"/>
      </w:pPr>
    </w:p>
    <w:p w14:paraId="6CA6CBBF" w14:textId="77777777" w:rsidR="00FD6385" w:rsidRDefault="00FD6385" w:rsidP="00275956">
      <w:pPr>
        <w:spacing w:after="0"/>
      </w:pPr>
    </w:p>
    <w:p w14:paraId="50B5FD97" w14:textId="77777777" w:rsidR="00FD6385" w:rsidRPr="00DE5E41" w:rsidRDefault="00FD6385" w:rsidP="00275956">
      <w:pPr>
        <w:spacing w:after="0"/>
      </w:pPr>
    </w:p>
    <w:p w14:paraId="1C09C684" w14:textId="657F3246" w:rsidR="008A51EB" w:rsidRPr="002827FD" w:rsidRDefault="007F6C56" w:rsidP="00275956">
      <w:pPr>
        <w:spacing w:after="0"/>
        <w:rPr>
          <w:b/>
          <w:bCs/>
        </w:rPr>
      </w:pPr>
      <w:r w:rsidRPr="00BE0429">
        <w:rPr>
          <w:b/>
          <w:bCs/>
        </w:rPr>
        <w:t xml:space="preserve">Table </w:t>
      </w:r>
      <w:r w:rsidR="00C8451E">
        <w:rPr>
          <w:b/>
          <w:bCs/>
        </w:rPr>
        <w:t>11</w:t>
      </w:r>
      <w:r w:rsidR="00BE0429" w:rsidRPr="00BE0429">
        <w:rPr>
          <w:b/>
          <w:bCs/>
        </w:rPr>
        <w:t xml:space="preserve">: </w:t>
      </w:r>
      <w:r w:rsidR="008A51EB" w:rsidRPr="00BE0429">
        <w:rPr>
          <w:b/>
          <w:bCs/>
        </w:rPr>
        <w:t>From</w:t>
      </w:r>
      <w:r w:rsidR="00066444">
        <w:rPr>
          <w:b/>
          <w:bCs/>
          <w:vertAlign w:val="superscript"/>
        </w:rPr>
        <w:t xml:space="preserve"> </w:t>
      </w:r>
      <w:r w:rsidR="00066444">
        <w:rPr>
          <w:b/>
          <w:bCs/>
        </w:rPr>
        <w:t>first</w:t>
      </w:r>
      <w:r w:rsidR="008A51EB" w:rsidRPr="00BE0429">
        <w:rPr>
          <w:b/>
          <w:bCs/>
        </w:rPr>
        <w:t xml:space="preserve"> line to </w:t>
      </w:r>
      <w:r w:rsidR="00BE7DCA" w:rsidRPr="00BE7DCA">
        <w:rPr>
          <w:b/>
          <w:bCs/>
        </w:rPr>
        <w:t>galcanezumab</w:t>
      </w:r>
      <w:r w:rsidR="00996171" w:rsidRPr="00996171">
        <w:rPr>
          <w:b/>
          <w:bCs/>
          <w:vertAlign w:val="superscript"/>
        </w:rPr>
        <w:t>a</w:t>
      </w:r>
    </w:p>
    <w:tbl>
      <w:tblPr>
        <w:tblStyle w:val="TableGrid"/>
        <w:tblW w:w="0" w:type="auto"/>
        <w:tblLook w:val="04A0" w:firstRow="1" w:lastRow="0" w:firstColumn="1" w:lastColumn="0" w:noHBand="0" w:noVBand="1"/>
      </w:tblPr>
      <w:tblGrid>
        <w:gridCol w:w="4815"/>
        <w:gridCol w:w="1853"/>
      </w:tblGrid>
      <w:tr w:rsidR="000002EF" w14:paraId="26F13756" w14:textId="77777777" w:rsidTr="00424C9B">
        <w:tc>
          <w:tcPr>
            <w:tcW w:w="4815" w:type="dxa"/>
            <w:shd w:val="clear" w:color="auto" w:fill="BFBFBF" w:themeFill="background1" w:themeFillShade="BF"/>
          </w:tcPr>
          <w:p w14:paraId="74986A29" w14:textId="3E0850A7" w:rsidR="000002EF" w:rsidRPr="002827FD" w:rsidRDefault="000002EF" w:rsidP="00275956">
            <w:pPr>
              <w:rPr>
                <w:rFonts w:cstheme="minorHAnsi"/>
                <w:b/>
                <w:bCs/>
                <w:sz w:val="20"/>
                <w:szCs w:val="20"/>
              </w:rPr>
            </w:pPr>
            <w:r w:rsidRPr="002827FD">
              <w:rPr>
                <w:rFonts w:cstheme="minorHAnsi"/>
                <w:b/>
                <w:bCs/>
                <w:sz w:val="20"/>
                <w:szCs w:val="20"/>
              </w:rPr>
              <w:t>Treatment sequence</w:t>
            </w:r>
            <w:r w:rsidRPr="00FA3922">
              <w:rPr>
                <w:rFonts w:cstheme="minorHAnsi"/>
                <w:b/>
                <w:bCs/>
                <w:sz w:val="20"/>
                <w:szCs w:val="20"/>
                <w:vertAlign w:val="superscript"/>
              </w:rPr>
              <w:t>1</w:t>
            </w:r>
          </w:p>
        </w:tc>
        <w:tc>
          <w:tcPr>
            <w:tcW w:w="1853" w:type="dxa"/>
            <w:shd w:val="clear" w:color="auto" w:fill="BFBFBF" w:themeFill="background1" w:themeFillShade="BF"/>
          </w:tcPr>
          <w:p w14:paraId="162D975D" w14:textId="54A885A1" w:rsidR="000002EF" w:rsidRPr="002827FD" w:rsidRDefault="000002EF" w:rsidP="002827FD">
            <w:pPr>
              <w:jc w:val="center"/>
              <w:rPr>
                <w:rFonts w:cstheme="minorHAnsi"/>
                <w:b/>
                <w:bCs/>
                <w:sz w:val="20"/>
                <w:szCs w:val="20"/>
              </w:rPr>
            </w:pPr>
            <w:r w:rsidRPr="002827FD">
              <w:rPr>
                <w:rFonts w:cstheme="minorHAnsi"/>
                <w:b/>
                <w:bCs/>
                <w:sz w:val="20"/>
                <w:szCs w:val="20"/>
              </w:rPr>
              <w:t>Patients</w:t>
            </w:r>
          </w:p>
        </w:tc>
      </w:tr>
      <w:tr w:rsidR="00970BAE" w14:paraId="3FDE6A3F" w14:textId="77777777" w:rsidTr="00424C9B">
        <w:tc>
          <w:tcPr>
            <w:tcW w:w="4815" w:type="dxa"/>
            <w:vAlign w:val="bottom"/>
          </w:tcPr>
          <w:p w14:paraId="0C8DA55C" w14:textId="123A927F" w:rsidR="00970BAE" w:rsidRPr="00970BAE" w:rsidRDefault="00970BAE" w:rsidP="00970BAE">
            <w:pPr>
              <w:rPr>
                <w:rFonts w:cstheme="minorHAnsi"/>
                <w:caps/>
                <w:sz w:val="20"/>
                <w:szCs w:val="20"/>
              </w:rPr>
            </w:pPr>
            <w:r w:rsidRPr="00970BAE">
              <w:rPr>
                <w:rFonts w:ascii="Calibri" w:hAnsi="Calibri" w:cs="Calibri"/>
                <w:color w:val="000000"/>
                <w:sz w:val="20"/>
                <w:szCs w:val="20"/>
              </w:rPr>
              <w:t>AMITRIPTYLINE -&gt; GALCANEZUMAB</w:t>
            </w:r>
          </w:p>
        </w:tc>
        <w:tc>
          <w:tcPr>
            <w:tcW w:w="1853" w:type="dxa"/>
            <w:vAlign w:val="bottom"/>
          </w:tcPr>
          <w:p w14:paraId="310D77A4" w14:textId="6C12D917" w:rsidR="00970BAE" w:rsidRPr="00970BAE" w:rsidRDefault="00970BAE" w:rsidP="00970BAE">
            <w:pPr>
              <w:jc w:val="center"/>
              <w:rPr>
                <w:rFonts w:cstheme="minorHAnsi"/>
                <w:caps/>
                <w:sz w:val="20"/>
                <w:szCs w:val="20"/>
              </w:rPr>
            </w:pPr>
            <w:r w:rsidRPr="00970BAE">
              <w:rPr>
                <w:rFonts w:ascii="Calibri" w:hAnsi="Calibri" w:cs="Calibri"/>
                <w:color w:val="000000"/>
                <w:sz w:val="20"/>
                <w:szCs w:val="20"/>
              </w:rPr>
              <w:t>489</w:t>
            </w:r>
          </w:p>
        </w:tc>
      </w:tr>
      <w:tr w:rsidR="00970BAE" w14:paraId="097C489C" w14:textId="77777777" w:rsidTr="00424C9B">
        <w:tc>
          <w:tcPr>
            <w:tcW w:w="4815" w:type="dxa"/>
            <w:vAlign w:val="bottom"/>
          </w:tcPr>
          <w:p w14:paraId="74E3D864" w14:textId="2A1F4815" w:rsidR="00970BAE" w:rsidRPr="00970BAE" w:rsidRDefault="00970BAE" w:rsidP="00970BAE">
            <w:pPr>
              <w:rPr>
                <w:rFonts w:cstheme="minorHAnsi"/>
                <w:caps/>
                <w:sz w:val="20"/>
                <w:szCs w:val="20"/>
              </w:rPr>
            </w:pPr>
            <w:r w:rsidRPr="00970BAE">
              <w:rPr>
                <w:rFonts w:ascii="Calibri" w:hAnsi="Calibri" w:cs="Calibri"/>
                <w:color w:val="000000"/>
                <w:sz w:val="20"/>
                <w:szCs w:val="20"/>
              </w:rPr>
              <w:t>TOPIRAMATE -&gt; GALCANEZUMAB</w:t>
            </w:r>
          </w:p>
        </w:tc>
        <w:tc>
          <w:tcPr>
            <w:tcW w:w="1853" w:type="dxa"/>
            <w:vAlign w:val="bottom"/>
          </w:tcPr>
          <w:p w14:paraId="63F17281" w14:textId="0D1D29DE" w:rsidR="00970BAE" w:rsidRPr="00970BAE" w:rsidRDefault="00970BAE" w:rsidP="00970BAE">
            <w:pPr>
              <w:jc w:val="center"/>
              <w:rPr>
                <w:rFonts w:cstheme="minorHAnsi"/>
                <w:caps/>
                <w:sz w:val="20"/>
                <w:szCs w:val="20"/>
              </w:rPr>
            </w:pPr>
            <w:r w:rsidRPr="00970BAE">
              <w:rPr>
                <w:rFonts w:ascii="Calibri" w:hAnsi="Calibri" w:cs="Calibri"/>
                <w:color w:val="000000"/>
                <w:sz w:val="20"/>
                <w:szCs w:val="20"/>
              </w:rPr>
              <w:t>417</w:t>
            </w:r>
          </w:p>
        </w:tc>
      </w:tr>
      <w:tr w:rsidR="00970BAE" w14:paraId="6070B31F" w14:textId="77777777" w:rsidTr="00424C9B">
        <w:tc>
          <w:tcPr>
            <w:tcW w:w="4815" w:type="dxa"/>
            <w:vAlign w:val="bottom"/>
          </w:tcPr>
          <w:p w14:paraId="3CB76B00" w14:textId="32DBF421" w:rsidR="00970BAE" w:rsidRPr="00970BAE" w:rsidRDefault="00970BAE" w:rsidP="00970BAE">
            <w:pPr>
              <w:rPr>
                <w:rFonts w:cstheme="minorHAnsi"/>
                <w:caps/>
                <w:sz w:val="20"/>
                <w:szCs w:val="20"/>
              </w:rPr>
            </w:pPr>
            <w:r w:rsidRPr="00970BAE">
              <w:rPr>
                <w:rFonts w:ascii="Calibri" w:hAnsi="Calibri" w:cs="Calibri"/>
                <w:color w:val="000000"/>
                <w:sz w:val="20"/>
                <w:szCs w:val="20"/>
              </w:rPr>
              <w:t>PROPRANOLOL -&gt; GALCANEZUMAB</w:t>
            </w:r>
          </w:p>
        </w:tc>
        <w:tc>
          <w:tcPr>
            <w:tcW w:w="1853" w:type="dxa"/>
            <w:vAlign w:val="bottom"/>
          </w:tcPr>
          <w:p w14:paraId="6390C221" w14:textId="3B315E98" w:rsidR="00970BAE" w:rsidRPr="00970BAE" w:rsidRDefault="00970BAE" w:rsidP="00970BAE">
            <w:pPr>
              <w:jc w:val="center"/>
              <w:rPr>
                <w:rFonts w:cstheme="minorHAnsi"/>
                <w:caps/>
                <w:sz w:val="20"/>
                <w:szCs w:val="20"/>
              </w:rPr>
            </w:pPr>
            <w:r w:rsidRPr="00970BAE">
              <w:rPr>
                <w:rFonts w:ascii="Calibri" w:hAnsi="Calibri" w:cs="Calibri"/>
                <w:color w:val="000000"/>
                <w:sz w:val="20"/>
                <w:szCs w:val="20"/>
              </w:rPr>
              <w:t>230</w:t>
            </w:r>
          </w:p>
        </w:tc>
      </w:tr>
      <w:tr w:rsidR="00970BAE" w14:paraId="7D74AFFE" w14:textId="77777777" w:rsidTr="00424C9B">
        <w:tc>
          <w:tcPr>
            <w:tcW w:w="4815" w:type="dxa"/>
            <w:vAlign w:val="bottom"/>
          </w:tcPr>
          <w:p w14:paraId="6C3BD2A3" w14:textId="7006C76E" w:rsidR="00970BAE" w:rsidRPr="00970BAE" w:rsidRDefault="00970BAE" w:rsidP="00970BAE">
            <w:pPr>
              <w:rPr>
                <w:rFonts w:cstheme="minorHAnsi"/>
                <w:caps/>
                <w:sz w:val="20"/>
                <w:szCs w:val="20"/>
              </w:rPr>
            </w:pPr>
            <w:r w:rsidRPr="00970BAE">
              <w:rPr>
                <w:rFonts w:ascii="Calibri" w:hAnsi="Calibri" w:cs="Calibri"/>
                <w:color w:val="000000"/>
                <w:sz w:val="20"/>
                <w:szCs w:val="20"/>
              </w:rPr>
              <w:t>CANDESARTAN -&gt; GALCANEZUMAB</w:t>
            </w:r>
          </w:p>
        </w:tc>
        <w:tc>
          <w:tcPr>
            <w:tcW w:w="1853" w:type="dxa"/>
            <w:vAlign w:val="bottom"/>
          </w:tcPr>
          <w:p w14:paraId="4E0CA0A3" w14:textId="4F1DBB79" w:rsidR="00970BAE" w:rsidRPr="00970BAE" w:rsidRDefault="00970BAE" w:rsidP="00970BAE">
            <w:pPr>
              <w:jc w:val="center"/>
              <w:rPr>
                <w:rFonts w:cstheme="minorHAnsi"/>
                <w:caps/>
                <w:sz w:val="20"/>
                <w:szCs w:val="20"/>
              </w:rPr>
            </w:pPr>
            <w:r w:rsidRPr="00970BAE">
              <w:rPr>
                <w:rFonts w:ascii="Calibri" w:hAnsi="Calibri" w:cs="Calibri"/>
                <w:color w:val="000000"/>
                <w:sz w:val="20"/>
                <w:szCs w:val="20"/>
              </w:rPr>
              <w:t>203</w:t>
            </w:r>
          </w:p>
        </w:tc>
      </w:tr>
      <w:tr w:rsidR="00970BAE" w14:paraId="55263CC2" w14:textId="77777777" w:rsidTr="00424C9B">
        <w:tc>
          <w:tcPr>
            <w:tcW w:w="4815" w:type="dxa"/>
            <w:vAlign w:val="bottom"/>
          </w:tcPr>
          <w:p w14:paraId="63F2054E" w14:textId="42ADFC2E" w:rsidR="00970BAE" w:rsidRPr="00970BAE" w:rsidRDefault="00970BAE" w:rsidP="00970BAE">
            <w:pPr>
              <w:rPr>
                <w:rFonts w:cstheme="minorHAnsi"/>
                <w:caps/>
                <w:sz w:val="20"/>
                <w:szCs w:val="20"/>
              </w:rPr>
            </w:pPr>
            <w:r w:rsidRPr="00970BAE">
              <w:rPr>
                <w:rFonts w:ascii="Calibri" w:hAnsi="Calibri" w:cs="Calibri"/>
                <w:color w:val="000000"/>
                <w:sz w:val="20"/>
                <w:szCs w:val="20"/>
              </w:rPr>
              <w:t>AMITRIPTYLINE -&gt; TOPIRAMATE -&gt; GALCANEZUMAB</w:t>
            </w:r>
          </w:p>
        </w:tc>
        <w:tc>
          <w:tcPr>
            <w:tcW w:w="1853" w:type="dxa"/>
            <w:vAlign w:val="bottom"/>
          </w:tcPr>
          <w:p w14:paraId="56C26464" w14:textId="27B047C8" w:rsidR="00970BAE" w:rsidRPr="00970BAE" w:rsidRDefault="00970BAE" w:rsidP="00970BAE">
            <w:pPr>
              <w:jc w:val="center"/>
              <w:rPr>
                <w:rFonts w:cstheme="minorHAnsi"/>
                <w:caps/>
                <w:sz w:val="20"/>
                <w:szCs w:val="20"/>
              </w:rPr>
            </w:pPr>
            <w:r w:rsidRPr="00970BAE">
              <w:rPr>
                <w:rFonts w:ascii="Calibri" w:hAnsi="Calibri" w:cs="Calibri"/>
                <w:color w:val="000000"/>
                <w:sz w:val="20"/>
                <w:szCs w:val="20"/>
              </w:rPr>
              <w:t>138</w:t>
            </w:r>
          </w:p>
        </w:tc>
      </w:tr>
      <w:tr w:rsidR="00970BAE" w14:paraId="089AA480" w14:textId="77777777" w:rsidTr="00424C9B">
        <w:tc>
          <w:tcPr>
            <w:tcW w:w="4815" w:type="dxa"/>
            <w:vAlign w:val="bottom"/>
          </w:tcPr>
          <w:p w14:paraId="6029F9F1" w14:textId="30BE79AE" w:rsidR="00970BAE" w:rsidRPr="00970BAE" w:rsidRDefault="00970BAE" w:rsidP="00970BAE">
            <w:pPr>
              <w:rPr>
                <w:rFonts w:ascii="Calibri" w:hAnsi="Calibri" w:cs="Calibri"/>
                <w:caps/>
                <w:color w:val="000000"/>
                <w:sz w:val="20"/>
                <w:szCs w:val="20"/>
              </w:rPr>
            </w:pPr>
            <w:r w:rsidRPr="00970BAE">
              <w:rPr>
                <w:rFonts w:ascii="Calibri" w:hAnsi="Calibri" w:cs="Calibri"/>
                <w:color w:val="000000"/>
                <w:sz w:val="20"/>
                <w:szCs w:val="20"/>
              </w:rPr>
              <w:t>PIZOTIFEN -&gt; GALCANEZUMAB</w:t>
            </w:r>
          </w:p>
        </w:tc>
        <w:tc>
          <w:tcPr>
            <w:tcW w:w="1853" w:type="dxa"/>
            <w:vAlign w:val="bottom"/>
          </w:tcPr>
          <w:p w14:paraId="4566821E" w14:textId="164EE0A1" w:rsidR="00970BAE" w:rsidRPr="00970BAE" w:rsidRDefault="00970BAE" w:rsidP="00970BAE">
            <w:pPr>
              <w:jc w:val="center"/>
              <w:rPr>
                <w:rFonts w:ascii="Calibri" w:hAnsi="Calibri" w:cs="Calibri"/>
                <w:caps/>
                <w:color w:val="000000"/>
                <w:sz w:val="20"/>
                <w:szCs w:val="20"/>
              </w:rPr>
            </w:pPr>
            <w:r w:rsidRPr="00970BAE">
              <w:rPr>
                <w:rFonts w:ascii="Calibri" w:hAnsi="Calibri" w:cs="Calibri"/>
                <w:color w:val="000000"/>
                <w:sz w:val="20"/>
                <w:szCs w:val="20"/>
              </w:rPr>
              <w:t>130</w:t>
            </w:r>
          </w:p>
        </w:tc>
      </w:tr>
      <w:tr w:rsidR="00970BAE" w14:paraId="2163FD83" w14:textId="77777777" w:rsidTr="00424C9B">
        <w:tc>
          <w:tcPr>
            <w:tcW w:w="4815" w:type="dxa"/>
            <w:vAlign w:val="bottom"/>
          </w:tcPr>
          <w:p w14:paraId="26AA6470" w14:textId="6B0C40D9" w:rsidR="00970BAE" w:rsidRPr="00970BAE" w:rsidRDefault="00970BAE" w:rsidP="00970BAE">
            <w:pPr>
              <w:rPr>
                <w:rFonts w:cstheme="minorHAnsi"/>
                <w:caps/>
                <w:sz w:val="20"/>
                <w:szCs w:val="20"/>
              </w:rPr>
            </w:pPr>
            <w:r w:rsidRPr="00970BAE">
              <w:rPr>
                <w:rFonts w:ascii="Calibri" w:hAnsi="Calibri" w:cs="Calibri"/>
                <w:color w:val="000000"/>
                <w:sz w:val="20"/>
                <w:szCs w:val="20"/>
              </w:rPr>
              <w:t>TOPIRAMATE -&gt; AMITRIPTYLINE -&gt; GALCANEZUMAB</w:t>
            </w:r>
          </w:p>
        </w:tc>
        <w:tc>
          <w:tcPr>
            <w:tcW w:w="1853" w:type="dxa"/>
            <w:vAlign w:val="bottom"/>
          </w:tcPr>
          <w:p w14:paraId="71DBD482" w14:textId="5020C628" w:rsidR="00970BAE" w:rsidRPr="00970BAE" w:rsidRDefault="00970BAE" w:rsidP="00970BAE">
            <w:pPr>
              <w:jc w:val="center"/>
              <w:rPr>
                <w:rFonts w:cstheme="minorHAnsi"/>
                <w:caps/>
                <w:sz w:val="20"/>
                <w:szCs w:val="20"/>
              </w:rPr>
            </w:pPr>
            <w:r w:rsidRPr="00970BAE">
              <w:rPr>
                <w:rFonts w:ascii="Calibri" w:hAnsi="Calibri" w:cs="Calibri"/>
                <w:color w:val="000000"/>
                <w:sz w:val="20"/>
                <w:szCs w:val="20"/>
              </w:rPr>
              <w:t>101</w:t>
            </w:r>
          </w:p>
        </w:tc>
      </w:tr>
      <w:tr w:rsidR="00970BAE" w14:paraId="261A32A7" w14:textId="77777777" w:rsidTr="00424C9B">
        <w:tc>
          <w:tcPr>
            <w:tcW w:w="4815" w:type="dxa"/>
            <w:vAlign w:val="bottom"/>
          </w:tcPr>
          <w:p w14:paraId="1466A6E6" w14:textId="145EDA28" w:rsidR="00970BAE" w:rsidRPr="00970BAE" w:rsidRDefault="00970BAE" w:rsidP="00970BAE">
            <w:pPr>
              <w:rPr>
                <w:rFonts w:ascii="Calibri" w:hAnsi="Calibri" w:cs="Calibri"/>
                <w:caps/>
                <w:color w:val="000000"/>
                <w:sz w:val="20"/>
                <w:szCs w:val="20"/>
              </w:rPr>
            </w:pPr>
            <w:r w:rsidRPr="00970BAE">
              <w:rPr>
                <w:rFonts w:ascii="Calibri" w:hAnsi="Calibri" w:cs="Calibri"/>
                <w:color w:val="000000"/>
                <w:sz w:val="20"/>
                <w:szCs w:val="20"/>
              </w:rPr>
              <w:t>AMITRIPTYLINE -&gt; PROPRANOLOL -&gt; GALCANEZUMAB</w:t>
            </w:r>
          </w:p>
        </w:tc>
        <w:tc>
          <w:tcPr>
            <w:tcW w:w="1853" w:type="dxa"/>
            <w:vAlign w:val="bottom"/>
          </w:tcPr>
          <w:p w14:paraId="411D8F96" w14:textId="15E3DA0B" w:rsidR="00970BAE" w:rsidRPr="00970BAE" w:rsidRDefault="00970BAE" w:rsidP="00970BAE">
            <w:pPr>
              <w:jc w:val="center"/>
              <w:rPr>
                <w:rFonts w:ascii="Calibri" w:hAnsi="Calibri" w:cs="Calibri"/>
                <w:caps/>
                <w:color w:val="000000"/>
                <w:sz w:val="20"/>
                <w:szCs w:val="20"/>
              </w:rPr>
            </w:pPr>
            <w:r w:rsidRPr="00970BAE">
              <w:rPr>
                <w:rFonts w:ascii="Calibri" w:hAnsi="Calibri" w:cs="Calibri"/>
                <w:color w:val="000000"/>
                <w:sz w:val="20"/>
                <w:szCs w:val="20"/>
              </w:rPr>
              <w:t>86</w:t>
            </w:r>
          </w:p>
        </w:tc>
      </w:tr>
      <w:tr w:rsidR="00970BAE" w14:paraId="0DD29453" w14:textId="77777777" w:rsidTr="00424C9B">
        <w:tc>
          <w:tcPr>
            <w:tcW w:w="4815" w:type="dxa"/>
            <w:vAlign w:val="bottom"/>
          </w:tcPr>
          <w:p w14:paraId="5864CD56" w14:textId="6130A399" w:rsidR="00970BAE" w:rsidRPr="00970BAE" w:rsidRDefault="00970BAE" w:rsidP="00970BAE">
            <w:pPr>
              <w:rPr>
                <w:rFonts w:ascii="Calibri" w:hAnsi="Calibri" w:cs="Calibri"/>
                <w:caps/>
                <w:color w:val="000000"/>
                <w:sz w:val="20"/>
                <w:szCs w:val="20"/>
              </w:rPr>
            </w:pPr>
            <w:r w:rsidRPr="00970BAE">
              <w:rPr>
                <w:rFonts w:ascii="Calibri" w:hAnsi="Calibri" w:cs="Calibri"/>
                <w:color w:val="000000"/>
                <w:sz w:val="20"/>
                <w:szCs w:val="20"/>
              </w:rPr>
              <w:t>VALPROATE -&gt; GALCANEZUMAB</w:t>
            </w:r>
          </w:p>
        </w:tc>
        <w:tc>
          <w:tcPr>
            <w:tcW w:w="1853" w:type="dxa"/>
            <w:vAlign w:val="bottom"/>
          </w:tcPr>
          <w:p w14:paraId="2E264930" w14:textId="220108FD" w:rsidR="00970BAE" w:rsidRPr="00970BAE" w:rsidRDefault="00970BAE" w:rsidP="00970BAE">
            <w:pPr>
              <w:jc w:val="center"/>
              <w:rPr>
                <w:rFonts w:ascii="Calibri" w:hAnsi="Calibri" w:cs="Calibri"/>
                <w:caps/>
                <w:color w:val="000000"/>
                <w:sz w:val="20"/>
                <w:szCs w:val="20"/>
              </w:rPr>
            </w:pPr>
            <w:r w:rsidRPr="00970BAE">
              <w:rPr>
                <w:rFonts w:ascii="Calibri" w:hAnsi="Calibri" w:cs="Calibri"/>
                <w:color w:val="000000"/>
                <w:sz w:val="20"/>
                <w:szCs w:val="20"/>
              </w:rPr>
              <w:t>78</w:t>
            </w:r>
          </w:p>
        </w:tc>
      </w:tr>
      <w:tr w:rsidR="00970BAE" w14:paraId="64AB45BD" w14:textId="77777777" w:rsidTr="00424C9B">
        <w:tc>
          <w:tcPr>
            <w:tcW w:w="4815" w:type="dxa"/>
            <w:vAlign w:val="bottom"/>
          </w:tcPr>
          <w:p w14:paraId="21137F83" w14:textId="1CC294AC" w:rsidR="00970BAE" w:rsidRPr="00970BAE" w:rsidRDefault="00970BAE" w:rsidP="00970BAE">
            <w:pPr>
              <w:rPr>
                <w:rFonts w:ascii="Calibri" w:hAnsi="Calibri" w:cs="Calibri"/>
                <w:caps/>
                <w:color w:val="000000"/>
                <w:sz w:val="20"/>
                <w:szCs w:val="20"/>
              </w:rPr>
            </w:pPr>
            <w:r w:rsidRPr="00970BAE">
              <w:rPr>
                <w:rFonts w:ascii="Calibri" w:hAnsi="Calibri" w:cs="Calibri"/>
                <w:color w:val="000000"/>
                <w:sz w:val="20"/>
                <w:szCs w:val="20"/>
              </w:rPr>
              <w:t>PROPRANOLOL -&gt; AMITRIPTYLINE -&gt; GALCANEZUMAB</w:t>
            </w:r>
          </w:p>
        </w:tc>
        <w:tc>
          <w:tcPr>
            <w:tcW w:w="1853" w:type="dxa"/>
            <w:vAlign w:val="bottom"/>
          </w:tcPr>
          <w:p w14:paraId="040F93F1" w14:textId="6FCE5E40" w:rsidR="00970BAE" w:rsidRPr="00970BAE" w:rsidRDefault="00970BAE" w:rsidP="00970BAE">
            <w:pPr>
              <w:jc w:val="center"/>
              <w:rPr>
                <w:rFonts w:ascii="Calibri" w:hAnsi="Calibri" w:cs="Calibri"/>
                <w:caps/>
                <w:color w:val="000000"/>
                <w:sz w:val="20"/>
                <w:szCs w:val="20"/>
              </w:rPr>
            </w:pPr>
            <w:r w:rsidRPr="00970BAE">
              <w:rPr>
                <w:rFonts w:ascii="Calibri" w:hAnsi="Calibri" w:cs="Calibri"/>
                <w:color w:val="000000"/>
                <w:sz w:val="20"/>
                <w:szCs w:val="20"/>
              </w:rPr>
              <w:t>73</w:t>
            </w:r>
          </w:p>
        </w:tc>
      </w:tr>
    </w:tbl>
    <w:p w14:paraId="3CA4B708" w14:textId="2866F51A" w:rsidR="008A51EB" w:rsidRDefault="00510EFA" w:rsidP="00275956">
      <w:pPr>
        <w:spacing w:after="0"/>
        <w:rPr>
          <w:sz w:val="20"/>
          <w:szCs w:val="20"/>
        </w:rPr>
      </w:pPr>
      <w:r w:rsidRPr="00384D6C">
        <w:rPr>
          <w:sz w:val="20"/>
          <w:szCs w:val="20"/>
        </w:rPr>
        <w:t>Note:</w:t>
      </w:r>
    </w:p>
    <w:p w14:paraId="0EA58F97" w14:textId="40B0729D" w:rsidR="0033089D" w:rsidRPr="00384D6C" w:rsidRDefault="00996171" w:rsidP="00275956">
      <w:pPr>
        <w:spacing w:after="0"/>
        <w:rPr>
          <w:sz w:val="20"/>
          <w:szCs w:val="20"/>
        </w:rPr>
      </w:pPr>
      <w:r w:rsidRPr="00996171">
        <w:rPr>
          <w:sz w:val="20"/>
          <w:szCs w:val="20"/>
          <w:vertAlign w:val="superscript"/>
        </w:rPr>
        <w:t>a</w:t>
      </w:r>
      <w:r w:rsidR="0033089D">
        <w:rPr>
          <w:sz w:val="20"/>
          <w:szCs w:val="20"/>
        </w:rPr>
        <w:t xml:space="preserve">Ten </w:t>
      </w:r>
      <w:r w:rsidR="00750A78">
        <w:rPr>
          <w:sz w:val="20"/>
          <w:szCs w:val="20"/>
        </w:rPr>
        <w:t xml:space="preserve">of the </w:t>
      </w:r>
      <w:r w:rsidR="0033089D">
        <w:rPr>
          <w:sz w:val="20"/>
          <w:szCs w:val="20"/>
        </w:rPr>
        <w:t>most common</w:t>
      </w:r>
      <w:r w:rsidR="00712D5F">
        <w:rPr>
          <w:sz w:val="20"/>
          <w:szCs w:val="20"/>
          <w:vertAlign w:val="superscript"/>
        </w:rPr>
        <w:t xml:space="preserve"> </w:t>
      </w:r>
      <w:r w:rsidR="00712D5F">
        <w:rPr>
          <w:sz w:val="20"/>
          <w:szCs w:val="20"/>
        </w:rPr>
        <w:t>first</w:t>
      </w:r>
      <w:r w:rsidR="0033089D">
        <w:rPr>
          <w:sz w:val="20"/>
          <w:szCs w:val="20"/>
        </w:rPr>
        <w:t xml:space="preserve"> line to </w:t>
      </w:r>
      <w:r>
        <w:rPr>
          <w:sz w:val="20"/>
          <w:szCs w:val="20"/>
        </w:rPr>
        <w:t>galcanezumab</w:t>
      </w:r>
      <w:r w:rsidR="0033089D">
        <w:rPr>
          <w:sz w:val="20"/>
          <w:szCs w:val="20"/>
        </w:rPr>
        <w:t xml:space="preserve"> sequences.</w:t>
      </w:r>
    </w:p>
    <w:p w14:paraId="08082786" w14:textId="77777777" w:rsidR="000922CE" w:rsidRDefault="000922CE" w:rsidP="002F61F0">
      <w:pPr>
        <w:spacing w:after="0"/>
        <w:rPr>
          <w:b/>
          <w:bCs/>
        </w:rPr>
      </w:pPr>
    </w:p>
    <w:p w14:paraId="063DA74B" w14:textId="6E836B2B" w:rsidR="003C451F" w:rsidRPr="002827FD" w:rsidRDefault="003C451F" w:rsidP="003C451F">
      <w:pPr>
        <w:spacing w:after="0"/>
        <w:rPr>
          <w:b/>
          <w:bCs/>
        </w:rPr>
      </w:pPr>
      <w:r w:rsidRPr="00BE0429">
        <w:rPr>
          <w:b/>
          <w:bCs/>
        </w:rPr>
        <w:t xml:space="preserve">Table </w:t>
      </w:r>
      <w:r w:rsidR="00C8451E">
        <w:rPr>
          <w:b/>
          <w:bCs/>
        </w:rPr>
        <w:t>12</w:t>
      </w:r>
      <w:r w:rsidRPr="00BE0429">
        <w:rPr>
          <w:b/>
          <w:bCs/>
        </w:rPr>
        <w:t>: From</w:t>
      </w:r>
      <w:r w:rsidR="0016168D">
        <w:rPr>
          <w:b/>
          <w:bCs/>
          <w:vertAlign w:val="superscript"/>
        </w:rPr>
        <w:t xml:space="preserve"> </w:t>
      </w:r>
      <w:r w:rsidR="0016168D">
        <w:rPr>
          <w:b/>
          <w:bCs/>
        </w:rPr>
        <w:t>first</w:t>
      </w:r>
      <w:r w:rsidRPr="00BE0429">
        <w:rPr>
          <w:b/>
          <w:bCs/>
        </w:rPr>
        <w:t xml:space="preserve"> line to </w:t>
      </w:r>
      <w:r w:rsidRPr="005C78F3">
        <w:rPr>
          <w:b/>
          <w:bCs/>
        </w:rPr>
        <w:t>fremanezumab</w:t>
      </w:r>
      <w:r w:rsidR="00996171" w:rsidRPr="00996171">
        <w:rPr>
          <w:b/>
          <w:bCs/>
          <w:vertAlign w:val="superscript"/>
        </w:rPr>
        <w:t>a</w:t>
      </w:r>
    </w:p>
    <w:tbl>
      <w:tblPr>
        <w:tblStyle w:val="TableGrid"/>
        <w:tblW w:w="0" w:type="auto"/>
        <w:tblLook w:val="04A0" w:firstRow="1" w:lastRow="0" w:firstColumn="1" w:lastColumn="0" w:noHBand="0" w:noVBand="1"/>
      </w:tblPr>
      <w:tblGrid>
        <w:gridCol w:w="4815"/>
        <w:gridCol w:w="1853"/>
      </w:tblGrid>
      <w:tr w:rsidR="003C451F" w14:paraId="231A0B5A" w14:textId="77777777" w:rsidTr="00424C9B">
        <w:tc>
          <w:tcPr>
            <w:tcW w:w="4815" w:type="dxa"/>
            <w:shd w:val="clear" w:color="auto" w:fill="BFBFBF" w:themeFill="background1" w:themeFillShade="BF"/>
          </w:tcPr>
          <w:p w14:paraId="0647A05F" w14:textId="08BBA583" w:rsidR="003C451F" w:rsidRPr="002827FD" w:rsidRDefault="003C451F">
            <w:pPr>
              <w:rPr>
                <w:rFonts w:cstheme="minorHAnsi"/>
                <w:b/>
                <w:bCs/>
                <w:sz w:val="20"/>
                <w:szCs w:val="20"/>
              </w:rPr>
            </w:pPr>
            <w:r w:rsidRPr="002827FD">
              <w:rPr>
                <w:rFonts w:cstheme="minorHAnsi"/>
                <w:b/>
                <w:bCs/>
                <w:sz w:val="20"/>
                <w:szCs w:val="20"/>
              </w:rPr>
              <w:t>Treatment sequence</w:t>
            </w:r>
          </w:p>
        </w:tc>
        <w:tc>
          <w:tcPr>
            <w:tcW w:w="1853" w:type="dxa"/>
            <w:shd w:val="clear" w:color="auto" w:fill="BFBFBF" w:themeFill="background1" w:themeFillShade="BF"/>
          </w:tcPr>
          <w:p w14:paraId="04E011DD" w14:textId="77777777" w:rsidR="003C451F" w:rsidRPr="002827FD" w:rsidRDefault="003C451F">
            <w:pPr>
              <w:jc w:val="center"/>
              <w:rPr>
                <w:rFonts w:cstheme="minorHAnsi"/>
                <w:b/>
                <w:bCs/>
                <w:sz w:val="20"/>
                <w:szCs w:val="20"/>
              </w:rPr>
            </w:pPr>
            <w:r w:rsidRPr="002827FD">
              <w:rPr>
                <w:rFonts w:cstheme="minorHAnsi"/>
                <w:b/>
                <w:bCs/>
                <w:sz w:val="20"/>
                <w:szCs w:val="20"/>
              </w:rPr>
              <w:t>Patients</w:t>
            </w:r>
          </w:p>
        </w:tc>
      </w:tr>
      <w:tr w:rsidR="00424C9B" w14:paraId="1D852F7A" w14:textId="77777777" w:rsidTr="00424C9B">
        <w:tc>
          <w:tcPr>
            <w:tcW w:w="4815" w:type="dxa"/>
            <w:vAlign w:val="bottom"/>
          </w:tcPr>
          <w:p w14:paraId="39323AC9" w14:textId="520375B2" w:rsidR="00424C9B" w:rsidRPr="00424C9B" w:rsidRDefault="00424C9B" w:rsidP="00424C9B">
            <w:pPr>
              <w:rPr>
                <w:rFonts w:cstheme="minorHAnsi"/>
                <w:caps/>
                <w:sz w:val="20"/>
                <w:szCs w:val="20"/>
              </w:rPr>
            </w:pPr>
            <w:r w:rsidRPr="00424C9B">
              <w:rPr>
                <w:rFonts w:ascii="Calibri" w:hAnsi="Calibri" w:cs="Calibri"/>
                <w:color w:val="000000"/>
                <w:sz w:val="20"/>
                <w:szCs w:val="20"/>
              </w:rPr>
              <w:t>AMITRIPTYLINE -&gt; FREMANEZUMAB</w:t>
            </w:r>
          </w:p>
        </w:tc>
        <w:tc>
          <w:tcPr>
            <w:tcW w:w="1853" w:type="dxa"/>
            <w:vAlign w:val="bottom"/>
          </w:tcPr>
          <w:p w14:paraId="5706089C" w14:textId="789DF8DF" w:rsidR="00424C9B" w:rsidRPr="00424C9B" w:rsidRDefault="00424C9B" w:rsidP="00424C9B">
            <w:pPr>
              <w:jc w:val="center"/>
              <w:rPr>
                <w:rFonts w:cstheme="minorHAnsi"/>
                <w:caps/>
                <w:sz w:val="20"/>
                <w:szCs w:val="20"/>
              </w:rPr>
            </w:pPr>
            <w:r w:rsidRPr="00424C9B">
              <w:rPr>
                <w:rFonts w:ascii="Calibri" w:hAnsi="Calibri" w:cs="Calibri"/>
                <w:color w:val="000000"/>
                <w:sz w:val="20"/>
                <w:szCs w:val="20"/>
              </w:rPr>
              <w:t>1</w:t>
            </w:r>
            <w:r>
              <w:rPr>
                <w:rFonts w:ascii="Calibri" w:hAnsi="Calibri" w:cs="Calibri"/>
                <w:color w:val="000000"/>
                <w:sz w:val="20"/>
                <w:szCs w:val="20"/>
              </w:rPr>
              <w:t>,</w:t>
            </w:r>
            <w:r w:rsidRPr="00424C9B">
              <w:rPr>
                <w:rFonts w:ascii="Calibri" w:hAnsi="Calibri" w:cs="Calibri"/>
                <w:color w:val="000000"/>
                <w:sz w:val="20"/>
                <w:szCs w:val="20"/>
              </w:rPr>
              <w:t>022</w:t>
            </w:r>
          </w:p>
        </w:tc>
      </w:tr>
      <w:tr w:rsidR="00424C9B" w14:paraId="3D48733D" w14:textId="77777777" w:rsidTr="00424C9B">
        <w:tc>
          <w:tcPr>
            <w:tcW w:w="4815" w:type="dxa"/>
            <w:vAlign w:val="bottom"/>
          </w:tcPr>
          <w:p w14:paraId="197B16E4" w14:textId="140D2AD0" w:rsidR="00424C9B" w:rsidRPr="00424C9B" w:rsidRDefault="00424C9B" w:rsidP="00424C9B">
            <w:pPr>
              <w:rPr>
                <w:rFonts w:cstheme="minorHAnsi"/>
                <w:caps/>
                <w:sz w:val="20"/>
                <w:szCs w:val="20"/>
              </w:rPr>
            </w:pPr>
            <w:r w:rsidRPr="00424C9B">
              <w:rPr>
                <w:rFonts w:ascii="Calibri" w:hAnsi="Calibri" w:cs="Calibri"/>
                <w:color w:val="000000"/>
                <w:sz w:val="20"/>
                <w:szCs w:val="20"/>
              </w:rPr>
              <w:t>TOPIRAMATE -&gt; FREMANEZUMAB</w:t>
            </w:r>
          </w:p>
        </w:tc>
        <w:tc>
          <w:tcPr>
            <w:tcW w:w="1853" w:type="dxa"/>
            <w:vAlign w:val="bottom"/>
          </w:tcPr>
          <w:p w14:paraId="2229EBD1" w14:textId="58303079" w:rsidR="00424C9B" w:rsidRPr="00424C9B" w:rsidRDefault="00424C9B" w:rsidP="00424C9B">
            <w:pPr>
              <w:jc w:val="center"/>
              <w:rPr>
                <w:rFonts w:cstheme="minorHAnsi"/>
                <w:caps/>
                <w:sz w:val="20"/>
                <w:szCs w:val="20"/>
              </w:rPr>
            </w:pPr>
            <w:r w:rsidRPr="00424C9B">
              <w:rPr>
                <w:rFonts w:ascii="Calibri" w:hAnsi="Calibri" w:cs="Calibri"/>
                <w:color w:val="000000"/>
                <w:sz w:val="20"/>
                <w:szCs w:val="20"/>
              </w:rPr>
              <w:t>855</w:t>
            </w:r>
          </w:p>
        </w:tc>
      </w:tr>
      <w:tr w:rsidR="00424C9B" w14:paraId="38F2B1C3" w14:textId="77777777" w:rsidTr="00424C9B">
        <w:tc>
          <w:tcPr>
            <w:tcW w:w="4815" w:type="dxa"/>
            <w:vAlign w:val="bottom"/>
          </w:tcPr>
          <w:p w14:paraId="1F79BB7C" w14:textId="4BC073AA" w:rsidR="00424C9B" w:rsidRPr="00424C9B" w:rsidRDefault="00424C9B" w:rsidP="00424C9B">
            <w:pPr>
              <w:rPr>
                <w:rFonts w:cstheme="minorHAnsi"/>
                <w:caps/>
                <w:sz w:val="20"/>
                <w:szCs w:val="20"/>
              </w:rPr>
            </w:pPr>
            <w:r w:rsidRPr="00424C9B">
              <w:rPr>
                <w:rFonts w:ascii="Calibri" w:hAnsi="Calibri" w:cs="Calibri"/>
                <w:color w:val="000000"/>
                <w:sz w:val="20"/>
                <w:szCs w:val="20"/>
              </w:rPr>
              <w:t>PROPRANOLOL -&gt; FREMANEZUMAB</w:t>
            </w:r>
          </w:p>
        </w:tc>
        <w:tc>
          <w:tcPr>
            <w:tcW w:w="1853" w:type="dxa"/>
            <w:vAlign w:val="bottom"/>
          </w:tcPr>
          <w:p w14:paraId="1C1A5319" w14:textId="31221534" w:rsidR="00424C9B" w:rsidRPr="00424C9B" w:rsidRDefault="00424C9B" w:rsidP="00424C9B">
            <w:pPr>
              <w:jc w:val="center"/>
              <w:rPr>
                <w:rFonts w:cstheme="minorHAnsi"/>
                <w:caps/>
                <w:sz w:val="20"/>
                <w:szCs w:val="20"/>
              </w:rPr>
            </w:pPr>
            <w:r w:rsidRPr="00424C9B">
              <w:rPr>
                <w:rFonts w:ascii="Calibri" w:hAnsi="Calibri" w:cs="Calibri"/>
                <w:color w:val="000000"/>
                <w:sz w:val="20"/>
                <w:szCs w:val="20"/>
              </w:rPr>
              <w:t>561</w:t>
            </w:r>
          </w:p>
        </w:tc>
      </w:tr>
      <w:tr w:rsidR="00424C9B" w14:paraId="690824E2" w14:textId="77777777" w:rsidTr="00424C9B">
        <w:tc>
          <w:tcPr>
            <w:tcW w:w="4815" w:type="dxa"/>
            <w:vAlign w:val="bottom"/>
          </w:tcPr>
          <w:p w14:paraId="519A4AD9" w14:textId="03943A92" w:rsidR="00424C9B" w:rsidRPr="00424C9B" w:rsidRDefault="00424C9B" w:rsidP="00424C9B">
            <w:pPr>
              <w:rPr>
                <w:rFonts w:cstheme="minorHAnsi"/>
                <w:caps/>
                <w:sz w:val="20"/>
                <w:szCs w:val="20"/>
              </w:rPr>
            </w:pPr>
            <w:r w:rsidRPr="00424C9B">
              <w:rPr>
                <w:rFonts w:ascii="Calibri" w:hAnsi="Calibri" w:cs="Calibri"/>
                <w:color w:val="000000"/>
                <w:sz w:val="20"/>
                <w:szCs w:val="20"/>
              </w:rPr>
              <w:t>AMITRIPTYLINE -&gt; TOPIRAMATE -&gt; FREMANEZUMAB</w:t>
            </w:r>
          </w:p>
        </w:tc>
        <w:tc>
          <w:tcPr>
            <w:tcW w:w="1853" w:type="dxa"/>
            <w:vAlign w:val="bottom"/>
          </w:tcPr>
          <w:p w14:paraId="27364BD6" w14:textId="68979BDF" w:rsidR="00424C9B" w:rsidRPr="00424C9B" w:rsidRDefault="00424C9B" w:rsidP="00424C9B">
            <w:pPr>
              <w:jc w:val="center"/>
              <w:rPr>
                <w:rFonts w:cstheme="minorHAnsi"/>
                <w:caps/>
                <w:sz w:val="20"/>
                <w:szCs w:val="20"/>
              </w:rPr>
            </w:pPr>
            <w:r w:rsidRPr="00424C9B">
              <w:rPr>
                <w:rFonts w:ascii="Calibri" w:hAnsi="Calibri" w:cs="Calibri"/>
                <w:color w:val="000000"/>
                <w:sz w:val="20"/>
                <w:szCs w:val="20"/>
              </w:rPr>
              <w:t>360</w:t>
            </w:r>
          </w:p>
        </w:tc>
      </w:tr>
      <w:tr w:rsidR="00424C9B" w14:paraId="5EC1A92C" w14:textId="77777777" w:rsidTr="00424C9B">
        <w:tc>
          <w:tcPr>
            <w:tcW w:w="4815" w:type="dxa"/>
            <w:vAlign w:val="bottom"/>
          </w:tcPr>
          <w:p w14:paraId="787BF1A0" w14:textId="1B43B9FE" w:rsidR="00424C9B" w:rsidRPr="00424C9B" w:rsidRDefault="00424C9B" w:rsidP="00424C9B">
            <w:pPr>
              <w:rPr>
                <w:rFonts w:cstheme="minorHAnsi"/>
                <w:caps/>
                <w:sz w:val="20"/>
                <w:szCs w:val="20"/>
              </w:rPr>
            </w:pPr>
            <w:r w:rsidRPr="00424C9B">
              <w:rPr>
                <w:rFonts w:ascii="Calibri" w:hAnsi="Calibri" w:cs="Calibri"/>
                <w:color w:val="000000"/>
                <w:sz w:val="20"/>
                <w:szCs w:val="20"/>
              </w:rPr>
              <w:t>CANDESARTAN -&gt; FREMANEZUMAB</w:t>
            </w:r>
          </w:p>
        </w:tc>
        <w:tc>
          <w:tcPr>
            <w:tcW w:w="1853" w:type="dxa"/>
            <w:vAlign w:val="bottom"/>
          </w:tcPr>
          <w:p w14:paraId="45F18D2C" w14:textId="1043020B" w:rsidR="00424C9B" w:rsidRPr="00424C9B" w:rsidRDefault="00424C9B" w:rsidP="00424C9B">
            <w:pPr>
              <w:jc w:val="center"/>
              <w:rPr>
                <w:rFonts w:cstheme="minorHAnsi"/>
                <w:caps/>
                <w:sz w:val="20"/>
                <w:szCs w:val="20"/>
              </w:rPr>
            </w:pPr>
            <w:r w:rsidRPr="00424C9B">
              <w:rPr>
                <w:rFonts w:ascii="Calibri" w:hAnsi="Calibri" w:cs="Calibri"/>
                <w:color w:val="000000"/>
                <w:sz w:val="20"/>
                <w:szCs w:val="20"/>
              </w:rPr>
              <w:t>324</w:t>
            </w:r>
          </w:p>
        </w:tc>
      </w:tr>
      <w:tr w:rsidR="00424C9B" w14:paraId="52D23B33" w14:textId="77777777" w:rsidTr="00424C9B">
        <w:tc>
          <w:tcPr>
            <w:tcW w:w="4815" w:type="dxa"/>
            <w:vAlign w:val="bottom"/>
          </w:tcPr>
          <w:p w14:paraId="68978886" w14:textId="75B21F62" w:rsidR="00424C9B" w:rsidRPr="00424C9B" w:rsidRDefault="00424C9B" w:rsidP="00424C9B">
            <w:pPr>
              <w:rPr>
                <w:rFonts w:ascii="Calibri" w:hAnsi="Calibri" w:cs="Calibri"/>
                <w:caps/>
                <w:color w:val="000000"/>
                <w:sz w:val="20"/>
                <w:szCs w:val="20"/>
              </w:rPr>
            </w:pPr>
            <w:r w:rsidRPr="00424C9B">
              <w:rPr>
                <w:rFonts w:ascii="Calibri" w:hAnsi="Calibri" w:cs="Calibri"/>
                <w:color w:val="000000"/>
                <w:sz w:val="20"/>
                <w:szCs w:val="20"/>
              </w:rPr>
              <w:t>AMITRIPTYLINE -&gt; PROPRANOLOL -&gt; FREMANEZUMAB</w:t>
            </w:r>
          </w:p>
        </w:tc>
        <w:tc>
          <w:tcPr>
            <w:tcW w:w="1853" w:type="dxa"/>
            <w:vAlign w:val="bottom"/>
          </w:tcPr>
          <w:p w14:paraId="185D6AAD" w14:textId="4D6AE611" w:rsidR="00424C9B" w:rsidRPr="00424C9B" w:rsidRDefault="00424C9B" w:rsidP="00424C9B">
            <w:pPr>
              <w:jc w:val="center"/>
              <w:rPr>
                <w:rFonts w:ascii="Calibri" w:hAnsi="Calibri" w:cs="Calibri"/>
                <w:caps/>
                <w:color w:val="000000"/>
                <w:sz w:val="20"/>
                <w:szCs w:val="20"/>
              </w:rPr>
            </w:pPr>
            <w:r w:rsidRPr="00424C9B">
              <w:rPr>
                <w:rFonts w:ascii="Calibri" w:hAnsi="Calibri" w:cs="Calibri"/>
                <w:color w:val="000000"/>
                <w:sz w:val="20"/>
                <w:szCs w:val="20"/>
              </w:rPr>
              <w:t>262</w:t>
            </w:r>
          </w:p>
        </w:tc>
      </w:tr>
      <w:tr w:rsidR="00424C9B" w14:paraId="1F7368CD" w14:textId="77777777" w:rsidTr="00424C9B">
        <w:tc>
          <w:tcPr>
            <w:tcW w:w="4815" w:type="dxa"/>
            <w:vAlign w:val="bottom"/>
          </w:tcPr>
          <w:p w14:paraId="102E94D5" w14:textId="1908F092" w:rsidR="00424C9B" w:rsidRPr="00424C9B" w:rsidRDefault="00424C9B" w:rsidP="00424C9B">
            <w:pPr>
              <w:rPr>
                <w:rFonts w:ascii="Calibri" w:hAnsi="Calibri" w:cs="Calibri"/>
                <w:caps/>
                <w:color w:val="000000"/>
                <w:sz w:val="20"/>
                <w:szCs w:val="20"/>
              </w:rPr>
            </w:pPr>
            <w:r w:rsidRPr="00424C9B">
              <w:rPr>
                <w:rFonts w:ascii="Calibri" w:hAnsi="Calibri" w:cs="Calibri"/>
                <w:color w:val="000000"/>
                <w:sz w:val="20"/>
                <w:szCs w:val="20"/>
              </w:rPr>
              <w:t>PIZOTIFEN -&gt; FREMANEZUMAB</w:t>
            </w:r>
          </w:p>
        </w:tc>
        <w:tc>
          <w:tcPr>
            <w:tcW w:w="1853" w:type="dxa"/>
            <w:vAlign w:val="bottom"/>
          </w:tcPr>
          <w:p w14:paraId="66106EB1" w14:textId="0701D514" w:rsidR="00424C9B" w:rsidRPr="00424C9B" w:rsidRDefault="00424C9B" w:rsidP="00424C9B">
            <w:pPr>
              <w:jc w:val="center"/>
              <w:rPr>
                <w:rFonts w:ascii="Calibri" w:hAnsi="Calibri" w:cs="Calibri"/>
                <w:caps/>
                <w:color w:val="000000"/>
                <w:sz w:val="20"/>
                <w:szCs w:val="20"/>
              </w:rPr>
            </w:pPr>
            <w:r w:rsidRPr="00424C9B">
              <w:rPr>
                <w:rFonts w:ascii="Calibri" w:hAnsi="Calibri" w:cs="Calibri"/>
                <w:color w:val="000000"/>
                <w:sz w:val="20"/>
                <w:szCs w:val="20"/>
              </w:rPr>
              <w:t>261</w:t>
            </w:r>
          </w:p>
        </w:tc>
      </w:tr>
      <w:tr w:rsidR="00424C9B" w14:paraId="09A9D32C" w14:textId="77777777" w:rsidTr="00424C9B">
        <w:tc>
          <w:tcPr>
            <w:tcW w:w="4815" w:type="dxa"/>
            <w:vAlign w:val="bottom"/>
          </w:tcPr>
          <w:p w14:paraId="26F1C081" w14:textId="6C58110B" w:rsidR="00424C9B" w:rsidRPr="00424C9B" w:rsidRDefault="00424C9B" w:rsidP="00424C9B">
            <w:pPr>
              <w:rPr>
                <w:rFonts w:ascii="Calibri" w:hAnsi="Calibri" w:cs="Calibri"/>
                <w:caps/>
                <w:color w:val="000000"/>
                <w:sz w:val="20"/>
                <w:szCs w:val="20"/>
              </w:rPr>
            </w:pPr>
            <w:r w:rsidRPr="00424C9B">
              <w:rPr>
                <w:rFonts w:ascii="Calibri" w:hAnsi="Calibri" w:cs="Calibri"/>
                <w:color w:val="000000"/>
                <w:sz w:val="20"/>
                <w:szCs w:val="20"/>
              </w:rPr>
              <w:t>PROPRANOLOL -&gt; TOPIRAMATE -&gt; FREMANEZUMAB</w:t>
            </w:r>
          </w:p>
        </w:tc>
        <w:tc>
          <w:tcPr>
            <w:tcW w:w="1853" w:type="dxa"/>
            <w:vAlign w:val="bottom"/>
          </w:tcPr>
          <w:p w14:paraId="2372E437" w14:textId="0992B65B" w:rsidR="00424C9B" w:rsidRPr="00424C9B" w:rsidRDefault="00424C9B" w:rsidP="00424C9B">
            <w:pPr>
              <w:jc w:val="center"/>
              <w:rPr>
                <w:rFonts w:ascii="Calibri" w:hAnsi="Calibri" w:cs="Calibri"/>
                <w:caps/>
                <w:color w:val="000000"/>
                <w:sz w:val="20"/>
                <w:szCs w:val="20"/>
              </w:rPr>
            </w:pPr>
            <w:r w:rsidRPr="00424C9B">
              <w:rPr>
                <w:rFonts w:ascii="Calibri" w:hAnsi="Calibri" w:cs="Calibri"/>
                <w:color w:val="000000"/>
                <w:sz w:val="20"/>
                <w:szCs w:val="20"/>
              </w:rPr>
              <w:t>201</w:t>
            </w:r>
          </w:p>
        </w:tc>
      </w:tr>
      <w:tr w:rsidR="00424C9B" w14:paraId="2819876D" w14:textId="77777777" w:rsidTr="00424C9B">
        <w:tc>
          <w:tcPr>
            <w:tcW w:w="4815" w:type="dxa"/>
            <w:vAlign w:val="bottom"/>
          </w:tcPr>
          <w:p w14:paraId="0C9F6FF1" w14:textId="5C6A6F23" w:rsidR="00424C9B" w:rsidRPr="00424C9B" w:rsidRDefault="00424C9B" w:rsidP="00424C9B">
            <w:pPr>
              <w:rPr>
                <w:rFonts w:ascii="Calibri" w:hAnsi="Calibri" w:cs="Calibri"/>
                <w:caps/>
                <w:color w:val="000000"/>
                <w:sz w:val="20"/>
                <w:szCs w:val="20"/>
              </w:rPr>
            </w:pPr>
            <w:r w:rsidRPr="00424C9B">
              <w:rPr>
                <w:rFonts w:ascii="Calibri" w:hAnsi="Calibri" w:cs="Calibri"/>
                <w:color w:val="000000"/>
                <w:sz w:val="20"/>
                <w:szCs w:val="20"/>
              </w:rPr>
              <w:t>TOPIRAMATE -&gt; AMITRIPTYLINE -&gt; FREMANEZUMAB</w:t>
            </w:r>
          </w:p>
        </w:tc>
        <w:tc>
          <w:tcPr>
            <w:tcW w:w="1853" w:type="dxa"/>
            <w:vAlign w:val="bottom"/>
          </w:tcPr>
          <w:p w14:paraId="5B9617BD" w14:textId="7A3686C0" w:rsidR="00424C9B" w:rsidRPr="00424C9B" w:rsidRDefault="00424C9B" w:rsidP="00424C9B">
            <w:pPr>
              <w:jc w:val="center"/>
              <w:rPr>
                <w:rFonts w:cstheme="minorHAnsi"/>
                <w:caps/>
                <w:sz w:val="20"/>
                <w:szCs w:val="20"/>
              </w:rPr>
            </w:pPr>
            <w:r w:rsidRPr="00424C9B">
              <w:rPr>
                <w:rFonts w:ascii="Calibri" w:hAnsi="Calibri" w:cs="Calibri"/>
                <w:color w:val="000000"/>
                <w:sz w:val="20"/>
                <w:szCs w:val="20"/>
              </w:rPr>
              <w:t>201</w:t>
            </w:r>
          </w:p>
        </w:tc>
      </w:tr>
      <w:tr w:rsidR="00424C9B" w14:paraId="69DFCB83" w14:textId="77777777" w:rsidTr="00424C9B">
        <w:tc>
          <w:tcPr>
            <w:tcW w:w="4815" w:type="dxa"/>
            <w:vAlign w:val="bottom"/>
          </w:tcPr>
          <w:p w14:paraId="6E9D20D7" w14:textId="18DC6951" w:rsidR="00424C9B" w:rsidRPr="00424C9B" w:rsidRDefault="00424C9B" w:rsidP="00424C9B">
            <w:pPr>
              <w:rPr>
                <w:rFonts w:ascii="Calibri" w:hAnsi="Calibri" w:cs="Calibri"/>
                <w:caps/>
                <w:color w:val="000000"/>
                <w:sz w:val="20"/>
                <w:szCs w:val="20"/>
              </w:rPr>
            </w:pPr>
            <w:r w:rsidRPr="00424C9B">
              <w:rPr>
                <w:rFonts w:ascii="Calibri" w:hAnsi="Calibri" w:cs="Calibri"/>
                <w:color w:val="000000"/>
                <w:sz w:val="20"/>
                <w:szCs w:val="20"/>
              </w:rPr>
              <w:t>PROPRANOLOL -&gt; AMITRIPTYLINE -&gt; FREMANEZUMAB</w:t>
            </w:r>
          </w:p>
        </w:tc>
        <w:tc>
          <w:tcPr>
            <w:tcW w:w="1853" w:type="dxa"/>
            <w:vAlign w:val="bottom"/>
          </w:tcPr>
          <w:p w14:paraId="1D01D1F1" w14:textId="5AC0FBC0" w:rsidR="00424C9B" w:rsidRPr="00424C9B" w:rsidRDefault="00424C9B" w:rsidP="00424C9B">
            <w:pPr>
              <w:jc w:val="center"/>
              <w:rPr>
                <w:rFonts w:cstheme="minorHAnsi"/>
                <w:caps/>
                <w:sz w:val="20"/>
                <w:szCs w:val="20"/>
              </w:rPr>
            </w:pPr>
            <w:r w:rsidRPr="00424C9B">
              <w:rPr>
                <w:rFonts w:ascii="Calibri" w:hAnsi="Calibri" w:cs="Calibri"/>
                <w:color w:val="000000"/>
                <w:sz w:val="20"/>
                <w:szCs w:val="20"/>
              </w:rPr>
              <w:t>193</w:t>
            </w:r>
          </w:p>
        </w:tc>
      </w:tr>
    </w:tbl>
    <w:p w14:paraId="623927D7" w14:textId="77777777" w:rsidR="003C451F" w:rsidRDefault="003C451F" w:rsidP="003C451F">
      <w:pPr>
        <w:spacing w:after="0"/>
        <w:rPr>
          <w:sz w:val="20"/>
          <w:szCs w:val="20"/>
        </w:rPr>
      </w:pPr>
      <w:r w:rsidRPr="00384D6C">
        <w:rPr>
          <w:sz w:val="20"/>
          <w:szCs w:val="20"/>
        </w:rPr>
        <w:t>Note:</w:t>
      </w:r>
    </w:p>
    <w:p w14:paraId="23053709" w14:textId="4CEF6D6E" w:rsidR="00D56D19" w:rsidRPr="00384D6C" w:rsidRDefault="00996171" w:rsidP="003C451F">
      <w:pPr>
        <w:spacing w:after="0"/>
        <w:rPr>
          <w:sz w:val="20"/>
          <w:szCs w:val="20"/>
        </w:rPr>
      </w:pPr>
      <w:r w:rsidRPr="00996171">
        <w:rPr>
          <w:sz w:val="20"/>
          <w:szCs w:val="20"/>
          <w:vertAlign w:val="superscript"/>
        </w:rPr>
        <w:t>a</w:t>
      </w:r>
      <w:r w:rsidR="00D56D19">
        <w:rPr>
          <w:sz w:val="20"/>
          <w:szCs w:val="20"/>
        </w:rPr>
        <w:t xml:space="preserve">Ten </w:t>
      </w:r>
      <w:r w:rsidR="00750A78">
        <w:rPr>
          <w:sz w:val="20"/>
          <w:szCs w:val="20"/>
        </w:rPr>
        <w:t xml:space="preserve">of the </w:t>
      </w:r>
      <w:r w:rsidR="00D56D19">
        <w:rPr>
          <w:sz w:val="20"/>
          <w:szCs w:val="20"/>
        </w:rPr>
        <w:t>most common</w:t>
      </w:r>
      <w:r w:rsidR="00783ECE">
        <w:rPr>
          <w:sz w:val="20"/>
          <w:szCs w:val="20"/>
          <w:vertAlign w:val="superscript"/>
        </w:rPr>
        <w:t xml:space="preserve"> </w:t>
      </w:r>
      <w:r w:rsidR="00783ECE">
        <w:rPr>
          <w:sz w:val="20"/>
          <w:szCs w:val="20"/>
        </w:rPr>
        <w:t>first</w:t>
      </w:r>
      <w:r w:rsidR="00D56D19">
        <w:rPr>
          <w:sz w:val="20"/>
          <w:szCs w:val="20"/>
        </w:rPr>
        <w:t xml:space="preserve"> line to f</w:t>
      </w:r>
      <w:r w:rsidR="0033089D">
        <w:rPr>
          <w:sz w:val="20"/>
          <w:szCs w:val="20"/>
        </w:rPr>
        <w:t>remanezumab</w:t>
      </w:r>
      <w:r w:rsidR="00D56D19">
        <w:rPr>
          <w:sz w:val="20"/>
          <w:szCs w:val="20"/>
        </w:rPr>
        <w:t xml:space="preserve"> sequences.</w:t>
      </w:r>
    </w:p>
    <w:p w14:paraId="7224764F" w14:textId="77777777" w:rsidR="00BF719F" w:rsidRDefault="00BF719F" w:rsidP="002F61F0">
      <w:pPr>
        <w:spacing w:after="0"/>
        <w:rPr>
          <w:b/>
          <w:bCs/>
        </w:rPr>
      </w:pPr>
    </w:p>
    <w:p w14:paraId="0EB35B56" w14:textId="77777777" w:rsidR="007D2EE9" w:rsidRDefault="007D2EE9" w:rsidP="002F61F0">
      <w:pPr>
        <w:spacing w:after="0"/>
        <w:rPr>
          <w:b/>
          <w:bCs/>
        </w:rPr>
      </w:pPr>
    </w:p>
    <w:p w14:paraId="5ED9EA67" w14:textId="77777777" w:rsidR="007D2EE9" w:rsidRDefault="007D2EE9" w:rsidP="002F61F0">
      <w:pPr>
        <w:spacing w:after="0"/>
        <w:rPr>
          <w:b/>
          <w:bCs/>
        </w:rPr>
      </w:pPr>
    </w:p>
    <w:p w14:paraId="12F69EBB" w14:textId="77777777" w:rsidR="007D2EE9" w:rsidRDefault="007D2EE9" w:rsidP="002F61F0">
      <w:pPr>
        <w:spacing w:after="0"/>
        <w:rPr>
          <w:b/>
          <w:bCs/>
        </w:rPr>
      </w:pPr>
    </w:p>
    <w:p w14:paraId="3AC8555F" w14:textId="77777777" w:rsidR="007D2EE9" w:rsidRDefault="007D2EE9" w:rsidP="002F61F0">
      <w:pPr>
        <w:spacing w:after="0"/>
        <w:rPr>
          <w:b/>
          <w:bCs/>
        </w:rPr>
      </w:pPr>
    </w:p>
    <w:p w14:paraId="5753C81A" w14:textId="77777777" w:rsidR="007D2EE9" w:rsidRDefault="007D2EE9" w:rsidP="002F61F0">
      <w:pPr>
        <w:spacing w:after="0"/>
        <w:rPr>
          <w:b/>
          <w:bCs/>
        </w:rPr>
      </w:pPr>
    </w:p>
    <w:p w14:paraId="6A0C0662" w14:textId="77777777" w:rsidR="007D2EE9" w:rsidRDefault="007D2EE9" w:rsidP="002F61F0">
      <w:pPr>
        <w:spacing w:after="0"/>
        <w:rPr>
          <w:b/>
          <w:bCs/>
        </w:rPr>
      </w:pPr>
    </w:p>
    <w:p w14:paraId="34F46916" w14:textId="77777777" w:rsidR="007D2EE9" w:rsidRDefault="007D2EE9" w:rsidP="002F61F0">
      <w:pPr>
        <w:spacing w:after="0"/>
        <w:rPr>
          <w:b/>
          <w:bCs/>
        </w:rPr>
      </w:pPr>
    </w:p>
    <w:p w14:paraId="4325394D" w14:textId="77777777" w:rsidR="007D2EE9" w:rsidRDefault="007D2EE9" w:rsidP="002F61F0">
      <w:pPr>
        <w:spacing w:after="0"/>
        <w:rPr>
          <w:b/>
          <w:bCs/>
        </w:rPr>
      </w:pPr>
    </w:p>
    <w:p w14:paraId="0C67EB77" w14:textId="77777777" w:rsidR="007D2EE9" w:rsidRDefault="007D2EE9" w:rsidP="002F61F0">
      <w:pPr>
        <w:spacing w:after="0"/>
        <w:rPr>
          <w:b/>
          <w:bCs/>
        </w:rPr>
      </w:pPr>
    </w:p>
    <w:p w14:paraId="59E5253B" w14:textId="77777777" w:rsidR="007D2EE9" w:rsidRDefault="007D2EE9" w:rsidP="002F61F0">
      <w:pPr>
        <w:spacing w:after="0"/>
        <w:rPr>
          <w:b/>
          <w:bCs/>
        </w:rPr>
      </w:pPr>
    </w:p>
    <w:p w14:paraId="2F37BAA8" w14:textId="77777777" w:rsidR="007D2EE9" w:rsidRDefault="007D2EE9" w:rsidP="002F61F0">
      <w:pPr>
        <w:spacing w:after="0"/>
        <w:rPr>
          <w:b/>
          <w:bCs/>
        </w:rPr>
      </w:pPr>
    </w:p>
    <w:p w14:paraId="7587799C" w14:textId="77777777" w:rsidR="007D2EE9" w:rsidRDefault="007D2EE9" w:rsidP="002F61F0">
      <w:pPr>
        <w:spacing w:after="0"/>
        <w:rPr>
          <w:b/>
          <w:bCs/>
        </w:rPr>
      </w:pPr>
    </w:p>
    <w:p w14:paraId="3186EB59" w14:textId="77777777" w:rsidR="007D2EE9" w:rsidRDefault="007D2EE9" w:rsidP="002F61F0">
      <w:pPr>
        <w:spacing w:after="0"/>
        <w:rPr>
          <w:b/>
          <w:bCs/>
        </w:rPr>
      </w:pPr>
    </w:p>
    <w:p w14:paraId="1ECBD673" w14:textId="77777777" w:rsidR="007D2EE9" w:rsidRDefault="007D2EE9" w:rsidP="002F61F0">
      <w:pPr>
        <w:spacing w:after="0"/>
        <w:rPr>
          <w:b/>
          <w:bCs/>
        </w:rPr>
      </w:pPr>
    </w:p>
    <w:p w14:paraId="01C71F67" w14:textId="77777777" w:rsidR="007D2EE9" w:rsidRDefault="007D2EE9" w:rsidP="002F61F0">
      <w:pPr>
        <w:spacing w:after="0"/>
        <w:rPr>
          <w:b/>
          <w:bCs/>
        </w:rPr>
      </w:pPr>
    </w:p>
    <w:p w14:paraId="319337DC" w14:textId="77777777" w:rsidR="007D2EE9" w:rsidRDefault="007D2EE9" w:rsidP="002F61F0">
      <w:pPr>
        <w:spacing w:after="0"/>
        <w:rPr>
          <w:b/>
          <w:bCs/>
        </w:rPr>
      </w:pPr>
    </w:p>
    <w:p w14:paraId="37877C18" w14:textId="766B676B" w:rsidR="00260894" w:rsidRPr="00492D9F" w:rsidRDefault="00492D9F" w:rsidP="002F61F0">
      <w:pPr>
        <w:spacing w:after="0"/>
      </w:pPr>
      <w:bookmarkStart w:id="4" w:name="_Hlk165016484"/>
      <w:r>
        <w:lastRenderedPageBreak/>
        <w:t xml:space="preserve">Table 13 provides information on the sequence of second line therapies after a patient has been initiated on a second line therapy. It provides an insight into </w:t>
      </w:r>
      <w:r w:rsidRPr="00492D9F">
        <w:t>what, if any</w:t>
      </w:r>
      <w:r>
        <w:t>,</w:t>
      </w:r>
      <w:r w:rsidRPr="00492D9F">
        <w:t xml:space="preserve"> other second line therapy a patient was moved </w:t>
      </w:r>
      <w:r>
        <w:t xml:space="preserve">(therapy switching) </w:t>
      </w:r>
      <w:r w:rsidRPr="00492D9F">
        <w:t>onto after being initiated on some other second line therapy</w:t>
      </w:r>
      <w:r>
        <w:t>.</w:t>
      </w:r>
      <w:r w:rsidRPr="00492D9F">
        <w:t xml:space="preserve"> </w:t>
      </w:r>
      <w:r>
        <w:t>A</w:t>
      </w:r>
      <w:r w:rsidR="003B7564" w:rsidRPr="00492D9F">
        <w:t xml:space="preserve">nalysis was </w:t>
      </w:r>
      <w:r>
        <w:t>up to</w:t>
      </w:r>
      <w:r w:rsidR="003B7564" w:rsidRPr="00492D9F">
        <w:t xml:space="preserve"> </w:t>
      </w:r>
      <w:r w:rsidRPr="00492D9F">
        <w:t>31 October 2023 to remove any cofounding effects of fremanezumab’s restriction change on 1 November 20</w:t>
      </w:r>
      <w:r>
        <w:t>23.</w:t>
      </w:r>
    </w:p>
    <w:p w14:paraId="1AEAA24D" w14:textId="77777777" w:rsidR="00260894" w:rsidRDefault="00260894" w:rsidP="002F61F0">
      <w:pPr>
        <w:spacing w:after="0"/>
        <w:rPr>
          <w:b/>
          <w:bCs/>
        </w:rPr>
      </w:pPr>
    </w:p>
    <w:p w14:paraId="1704308F" w14:textId="21312104" w:rsidR="002F61F0" w:rsidRPr="002827FD" w:rsidRDefault="002F61F0" w:rsidP="002F61F0">
      <w:pPr>
        <w:spacing w:after="0"/>
        <w:rPr>
          <w:b/>
          <w:bCs/>
        </w:rPr>
      </w:pPr>
      <w:r w:rsidRPr="00BE0429">
        <w:rPr>
          <w:b/>
          <w:bCs/>
        </w:rPr>
        <w:t xml:space="preserve">Table </w:t>
      </w:r>
      <w:r w:rsidR="00C8451E">
        <w:rPr>
          <w:b/>
          <w:bCs/>
        </w:rPr>
        <w:t>13</w:t>
      </w:r>
      <w:r w:rsidRPr="00BE0429">
        <w:rPr>
          <w:b/>
          <w:bCs/>
        </w:rPr>
        <w:t xml:space="preserve">: </w:t>
      </w:r>
      <w:r w:rsidR="00260894">
        <w:rPr>
          <w:b/>
          <w:bCs/>
        </w:rPr>
        <w:t>Sequence of therapy supplied during second line therapy</w:t>
      </w:r>
    </w:p>
    <w:tbl>
      <w:tblPr>
        <w:tblStyle w:val="TableGrid"/>
        <w:tblW w:w="0" w:type="auto"/>
        <w:tblLook w:val="04A0" w:firstRow="1" w:lastRow="0" w:firstColumn="1" w:lastColumn="0" w:noHBand="0" w:noVBand="1"/>
      </w:tblPr>
      <w:tblGrid>
        <w:gridCol w:w="5949"/>
        <w:gridCol w:w="1559"/>
        <w:gridCol w:w="1438"/>
      </w:tblGrid>
      <w:tr w:rsidR="004B18AD" w14:paraId="4D63047B" w14:textId="1C37B24C" w:rsidTr="00D61DFC">
        <w:tc>
          <w:tcPr>
            <w:tcW w:w="5949" w:type="dxa"/>
            <w:shd w:val="clear" w:color="auto" w:fill="BFBFBF" w:themeFill="background1" w:themeFillShade="BF"/>
          </w:tcPr>
          <w:p w14:paraId="16C79AF2" w14:textId="77777777" w:rsidR="004B18AD" w:rsidRPr="000D5E4A" w:rsidRDefault="004B18AD">
            <w:pPr>
              <w:rPr>
                <w:rFonts w:cstheme="minorHAnsi"/>
                <w:b/>
                <w:bCs/>
                <w:sz w:val="20"/>
                <w:szCs w:val="20"/>
              </w:rPr>
            </w:pPr>
            <w:r w:rsidRPr="000D5E4A">
              <w:rPr>
                <w:rFonts w:cstheme="minorHAnsi"/>
                <w:b/>
                <w:bCs/>
                <w:sz w:val="20"/>
                <w:szCs w:val="20"/>
              </w:rPr>
              <w:t>Treatment sequence</w:t>
            </w:r>
          </w:p>
        </w:tc>
        <w:tc>
          <w:tcPr>
            <w:tcW w:w="1559" w:type="dxa"/>
            <w:shd w:val="clear" w:color="auto" w:fill="BFBFBF" w:themeFill="background1" w:themeFillShade="BF"/>
          </w:tcPr>
          <w:p w14:paraId="028FE3D9" w14:textId="77777777" w:rsidR="004B18AD" w:rsidRPr="000D5E4A" w:rsidRDefault="004B18AD">
            <w:pPr>
              <w:jc w:val="center"/>
              <w:rPr>
                <w:rFonts w:cstheme="minorHAnsi"/>
                <w:b/>
                <w:bCs/>
                <w:sz w:val="20"/>
                <w:szCs w:val="20"/>
              </w:rPr>
            </w:pPr>
            <w:r w:rsidRPr="000D5E4A">
              <w:rPr>
                <w:rFonts w:cstheme="minorHAnsi"/>
                <w:b/>
                <w:bCs/>
                <w:sz w:val="20"/>
                <w:szCs w:val="20"/>
              </w:rPr>
              <w:t>Patients</w:t>
            </w:r>
          </w:p>
        </w:tc>
        <w:tc>
          <w:tcPr>
            <w:tcW w:w="1438" w:type="dxa"/>
            <w:shd w:val="clear" w:color="auto" w:fill="BFBFBF" w:themeFill="background1" w:themeFillShade="BF"/>
          </w:tcPr>
          <w:p w14:paraId="1FBFC19D" w14:textId="27D8872E" w:rsidR="004B18AD" w:rsidRPr="000D5E4A" w:rsidRDefault="004B18AD" w:rsidP="004B18AD">
            <w:pPr>
              <w:jc w:val="center"/>
              <w:rPr>
                <w:rFonts w:cstheme="minorHAnsi"/>
                <w:b/>
                <w:bCs/>
                <w:sz w:val="20"/>
                <w:szCs w:val="20"/>
              </w:rPr>
            </w:pPr>
            <w:r w:rsidRPr="000D5E4A">
              <w:rPr>
                <w:rFonts w:cstheme="minorHAnsi"/>
                <w:b/>
                <w:bCs/>
                <w:sz w:val="20"/>
                <w:szCs w:val="20"/>
              </w:rPr>
              <w:t>Percentage</w:t>
            </w:r>
          </w:p>
        </w:tc>
      </w:tr>
      <w:tr w:rsidR="001E37EF" w14:paraId="2AFAB5E8" w14:textId="07FD6274">
        <w:tc>
          <w:tcPr>
            <w:tcW w:w="5949" w:type="dxa"/>
            <w:vAlign w:val="bottom"/>
          </w:tcPr>
          <w:p w14:paraId="6AAFD28D" w14:textId="46CE583D" w:rsidR="001E37EF" w:rsidRPr="000D5E4A" w:rsidRDefault="001E37EF" w:rsidP="001E37EF">
            <w:pPr>
              <w:rPr>
                <w:rFonts w:cstheme="minorHAnsi"/>
                <w:sz w:val="20"/>
                <w:szCs w:val="20"/>
              </w:rPr>
            </w:pPr>
            <w:r w:rsidRPr="000D5E4A">
              <w:rPr>
                <w:rFonts w:ascii="Calibri" w:hAnsi="Calibri" w:cs="Calibri"/>
                <w:color w:val="000000"/>
                <w:sz w:val="20"/>
                <w:szCs w:val="20"/>
              </w:rPr>
              <w:t>BOTULINUM TOXIN TYPE A</w:t>
            </w:r>
          </w:p>
        </w:tc>
        <w:tc>
          <w:tcPr>
            <w:tcW w:w="1559" w:type="dxa"/>
            <w:vAlign w:val="bottom"/>
          </w:tcPr>
          <w:p w14:paraId="762D4C54" w14:textId="401A6A7B" w:rsidR="001E37EF" w:rsidRPr="000D5E4A" w:rsidRDefault="001E37EF" w:rsidP="001E37EF">
            <w:pPr>
              <w:jc w:val="center"/>
              <w:rPr>
                <w:rFonts w:cstheme="minorHAnsi"/>
                <w:sz w:val="20"/>
                <w:szCs w:val="20"/>
              </w:rPr>
            </w:pPr>
            <w:r w:rsidRPr="000D5E4A">
              <w:rPr>
                <w:rFonts w:ascii="Calibri" w:hAnsi="Calibri" w:cs="Calibri"/>
                <w:color w:val="000000"/>
                <w:sz w:val="20"/>
                <w:szCs w:val="20"/>
              </w:rPr>
              <w:t>16</w:t>
            </w:r>
            <w:r w:rsidR="00455319" w:rsidRPr="000D5E4A">
              <w:rPr>
                <w:rFonts w:ascii="Calibri" w:hAnsi="Calibri" w:cs="Calibri"/>
                <w:color w:val="000000"/>
                <w:sz w:val="20"/>
                <w:szCs w:val="20"/>
              </w:rPr>
              <w:t>,</w:t>
            </w:r>
            <w:r w:rsidRPr="000D5E4A">
              <w:rPr>
                <w:rFonts w:ascii="Calibri" w:hAnsi="Calibri" w:cs="Calibri"/>
                <w:color w:val="000000"/>
                <w:sz w:val="20"/>
                <w:szCs w:val="20"/>
              </w:rPr>
              <w:t>012</w:t>
            </w:r>
          </w:p>
        </w:tc>
        <w:tc>
          <w:tcPr>
            <w:tcW w:w="1438" w:type="dxa"/>
            <w:vAlign w:val="bottom"/>
          </w:tcPr>
          <w:p w14:paraId="1EB6AF3E" w14:textId="4CE72D9A" w:rsidR="001E37EF" w:rsidRPr="000D5E4A" w:rsidRDefault="001E37EF" w:rsidP="001E37EF">
            <w:pPr>
              <w:jc w:val="center"/>
              <w:rPr>
                <w:rFonts w:cstheme="minorHAnsi"/>
                <w:sz w:val="20"/>
                <w:szCs w:val="20"/>
              </w:rPr>
            </w:pPr>
            <w:r w:rsidRPr="000D5E4A">
              <w:rPr>
                <w:rFonts w:ascii="Calibri" w:hAnsi="Calibri" w:cs="Calibri"/>
                <w:color w:val="000000"/>
                <w:sz w:val="20"/>
                <w:szCs w:val="20"/>
              </w:rPr>
              <w:t>38.1</w:t>
            </w:r>
          </w:p>
        </w:tc>
      </w:tr>
      <w:tr w:rsidR="001E37EF" w14:paraId="492C4D1B" w14:textId="3FAE88AC">
        <w:tc>
          <w:tcPr>
            <w:tcW w:w="5949" w:type="dxa"/>
            <w:vAlign w:val="bottom"/>
          </w:tcPr>
          <w:p w14:paraId="6F215873" w14:textId="5BCD5146" w:rsidR="001E37EF" w:rsidRPr="000D5E4A" w:rsidRDefault="001E37EF" w:rsidP="001E37EF">
            <w:pPr>
              <w:rPr>
                <w:rFonts w:cstheme="minorHAnsi"/>
                <w:sz w:val="20"/>
                <w:szCs w:val="20"/>
              </w:rPr>
            </w:pPr>
            <w:r w:rsidRPr="000D5E4A">
              <w:rPr>
                <w:rFonts w:ascii="Calibri" w:hAnsi="Calibri" w:cs="Calibri"/>
                <w:color w:val="000000"/>
                <w:sz w:val="20"/>
                <w:szCs w:val="20"/>
              </w:rPr>
              <w:t>GALCANEZUMAB</w:t>
            </w:r>
          </w:p>
        </w:tc>
        <w:tc>
          <w:tcPr>
            <w:tcW w:w="1559" w:type="dxa"/>
            <w:vAlign w:val="bottom"/>
          </w:tcPr>
          <w:p w14:paraId="6D4B2571" w14:textId="271375E4" w:rsidR="001E37EF" w:rsidRPr="000D5E4A" w:rsidRDefault="001E37EF" w:rsidP="001E37EF">
            <w:pPr>
              <w:jc w:val="center"/>
              <w:rPr>
                <w:rFonts w:cstheme="minorHAnsi"/>
                <w:sz w:val="20"/>
                <w:szCs w:val="20"/>
              </w:rPr>
            </w:pPr>
            <w:bookmarkStart w:id="5" w:name="_Hlk165016713"/>
            <w:r w:rsidRPr="000D5E4A">
              <w:rPr>
                <w:rFonts w:ascii="Calibri" w:hAnsi="Calibri" w:cs="Calibri"/>
                <w:color w:val="000000"/>
                <w:sz w:val="20"/>
                <w:szCs w:val="20"/>
              </w:rPr>
              <w:t>7</w:t>
            </w:r>
            <w:r w:rsidR="00455319" w:rsidRPr="000D5E4A">
              <w:rPr>
                <w:rFonts w:ascii="Calibri" w:hAnsi="Calibri" w:cs="Calibri"/>
                <w:color w:val="000000"/>
                <w:sz w:val="20"/>
                <w:szCs w:val="20"/>
              </w:rPr>
              <w:t>,</w:t>
            </w:r>
            <w:r w:rsidRPr="000D5E4A">
              <w:rPr>
                <w:rFonts w:ascii="Calibri" w:hAnsi="Calibri" w:cs="Calibri"/>
                <w:color w:val="000000"/>
                <w:sz w:val="20"/>
                <w:szCs w:val="20"/>
              </w:rPr>
              <w:t>621</w:t>
            </w:r>
            <w:bookmarkEnd w:id="5"/>
          </w:p>
        </w:tc>
        <w:tc>
          <w:tcPr>
            <w:tcW w:w="1438" w:type="dxa"/>
            <w:vAlign w:val="bottom"/>
          </w:tcPr>
          <w:p w14:paraId="25BE0BD9" w14:textId="02BC6E63" w:rsidR="001E37EF" w:rsidRPr="000D5E4A" w:rsidRDefault="001E37EF" w:rsidP="001E37EF">
            <w:pPr>
              <w:jc w:val="center"/>
              <w:rPr>
                <w:rFonts w:cstheme="minorHAnsi"/>
                <w:sz w:val="20"/>
                <w:szCs w:val="20"/>
              </w:rPr>
            </w:pPr>
            <w:r w:rsidRPr="000D5E4A">
              <w:rPr>
                <w:rFonts w:ascii="Calibri" w:hAnsi="Calibri" w:cs="Calibri"/>
                <w:color w:val="000000"/>
                <w:sz w:val="20"/>
                <w:szCs w:val="20"/>
              </w:rPr>
              <w:t>18.1</w:t>
            </w:r>
          </w:p>
        </w:tc>
      </w:tr>
      <w:tr w:rsidR="001E37EF" w14:paraId="0467D846" w14:textId="64CFF6C0">
        <w:tc>
          <w:tcPr>
            <w:tcW w:w="5949" w:type="dxa"/>
            <w:vAlign w:val="bottom"/>
          </w:tcPr>
          <w:p w14:paraId="4396DA01" w14:textId="11E381FE" w:rsidR="001E37EF" w:rsidRPr="000D5E4A" w:rsidRDefault="001E37EF" w:rsidP="001E37EF">
            <w:pPr>
              <w:rPr>
                <w:rFonts w:cstheme="minorHAnsi"/>
                <w:sz w:val="20"/>
                <w:szCs w:val="20"/>
              </w:rPr>
            </w:pPr>
            <w:r w:rsidRPr="000D5E4A">
              <w:rPr>
                <w:rFonts w:ascii="Calibri" w:hAnsi="Calibri" w:cs="Calibri"/>
                <w:color w:val="000000"/>
                <w:sz w:val="20"/>
                <w:szCs w:val="20"/>
              </w:rPr>
              <w:t>FREMANEZUMAB</w:t>
            </w:r>
          </w:p>
        </w:tc>
        <w:tc>
          <w:tcPr>
            <w:tcW w:w="1559" w:type="dxa"/>
            <w:vAlign w:val="bottom"/>
          </w:tcPr>
          <w:p w14:paraId="0D362000" w14:textId="309E7961" w:rsidR="001E37EF" w:rsidRPr="000D5E4A" w:rsidRDefault="001E37EF" w:rsidP="001E37EF">
            <w:pPr>
              <w:jc w:val="center"/>
              <w:rPr>
                <w:rFonts w:cstheme="minorHAnsi"/>
                <w:sz w:val="20"/>
                <w:szCs w:val="20"/>
              </w:rPr>
            </w:pPr>
            <w:r w:rsidRPr="000D5E4A">
              <w:rPr>
                <w:rFonts w:ascii="Calibri" w:hAnsi="Calibri" w:cs="Calibri"/>
                <w:color w:val="000000"/>
                <w:sz w:val="20"/>
                <w:szCs w:val="20"/>
              </w:rPr>
              <w:t>7</w:t>
            </w:r>
            <w:r w:rsidR="00455319" w:rsidRPr="000D5E4A">
              <w:rPr>
                <w:rFonts w:ascii="Calibri" w:hAnsi="Calibri" w:cs="Calibri"/>
                <w:color w:val="000000"/>
                <w:sz w:val="20"/>
                <w:szCs w:val="20"/>
              </w:rPr>
              <w:t>,</w:t>
            </w:r>
            <w:r w:rsidRPr="000D5E4A">
              <w:rPr>
                <w:rFonts w:ascii="Calibri" w:hAnsi="Calibri" w:cs="Calibri"/>
                <w:color w:val="000000"/>
                <w:sz w:val="20"/>
                <w:szCs w:val="20"/>
              </w:rPr>
              <w:t>534</w:t>
            </w:r>
          </w:p>
        </w:tc>
        <w:tc>
          <w:tcPr>
            <w:tcW w:w="1438" w:type="dxa"/>
            <w:vAlign w:val="bottom"/>
          </w:tcPr>
          <w:p w14:paraId="193A09CE" w14:textId="463330E2" w:rsidR="001E37EF" w:rsidRPr="000D5E4A" w:rsidRDefault="001E37EF" w:rsidP="001E37EF">
            <w:pPr>
              <w:jc w:val="center"/>
              <w:rPr>
                <w:rFonts w:cstheme="minorHAnsi"/>
                <w:sz w:val="20"/>
                <w:szCs w:val="20"/>
              </w:rPr>
            </w:pPr>
            <w:r w:rsidRPr="000D5E4A">
              <w:rPr>
                <w:rFonts w:ascii="Calibri" w:hAnsi="Calibri" w:cs="Calibri"/>
                <w:color w:val="000000"/>
                <w:sz w:val="20"/>
                <w:szCs w:val="20"/>
              </w:rPr>
              <w:t>17.9</w:t>
            </w:r>
          </w:p>
        </w:tc>
      </w:tr>
      <w:tr w:rsidR="001E37EF" w14:paraId="00574A80" w14:textId="53793899">
        <w:tc>
          <w:tcPr>
            <w:tcW w:w="5949" w:type="dxa"/>
            <w:vAlign w:val="bottom"/>
          </w:tcPr>
          <w:p w14:paraId="42EADC8A" w14:textId="34E72000" w:rsidR="001E37EF" w:rsidRPr="000D5E4A" w:rsidRDefault="001E37EF" w:rsidP="001E37EF">
            <w:pPr>
              <w:rPr>
                <w:rFonts w:cstheme="minorHAnsi"/>
                <w:sz w:val="20"/>
                <w:szCs w:val="20"/>
              </w:rPr>
            </w:pPr>
            <w:r w:rsidRPr="000D5E4A">
              <w:rPr>
                <w:rFonts w:ascii="Calibri" w:hAnsi="Calibri" w:cs="Calibri"/>
                <w:color w:val="000000"/>
                <w:sz w:val="20"/>
                <w:szCs w:val="20"/>
              </w:rPr>
              <w:t>BOTULINUM TOXIN TYPE A -&gt; GALCANEZUMAB</w:t>
            </w:r>
          </w:p>
        </w:tc>
        <w:tc>
          <w:tcPr>
            <w:tcW w:w="1559" w:type="dxa"/>
            <w:vAlign w:val="bottom"/>
          </w:tcPr>
          <w:p w14:paraId="471B60A4" w14:textId="4AA35801" w:rsidR="001E37EF" w:rsidRPr="000D5E4A" w:rsidRDefault="001E37EF" w:rsidP="001E37EF">
            <w:pPr>
              <w:jc w:val="center"/>
              <w:rPr>
                <w:rFonts w:cstheme="minorHAnsi"/>
                <w:sz w:val="20"/>
                <w:szCs w:val="20"/>
              </w:rPr>
            </w:pPr>
            <w:r w:rsidRPr="000D5E4A">
              <w:rPr>
                <w:rFonts w:ascii="Calibri" w:hAnsi="Calibri" w:cs="Calibri"/>
                <w:color w:val="000000"/>
                <w:sz w:val="20"/>
                <w:szCs w:val="20"/>
              </w:rPr>
              <w:t>2</w:t>
            </w:r>
            <w:r w:rsidR="00455319" w:rsidRPr="000D5E4A">
              <w:rPr>
                <w:rFonts w:ascii="Calibri" w:hAnsi="Calibri" w:cs="Calibri"/>
                <w:color w:val="000000"/>
                <w:sz w:val="20"/>
                <w:szCs w:val="20"/>
              </w:rPr>
              <w:t>,</w:t>
            </w:r>
            <w:r w:rsidRPr="000D5E4A">
              <w:rPr>
                <w:rFonts w:ascii="Calibri" w:hAnsi="Calibri" w:cs="Calibri"/>
                <w:color w:val="000000"/>
                <w:sz w:val="20"/>
                <w:szCs w:val="20"/>
              </w:rPr>
              <w:t>193</w:t>
            </w:r>
          </w:p>
        </w:tc>
        <w:tc>
          <w:tcPr>
            <w:tcW w:w="1438" w:type="dxa"/>
            <w:vAlign w:val="bottom"/>
          </w:tcPr>
          <w:p w14:paraId="6C7D391E" w14:textId="6076FDAF" w:rsidR="001E37EF" w:rsidRPr="000D5E4A" w:rsidRDefault="001E37EF" w:rsidP="001E37EF">
            <w:pPr>
              <w:jc w:val="center"/>
              <w:rPr>
                <w:rFonts w:cstheme="minorHAnsi"/>
                <w:sz w:val="20"/>
                <w:szCs w:val="20"/>
              </w:rPr>
            </w:pPr>
            <w:r w:rsidRPr="000D5E4A">
              <w:rPr>
                <w:rFonts w:ascii="Calibri" w:hAnsi="Calibri" w:cs="Calibri"/>
                <w:color w:val="000000"/>
                <w:sz w:val="20"/>
                <w:szCs w:val="20"/>
              </w:rPr>
              <w:t>5.2</w:t>
            </w:r>
          </w:p>
        </w:tc>
      </w:tr>
      <w:tr w:rsidR="001E37EF" w14:paraId="70E4A247" w14:textId="16718E22">
        <w:tc>
          <w:tcPr>
            <w:tcW w:w="5949" w:type="dxa"/>
            <w:vAlign w:val="bottom"/>
          </w:tcPr>
          <w:p w14:paraId="2F57ACF0" w14:textId="4FEF15D0" w:rsidR="001E37EF" w:rsidRPr="000D5E4A" w:rsidRDefault="001E37EF" w:rsidP="001E37EF">
            <w:pPr>
              <w:rPr>
                <w:rFonts w:cstheme="minorHAnsi"/>
                <w:sz w:val="20"/>
                <w:szCs w:val="20"/>
              </w:rPr>
            </w:pPr>
            <w:r w:rsidRPr="000D5E4A">
              <w:rPr>
                <w:rFonts w:ascii="Calibri" w:hAnsi="Calibri" w:cs="Calibri"/>
                <w:color w:val="000000"/>
                <w:sz w:val="20"/>
                <w:szCs w:val="20"/>
              </w:rPr>
              <w:t>BOTULINUM TOXIN TYPE A -&gt; FREMANEZUMAB</w:t>
            </w:r>
          </w:p>
        </w:tc>
        <w:tc>
          <w:tcPr>
            <w:tcW w:w="1559" w:type="dxa"/>
            <w:vAlign w:val="bottom"/>
          </w:tcPr>
          <w:p w14:paraId="51923413" w14:textId="7773E910" w:rsidR="001E37EF" w:rsidRPr="000D5E4A" w:rsidRDefault="001E37EF" w:rsidP="001E37EF">
            <w:pPr>
              <w:jc w:val="center"/>
              <w:rPr>
                <w:rFonts w:cstheme="minorHAnsi"/>
                <w:sz w:val="20"/>
                <w:szCs w:val="20"/>
              </w:rPr>
            </w:pPr>
            <w:r w:rsidRPr="000D5E4A">
              <w:rPr>
                <w:rFonts w:ascii="Calibri" w:hAnsi="Calibri" w:cs="Calibri"/>
                <w:color w:val="000000"/>
                <w:sz w:val="20"/>
                <w:szCs w:val="20"/>
              </w:rPr>
              <w:t>2</w:t>
            </w:r>
            <w:r w:rsidR="00455319" w:rsidRPr="000D5E4A">
              <w:rPr>
                <w:rFonts w:ascii="Calibri" w:hAnsi="Calibri" w:cs="Calibri"/>
                <w:color w:val="000000"/>
                <w:sz w:val="20"/>
                <w:szCs w:val="20"/>
              </w:rPr>
              <w:t>,</w:t>
            </w:r>
            <w:r w:rsidRPr="000D5E4A">
              <w:rPr>
                <w:rFonts w:ascii="Calibri" w:hAnsi="Calibri" w:cs="Calibri"/>
                <w:color w:val="000000"/>
                <w:sz w:val="20"/>
                <w:szCs w:val="20"/>
              </w:rPr>
              <w:t>176</w:t>
            </w:r>
          </w:p>
        </w:tc>
        <w:tc>
          <w:tcPr>
            <w:tcW w:w="1438" w:type="dxa"/>
            <w:vAlign w:val="bottom"/>
          </w:tcPr>
          <w:p w14:paraId="1D666354" w14:textId="75273708" w:rsidR="001E37EF" w:rsidRPr="000D5E4A" w:rsidRDefault="001E37EF" w:rsidP="001E37EF">
            <w:pPr>
              <w:jc w:val="center"/>
              <w:rPr>
                <w:rFonts w:cstheme="minorHAnsi"/>
                <w:sz w:val="20"/>
                <w:szCs w:val="20"/>
              </w:rPr>
            </w:pPr>
            <w:r w:rsidRPr="000D5E4A">
              <w:rPr>
                <w:rFonts w:ascii="Calibri" w:hAnsi="Calibri" w:cs="Calibri"/>
                <w:color w:val="000000"/>
                <w:sz w:val="20"/>
                <w:szCs w:val="20"/>
              </w:rPr>
              <w:t>5.2</w:t>
            </w:r>
          </w:p>
        </w:tc>
      </w:tr>
      <w:tr w:rsidR="001E37EF" w14:paraId="40B7F9A2" w14:textId="394D08DF">
        <w:tc>
          <w:tcPr>
            <w:tcW w:w="5949" w:type="dxa"/>
            <w:vAlign w:val="bottom"/>
          </w:tcPr>
          <w:p w14:paraId="2611A48C" w14:textId="7C772E68" w:rsidR="001E37EF" w:rsidRPr="000D5E4A" w:rsidRDefault="001E37EF" w:rsidP="001E37EF">
            <w:pPr>
              <w:rPr>
                <w:rFonts w:cstheme="minorHAnsi"/>
                <w:sz w:val="20"/>
                <w:szCs w:val="20"/>
              </w:rPr>
            </w:pPr>
            <w:r w:rsidRPr="000D5E4A">
              <w:rPr>
                <w:rFonts w:ascii="Calibri" w:hAnsi="Calibri" w:cs="Calibri"/>
                <w:color w:val="000000"/>
                <w:sz w:val="20"/>
                <w:szCs w:val="20"/>
              </w:rPr>
              <w:t>GALCANEZUMAB -&gt; FREMANEZUMAB</w:t>
            </w:r>
          </w:p>
        </w:tc>
        <w:tc>
          <w:tcPr>
            <w:tcW w:w="1559" w:type="dxa"/>
            <w:vAlign w:val="bottom"/>
          </w:tcPr>
          <w:p w14:paraId="0DE26135" w14:textId="34C10EB0" w:rsidR="001E37EF" w:rsidRPr="000D5E4A" w:rsidRDefault="001E37EF" w:rsidP="001E37EF">
            <w:pPr>
              <w:jc w:val="center"/>
              <w:rPr>
                <w:rFonts w:cstheme="minorHAnsi"/>
                <w:sz w:val="20"/>
                <w:szCs w:val="20"/>
              </w:rPr>
            </w:pPr>
            <w:r w:rsidRPr="000D5E4A">
              <w:rPr>
                <w:rFonts w:ascii="Calibri" w:hAnsi="Calibri" w:cs="Calibri"/>
                <w:color w:val="000000"/>
                <w:sz w:val="20"/>
                <w:szCs w:val="20"/>
              </w:rPr>
              <w:t>2</w:t>
            </w:r>
            <w:r w:rsidR="00455319" w:rsidRPr="000D5E4A">
              <w:rPr>
                <w:rFonts w:ascii="Calibri" w:hAnsi="Calibri" w:cs="Calibri"/>
                <w:color w:val="000000"/>
                <w:sz w:val="20"/>
                <w:szCs w:val="20"/>
              </w:rPr>
              <w:t>,</w:t>
            </w:r>
            <w:r w:rsidRPr="000D5E4A">
              <w:rPr>
                <w:rFonts w:ascii="Calibri" w:hAnsi="Calibri" w:cs="Calibri"/>
                <w:color w:val="000000"/>
                <w:sz w:val="20"/>
                <w:szCs w:val="20"/>
              </w:rPr>
              <w:t>035</w:t>
            </w:r>
          </w:p>
        </w:tc>
        <w:tc>
          <w:tcPr>
            <w:tcW w:w="1438" w:type="dxa"/>
            <w:vAlign w:val="bottom"/>
          </w:tcPr>
          <w:p w14:paraId="5B5A2C06" w14:textId="3872F45E" w:rsidR="001E37EF" w:rsidRPr="000D5E4A" w:rsidRDefault="001E37EF" w:rsidP="001E37EF">
            <w:pPr>
              <w:jc w:val="center"/>
              <w:rPr>
                <w:rFonts w:cstheme="minorHAnsi"/>
                <w:sz w:val="20"/>
                <w:szCs w:val="20"/>
              </w:rPr>
            </w:pPr>
            <w:r w:rsidRPr="000D5E4A">
              <w:rPr>
                <w:rFonts w:ascii="Calibri" w:hAnsi="Calibri" w:cs="Calibri"/>
                <w:color w:val="000000"/>
                <w:sz w:val="20"/>
                <w:szCs w:val="20"/>
              </w:rPr>
              <w:t>4.8</w:t>
            </w:r>
          </w:p>
        </w:tc>
      </w:tr>
      <w:tr w:rsidR="001E37EF" w14:paraId="418E9F9D" w14:textId="1D60F9A1">
        <w:tc>
          <w:tcPr>
            <w:tcW w:w="5949" w:type="dxa"/>
            <w:vAlign w:val="bottom"/>
          </w:tcPr>
          <w:p w14:paraId="73CEE110" w14:textId="2D158CB9" w:rsidR="001E37EF" w:rsidRPr="000D5E4A" w:rsidRDefault="001E37EF" w:rsidP="001E37EF">
            <w:pPr>
              <w:rPr>
                <w:rFonts w:cstheme="minorHAnsi"/>
                <w:sz w:val="20"/>
                <w:szCs w:val="20"/>
              </w:rPr>
            </w:pPr>
            <w:r w:rsidRPr="000D5E4A">
              <w:rPr>
                <w:rFonts w:ascii="Calibri" w:hAnsi="Calibri" w:cs="Calibri"/>
                <w:color w:val="000000"/>
                <w:sz w:val="20"/>
                <w:szCs w:val="20"/>
              </w:rPr>
              <w:t>GALCANEZUMAB -&gt; BOTULINUM TOXIN TYPE A</w:t>
            </w:r>
          </w:p>
        </w:tc>
        <w:tc>
          <w:tcPr>
            <w:tcW w:w="1559" w:type="dxa"/>
            <w:vAlign w:val="bottom"/>
          </w:tcPr>
          <w:p w14:paraId="629D2483" w14:textId="6D5D43C9" w:rsidR="001E37EF" w:rsidRPr="000D5E4A" w:rsidRDefault="001E37EF" w:rsidP="001E37EF">
            <w:pPr>
              <w:jc w:val="center"/>
              <w:rPr>
                <w:rFonts w:cstheme="minorHAnsi"/>
                <w:sz w:val="20"/>
                <w:szCs w:val="20"/>
              </w:rPr>
            </w:pPr>
            <w:r w:rsidRPr="000D5E4A">
              <w:rPr>
                <w:rFonts w:ascii="Calibri" w:hAnsi="Calibri" w:cs="Calibri"/>
                <w:color w:val="000000"/>
                <w:sz w:val="20"/>
                <w:szCs w:val="20"/>
              </w:rPr>
              <w:t>1</w:t>
            </w:r>
            <w:r w:rsidR="00455319" w:rsidRPr="000D5E4A">
              <w:rPr>
                <w:rFonts w:ascii="Calibri" w:hAnsi="Calibri" w:cs="Calibri"/>
                <w:color w:val="000000"/>
                <w:sz w:val="20"/>
                <w:szCs w:val="20"/>
              </w:rPr>
              <w:t>,</w:t>
            </w:r>
            <w:r w:rsidRPr="000D5E4A">
              <w:rPr>
                <w:rFonts w:ascii="Calibri" w:hAnsi="Calibri" w:cs="Calibri"/>
                <w:color w:val="000000"/>
                <w:sz w:val="20"/>
                <w:szCs w:val="20"/>
              </w:rPr>
              <w:t>062</w:t>
            </w:r>
          </w:p>
        </w:tc>
        <w:tc>
          <w:tcPr>
            <w:tcW w:w="1438" w:type="dxa"/>
            <w:vAlign w:val="bottom"/>
          </w:tcPr>
          <w:p w14:paraId="2C55619E" w14:textId="3F8EE06C" w:rsidR="001E37EF" w:rsidRPr="000D5E4A" w:rsidRDefault="001E37EF" w:rsidP="001E37EF">
            <w:pPr>
              <w:jc w:val="center"/>
              <w:rPr>
                <w:rFonts w:cstheme="minorHAnsi"/>
                <w:sz w:val="20"/>
                <w:szCs w:val="20"/>
              </w:rPr>
            </w:pPr>
            <w:r w:rsidRPr="000D5E4A">
              <w:rPr>
                <w:rFonts w:ascii="Calibri" w:hAnsi="Calibri" w:cs="Calibri"/>
                <w:color w:val="000000"/>
                <w:sz w:val="20"/>
                <w:szCs w:val="20"/>
              </w:rPr>
              <w:t>2.5</w:t>
            </w:r>
          </w:p>
        </w:tc>
      </w:tr>
      <w:tr w:rsidR="001E37EF" w14:paraId="72A8634E" w14:textId="4980B322">
        <w:tc>
          <w:tcPr>
            <w:tcW w:w="5949" w:type="dxa"/>
            <w:vAlign w:val="bottom"/>
          </w:tcPr>
          <w:p w14:paraId="07DB32D7" w14:textId="6744604E" w:rsidR="001E37EF" w:rsidRPr="000D5E4A" w:rsidRDefault="001E37EF" w:rsidP="001E37EF">
            <w:pPr>
              <w:rPr>
                <w:rFonts w:cstheme="minorHAnsi"/>
                <w:sz w:val="20"/>
                <w:szCs w:val="20"/>
              </w:rPr>
            </w:pPr>
            <w:r w:rsidRPr="000D5E4A">
              <w:rPr>
                <w:rFonts w:ascii="Calibri" w:hAnsi="Calibri" w:cs="Calibri"/>
                <w:color w:val="000000"/>
                <w:sz w:val="20"/>
                <w:szCs w:val="20"/>
              </w:rPr>
              <w:t>FREMANEZUMAB -&gt; GALCANEZUMAB</w:t>
            </w:r>
          </w:p>
        </w:tc>
        <w:tc>
          <w:tcPr>
            <w:tcW w:w="1559" w:type="dxa"/>
            <w:vAlign w:val="bottom"/>
          </w:tcPr>
          <w:p w14:paraId="7F3A179A" w14:textId="452F7EB5" w:rsidR="001E37EF" w:rsidRPr="000D5E4A" w:rsidRDefault="001E37EF" w:rsidP="001E37EF">
            <w:pPr>
              <w:jc w:val="center"/>
              <w:rPr>
                <w:rFonts w:cstheme="minorHAnsi"/>
                <w:sz w:val="20"/>
                <w:szCs w:val="20"/>
              </w:rPr>
            </w:pPr>
            <w:r w:rsidRPr="000D5E4A">
              <w:rPr>
                <w:rFonts w:ascii="Calibri" w:hAnsi="Calibri" w:cs="Calibri"/>
                <w:color w:val="000000"/>
                <w:sz w:val="20"/>
                <w:szCs w:val="20"/>
              </w:rPr>
              <w:t>755</w:t>
            </w:r>
          </w:p>
        </w:tc>
        <w:tc>
          <w:tcPr>
            <w:tcW w:w="1438" w:type="dxa"/>
            <w:vAlign w:val="bottom"/>
          </w:tcPr>
          <w:p w14:paraId="696509BF" w14:textId="4A1CAE95" w:rsidR="001E37EF" w:rsidRPr="000D5E4A" w:rsidRDefault="001E37EF" w:rsidP="001E37EF">
            <w:pPr>
              <w:jc w:val="center"/>
              <w:rPr>
                <w:rFonts w:cstheme="minorHAnsi"/>
                <w:sz w:val="20"/>
                <w:szCs w:val="20"/>
              </w:rPr>
            </w:pPr>
            <w:r w:rsidRPr="000D5E4A">
              <w:rPr>
                <w:rFonts w:ascii="Calibri" w:hAnsi="Calibri" w:cs="Calibri"/>
                <w:color w:val="000000"/>
                <w:sz w:val="20"/>
                <w:szCs w:val="20"/>
              </w:rPr>
              <w:t>1.8</w:t>
            </w:r>
          </w:p>
        </w:tc>
      </w:tr>
      <w:tr w:rsidR="001E37EF" w14:paraId="72B16AAD" w14:textId="77777777">
        <w:tc>
          <w:tcPr>
            <w:tcW w:w="5949" w:type="dxa"/>
            <w:vAlign w:val="bottom"/>
          </w:tcPr>
          <w:p w14:paraId="4EC2EBB2" w14:textId="4962793F" w:rsidR="001E37EF" w:rsidRPr="000D5E4A" w:rsidRDefault="001E37EF" w:rsidP="001E37EF">
            <w:pPr>
              <w:rPr>
                <w:rFonts w:cstheme="minorHAnsi"/>
                <w:sz w:val="20"/>
                <w:szCs w:val="20"/>
              </w:rPr>
            </w:pPr>
            <w:r w:rsidRPr="000D5E4A">
              <w:rPr>
                <w:rFonts w:ascii="Calibri" w:hAnsi="Calibri" w:cs="Calibri"/>
                <w:color w:val="000000"/>
                <w:sz w:val="20"/>
                <w:szCs w:val="20"/>
              </w:rPr>
              <w:t>FREMANEZUMAB -&gt; BOTULINUM TOXIN TYPE A</w:t>
            </w:r>
          </w:p>
        </w:tc>
        <w:tc>
          <w:tcPr>
            <w:tcW w:w="1559" w:type="dxa"/>
            <w:vAlign w:val="bottom"/>
          </w:tcPr>
          <w:p w14:paraId="26D8ED5F" w14:textId="61D24E09" w:rsidR="001E37EF" w:rsidRPr="000D5E4A" w:rsidRDefault="001E37EF" w:rsidP="001E37EF">
            <w:pPr>
              <w:jc w:val="center"/>
              <w:rPr>
                <w:rFonts w:cstheme="minorHAnsi"/>
                <w:sz w:val="20"/>
                <w:szCs w:val="20"/>
              </w:rPr>
            </w:pPr>
            <w:r w:rsidRPr="000D5E4A">
              <w:rPr>
                <w:rFonts w:ascii="Calibri" w:hAnsi="Calibri" w:cs="Calibri"/>
                <w:color w:val="000000"/>
                <w:sz w:val="20"/>
                <w:szCs w:val="20"/>
              </w:rPr>
              <w:t>717</w:t>
            </w:r>
          </w:p>
        </w:tc>
        <w:tc>
          <w:tcPr>
            <w:tcW w:w="1438" w:type="dxa"/>
            <w:vAlign w:val="bottom"/>
          </w:tcPr>
          <w:p w14:paraId="6B1729F4" w14:textId="5C089B8A" w:rsidR="001E37EF" w:rsidRPr="000D5E4A" w:rsidRDefault="001E37EF" w:rsidP="001E37EF">
            <w:pPr>
              <w:jc w:val="center"/>
              <w:rPr>
                <w:rFonts w:cstheme="minorHAnsi"/>
                <w:sz w:val="20"/>
                <w:szCs w:val="20"/>
              </w:rPr>
            </w:pPr>
            <w:r w:rsidRPr="000D5E4A">
              <w:rPr>
                <w:rFonts w:ascii="Calibri" w:hAnsi="Calibri" w:cs="Calibri"/>
                <w:color w:val="000000"/>
                <w:sz w:val="20"/>
                <w:szCs w:val="20"/>
              </w:rPr>
              <w:t>1.7</w:t>
            </w:r>
          </w:p>
        </w:tc>
      </w:tr>
      <w:tr w:rsidR="001E37EF" w14:paraId="002D4F20" w14:textId="77777777">
        <w:tc>
          <w:tcPr>
            <w:tcW w:w="5949" w:type="dxa"/>
            <w:vAlign w:val="bottom"/>
          </w:tcPr>
          <w:p w14:paraId="75422165" w14:textId="5143E907" w:rsidR="001E37EF" w:rsidRPr="000D5E4A" w:rsidRDefault="001E37EF" w:rsidP="001E37EF">
            <w:pPr>
              <w:rPr>
                <w:rFonts w:cstheme="minorHAnsi"/>
                <w:sz w:val="20"/>
                <w:szCs w:val="20"/>
              </w:rPr>
            </w:pPr>
            <w:r w:rsidRPr="000D5E4A">
              <w:rPr>
                <w:rFonts w:ascii="Calibri" w:hAnsi="Calibri" w:cs="Calibri"/>
                <w:color w:val="000000"/>
                <w:sz w:val="20"/>
                <w:szCs w:val="20"/>
              </w:rPr>
              <w:t>BOTULINUM TOXIN TYPE A -&gt; GALCANEZUMAB -&gt; FREMANEZUMAB</w:t>
            </w:r>
          </w:p>
        </w:tc>
        <w:tc>
          <w:tcPr>
            <w:tcW w:w="1559" w:type="dxa"/>
            <w:vAlign w:val="bottom"/>
          </w:tcPr>
          <w:p w14:paraId="050811E3" w14:textId="354FA0F6" w:rsidR="001E37EF" w:rsidRPr="000D5E4A" w:rsidRDefault="001E37EF" w:rsidP="001E37EF">
            <w:pPr>
              <w:jc w:val="center"/>
              <w:rPr>
                <w:rFonts w:cstheme="minorHAnsi"/>
                <w:sz w:val="20"/>
                <w:szCs w:val="20"/>
              </w:rPr>
            </w:pPr>
            <w:r w:rsidRPr="000D5E4A">
              <w:rPr>
                <w:rFonts w:ascii="Calibri" w:hAnsi="Calibri" w:cs="Calibri"/>
                <w:color w:val="000000"/>
                <w:sz w:val="20"/>
                <w:szCs w:val="20"/>
              </w:rPr>
              <w:t>482</w:t>
            </w:r>
          </w:p>
        </w:tc>
        <w:tc>
          <w:tcPr>
            <w:tcW w:w="1438" w:type="dxa"/>
            <w:vAlign w:val="bottom"/>
          </w:tcPr>
          <w:p w14:paraId="21A2DE0D" w14:textId="4ADEDB07" w:rsidR="001E37EF" w:rsidRPr="000D5E4A" w:rsidRDefault="001E37EF" w:rsidP="001E37EF">
            <w:pPr>
              <w:jc w:val="center"/>
              <w:rPr>
                <w:rFonts w:cstheme="minorHAnsi"/>
                <w:sz w:val="20"/>
                <w:szCs w:val="20"/>
              </w:rPr>
            </w:pPr>
            <w:r w:rsidRPr="000D5E4A">
              <w:rPr>
                <w:rFonts w:ascii="Calibri" w:hAnsi="Calibri" w:cs="Calibri"/>
                <w:color w:val="000000"/>
                <w:sz w:val="20"/>
                <w:szCs w:val="20"/>
              </w:rPr>
              <w:t>1.1</w:t>
            </w:r>
          </w:p>
        </w:tc>
      </w:tr>
      <w:tr w:rsidR="00EF7AE3" w14:paraId="6B9A60EB" w14:textId="77777777" w:rsidTr="00D61DFC">
        <w:tc>
          <w:tcPr>
            <w:tcW w:w="5949" w:type="dxa"/>
          </w:tcPr>
          <w:p w14:paraId="114D22F1" w14:textId="7B669B3E" w:rsidR="00EF7AE3" w:rsidRPr="000D5E4A" w:rsidRDefault="00EA5D72" w:rsidP="00EF7AE3">
            <w:pPr>
              <w:rPr>
                <w:caps/>
                <w:sz w:val="20"/>
                <w:szCs w:val="20"/>
              </w:rPr>
            </w:pPr>
            <w:r w:rsidRPr="000D5E4A">
              <w:rPr>
                <w:caps/>
                <w:sz w:val="20"/>
                <w:szCs w:val="20"/>
              </w:rPr>
              <w:t>Other</w:t>
            </w:r>
          </w:p>
        </w:tc>
        <w:tc>
          <w:tcPr>
            <w:tcW w:w="1559" w:type="dxa"/>
          </w:tcPr>
          <w:p w14:paraId="5742343E" w14:textId="6B250309" w:rsidR="00EF7AE3" w:rsidRPr="000D5E4A" w:rsidRDefault="00945E49" w:rsidP="00EF7AE3">
            <w:pPr>
              <w:jc w:val="center"/>
              <w:rPr>
                <w:sz w:val="20"/>
                <w:szCs w:val="20"/>
              </w:rPr>
            </w:pPr>
            <w:r w:rsidRPr="000D5E4A">
              <w:rPr>
                <w:sz w:val="20"/>
                <w:szCs w:val="20"/>
              </w:rPr>
              <w:t>1,447</w:t>
            </w:r>
          </w:p>
        </w:tc>
        <w:tc>
          <w:tcPr>
            <w:tcW w:w="1438" w:type="dxa"/>
          </w:tcPr>
          <w:p w14:paraId="21DB0D4F" w14:textId="0074C09C" w:rsidR="00357137" w:rsidRPr="000D5E4A" w:rsidRDefault="00945E49" w:rsidP="00357137">
            <w:pPr>
              <w:jc w:val="center"/>
              <w:rPr>
                <w:sz w:val="20"/>
                <w:szCs w:val="20"/>
              </w:rPr>
            </w:pPr>
            <w:r w:rsidRPr="000D5E4A">
              <w:rPr>
                <w:sz w:val="20"/>
                <w:szCs w:val="20"/>
              </w:rPr>
              <w:t>3.5</w:t>
            </w:r>
          </w:p>
        </w:tc>
      </w:tr>
      <w:tr w:rsidR="00EF7AE3" w14:paraId="6E65D491" w14:textId="77777777" w:rsidTr="00D61DFC">
        <w:tc>
          <w:tcPr>
            <w:tcW w:w="5949" w:type="dxa"/>
          </w:tcPr>
          <w:p w14:paraId="00EE9F50" w14:textId="387C8A43" w:rsidR="00EF7AE3" w:rsidRPr="000D5E4A" w:rsidRDefault="00EA5D72" w:rsidP="00EF7AE3">
            <w:pPr>
              <w:rPr>
                <w:b/>
                <w:bCs/>
                <w:caps/>
                <w:sz w:val="20"/>
                <w:szCs w:val="20"/>
              </w:rPr>
            </w:pPr>
            <w:r w:rsidRPr="000D5E4A">
              <w:rPr>
                <w:b/>
                <w:bCs/>
                <w:caps/>
                <w:sz w:val="20"/>
                <w:szCs w:val="20"/>
              </w:rPr>
              <w:t>Total</w:t>
            </w:r>
          </w:p>
        </w:tc>
        <w:tc>
          <w:tcPr>
            <w:tcW w:w="1559" w:type="dxa"/>
          </w:tcPr>
          <w:p w14:paraId="5D627C87" w14:textId="3BA991CD" w:rsidR="00EF7AE3" w:rsidRPr="000D5E4A" w:rsidRDefault="00FF3268" w:rsidP="0009473A">
            <w:pPr>
              <w:jc w:val="center"/>
              <w:rPr>
                <w:rFonts w:ascii="Calibri" w:hAnsi="Calibri" w:cs="Calibri"/>
                <w:b/>
                <w:bCs/>
                <w:color w:val="000000"/>
                <w:sz w:val="20"/>
                <w:szCs w:val="20"/>
              </w:rPr>
            </w:pPr>
            <w:r w:rsidRPr="000D5E4A">
              <w:rPr>
                <w:rFonts w:ascii="Calibri" w:hAnsi="Calibri" w:cs="Calibri"/>
                <w:b/>
                <w:bCs/>
                <w:color w:val="000000"/>
                <w:sz w:val="20"/>
                <w:szCs w:val="20"/>
              </w:rPr>
              <w:t>42,034</w:t>
            </w:r>
          </w:p>
        </w:tc>
        <w:tc>
          <w:tcPr>
            <w:tcW w:w="1438" w:type="dxa"/>
          </w:tcPr>
          <w:p w14:paraId="2650374A" w14:textId="4DD192E8" w:rsidR="00EF7AE3" w:rsidRPr="000D5E4A" w:rsidRDefault="00367506" w:rsidP="00EF7AE3">
            <w:pPr>
              <w:jc w:val="center"/>
              <w:rPr>
                <w:b/>
                <w:bCs/>
                <w:sz w:val="20"/>
                <w:szCs w:val="20"/>
              </w:rPr>
            </w:pPr>
            <w:r w:rsidRPr="000D5E4A">
              <w:rPr>
                <w:b/>
                <w:bCs/>
                <w:sz w:val="20"/>
                <w:szCs w:val="20"/>
              </w:rPr>
              <w:t>100.0</w:t>
            </w:r>
          </w:p>
        </w:tc>
      </w:tr>
    </w:tbl>
    <w:p w14:paraId="577C79DD" w14:textId="19AA8EAB" w:rsidR="006A0F74" w:rsidRDefault="006A0F74" w:rsidP="00A817EA">
      <w:pPr>
        <w:spacing w:after="0"/>
        <w:rPr>
          <w:sz w:val="20"/>
          <w:szCs w:val="20"/>
        </w:rPr>
      </w:pPr>
      <w:r>
        <w:rPr>
          <w:sz w:val="20"/>
          <w:szCs w:val="20"/>
        </w:rPr>
        <w:t>Note:</w:t>
      </w:r>
    </w:p>
    <w:p w14:paraId="19875FB1" w14:textId="51FB69EF" w:rsidR="00105D31" w:rsidRDefault="00105D31" w:rsidP="00A817EA">
      <w:pPr>
        <w:spacing w:after="0"/>
        <w:rPr>
          <w:sz w:val="20"/>
          <w:szCs w:val="20"/>
        </w:rPr>
      </w:pPr>
      <w:r>
        <w:rPr>
          <w:sz w:val="20"/>
          <w:szCs w:val="20"/>
        </w:rPr>
        <w:t xml:space="preserve">Ten </w:t>
      </w:r>
      <w:r w:rsidR="00750A78">
        <w:rPr>
          <w:sz w:val="20"/>
          <w:szCs w:val="20"/>
        </w:rPr>
        <w:t xml:space="preserve">of the </w:t>
      </w:r>
      <w:r>
        <w:rPr>
          <w:sz w:val="20"/>
          <w:szCs w:val="20"/>
        </w:rPr>
        <w:t>most common seq</w:t>
      </w:r>
      <w:r w:rsidR="00D56D19">
        <w:rPr>
          <w:sz w:val="20"/>
          <w:szCs w:val="20"/>
        </w:rPr>
        <w:t>uences</w:t>
      </w:r>
      <w:r w:rsidR="008110F6">
        <w:rPr>
          <w:sz w:val="20"/>
          <w:szCs w:val="20"/>
        </w:rPr>
        <w:t xml:space="preserve"> for the supply of second line listings</w:t>
      </w:r>
      <w:r w:rsidR="00D56D19">
        <w:rPr>
          <w:sz w:val="20"/>
          <w:szCs w:val="20"/>
        </w:rPr>
        <w:t>.</w:t>
      </w:r>
    </w:p>
    <w:p w14:paraId="264E5F21" w14:textId="1EBF1E37" w:rsidR="00FD6385" w:rsidRDefault="006A0F74" w:rsidP="007C791A">
      <w:pPr>
        <w:spacing w:after="0"/>
        <w:rPr>
          <w:b/>
          <w:bCs/>
          <w:i/>
          <w:iCs/>
        </w:rPr>
      </w:pPr>
      <w:r>
        <w:rPr>
          <w:sz w:val="20"/>
          <w:szCs w:val="20"/>
        </w:rPr>
        <w:t xml:space="preserve">From 1 </w:t>
      </w:r>
      <w:r w:rsidR="00A817EA">
        <w:rPr>
          <w:sz w:val="20"/>
          <w:szCs w:val="20"/>
        </w:rPr>
        <w:t>June</w:t>
      </w:r>
      <w:r>
        <w:rPr>
          <w:sz w:val="20"/>
          <w:szCs w:val="20"/>
        </w:rPr>
        <w:t xml:space="preserve"> 2021 to 31 October 2023</w:t>
      </w:r>
      <w:r w:rsidR="00A817EA">
        <w:rPr>
          <w:sz w:val="20"/>
          <w:szCs w:val="20"/>
        </w:rPr>
        <w:t>.</w:t>
      </w:r>
    </w:p>
    <w:p w14:paraId="5DAA2880" w14:textId="77777777" w:rsidR="009019C9" w:rsidRDefault="009019C9" w:rsidP="007C791A">
      <w:pPr>
        <w:spacing w:after="0"/>
        <w:rPr>
          <w:b/>
          <w:bCs/>
          <w:i/>
          <w:iCs/>
        </w:rPr>
      </w:pPr>
    </w:p>
    <w:p w14:paraId="50502CEB" w14:textId="7FB2002A" w:rsidR="00D3144E" w:rsidRPr="00D3144E" w:rsidRDefault="00D3144E" w:rsidP="007C791A">
      <w:pPr>
        <w:spacing w:after="0"/>
      </w:pPr>
      <w:r>
        <w:t>Table 14 provides the same information as table 13 but for the entire analysis period which provides some indication on the effects of the restriction change to fremanezumab.</w:t>
      </w:r>
    </w:p>
    <w:p w14:paraId="66640A9E" w14:textId="77777777" w:rsidR="00D3144E" w:rsidRDefault="00D3144E" w:rsidP="007C791A">
      <w:pPr>
        <w:spacing w:after="0"/>
        <w:rPr>
          <w:b/>
          <w:bCs/>
          <w:i/>
          <w:iCs/>
        </w:rPr>
      </w:pPr>
    </w:p>
    <w:p w14:paraId="6E837BEC" w14:textId="3C62A9FA" w:rsidR="00D3144E" w:rsidRPr="00D3144E" w:rsidRDefault="00D3144E" w:rsidP="007C791A">
      <w:pPr>
        <w:spacing w:after="0"/>
        <w:rPr>
          <w:b/>
          <w:bCs/>
        </w:rPr>
      </w:pPr>
      <w:r>
        <w:rPr>
          <w:b/>
          <w:bCs/>
        </w:rPr>
        <w:t>Table 14: Sequence of therapy supplied during second line therapy</w:t>
      </w:r>
    </w:p>
    <w:tbl>
      <w:tblPr>
        <w:tblStyle w:val="TableGrid"/>
        <w:tblW w:w="0" w:type="auto"/>
        <w:tblLook w:val="04A0" w:firstRow="1" w:lastRow="0" w:firstColumn="1" w:lastColumn="0" w:noHBand="0" w:noVBand="1"/>
      </w:tblPr>
      <w:tblGrid>
        <w:gridCol w:w="5949"/>
        <w:gridCol w:w="1559"/>
        <w:gridCol w:w="1438"/>
      </w:tblGrid>
      <w:tr w:rsidR="00492D9F" w14:paraId="4D318989" w14:textId="77777777">
        <w:tc>
          <w:tcPr>
            <w:tcW w:w="5949" w:type="dxa"/>
            <w:shd w:val="clear" w:color="auto" w:fill="BFBFBF" w:themeFill="background1" w:themeFillShade="BF"/>
          </w:tcPr>
          <w:p w14:paraId="3E88CC6B" w14:textId="77777777" w:rsidR="00492D9F" w:rsidRPr="00D3144E" w:rsidRDefault="00492D9F">
            <w:pPr>
              <w:rPr>
                <w:rFonts w:cstheme="minorHAnsi"/>
                <w:b/>
                <w:bCs/>
                <w:sz w:val="20"/>
                <w:szCs w:val="20"/>
              </w:rPr>
            </w:pPr>
            <w:r w:rsidRPr="00D3144E">
              <w:rPr>
                <w:rFonts w:cstheme="minorHAnsi"/>
                <w:b/>
                <w:bCs/>
                <w:sz w:val="20"/>
                <w:szCs w:val="20"/>
              </w:rPr>
              <w:t>Treatment sequence</w:t>
            </w:r>
          </w:p>
        </w:tc>
        <w:tc>
          <w:tcPr>
            <w:tcW w:w="1559" w:type="dxa"/>
            <w:shd w:val="clear" w:color="auto" w:fill="BFBFBF" w:themeFill="background1" w:themeFillShade="BF"/>
          </w:tcPr>
          <w:p w14:paraId="2116F964" w14:textId="77777777" w:rsidR="00492D9F" w:rsidRPr="00D3144E" w:rsidRDefault="00492D9F">
            <w:pPr>
              <w:jc w:val="center"/>
              <w:rPr>
                <w:rFonts w:cstheme="minorHAnsi"/>
                <w:b/>
                <w:bCs/>
                <w:sz w:val="20"/>
                <w:szCs w:val="20"/>
              </w:rPr>
            </w:pPr>
            <w:r w:rsidRPr="00D3144E">
              <w:rPr>
                <w:rFonts w:cstheme="minorHAnsi"/>
                <w:b/>
                <w:bCs/>
                <w:sz w:val="20"/>
                <w:szCs w:val="20"/>
              </w:rPr>
              <w:t>Patients</w:t>
            </w:r>
          </w:p>
        </w:tc>
        <w:tc>
          <w:tcPr>
            <w:tcW w:w="1438" w:type="dxa"/>
            <w:shd w:val="clear" w:color="auto" w:fill="BFBFBF" w:themeFill="background1" w:themeFillShade="BF"/>
          </w:tcPr>
          <w:p w14:paraId="096A46FA" w14:textId="77777777" w:rsidR="00492D9F" w:rsidRPr="00D3144E" w:rsidRDefault="00492D9F">
            <w:pPr>
              <w:jc w:val="center"/>
              <w:rPr>
                <w:rFonts w:cstheme="minorHAnsi"/>
                <w:b/>
                <w:bCs/>
                <w:sz w:val="20"/>
                <w:szCs w:val="20"/>
              </w:rPr>
            </w:pPr>
            <w:r w:rsidRPr="00D3144E">
              <w:rPr>
                <w:rFonts w:cstheme="minorHAnsi"/>
                <w:b/>
                <w:bCs/>
                <w:sz w:val="20"/>
                <w:szCs w:val="20"/>
              </w:rPr>
              <w:t>Percentage</w:t>
            </w:r>
          </w:p>
        </w:tc>
      </w:tr>
      <w:tr w:rsidR="00D3144E" w14:paraId="4FD28884" w14:textId="77777777">
        <w:tc>
          <w:tcPr>
            <w:tcW w:w="5949" w:type="dxa"/>
            <w:vAlign w:val="bottom"/>
          </w:tcPr>
          <w:p w14:paraId="007626C3" w14:textId="3F89DDA7" w:rsidR="00D3144E" w:rsidRPr="00D3144E" w:rsidRDefault="00D3144E" w:rsidP="00D3144E">
            <w:pPr>
              <w:rPr>
                <w:rFonts w:cstheme="minorHAnsi"/>
                <w:sz w:val="20"/>
                <w:szCs w:val="20"/>
              </w:rPr>
            </w:pPr>
            <w:r w:rsidRPr="00D3144E">
              <w:rPr>
                <w:rFonts w:ascii="Calibri" w:hAnsi="Calibri" w:cs="Calibri"/>
                <w:color w:val="000000"/>
                <w:sz w:val="20"/>
                <w:szCs w:val="20"/>
              </w:rPr>
              <w:t>BOTULINUM TOXIN TYPE A</w:t>
            </w:r>
          </w:p>
        </w:tc>
        <w:tc>
          <w:tcPr>
            <w:tcW w:w="1559" w:type="dxa"/>
            <w:vAlign w:val="bottom"/>
          </w:tcPr>
          <w:p w14:paraId="4FB9C016" w14:textId="09F90F88" w:rsidR="00D3144E" w:rsidRPr="00D3144E" w:rsidRDefault="00D3144E" w:rsidP="00D3144E">
            <w:pPr>
              <w:jc w:val="center"/>
              <w:rPr>
                <w:rFonts w:cstheme="minorHAnsi"/>
                <w:sz w:val="20"/>
                <w:szCs w:val="20"/>
              </w:rPr>
            </w:pPr>
            <w:r w:rsidRPr="00D3144E">
              <w:rPr>
                <w:rFonts w:ascii="Calibri" w:hAnsi="Calibri" w:cs="Calibri"/>
                <w:color w:val="000000"/>
                <w:sz w:val="20"/>
                <w:szCs w:val="20"/>
              </w:rPr>
              <w:t>17,032</w:t>
            </w:r>
          </w:p>
        </w:tc>
        <w:tc>
          <w:tcPr>
            <w:tcW w:w="1438" w:type="dxa"/>
            <w:vAlign w:val="bottom"/>
          </w:tcPr>
          <w:p w14:paraId="240ADD25" w14:textId="23372CAC" w:rsidR="00D3144E" w:rsidRPr="00D3144E" w:rsidRDefault="00D3144E" w:rsidP="00D3144E">
            <w:pPr>
              <w:jc w:val="center"/>
              <w:rPr>
                <w:rFonts w:cstheme="minorHAnsi"/>
                <w:sz w:val="20"/>
                <w:szCs w:val="20"/>
              </w:rPr>
            </w:pPr>
            <w:r w:rsidRPr="00D3144E">
              <w:rPr>
                <w:rFonts w:ascii="Calibri" w:hAnsi="Calibri" w:cs="Calibri"/>
                <w:color w:val="000000"/>
                <w:sz w:val="20"/>
                <w:szCs w:val="20"/>
              </w:rPr>
              <w:t>37.1</w:t>
            </w:r>
          </w:p>
        </w:tc>
      </w:tr>
      <w:tr w:rsidR="00D3144E" w14:paraId="2FCB8D82" w14:textId="77777777">
        <w:tc>
          <w:tcPr>
            <w:tcW w:w="5949" w:type="dxa"/>
            <w:vAlign w:val="bottom"/>
          </w:tcPr>
          <w:p w14:paraId="5ACC1302" w14:textId="16B97E94" w:rsidR="00D3144E" w:rsidRPr="00D3144E" w:rsidRDefault="00D3144E" w:rsidP="00D3144E">
            <w:pPr>
              <w:rPr>
                <w:rFonts w:cstheme="minorHAnsi"/>
                <w:sz w:val="20"/>
                <w:szCs w:val="20"/>
              </w:rPr>
            </w:pPr>
            <w:r w:rsidRPr="00D3144E">
              <w:rPr>
                <w:rFonts w:ascii="Calibri" w:hAnsi="Calibri" w:cs="Calibri"/>
                <w:color w:val="000000"/>
                <w:sz w:val="20"/>
                <w:szCs w:val="20"/>
              </w:rPr>
              <w:t>FREMANEZUMAB</w:t>
            </w:r>
          </w:p>
        </w:tc>
        <w:tc>
          <w:tcPr>
            <w:tcW w:w="1559" w:type="dxa"/>
            <w:vAlign w:val="bottom"/>
          </w:tcPr>
          <w:p w14:paraId="62021282" w14:textId="59D96590" w:rsidR="00D3144E" w:rsidRPr="00D3144E" w:rsidRDefault="00D3144E" w:rsidP="00D3144E">
            <w:pPr>
              <w:jc w:val="center"/>
              <w:rPr>
                <w:rFonts w:cstheme="minorHAnsi"/>
                <w:sz w:val="20"/>
                <w:szCs w:val="20"/>
              </w:rPr>
            </w:pPr>
            <w:r w:rsidRPr="00D3144E">
              <w:rPr>
                <w:rFonts w:ascii="Calibri" w:hAnsi="Calibri" w:cs="Calibri"/>
                <w:color w:val="000000"/>
                <w:sz w:val="20"/>
                <w:szCs w:val="20"/>
              </w:rPr>
              <w:t>9,014</w:t>
            </w:r>
          </w:p>
        </w:tc>
        <w:tc>
          <w:tcPr>
            <w:tcW w:w="1438" w:type="dxa"/>
            <w:vAlign w:val="bottom"/>
          </w:tcPr>
          <w:p w14:paraId="048CFCD1" w14:textId="73B45A72" w:rsidR="00D3144E" w:rsidRPr="00D3144E" w:rsidRDefault="00D3144E" w:rsidP="00D3144E">
            <w:pPr>
              <w:jc w:val="center"/>
              <w:rPr>
                <w:rFonts w:cstheme="minorHAnsi"/>
                <w:sz w:val="20"/>
                <w:szCs w:val="20"/>
              </w:rPr>
            </w:pPr>
            <w:r w:rsidRPr="00D3144E">
              <w:rPr>
                <w:rFonts w:ascii="Calibri" w:hAnsi="Calibri" w:cs="Calibri"/>
                <w:color w:val="000000"/>
                <w:sz w:val="20"/>
                <w:szCs w:val="20"/>
              </w:rPr>
              <w:t>19.6</w:t>
            </w:r>
          </w:p>
        </w:tc>
      </w:tr>
      <w:tr w:rsidR="00D3144E" w14:paraId="3CBAB59A" w14:textId="77777777">
        <w:tc>
          <w:tcPr>
            <w:tcW w:w="5949" w:type="dxa"/>
            <w:vAlign w:val="bottom"/>
          </w:tcPr>
          <w:p w14:paraId="2F0074D1" w14:textId="68FEC0B9" w:rsidR="00D3144E" w:rsidRPr="00D3144E" w:rsidRDefault="00D3144E" w:rsidP="00D3144E">
            <w:pPr>
              <w:rPr>
                <w:rFonts w:cstheme="minorHAnsi"/>
                <w:sz w:val="20"/>
                <w:szCs w:val="20"/>
              </w:rPr>
            </w:pPr>
            <w:r w:rsidRPr="00D3144E">
              <w:rPr>
                <w:rFonts w:ascii="Calibri" w:hAnsi="Calibri" w:cs="Calibri"/>
                <w:color w:val="000000"/>
                <w:sz w:val="20"/>
                <w:szCs w:val="20"/>
              </w:rPr>
              <w:t>GALCANEZUMAB</w:t>
            </w:r>
          </w:p>
        </w:tc>
        <w:tc>
          <w:tcPr>
            <w:tcW w:w="1559" w:type="dxa"/>
            <w:vAlign w:val="bottom"/>
          </w:tcPr>
          <w:p w14:paraId="3F8E3F6E" w14:textId="0D6E0DD4" w:rsidR="00D3144E" w:rsidRPr="00D3144E" w:rsidRDefault="00D3144E" w:rsidP="00D3144E">
            <w:pPr>
              <w:jc w:val="center"/>
              <w:rPr>
                <w:rFonts w:cstheme="minorHAnsi"/>
                <w:sz w:val="20"/>
                <w:szCs w:val="20"/>
              </w:rPr>
            </w:pPr>
            <w:bookmarkStart w:id="6" w:name="_Hlk165016726"/>
            <w:r w:rsidRPr="00D3144E">
              <w:rPr>
                <w:rFonts w:ascii="Calibri" w:hAnsi="Calibri" w:cs="Calibri"/>
                <w:color w:val="000000"/>
                <w:sz w:val="20"/>
                <w:szCs w:val="20"/>
              </w:rPr>
              <w:t>4,831</w:t>
            </w:r>
            <w:bookmarkEnd w:id="6"/>
          </w:p>
        </w:tc>
        <w:tc>
          <w:tcPr>
            <w:tcW w:w="1438" w:type="dxa"/>
            <w:vAlign w:val="bottom"/>
          </w:tcPr>
          <w:p w14:paraId="4F244011" w14:textId="42D5BFDC" w:rsidR="00D3144E" w:rsidRPr="00D3144E" w:rsidRDefault="00D3144E" w:rsidP="00D3144E">
            <w:pPr>
              <w:jc w:val="center"/>
              <w:rPr>
                <w:rFonts w:cstheme="minorHAnsi"/>
                <w:sz w:val="20"/>
                <w:szCs w:val="20"/>
              </w:rPr>
            </w:pPr>
            <w:r w:rsidRPr="00D3144E">
              <w:rPr>
                <w:rFonts w:ascii="Calibri" w:hAnsi="Calibri" w:cs="Calibri"/>
                <w:color w:val="000000"/>
                <w:sz w:val="20"/>
                <w:szCs w:val="20"/>
              </w:rPr>
              <w:t>10.5</w:t>
            </w:r>
          </w:p>
        </w:tc>
      </w:tr>
      <w:tr w:rsidR="00D3144E" w14:paraId="52B070B7" w14:textId="77777777">
        <w:tc>
          <w:tcPr>
            <w:tcW w:w="5949" w:type="dxa"/>
            <w:vAlign w:val="bottom"/>
          </w:tcPr>
          <w:p w14:paraId="61D59E39" w14:textId="1D2E28ED" w:rsidR="00D3144E" w:rsidRPr="00D3144E" w:rsidRDefault="00D3144E" w:rsidP="00D3144E">
            <w:pPr>
              <w:rPr>
                <w:rFonts w:cstheme="minorHAnsi"/>
                <w:sz w:val="20"/>
                <w:szCs w:val="20"/>
              </w:rPr>
            </w:pPr>
            <w:r w:rsidRPr="00D3144E">
              <w:rPr>
                <w:rFonts w:ascii="Calibri" w:hAnsi="Calibri" w:cs="Calibri"/>
                <w:color w:val="000000"/>
                <w:sz w:val="20"/>
                <w:szCs w:val="20"/>
              </w:rPr>
              <w:t>GALCANEZUMAB -&gt; FREMANEZUMAB</w:t>
            </w:r>
          </w:p>
        </w:tc>
        <w:tc>
          <w:tcPr>
            <w:tcW w:w="1559" w:type="dxa"/>
            <w:vAlign w:val="bottom"/>
          </w:tcPr>
          <w:p w14:paraId="5B23E345" w14:textId="4A834955" w:rsidR="00D3144E" w:rsidRPr="00D3144E" w:rsidRDefault="00D3144E" w:rsidP="00D3144E">
            <w:pPr>
              <w:jc w:val="center"/>
              <w:rPr>
                <w:rFonts w:cstheme="minorHAnsi"/>
                <w:sz w:val="20"/>
                <w:szCs w:val="20"/>
              </w:rPr>
            </w:pPr>
            <w:r w:rsidRPr="00D3144E">
              <w:rPr>
                <w:rFonts w:ascii="Calibri" w:hAnsi="Calibri" w:cs="Calibri"/>
                <w:color w:val="000000"/>
                <w:sz w:val="20"/>
                <w:szCs w:val="20"/>
              </w:rPr>
              <w:t>4,537</w:t>
            </w:r>
          </w:p>
        </w:tc>
        <w:tc>
          <w:tcPr>
            <w:tcW w:w="1438" w:type="dxa"/>
            <w:vAlign w:val="bottom"/>
          </w:tcPr>
          <w:p w14:paraId="0AD2C3DB" w14:textId="79179640" w:rsidR="00D3144E" w:rsidRPr="00D3144E" w:rsidRDefault="00D3144E" w:rsidP="00D3144E">
            <w:pPr>
              <w:jc w:val="center"/>
              <w:rPr>
                <w:rFonts w:cstheme="minorHAnsi"/>
                <w:sz w:val="20"/>
                <w:szCs w:val="20"/>
              </w:rPr>
            </w:pPr>
            <w:r w:rsidRPr="00D3144E">
              <w:rPr>
                <w:rFonts w:ascii="Calibri" w:hAnsi="Calibri" w:cs="Calibri"/>
                <w:color w:val="000000"/>
                <w:sz w:val="20"/>
                <w:szCs w:val="20"/>
              </w:rPr>
              <w:t>9.9</w:t>
            </w:r>
          </w:p>
        </w:tc>
      </w:tr>
      <w:tr w:rsidR="00D3144E" w14:paraId="1A5F42E4" w14:textId="77777777">
        <w:tc>
          <w:tcPr>
            <w:tcW w:w="5949" w:type="dxa"/>
            <w:vAlign w:val="bottom"/>
          </w:tcPr>
          <w:p w14:paraId="55E0F33F" w14:textId="18EC1B60" w:rsidR="00D3144E" w:rsidRPr="00D3144E" w:rsidRDefault="00D3144E" w:rsidP="00D3144E">
            <w:pPr>
              <w:rPr>
                <w:rFonts w:cstheme="minorHAnsi"/>
                <w:sz w:val="20"/>
                <w:szCs w:val="20"/>
              </w:rPr>
            </w:pPr>
            <w:r w:rsidRPr="00D3144E">
              <w:rPr>
                <w:rFonts w:ascii="Calibri" w:hAnsi="Calibri" w:cs="Calibri"/>
                <w:color w:val="000000"/>
                <w:sz w:val="20"/>
                <w:szCs w:val="20"/>
              </w:rPr>
              <w:t>BOTULINUM TOXIN TYPE A -&gt; FREMANEZUMAB</w:t>
            </w:r>
          </w:p>
        </w:tc>
        <w:tc>
          <w:tcPr>
            <w:tcW w:w="1559" w:type="dxa"/>
            <w:vAlign w:val="bottom"/>
          </w:tcPr>
          <w:p w14:paraId="31E09EC4" w14:textId="3584437C" w:rsidR="00D3144E" w:rsidRPr="00D3144E" w:rsidRDefault="00D3144E" w:rsidP="00D3144E">
            <w:pPr>
              <w:jc w:val="center"/>
              <w:rPr>
                <w:rFonts w:cstheme="minorHAnsi"/>
                <w:sz w:val="20"/>
                <w:szCs w:val="20"/>
              </w:rPr>
            </w:pPr>
            <w:r w:rsidRPr="00D3144E">
              <w:rPr>
                <w:rFonts w:ascii="Calibri" w:hAnsi="Calibri" w:cs="Calibri"/>
                <w:color w:val="000000"/>
                <w:sz w:val="20"/>
                <w:szCs w:val="20"/>
              </w:rPr>
              <w:t>2,579</w:t>
            </w:r>
          </w:p>
        </w:tc>
        <w:tc>
          <w:tcPr>
            <w:tcW w:w="1438" w:type="dxa"/>
            <w:vAlign w:val="bottom"/>
          </w:tcPr>
          <w:p w14:paraId="113787BE" w14:textId="0054760F" w:rsidR="00D3144E" w:rsidRPr="00D3144E" w:rsidRDefault="00D3144E" w:rsidP="00D3144E">
            <w:pPr>
              <w:jc w:val="center"/>
              <w:rPr>
                <w:rFonts w:cstheme="minorHAnsi"/>
                <w:sz w:val="20"/>
                <w:szCs w:val="20"/>
              </w:rPr>
            </w:pPr>
            <w:r w:rsidRPr="00D3144E">
              <w:rPr>
                <w:rFonts w:ascii="Calibri" w:hAnsi="Calibri" w:cs="Calibri"/>
                <w:color w:val="000000"/>
                <w:sz w:val="20"/>
                <w:szCs w:val="20"/>
              </w:rPr>
              <w:t>5.6</w:t>
            </w:r>
          </w:p>
        </w:tc>
      </w:tr>
      <w:tr w:rsidR="00D3144E" w14:paraId="16E4FE4A" w14:textId="77777777">
        <w:tc>
          <w:tcPr>
            <w:tcW w:w="5949" w:type="dxa"/>
            <w:vAlign w:val="bottom"/>
          </w:tcPr>
          <w:p w14:paraId="5395E783" w14:textId="4341DAAA" w:rsidR="00D3144E" w:rsidRPr="00D3144E" w:rsidRDefault="00D3144E" w:rsidP="00D3144E">
            <w:pPr>
              <w:rPr>
                <w:rFonts w:cstheme="minorHAnsi"/>
                <w:sz w:val="20"/>
                <w:szCs w:val="20"/>
              </w:rPr>
            </w:pPr>
            <w:r w:rsidRPr="00D3144E">
              <w:rPr>
                <w:rFonts w:ascii="Calibri" w:hAnsi="Calibri" w:cs="Calibri"/>
                <w:color w:val="000000"/>
                <w:sz w:val="20"/>
                <w:szCs w:val="20"/>
              </w:rPr>
              <w:t>BOTULINUM TOXIN TYPE A -&gt; GALCANEZUMAB</w:t>
            </w:r>
          </w:p>
        </w:tc>
        <w:tc>
          <w:tcPr>
            <w:tcW w:w="1559" w:type="dxa"/>
            <w:vAlign w:val="bottom"/>
          </w:tcPr>
          <w:p w14:paraId="38DF7FC1" w14:textId="2BDC93D3" w:rsidR="00D3144E" w:rsidRPr="00D3144E" w:rsidRDefault="00D3144E" w:rsidP="00D3144E">
            <w:pPr>
              <w:jc w:val="center"/>
              <w:rPr>
                <w:rFonts w:cstheme="minorHAnsi"/>
                <w:sz w:val="20"/>
                <w:szCs w:val="20"/>
              </w:rPr>
            </w:pPr>
            <w:r w:rsidRPr="00D3144E">
              <w:rPr>
                <w:rFonts w:ascii="Calibri" w:hAnsi="Calibri" w:cs="Calibri"/>
                <w:color w:val="000000"/>
                <w:sz w:val="20"/>
                <w:szCs w:val="20"/>
              </w:rPr>
              <w:t>1,401</w:t>
            </w:r>
          </w:p>
        </w:tc>
        <w:tc>
          <w:tcPr>
            <w:tcW w:w="1438" w:type="dxa"/>
            <w:vAlign w:val="bottom"/>
          </w:tcPr>
          <w:p w14:paraId="7134EFEB" w14:textId="3D556421" w:rsidR="00D3144E" w:rsidRPr="00D3144E" w:rsidRDefault="00D3144E" w:rsidP="00D3144E">
            <w:pPr>
              <w:jc w:val="center"/>
              <w:rPr>
                <w:rFonts w:cstheme="minorHAnsi"/>
                <w:sz w:val="20"/>
                <w:szCs w:val="20"/>
              </w:rPr>
            </w:pPr>
            <w:r w:rsidRPr="00D3144E">
              <w:rPr>
                <w:rFonts w:ascii="Calibri" w:hAnsi="Calibri" w:cs="Calibri"/>
                <w:color w:val="000000"/>
                <w:sz w:val="20"/>
                <w:szCs w:val="20"/>
              </w:rPr>
              <w:t>3.1</w:t>
            </w:r>
          </w:p>
        </w:tc>
      </w:tr>
      <w:tr w:rsidR="00D3144E" w14:paraId="20B56D66" w14:textId="77777777">
        <w:tc>
          <w:tcPr>
            <w:tcW w:w="5949" w:type="dxa"/>
            <w:vAlign w:val="bottom"/>
          </w:tcPr>
          <w:p w14:paraId="69FC105B" w14:textId="0FEF19C3" w:rsidR="00D3144E" w:rsidRPr="00D3144E" w:rsidRDefault="00D3144E" w:rsidP="00D3144E">
            <w:pPr>
              <w:rPr>
                <w:rFonts w:cstheme="minorHAnsi"/>
                <w:sz w:val="20"/>
                <w:szCs w:val="20"/>
              </w:rPr>
            </w:pPr>
            <w:r w:rsidRPr="00D3144E">
              <w:rPr>
                <w:rFonts w:ascii="Calibri" w:hAnsi="Calibri" w:cs="Calibri"/>
                <w:color w:val="000000"/>
                <w:sz w:val="20"/>
                <w:szCs w:val="20"/>
              </w:rPr>
              <w:t>BOTULINUM TOXIN TYPE A -&gt; GALCANEZUMAB -&gt; FREMANEZUMAB</w:t>
            </w:r>
          </w:p>
        </w:tc>
        <w:tc>
          <w:tcPr>
            <w:tcW w:w="1559" w:type="dxa"/>
            <w:vAlign w:val="bottom"/>
          </w:tcPr>
          <w:p w14:paraId="060C6B19" w14:textId="6BC20C93" w:rsidR="00D3144E" w:rsidRPr="00D3144E" w:rsidRDefault="00D3144E" w:rsidP="00D3144E">
            <w:pPr>
              <w:jc w:val="center"/>
              <w:rPr>
                <w:rFonts w:cstheme="minorHAnsi"/>
                <w:sz w:val="20"/>
                <w:szCs w:val="20"/>
              </w:rPr>
            </w:pPr>
            <w:r w:rsidRPr="00D3144E">
              <w:rPr>
                <w:rFonts w:ascii="Calibri" w:hAnsi="Calibri" w:cs="Calibri"/>
                <w:color w:val="000000"/>
                <w:sz w:val="20"/>
                <w:szCs w:val="20"/>
              </w:rPr>
              <w:t>1,229</w:t>
            </w:r>
          </w:p>
        </w:tc>
        <w:tc>
          <w:tcPr>
            <w:tcW w:w="1438" w:type="dxa"/>
            <w:vAlign w:val="bottom"/>
          </w:tcPr>
          <w:p w14:paraId="2575511C" w14:textId="61F88D2E" w:rsidR="00D3144E" w:rsidRPr="00D3144E" w:rsidRDefault="00D3144E" w:rsidP="00D3144E">
            <w:pPr>
              <w:jc w:val="center"/>
              <w:rPr>
                <w:rFonts w:cstheme="minorHAnsi"/>
                <w:sz w:val="20"/>
                <w:szCs w:val="20"/>
              </w:rPr>
            </w:pPr>
            <w:r w:rsidRPr="00D3144E">
              <w:rPr>
                <w:rFonts w:ascii="Calibri" w:hAnsi="Calibri" w:cs="Calibri"/>
                <w:color w:val="000000"/>
                <w:sz w:val="20"/>
                <w:szCs w:val="20"/>
              </w:rPr>
              <w:t>2.7</w:t>
            </w:r>
          </w:p>
        </w:tc>
      </w:tr>
      <w:tr w:rsidR="00D3144E" w14:paraId="3EAFA8B2" w14:textId="77777777">
        <w:tc>
          <w:tcPr>
            <w:tcW w:w="5949" w:type="dxa"/>
            <w:vAlign w:val="bottom"/>
          </w:tcPr>
          <w:p w14:paraId="6B32ADCE" w14:textId="174D1A52" w:rsidR="00D3144E" w:rsidRPr="00D3144E" w:rsidRDefault="00D3144E" w:rsidP="00D3144E">
            <w:pPr>
              <w:rPr>
                <w:rFonts w:cstheme="minorHAnsi"/>
                <w:sz w:val="20"/>
                <w:szCs w:val="20"/>
              </w:rPr>
            </w:pPr>
            <w:r w:rsidRPr="00D3144E">
              <w:rPr>
                <w:rFonts w:ascii="Calibri" w:hAnsi="Calibri" w:cs="Calibri"/>
                <w:color w:val="000000"/>
                <w:sz w:val="20"/>
                <w:szCs w:val="20"/>
              </w:rPr>
              <w:t>GALCANEZUMAB -&gt; BOTULINUM TOXIN TYPE A</w:t>
            </w:r>
          </w:p>
        </w:tc>
        <w:tc>
          <w:tcPr>
            <w:tcW w:w="1559" w:type="dxa"/>
            <w:vAlign w:val="bottom"/>
          </w:tcPr>
          <w:p w14:paraId="1242AA2E" w14:textId="187D92A0" w:rsidR="00D3144E" w:rsidRPr="00D3144E" w:rsidRDefault="00D3144E" w:rsidP="00D3144E">
            <w:pPr>
              <w:jc w:val="center"/>
              <w:rPr>
                <w:rFonts w:cstheme="minorHAnsi"/>
                <w:sz w:val="20"/>
                <w:szCs w:val="20"/>
              </w:rPr>
            </w:pPr>
            <w:r w:rsidRPr="00D3144E">
              <w:rPr>
                <w:rFonts w:ascii="Calibri" w:hAnsi="Calibri" w:cs="Calibri"/>
                <w:color w:val="000000"/>
                <w:sz w:val="20"/>
                <w:szCs w:val="20"/>
              </w:rPr>
              <w:t>1,104</w:t>
            </w:r>
          </w:p>
        </w:tc>
        <w:tc>
          <w:tcPr>
            <w:tcW w:w="1438" w:type="dxa"/>
            <w:vAlign w:val="bottom"/>
          </w:tcPr>
          <w:p w14:paraId="22876162" w14:textId="46D8F0D9" w:rsidR="00D3144E" w:rsidRPr="00D3144E" w:rsidRDefault="00D3144E" w:rsidP="00D3144E">
            <w:pPr>
              <w:jc w:val="center"/>
              <w:rPr>
                <w:rFonts w:cstheme="minorHAnsi"/>
                <w:sz w:val="20"/>
                <w:szCs w:val="20"/>
              </w:rPr>
            </w:pPr>
            <w:r w:rsidRPr="00D3144E">
              <w:rPr>
                <w:rFonts w:ascii="Calibri" w:hAnsi="Calibri" w:cs="Calibri"/>
                <w:color w:val="000000"/>
                <w:sz w:val="20"/>
                <w:szCs w:val="20"/>
              </w:rPr>
              <w:t>2.4</w:t>
            </w:r>
          </w:p>
        </w:tc>
      </w:tr>
      <w:tr w:rsidR="00D3144E" w14:paraId="5DDECA75" w14:textId="77777777">
        <w:tc>
          <w:tcPr>
            <w:tcW w:w="5949" w:type="dxa"/>
            <w:vAlign w:val="bottom"/>
          </w:tcPr>
          <w:p w14:paraId="73E78210" w14:textId="0B9C9771" w:rsidR="00D3144E" w:rsidRPr="00D3144E" w:rsidRDefault="00D3144E" w:rsidP="00D3144E">
            <w:pPr>
              <w:rPr>
                <w:rFonts w:cstheme="minorHAnsi"/>
                <w:sz w:val="20"/>
                <w:szCs w:val="20"/>
              </w:rPr>
            </w:pPr>
            <w:r w:rsidRPr="00D3144E">
              <w:rPr>
                <w:rFonts w:ascii="Calibri" w:hAnsi="Calibri" w:cs="Calibri"/>
                <w:color w:val="000000"/>
                <w:sz w:val="20"/>
                <w:szCs w:val="20"/>
              </w:rPr>
              <w:t>FREMANEZUMAB -&gt; BOTULINUM TOXIN TYPE A</w:t>
            </w:r>
          </w:p>
        </w:tc>
        <w:tc>
          <w:tcPr>
            <w:tcW w:w="1559" w:type="dxa"/>
            <w:vAlign w:val="bottom"/>
          </w:tcPr>
          <w:p w14:paraId="13759202" w14:textId="116A7F07" w:rsidR="00D3144E" w:rsidRPr="00D3144E" w:rsidRDefault="00D3144E" w:rsidP="00D3144E">
            <w:pPr>
              <w:jc w:val="center"/>
              <w:rPr>
                <w:rFonts w:cstheme="minorHAnsi"/>
                <w:sz w:val="20"/>
                <w:szCs w:val="20"/>
              </w:rPr>
            </w:pPr>
            <w:r w:rsidRPr="00D3144E">
              <w:rPr>
                <w:rFonts w:ascii="Calibri" w:hAnsi="Calibri" w:cs="Calibri"/>
                <w:color w:val="000000"/>
                <w:sz w:val="20"/>
                <w:szCs w:val="20"/>
              </w:rPr>
              <w:t>997</w:t>
            </w:r>
          </w:p>
        </w:tc>
        <w:tc>
          <w:tcPr>
            <w:tcW w:w="1438" w:type="dxa"/>
            <w:vAlign w:val="bottom"/>
          </w:tcPr>
          <w:p w14:paraId="206F0350" w14:textId="3D97F321" w:rsidR="00D3144E" w:rsidRPr="00D3144E" w:rsidRDefault="00D3144E" w:rsidP="00D3144E">
            <w:pPr>
              <w:jc w:val="center"/>
              <w:rPr>
                <w:rFonts w:cstheme="minorHAnsi"/>
                <w:sz w:val="20"/>
                <w:szCs w:val="20"/>
              </w:rPr>
            </w:pPr>
            <w:r w:rsidRPr="00D3144E">
              <w:rPr>
                <w:rFonts w:ascii="Calibri" w:hAnsi="Calibri" w:cs="Calibri"/>
                <w:color w:val="000000"/>
                <w:sz w:val="20"/>
                <w:szCs w:val="20"/>
              </w:rPr>
              <w:t>2.2</w:t>
            </w:r>
          </w:p>
        </w:tc>
      </w:tr>
      <w:tr w:rsidR="00D3144E" w14:paraId="0E3E8BC2" w14:textId="77777777">
        <w:tc>
          <w:tcPr>
            <w:tcW w:w="5949" w:type="dxa"/>
            <w:vAlign w:val="bottom"/>
          </w:tcPr>
          <w:p w14:paraId="4709E5C3" w14:textId="09570CB0" w:rsidR="00D3144E" w:rsidRPr="00D3144E" w:rsidRDefault="00D3144E" w:rsidP="00D3144E">
            <w:pPr>
              <w:rPr>
                <w:rFonts w:cstheme="minorHAnsi"/>
                <w:sz w:val="20"/>
                <w:szCs w:val="20"/>
              </w:rPr>
            </w:pPr>
            <w:r w:rsidRPr="00D3144E">
              <w:rPr>
                <w:rFonts w:ascii="Calibri" w:hAnsi="Calibri" w:cs="Calibri"/>
                <w:color w:val="000000"/>
                <w:sz w:val="20"/>
                <w:szCs w:val="20"/>
              </w:rPr>
              <w:t>FREMANEZUMAB -&gt; GALCANEZUMAB</w:t>
            </w:r>
          </w:p>
        </w:tc>
        <w:tc>
          <w:tcPr>
            <w:tcW w:w="1559" w:type="dxa"/>
            <w:vAlign w:val="bottom"/>
          </w:tcPr>
          <w:p w14:paraId="61C03BF6" w14:textId="6B8E6B4A" w:rsidR="00D3144E" w:rsidRPr="00D3144E" w:rsidRDefault="00D3144E" w:rsidP="00D3144E">
            <w:pPr>
              <w:jc w:val="center"/>
              <w:rPr>
                <w:rFonts w:cstheme="minorHAnsi"/>
                <w:sz w:val="20"/>
                <w:szCs w:val="20"/>
              </w:rPr>
            </w:pPr>
            <w:r w:rsidRPr="00D3144E">
              <w:rPr>
                <w:rFonts w:ascii="Calibri" w:hAnsi="Calibri" w:cs="Calibri"/>
                <w:color w:val="000000"/>
                <w:sz w:val="20"/>
                <w:szCs w:val="20"/>
              </w:rPr>
              <w:t>690</w:t>
            </w:r>
          </w:p>
        </w:tc>
        <w:tc>
          <w:tcPr>
            <w:tcW w:w="1438" w:type="dxa"/>
            <w:vAlign w:val="bottom"/>
          </w:tcPr>
          <w:p w14:paraId="26C92935" w14:textId="51B6EE4B" w:rsidR="00D3144E" w:rsidRPr="00D3144E" w:rsidRDefault="00D3144E" w:rsidP="00D3144E">
            <w:pPr>
              <w:jc w:val="center"/>
              <w:rPr>
                <w:rFonts w:cstheme="minorHAnsi"/>
                <w:sz w:val="20"/>
                <w:szCs w:val="20"/>
              </w:rPr>
            </w:pPr>
            <w:r w:rsidRPr="00D3144E">
              <w:rPr>
                <w:rFonts w:ascii="Calibri" w:hAnsi="Calibri" w:cs="Calibri"/>
                <w:color w:val="000000"/>
                <w:sz w:val="20"/>
                <w:szCs w:val="20"/>
              </w:rPr>
              <w:t>1.5</w:t>
            </w:r>
          </w:p>
        </w:tc>
      </w:tr>
      <w:tr w:rsidR="00492D9F" w14:paraId="3AA3B454" w14:textId="77777777">
        <w:tc>
          <w:tcPr>
            <w:tcW w:w="5949" w:type="dxa"/>
          </w:tcPr>
          <w:p w14:paraId="1084391E" w14:textId="77777777" w:rsidR="00492D9F" w:rsidRPr="00D3144E" w:rsidRDefault="00492D9F">
            <w:pPr>
              <w:rPr>
                <w:caps/>
                <w:sz w:val="20"/>
                <w:szCs w:val="20"/>
              </w:rPr>
            </w:pPr>
            <w:r w:rsidRPr="00D3144E">
              <w:rPr>
                <w:caps/>
                <w:sz w:val="20"/>
                <w:szCs w:val="20"/>
              </w:rPr>
              <w:t>Other</w:t>
            </w:r>
          </w:p>
        </w:tc>
        <w:tc>
          <w:tcPr>
            <w:tcW w:w="1559" w:type="dxa"/>
          </w:tcPr>
          <w:p w14:paraId="3B8FEABF" w14:textId="2C7BEA95" w:rsidR="00492D9F" w:rsidRPr="00D3144E" w:rsidRDefault="00D3144E">
            <w:pPr>
              <w:jc w:val="center"/>
              <w:rPr>
                <w:sz w:val="20"/>
                <w:szCs w:val="20"/>
              </w:rPr>
            </w:pPr>
            <w:r w:rsidRPr="00D3144E">
              <w:rPr>
                <w:sz w:val="20"/>
                <w:szCs w:val="20"/>
              </w:rPr>
              <w:t>2,510</w:t>
            </w:r>
          </w:p>
        </w:tc>
        <w:tc>
          <w:tcPr>
            <w:tcW w:w="1438" w:type="dxa"/>
          </w:tcPr>
          <w:p w14:paraId="1B2D79BB" w14:textId="23FC3352" w:rsidR="00492D9F" w:rsidRPr="00D3144E" w:rsidRDefault="00D3144E">
            <w:pPr>
              <w:jc w:val="center"/>
              <w:rPr>
                <w:sz w:val="20"/>
                <w:szCs w:val="20"/>
              </w:rPr>
            </w:pPr>
            <w:r w:rsidRPr="00D3144E">
              <w:rPr>
                <w:sz w:val="20"/>
                <w:szCs w:val="20"/>
              </w:rPr>
              <w:t>5.5</w:t>
            </w:r>
          </w:p>
        </w:tc>
      </w:tr>
      <w:tr w:rsidR="00492D9F" w14:paraId="406467A5" w14:textId="77777777">
        <w:tc>
          <w:tcPr>
            <w:tcW w:w="5949" w:type="dxa"/>
          </w:tcPr>
          <w:p w14:paraId="3549D99A" w14:textId="77777777" w:rsidR="00492D9F" w:rsidRPr="00D3144E" w:rsidRDefault="00492D9F">
            <w:pPr>
              <w:rPr>
                <w:b/>
                <w:bCs/>
                <w:caps/>
                <w:sz w:val="20"/>
                <w:szCs w:val="20"/>
              </w:rPr>
            </w:pPr>
            <w:r w:rsidRPr="00D3144E">
              <w:rPr>
                <w:b/>
                <w:bCs/>
                <w:caps/>
                <w:sz w:val="20"/>
                <w:szCs w:val="20"/>
              </w:rPr>
              <w:t>Total</w:t>
            </w:r>
          </w:p>
        </w:tc>
        <w:tc>
          <w:tcPr>
            <w:tcW w:w="1559" w:type="dxa"/>
          </w:tcPr>
          <w:p w14:paraId="6D2DAFAD" w14:textId="36D586E2" w:rsidR="00492D9F" w:rsidRPr="00D3144E" w:rsidRDefault="00D3144E">
            <w:pPr>
              <w:jc w:val="center"/>
              <w:rPr>
                <w:rFonts w:ascii="Calibri" w:hAnsi="Calibri" w:cs="Calibri"/>
                <w:b/>
                <w:bCs/>
                <w:color w:val="000000"/>
                <w:sz w:val="20"/>
                <w:szCs w:val="20"/>
              </w:rPr>
            </w:pPr>
            <w:r w:rsidRPr="00D3144E">
              <w:rPr>
                <w:rFonts w:ascii="Calibri" w:hAnsi="Calibri" w:cs="Calibri"/>
                <w:b/>
                <w:bCs/>
                <w:color w:val="000000"/>
                <w:sz w:val="20"/>
                <w:szCs w:val="20"/>
              </w:rPr>
              <w:t>45,924</w:t>
            </w:r>
          </w:p>
        </w:tc>
        <w:tc>
          <w:tcPr>
            <w:tcW w:w="1438" w:type="dxa"/>
          </w:tcPr>
          <w:p w14:paraId="0CB96BAC" w14:textId="35436F71" w:rsidR="00492D9F" w:rsidRPr="00D3144E" w:rsidRDefault="00D3144E">
            <w:pPr>
              <w:jc w:val="center"/>
              <w:rPr>
                <w:b/>
                <w:bCs/>
                <w:sz w:val="20"/>
                <w:szCs w:val="20"/>
              </w:rPr>
            </w:pPr>
            <w:r w:rsidRPr="00D3144E">
              <w:rPr>
                <w:b/>
                <w:bCs/>
                <w:sz w:val="20"/>
                <w:szCs w:val="20"/>
              </w:rPr>
              <w:t>100</w:t>
            </w:r>
          </w:p>
        </w:tc>
      </w:tr>
    </w:tbl>
    <w:p w14:paraId="66E90DB0" w14:textId="77777777" w:rsidR="00492D9F" w:rsidRDefault="00492D9F" w:rsidP="00492D9F">
      <w:pPr>
        <w:spacing w:after="0"/>
        <w:rPr>
          <w:sz w:val="20"/>
          <w:szCs w:val="20"/>
        </w:rPr>
      </w:pPr>
      <w:r>
        <w:rPr>
          <w:sz w:val="20"/>
          <w:szCs w:val="20"/>
        </w:rPr>
        <w:t>Note:</w:t>
      </w:r>
    </w:p>
    <w:p w14:paraId="15BF1698" w14:textId="77777777" w:rsidR="00492D9F" w:rsidRDefault="00492D9F" w:rsidP="00492D9F">
      <w:pPr>
        <w:spacing w:after="0"/>
        <w:rPr>
          <w:sz w:val="20"/>
          <w:szCs w:val="20"/>
        </w:rPr>
      </w:pPr>
      <w:r>
        <w:rPr>
          <w:sz w:val="20"/>
          <w:szCs w:val="20"/>
        </w:rPr>
        <w:t>Ten of the most common sequences for the supply of second line listings.</w:t>
      </w:r>
    </w:p>
    <w:p w14:paraId="5ED29025" w14:textId="202DDEF5" w:rsidR="00492D9F" w:rsidRDefault="00492D9F" w:rsidP="00492D9F">
      <w:pPr>
        <w:spacing w:after="0"/>
        <w:rPr>
          <w:b/>
          <w:bCs/>
          <w:i/>
          <w:iCs/>
        </w:rPr>
      </w:pPr>
      <w:r>
        <w:rPr>
          <w:sz w:val="20"/>
          <w:szCs w:val="20"/>
        </w:rPr>
        <w:t xml:space="preserve">From 1 June 2021 to </w:t>
      </w:r>
      <w:r w:rsidR="00D3144E">
        <w:rPr>
          <w:sz w:val="20"/>
          <w:szCs w:val="20"/>
        </w:rPr>
        <w:t>29 February 2024</w:t>
      </w:r>
      <w:r>
        <w:rPr>
          <w:sz w:val="20"/>
          <w:szCs w:val="20"/>
        </w:rPr>
        <w:t>.</w:t>
      </w:r>
    </w:p>
    <w:p w14:paraId="177C961F" w14:textId="77777777" w:rsidR="00374BBF" w:rsidRDefault="00374BBF" w:rsidP="007C791A">
      <w:pPr>
        <w:spacing w:after="0"/>
      </w:pPr>
    </w:p>
    <w:p w14:paraId="5EC56A44" w14:textId="2959F7DC" w:rsidR="006301E2" w:rsidRPr="0023274B" w:rsidRDefault="0023274B" w:rsidP="007C791A">
      <w:pPr>
        <w:spacing w:after="0"/>
      </w:pPr>
      <w:r w:rsidRPr="0023274B">
        <w:t>The reduction in the number of galcanezumab patients in table 14 (4,537)</w:t>
      </w:r>
      <w:r>
        <w:t xml:space="preserve"> </w:t>
      </w:r>
      <w:r w:rsidRPr="0023274B">
        <w:t>as compared to table 13 (7,621) is likely a result of patients on galc</w:t>
      </w:r>
      <w:r w:rsidR="00D92E00">
        <w:t>a</w:t>
      </w:r>
      <w:r w:rsidRPr="0023274B">
        <w:t>nezumab switching to other second line therapy over the period 1 November 2023 to 29 February 2024 or ceasing therapy.</w:t>
      </w:r>
    </w:p>
    <w:bookmarkEnd w:id="4"/>
    <w:p w14:paraId="1BA62906" w14:textId="77777777" w:rsidR="006301E2" w:rsidRPr="0023274B" w:rsidRDefault="006301E2" w:rsidP="007C791A">
      <w:pPr>
        <w:spacing w:after="0"/>
      </w:pPr>
    </w:p>
    <w:p w14:paraId="0F95FEDC" w14:textId="77777777" w:rsidR="007D2EE9" w:rsidRPr="0023274B" w:rsidRDefault="007D2EE9" w:rsidP="007C791A">
      <w:pPr>
        <w:spacing w:after="0"/>
      </w:pPr>
    </w:p>
    <w:p w14:paraId="760B9271" w14:textId="77777777" w:rsidR="007D2EE9" w:rsidRPr="0023274B" w:rsidRDefault="007D2EE9" w:rsidP="007C791A">
      <w:pPr>
        <w:spacing w:after="0"/>
      </w:pPr>
    </w:p>
    <w:p w14:paraId="33D5B100" w14:textId="2995DCAB" w:rsidR="004E5E97" w:rsidRPr="006F2BD9" w:rsidRDefault="001070D5" w:rsidP="006F2BD9">
      <w:pPr>
        <w:spacing w:before="240"/>
        <w:rPr>
          <w:b/>
          <w:bCs/>
          <w:i/>
          <w:iCs/>
        </w:rPr>
      </w:pPr>
      <w:r w:rsidRPr="00B80402">
        <w:rPr>
          <w:b/>
          <w:bCs/>
          <w:i/>
          <w:iCs/>
        </w:rPr>
        <w:t>Treatment duration analysis</w:t>
      </w:r>
    </w:p>
    <w:p w14:paraId="0FAF655E" w14:textId="5F0626CF" w:rsidR="00C53BDD" w:rsidRPr="007F6C56" w:rsidRDefault="00C53BDD" w:rsidP="00C53BDD">
      <w:pPr>
        <w:spacing w:after="0"/>
        <w:rPr>
          <w:b/>
          <w:bCs/>
        </w:rPr>
      </w:pPr>
      <w:r w:rsidRPr="007F6C56">
        <w:rPr>
          <w:b/>
          <w:bCs/>
        </w:rPr>
        <w:t xml:space="preserve">Table </w:t>
      </w:r>
      <w:r w:rsidR="00F304A0">
        <w:rPr>
          <w:b/>
          <w:bCs/>
        </w:rPr>
        <w:t>1</w:t>
      </w:r>
      <w:r w:rsidR="000B3707">
        <w:rPr>
          <w:b/>
          <w:bCs/>
        </w:rPr>
        <w:t>5</w:t>
      </w:r>
      <w:r w:rsidRPr="007F6C56">
        <w:rPr>
          <w:b/>
          <w:bCs/>
        </w:rPr>
        <w:t xml:space="preserve">: Time on treatment </w:t>
      </w:r>
      <w:r w:rsidR="0043025A" w:rsidRPr="007F6C56">
        <w:rPr>
          <w:b/>
          <w:bCs/>
        </w:rPr>
        <w:t xml:space="preserve">(days) </w:t>
      </w:r>
      <w:r w:rsidRPr="007F6C56">
        <w:rPr>
          <w:b/>
          <w:bCs/>
        </w:rPr>
        <w:t xml:space="preserve">for </w:t>
      </w:r>
      <w:r w:rsidR="00EE39D4">
        <w:rPr>
          <w:b/>
          <w:bCs/>
        </w:rPr>
        <w:t>g</w:t>
      </w:r>
      <w:r w:rsidRPr="007F6C56">
        <w:rPr>
          <w:b/>
          <w:bCs/>
        </w:rPr>
        <w:t>alcanezumab</w:t>
      </w:r>
    </w:p>
    <w:tbl>
      <w:tblPr>
        <w:tblStyle w:val="TableGrid"/>
        <w:tblW w:w="0" w:type="auto"/>
        <w:tblLook w:val="04A0" w:firstRow="1" w:lastRow="0" w:firstColumn="1" w:lastColumn="0" w:noHBand="0" w:noVBand="1"/>
      </w:tblPr>
      <w:tblGrid>
        <w:gridCol w:w="2231"/>
        <w:gridCol w:w="2232"/>
        <w:gridCol w:w="2231"/>
        <w:gridCol w:w="2232"/>
      </w:tblGrid>
      <w:tr w:rsidR="00C53BDD" w14:paraId="23A099FA" w14:textId="77777777" w:rsidTr="0043025A">
        <w:tc>
          <w:tcPr>
            <w:tcW w:w="2231" w:type="dxa"/>
            <w:shd w:val="clear" w:color="auto" w:fill="BFBFBF" w:themeFill="background1" w:themeFillShade="BF"/>
          </w:tcPr>
          <w:p w14:paraId="56D06F62" w14:textId="77777777" w:rsidR="00C53BDD" w:rsidRPr="0043025A" w:rsidRDefault="00C53BDD">
            <w:pPr>
              <w:rPr>
                <w:b/>
                <w:bCs/>
                <w:sz w:val="20"/>
                <w:szCs w:val="20"/>
              </w:rPr>
            </w:pPr>
            <w:r w:rsidRPr="0043025A">
              <w:rPr>
                <w:b/>
                <w:bCs/>
                <w:sz w:val="20"/>
                <w:szCs w:val="20"/>
              </w:rPr>
              <w:t>With breaks</w:t>
            </w:r>
          </w:p>
        </w:tc>
        <w:tc>
          <w:tcPr>
            <w:tcW w:w="2232" w:type="dxa"/>
            <w:shd w:val="clear" w:color="auto" w:fill="BFBFBF" w:themeFill="background1" w:themeFillShade="BF"/>
          </w:tcPr>
          <w:p w14:paraId="154DF133" w14:textId="77777777" w:rsidR="00C53BDD" w:rsidRPr="0043025A" w:rsidRDefault="00C53BDD" w:rsidP="0043025A">
            <w:pPr>
              <w:jc w:val="center"/>
              <w:rPr>
                <w:b/>
                <w:bCs/>
                <w:sz w:val="20"/>
                <w:szCs w:val="20"/>
              </w:rPr>
            </w:pPr>
            <w:r w:rsidRPr="0043025A">
              <w:rPr>
                <w:b/>
                <w:bCs/>
                <w:sz w:val="20"/>
                <w:szCs w:val="20"/>
              </w:rPr>
              <w:t>Median</w:t>
            </w:r>
          </w:p>
        </w:tc>
        <w:tc>
          <w:tcPr>
            <w:tcW w:w="2231" w:type="dxa"/>
            <w:shd w:val="clear" w:color="auto" w:fill="BFBFBF" w:themeFill="background1" w:themeFillShade="BF"/>
          </w:tcPr>
          <w:p w14:paraId="6A2AE8E6" w14:textId="77777777" w:rsidR="00C53BDD" w:rsidRPr="0043025A" w:rsidRDefault="00C53BDD" w:rsidP="0043025A">
            <w:pPr>
              <w:jc w:val="center"/>
              <w:rPr>
                <w:b/>
                <w:bCs/>
                <w:sz w:val="20"/>
                <w:szCs w:val="20"/>
              </w:rPr>
            </w:pPr>
            <w:r w:rsidRPr="0043025A">
              <w:rPr>
                <w:b/>
                <w:bCs/>
                <w:sz w:val="20"/>
                <w:szCs w:val="20"/>
              </w:rPr>
              <w:t>Mean</w:t>
            </w:r>
          </w:p>
        </w:tc>
        <w:tc>
          <w:tcPr>
            <w:tcW w:w="2232" w:type="dxa"/>
            <w:shd w:val="clear" w:color="auto" w:fill="BFBFBF" w:themeFill="background1" w:themeFillShade="BF"/>
          </w:tcPr>
          <w:p w14:paraId="0B35A250" w14:textId="77777777" w:rsidR="00C53BDD" w:rsidRPr="0043025A" w:rsidRDefault="00C53BDD" w:rsidP="0043025A">
            <w:pPr>
              <w:jc w:val="center"/>
              <w:rPr>
                <w:b/>
                <w:bCs/>
                <w:sz w:val="20"/>
                <w:szCs w:val="20"/>
              </w:rPr>
            </w:pPr>
            <w:r w:rsidRPr="0043025A">
              <w:rPr>
                <w:b/>
                <w:bCs/>
                <w:sz w:val="20"/>
                <w:szCs w:val="20"/>
              </w:rPr>
              <w:t>Precent censored</w:t>
            </w:r>
          </w:p>
        </w:tc>
      </w:tr>
      <w:tr w:rsidR="00C53BDD" w14:paraId="34CF657E" w14:textId="77777777">
        <w:tc>
          <w:tcPr>
            <w:tcW w:w="2231" w:type="dxa"/>
          </w:tcPr>
          <w:p w14:paraId="633FC729" w14:textId="77777777" w:rsidR="00C53BDD" w:rsidRPr="0043025A" w:rsidRDefault="00C53BDD">
            <w:pPr>
              <w:rPr>
                <w:sz w:val="20"/>
                <w:szCs w:val="20"/>
              </w:rPr>
            </w:pPr>
          </w:p>
        </w:tc>
        <w:tc>
          <w:tcPr>
            <w:tcW w:w="2232" w:type="dxa"/>
          </w:tcPr>
          <w:p w14:paraId="20C86AB4" w14:textId="121883C6" w:rsidR="00C53BDD" w:rsidRPr="0043025A" w:rsidRDefault="0043025A" w:rsidP="0043025A">
            <w:pPr>
              <w:jc w:val="center"/>
              <w:rPr>
                <w:sz w:val="20"/>
                <w:szCs w:val="20"/>
              </w:rPr>
            </w:pPr>
            <w:r w:rsidRPr="0043025A">
              <w:rPr>
                <w:sz w:val="20"/>
                <w:szCs w:val="20"/>
              </w:rPr>
              <w:t>363</w:t>
            </w:r>
          </w:p>
        </w:tc>
        <w:tc>
          <w:tcPr>
            <w:tcW w:w="2231" w:type="dxa"/>
          </w:tcPr>
          <w:p w14:paraId="43B24A11" w14:textId="55652AAF" w:rsidR="00C53BDD" w:rsidRPr="0043025A" w:rsidRDefault="0043025A" w:rsidP="0043025A">
            <w:pPr>
              <w:jc w:val="center"/>
              <w:rPr>
                <w:sz w:val="20"/>
                <w:szCs w:val="20"/>
              </w:rPr>
            </w:pPr>
            <w:r w:rsidRPr="0043025A">
              <w:rPr>
                <w:sz w:val="20"/>
                <w:szCs w:val="20"/>
              </w:rPr>
              <w:t>429</w:t>
            </w:r>
          </w:p>
        </w:tc>
        <w:tc>
          <w:tcPr>
            <w:tcW w:w="2232" w:type="dxa"/>
          </w:tcPr>
          <w:p w14:paraId="29D03D60" w14:textId="54E04D52" w:rsidR="00C53BDD" w:rsidRPr="0043025A" w:rsidRDefault="0043025A" w:rsidP="0043025A">
            <w:pPr>
              <w:jc w:val="center"/>
              <w:rPr>
                <w:sz w:val="20"/>
                <w:szCs w:val="20"/>
              </w:rPr>
            </w:pPr>
            <w:r w:rsidRPr="0043025A">
              <w:rPr>
                <w:sz w:val="20"/>
                <w:szCs w:val="20"/>
              </w:rPr>
              <w:t>30%</w:t>
            </w:r>
          </w:p>
        </w:tc>
      </w:tr>
      <w:tr w:rsidR="0043025A" w14:paraId="503EBAB4" w14:textId="77777777" w:rsidTr="0043025A">
        <w:tc>
          <w:tcPr>
            <w:tcW w:w="8926" w:type="dxa"/>
            <w:gridSpan w:val="4"/>
            <w:shd w:val="clear" w:color="auto" w:fill="BFBFBF" w:themeFill="background1" w:themeFillShade="BF"/>
          </w:tcPr>
          <w:p w14:paraId="561073FE" w14:textId="7115D320" w:rsidR="0043025A" w:rsidRPr="0043025A" w:rsidRDefault="0043025A" w:rsidP="0036725D">
            <w:pPr>
              <w:rPr>
                <w:b/>
                <w:bCs/>
                <w:sz w:val="20"/>
                <w:szCs w:val="20"/>
              </w:rPr>
            </w:pPr>
            <w:r w:rsidRPr="0043025A">
              <w:rPr>
                <w:b/>
                <w:bCs/>
                <w:sz w:val="20"/>
                <w:szCs w:val="20"/>
              </w:rPr>
              <w:t>Without breaks</w:t>
            </w:r>
          </w:p>
        </w:tc>
      </w:tr>
      <w:tr w:rsidR="00C53BDD" w14:paraId="234EACE1" w14:textId="77777777">
        <w:tc>
          <w:tcPr>
            <w:tcW w:w="2231" w:type="dxa"/>
          </w:tcPr>
          <w:p w14:paraId="118D66A8" w14:textId="77777777" w:rsidR="00C53BDD" w:rsidRPr="0043025A" w:rsidRDefault="00C53BDD">
            <w:pPr>
              <w:rPr>
                <w:sz w:val="20"/>
                <w:szCs w:val="20"/>
              </w:rPr>
            </w:pPr>
          </w:p>
        </w:tc>
        <w:tc>
          <w:tcPr>
            <w:tcW w:w="2232" w:type="dxa"/>
          </w:tcPr>
          <w:p w14:paraId="78A7F7A5" w14:textId="64065BAB" w:rsidR="00C53BDD" w:rsidRPr="0043025A" w:rsidRDefault="0043025A" w:rsidP="0043025A">
            <w:pPr>
              <w:jc w:val="center"/>
              <w:rPr>
                <w:sz w:val="20"/>
                <w:szCs w:val="20"/>
              </w:rPr>
            </w:pPr>
            <w:r w:rsidRPr="0043025A">
              <w:rPr>
                <w:sz w:val="20"/>
                <w:szCs w:val="20"/>
              </w:rPr>
              <w:t>222</w:t>
            </w:r>
          </w:p>
        </w:tc>
        <w:tc>
          <w:tcPr>
            <w:tcW w:w="2231" w:type="dxa"/>
          </w:tcPr>
          <w:p w14:paraId="5ED4731E" w14:textId="721FB6CB" w:rsidR="00C53BDD" w:rsidRPr="0043025A" w:rsidRDefault="0043025A" w:rsidP="0043025A">
            <w:pPr>
              <w:jc w:val="center"/>
              <w:rPr>
                <w:sz w:val="20"/>
                <w:szCs w:val="20"/>
              </w:rPr>
            </w:pPr>
            <w:r w:rsidRPr="0043025A">
              <w:rPr>
                <w:sz w:val="20"/>
                <w:szCs w:val="20"/>
              </w:rPr>
              <w:t>348</w:t>
            </w:r>
          </w:p>
        </w:tc>
        <w:tc>
          <w:tcPr>
            <w:tcW w:w="2232" w:type="dxa"/>
          </w:tcPr>
          <w:p w14:paraId="1751419C" w14:textId="31801CEA" w:rsidR="00C53BDD" w:rsidRPr="0043025A" w:rsidRDefault="0043025A" w:rsidP="0043025A">
            <w:pPr>
              <w:jc w:val="center"/>
              <w:rPr>
                <w:sz w:val="20"/>
                <w:szCs w:val="20"/>
              </w:rPr>
            </w:pPr>
            <w:r w:rsidRPr="0043025A">
              <w:rPr>
                <w:sz w:val="20"/>
                <w:szCs w:val="20"/>
              </w:rPr>
              <w:t>23%</w:t>
            </w:r>
          </w:p>
        </w:tc>
      </w:tr>
    </w:tbl>
    <w:p w14:paraId="154B44AF" w14:textId="77777777" w:rsidR="00780B5A" w:rsidRDefault="00780B5A" w:rsidP="00A35800"/>
    <w:p w14:paraId="12974D03" w14:textId="6E39E2DD" w:rsidR="00F304A0" w:rsidRPr="007F6C56" w:rsidRDefault="00F304A0" w:rsidP="00F304A0">
      <w:pPr>
        <w:spacing w:after="0"/>
        <w:rPr>
          <w:b/>
          <w:bCs/>
        </w:rPr>
      </w:pPr>
      <w:r w:rsidRPr="007F6C56">
        <w:rPr>
          <w:b/>
          <w:bCs/>
        </w:rPr>
        <w:t xml:space="preserve">Table </w:t>
      </w:r>
      <w:r>
        <w:rPr>
          <w:b/>
          <w:bCs/>
        </w:rPr>
        <w:t>1</w:t>
      </w:r>
      <w:r w:rsidR="000B3707">
        <w:rPr>
          <w:b/>
          <w:bCs/>
        </w:rPr>
        <w:t>6</w:t>
      </w:r>
      <w:r w:rsidRPr="007F6C56">
        <w:rPr>
          <w:b/>
          <w:bCs/>
        </w:rPr>
        <w:t xml:space="preserve">: Time on treatment (days) for </w:t>
      </w:r>
      <w:r>
        <w:rPr>
          <w:b/>
          <w:bCs/>
        </w:rPr>
        <w:t>f</w:t>
      </w:r>
      <w:r w:rsidRPr="007F6C56">
        <w:rPr>
          <w:b/>
          <w:bCs/>
        </w:rPr>
        <w:t>remanezumab</w:t>
      </w:r>
    </w:p>
    <w:tbl>
      <w:tblPr>
        <w:tblStyle w:val="TableGrid"/>
        <w:tblW w:w="0" w:type="auto"/>
        <w:tblLook w:val="04A0" w:firstRow="1" w:lastRow="0" w:firstColumn="1" w:lastColumn="0" w:noHBand="0" w:noVBand="1"/>
      </w:tblPr>
      <w:tblGrid>
        <w:gridCol w:w="2231"/>
        <w:gridCol w:w="2232"/>
        <w:gridCol w:w="2231"/>
        <w:gridCol w:w="2232"/>
      </w:tblGrid>
      <w:tr w:rsidR="00F304A0" w:rsidRPr="0043025A" w14:paraId="6145D542" w14:textId="77777777">
        <w:tc>
          <w:tcPr>
            <w:tcW w:w="2231" w:type="dxa"/>
            <w:shd w:val="clear" w:color="auto" w:fill="BFBFBF" w:themeFill="background1" w:themeFillShade="BF"/>
          </w:tcPr>
          <w:p w14:paraId="517229C1" w14:textId="77777777" w:rsidR="00F304A0" w:rsidRPr="0043025A" w:rsidRDefault="00F304A0">
            <w:pPr>
              <w:rPr>
                <w:b/>
                <w:bCs/>
                <w:sz w:val="20"/>
                <w:szCs w:val="20"/>
              </w:rPr>
            </w:pPr>
            <w:r w:rsidRPr="0043025A">
              <w:rPr>
                <w:b/>
                <w:bCs/>
                <w:sz w:val="20"/>
                <w:szCs w:val="20"/>
              </w:rPr>
              <w:t>With breaks</w:t>
            </w:r>
          </w:p>
        </w:tc>
        <w:tc>
          <w:tcPr>
            <w:tcW w:w="2232" w:type="dxa"/>
            <w:shd w:val="clear" w:color="auto" w:fill="BFBFBF" w:themeFill="background1" w:themeFillShade="BF"/>
          </w:tcPr>
          <w:p w14:paraId="23B8BDC3" w14:textId="77777777" w:rsidR="00F304A0" w:rsidRPr="0043025A" w:rsidRDefault="00F304A0">
            <w:pPr>
              <w:jc w:val="center"/>
              <w:rPr>
                <w:b/>
                <w:bCs/>
                <w:sz w:val="20"/>
                <w:szCs w:val="20"/>
              </w:rPr>
            </w:pPr>
            <w:r w:rsidRPr="0043025A">
              <w:rPr>
                <w:b/>
                <w:bCs/>
                <w:sz w:val="20"/>
                <w:szCs w:val="20"/>
              </w:rPr>
              <w:t>Median</w:t>
            </w:r>
          </w:p>
        </w:tc>
        <w:tc>
          <w:tcPr>
            <w:tcW w:w="2231" w:type="dxa"/>
            <w:shd w:val="clear" w:color="auto" w:fill="BFBFBF" w:themeFill="background1" w:themeFillShade="BF"/>
          </w:tcPr>
          <w:p w14:paraId="0154A3DB" w14:textId="77777777" w:rsidR="00F304A0" w:rsidRPr="0043025A" w:rsidRDefault="00F304A0">
            <w:pPr>
              <w:jc w:val="center"/>
              <w:rPr>
                <w:b/>
                <w:bCs/>
                <w:sz w:val="20"/>
                <w:szCs w:val="20"/>
              </w:rPr>
            </w:pPr>
            <w:r w:rsidRPr="0043025A">
              <w:rPr>
                <w:b/>
                <w:bCs/>
                <w:sz w:val="20"/>
                <w:szCs w:val="20"/>
              </w:rPr>
              <w:t>Mean</w:t>
            </w:r>
          </w:p>
        </w:tc>
        <w:tc>
          <w:tcPr>
            <w:tcW w:w="2232" w:type="dxa"/>
            <w:shd w:val="clear" w:color="auto" w:fill="BFBFBF" w:themeFill="background1" w:themeFillShade="BF"/>
          </w:tcPr>
          <w:p w14:paraId="271EBD03" w14:textId="77777777" w:rsidR="00F304A0" w:rsidRPr="0043025A" w:rsidRDefault="00F304A0">
            <w:pPr>
              <w:jc w:val="center"/>
              <w:rPr>
                <w:b/>
                <w:bCs/>
                <w:sz w:val="20"/>
                <w:szCs w:val="20"/>
              </w:rPr>
            </w:pPr>
            <w:r w:rsidRPr="0043025A">
              <w:rPr>
                <w:b/>
                <w:bCs/>
                <w:sz w:val="20"/>
                <w:szCs w:val="20"/>
              </w:rPr>
              <w:t>Precent censored</w:t>
            </w:r>
          </w:p>
        </w:tc>
      </w:tr>
      <w:tr w:rsidR="00F304A0" w14:paraId="4B20722C" w14:textId="77777777">
        <w:tc>
          <w:tcPr>
            <w:tcW w:w="2231" w:type="dxa"/>
          </w:tcPr>
          <w:p w14:paraId="4F134105" w14:textId="77777777" w:rsidR="00F304A0" w:rsidRPr="0043025A" w:rsidRDefault="00F304A0">
            <w:pPr>
              <w:rPr>
                <w:sz w:val="20"/>
                <w:szCs w:val="20"/>
              </w:rPr>
            </w:pPr>
          </w:p>
        </w:tc>
        <w:tc>
          <w:tcPr>
            <w:tcW w:w="2232" w:type="dxa"/>
          </w:tcPr>
          <w:p w14:paraId="30B23E86" w14:textId="77777777" w:rsidR="00F304A0" w:rsidRPr="0043025A" w:rsidRDefault="00F304A0">
            <w:pPr>
              <w:jc w:val="center"/>
              <w:rPr>
                <w:sz w:val="20"/>
                <w:szCs w:val="20"/>
              </w:rPr>
            </w:pPr>
            <w:r w:rsidRPr="0043025A">
              <w:rPr>
                <w:sz w:val="20"/>
                <w:szCs w:val="20"/>
              </w:rPr>
              <w:t>661</w:t>
            </w:r>
          </w:p>
        </w:tc>
        <w:tc>
          <w:tcPr>
            <w:tcW w:w="2231" w:type="dxa"/>
          </w:tcPr>
          <w:p w14:paraId="41156F20" w14:textId="77777777" w:rsidR="00F304A0" w:rsidRPr="0043025A" w:rsidRDefault="00F304A0">
            <w:pPr>
              <w:jc w:val="center"/>
              <w:rPr>
                <w:sz w:val="20"/>
                <w:szCs w:val="20"/>
              </w:rPr>
            </w:pPr>
            <w:r w:rsidRPr="0043025A">
              <w:rPr>
                <w:sz w:val="20"/>
                <w:szCs w:val="20"/>
              </w:rPr>
              <w:t>512</w:t>
            </w:r>
          </w:p>
        </w:tc>
        <w:tc>
          <w:tcPr>
            <w:tcW w:w="2232" w:type="dxa"/>
          </w:tcPr>
          <w:p w14:paraId="6E54ED4C" w14:textId="77777777" w:rsidR="00F304A0" w:rsidRPr="0043025A" w:rsidRDefault="00F304A0">
            <w:pPr>
              <w:jc w:val="center"/>
              <w:rPr>
                <w:sz w:val="20"/>
                <w:szCs w:val="20"/>
              </w:rPr>
            </w:pPr>
            <w:r w:rsidRPr="0043025A">
              <w:rPr>
                <w:sz w:val="20"/>
                <w:szCs w:val="20"/>
              </w:rPr>
              <w:t>67%</w:t>
            </w:r>
          </w:p>
        </w:tc>
      </w:tr>
      <w:tr w:rsidR="00F304A0" w14:paraId="52A03F95" w14:textId="77777777">
        <w:tc>
          <w:tcPr>
            <w:tcW w:w="8926" w:type="dxa"/>
            <w:gridSpan w:val="4"/>
            <w:shd w:val="clear" w:color="auto" w:fill="BFBFBF" w:themeFill="background1" w:themeFillShade="BF"/>
          </w:tcPr>
          <w:p w14:paraId="36C8DBAD" w14:textId="77777777" w:rsidR="00F304A0" w:rsidRPr="0043025A" w:rsidRDefault="00F304A0">
            <w:pPr>
              <w:rPr>
                <w:b/>
                <w:bCs/>
                <w:sz w:val="20"/>
                <w:szCs w:val="20"/>
              </w:rPr>
            </w:pPr>
            <w:r w:rsidRPr="0043025A">
              <w:rPr>
                <w:b/>
                <w:bCs/>
                <w:sz w:val="20"/>
                <w:szCs w:val="20"/>
              </w:rPr>
              <w:t>Without breaks</w:t>
            </w:r>
          </w:p>
        </w:tc>
      </w:tr>
      <w:tr w:rsidR="00F304A0" w14:paraId="1A816F8B" w14:textId="77777777">
        <w:tc>
          <w:tcPr>
            <w:tcW w:w="2231" w:type="dxa"/>
          </w:tcPr>
          <w:p w14:paraId="68B418C2" w14:textId="77777777" w:rsidR="00F304A0" w:rsidRPr="0043025A" w:rsidRDefault="00F304A0">
            <w:pPr>
              <w:rPr>
                <w:sz w:val="20"/>
                <w:szCs w:val="20"/>
              </w:rPr>
            </w:pPr>
          </w:p>
        </w:tc>
        <w:tc>
          <w:tcPr>
            <w:tcW w:w="2232" w:type="dxa"/>
          </w:tcPr>
          <w:p w14:paraId="6026BE50" w14:textId="77777777" w:rsidR="00F304A0" w:rsidRPr="0043025A" w:rsidRDefault="00F304A0">
            <w:pPr>
              <w:jc w:val="center"/>
              <w:rPr>
                <w:sz w:val="20"/>
                <w:szCs w:val="20"/>
              </w:rPr>
            </w:pPr>
            <w:r w:rsidRPr="0043025A">
              <w:rPr>
                <w:sz w:val="20"/>
                <w:szCs w:val="20"/>
              </w:rPr>
              <w:t>304</w:t>
            </w:r>
          </w:p>
        </w:tc>
        <w:tc>
          <w:tcPr>
            <w:tcW w:w="2231" w:type="dxa"/>
          </w:tcPr>
          <w:p w14:paraId="495FFC39" w14:textId="77777777" w:rsidR="00F304A0" w:rsidRPr="0043025A" w:rsidRDefault="00F304A0">
            <w:pPr>
              <w:jc w:val="center"/>
              <w:rPr>
                <w:sz w:val="20"/>
                <w:szCs w:val="20"/>
              </w:rPr>
            </w:pPr>
            <w:r w:rsidRPr="0043025A">
              <w:rPr>
                <w:sz w:val="20"/>
                <w:szCs w:val="20"/>
              </w:rPr>
              <w:t>410</w:t>
            </w:r>
          </w:p>
        </w:tc>
        <w:tc>
          <w:tcPr>
            <w:tcW w:w="2232" w:type="dxa"/>
          </w:tcPr>
          <w:p w14:paraId="025BE589" w14:textId="77777777" w:rsidR="00F304A0" w:rsidRPr="0043025A" w:rsidRDefault="00F304A0">
            <w:pPr>
              <w:jc w:val="center"/>
              <w:rPr>
                <w:sz w:val="20"/>
                <w:szCs w:val="20"/>
              </w:rPr>
            </w:pPr>
            <w:r w:rsidRPr="0043025A">
              <w:rPr>
                <w:sz w:val="20"/>
                <w:szCs w:val="20"/>
              </w:rPr>
              <w:t>59%</w:t>
            </w:r>
          </w:p>
        </w:tc>
      </w:tr>
    </w:tbl>
    <w:p w14:paraId="40015CF7" w14:textId="77777777" w:rsidR="00F304A0" w:rsidRDefault="00F304A0" w:rsidP="00A35800"/>
    <w:p w14:paraId="221B8A0C" w14:textId="3F6B612B" w:rsidR="000E73BE" w:rsidRPr="000E73BE" w:rsidRDefault="000E73BE" w:rsidP="000E73BE">
      <w:pPr>
        <w:tabs>
          <w:tab w:val="left" w:pos="720"/>
        </w:tabs>
        <w:autoSpaceDE w:val="0"/>
        <w:autoSpaceDN w:val="0"/>
        <w:adjustRightInd w:val="0"/>
        <w:spacing w:before="240"/>
        <w:rPr>
          <w:rFonts w:ascii="Calibri" w:hAnsi="Calibri" w:cs="Calibri"/>
          <w:b/>
          <w:bCs/>
          <w:i/>
          <w:iCs/>
        </w:rPr>
      </w:pPr>
      <w:r>
        <w:rPr>
          <w:rFonts w:ascii="Calibri" w:hAnsi="Calibri" w:cs="Calibri"/>
          <w:b/>
          <w:bCs/>
          <w:i/>
          <w:iCs/>
        </w:rPr>
        <w:t>Prescriber analysis</w:t>
      </w:r>
    </w:p>
    <w:p w14:paraId="040A5F84" w14:textId="3E599D41" w:rsidR="000E73BE" w:rsidRPr="004501EA" w:rsidRDefault="000E73BE" w:rsidP="000E73BE">
      <w:pPr>
        <w:spacing w:after="0"/>
        <w:rPr>
          <w:b/>
          <w:bCs/>
        </w:rPr>
      </w:pPr>
      <w:r w:rsidRPr="004501EA">
        <w:rPr>
          <w:b/>
          <w:bCs/>
        </w:rPr>
        <w:t>Table 1</w:t>
      </w:r>
      <w:r w:rsidR="000B3707">
        <w:rPr>
          <w:b/>
          <w:bCs/>
        </w:rPr>
        <w:t>7</w:t>
      </w:r>
      <w:r w:rsidRPr="004501EA">
        <w:rPr>
          <w:b/>
          <w:bCs/>
        </w:rPr>
        <w:t>: Percentage of prescriptions supplied by prescriber type</w:t>
      </w:r>
    </w:p>
    <w:tbl>
      <w:tblPr>
        <w:tblStyle w:val="TableGrid"/>
        <w:tblW w:w="0" w:type="auto"/>
        <w:tblLook w:val="04A0" w:firstRow="1" w:lastRow="0" w:firstColumn="1" w:lastColumn="0" w:noHBand="0" w:noVBand="1"/>
      </w:tblPr>
      <w:tblGrid>
        <w:gridCol w:w="1808"/>
        <w:gridCol w:w="847"/>
        <w:gridCol w:w="1590"/>
        <w:gridCol w:w="1634"/>
        <w:gridCol w:w="1508"/>
        <w:gridCol w:w="1560"/>
      </w:tblGrid>
      <w:tr w:rsidR="000E73BE" w:rsidRPr="006F2BD9" w14:paraId="30B5FBE0" w14:textId="77777777">
        <w:tc>
          <w:tcPr>
            <w:tcW w:w="1808" w:type="dxa"/>
            <w:shd w:val="clear" w:color="auto" w:fill="BFBFBF" w:themeFill="background1" w:themeFillShade="BF"/>
          </w:tcPr>
          <w:p w14:paraId="1CFEF417" w14:textId="77777777" w:rsidR="000E73BE" w:rsidRPr="006F2BD9" w:rsidRDefault="000E73BE">
            <w:pPr>
              <w:rPr>
                <w:b/>
                <w:bCs/>
                <w:sz w:val="20"/>
                <w:szCs w:val="20"/>
              </w:rPr>
            </w:pPr>
            <w:r w:rsidRPr="006F2BD9">
              <w:rPr>
                <w:b/>
                <w:bCs/>
                <w:sz w:val="20"/>
                <w:szCs w:val="20"/>
              </w:rPr>
              <w:t>Speciality</w:t>
            </w:r>
          </w:p>
        </w:tc>
        <w:tc>
          <w:tcPr>
            <w:tcW w:w="847" w:type="dxa"/>
            <w:shd w:val="clear" w:color="auto" w:fill="BFBFBF" w:themeFill="background1" w:themeFillShade="BF"/>
          </w:tcPr>
          <w:p w14:paraId="7BE6E57A" w14:textId="77777777" w:rsidR="000E73BE" w:rsidRPr="006F2BD9" w:rsidRDefault="000E73BE">
            <w:pPr>
              <w:rPr>
                <w:b/>
                <w:bCs/>
                <w:sz w:val="20"/>
                <w:szCs w:val="20"/>
              </w:rPr>
            </w:pPr>
            <w:r w:rsidRPr="006F2BD9">
              <w:rPr>
                <w:b/>
                <w:bCs/>
                <w:sz w:val="20"/>
                <w:szCs w:val="20"/>
              </w:rPr>
              <w:t>Botox</w:t>
            </w:r>
          </w:p>
        </w:tc>
        <w:tc>
          <w:tcPr>
            <w:tcW w:w="1590" w:type="dxa"/>
            <w:shd w:val="clear" w:color="auto" w:fill="BFBFBF" w:themeFill="background1" w:themeFillShade="BF"/>
          </w:tcPr>
          <w:p w14:paraId="63FE7254" w14:textId="77777777" w:rsidR="000E73BE" w:rsidRPr="006F2BD9" w:rsidRDefault="000E73BE">
            <w:pPr>
              <w:rPr>
                <w:b/>
                <w:bCs/>
                <w:sz w:val="20"/>
                <w:szCs w:val="20"/>
              </w:rPr>
            </w:pPr>
            <w:r w:rsidRPr="006F2BD9">
              <w:rPr>
                <w:b/>
                <w:bCs/>
                <w:sz w:val="20"/>
                <w:szCs w:val="20"/>
              </w:rPr>
              <w:t>Speciality</w:t>
            </w:r>
          </w:p>
        </w:tc>
        <w:tc>
          <w:tcPr>
            <w:tcW w:w="1634" w:type="dxa"/>
            <w:shd w:val="clear" w:color="auto" w:fill="BFBFBF" w:themeFill="background1" w:themeFillShade="BF"/>
          </w:tcPr>
          <w:p w14:paraId="3374E7D8" w14:textId="77777777" w:rsidR="000E73BE" w:rsidRPr="006F2BD9" w:rsidRDefault="000E73BE">
            <w:pPr>
              <w:rPr>
                <w:b/>
                <w:bCs/>
                <w:sz w:val="20"/>
                <w:szCs w:val="20"/>
              </w:rPr>
            </w:pPr>
            <w:bookmarkStart w:id="7" w:name="_Hlk163312261"/>
            <w:r w:rsidRPr="006F2BD9">
              <w:rPr>
                <w:b/>
                <w:bCs/>
                <w:sz w:val="20"/>
                <w:szCs w:val="20"/>
              </w:rPr>
              <w:t>Fremanezumab</w:t>
            </w:r>
            <w:bookmarkEnd w:id="7"/>
          </w:p>
        </w:tc>
        <w:tc>
          <w:tcPr>
            <w:tcW w:w="1508" w:type="dxa"/>
            <w:shd w:val="clear" w:color="auto" w:fill="BFBFBF" w:themeFill="background1" w:themeFillShade="BF"/>
          </w:tcPr>
          <w:p w14:paraId="26EF0F74" w14:textId="77777777" w:rsidR="000E73BE" w:rsidRPr="006F2BD9" w:rsidRDefault="000E73BE">
            <w:pPr>
              <w:rPr>
                <w:b/>
                <w:bCs/>
                <w:sz w:val="20"/>
                <w:szCs w:val="20"/>
              </w:rPr>
            </w:pPr>
            <w:r w:rsidRPr="006F2BD9">
              <w:rPr>
                <w:b/>
                <w:bCs/>
                <w:sz w:val="20"/>
                <w:szCs w:val="20"/>
              </w:rPr>
              <w:t>Speciality</w:t>
            </w:r>
          </w:p>
        </w:tc>
        <w:tc>
          <w:tcPr>
            <w:tcW w:w="1560" w:type="dxa"/>
            <w:shd w:val="clear" w:color="auto" w:fill="BFBFBF" w:themeFill="background1" w:themeFillShade="BF"/>
          </w:tcPr>
          <w:p w14:paraId="3C30A1A5" w14:textId="77777777" w:rsidR="000E73BE" w:rsidRPr="006F2BD9" w:rsidRDefault="000E73BE">
            <w:pPr>
              <w:rPr>
                <w:b/>
                <w:bCs/>
                <w:sz w:val="20"/>
                <w:szCs w:val="20"/>
              </w:rPr>
            </w:pPr>
            <w:r w:rsidRPr="006F2BD9">
              <w:rPr>
                <w:b/>
                <w:bCs/>
                <w:sz w:val="20"/>
                <w:szCs w:val="20"/>
              </w:rPr>
              <w:t>Galcanezumab</w:t>
            </w:r>
          </w:p>
        </w:tc>
      </w:tr>
      <w:tr w:rsidR="000E73BE" w:rsidRPr="006F2BD9" w14:paraId="25F7D06B" w14:textId="77777777">
        <w:tc>
          <w:tcPr>
            <w:tcW w:w="1808" w:type="dxa"/>
          </w:tcPr>
          <w:p w14:paraId="508C9E69" w14:textId="77777777" w:rsidR="000E73BE" w:rsidRPr="006F2BD9" w:rsidRDefault="000E73BE">
            <w:pPr>
              <w:rPr>
                <w:sz w:val="20"/>
                <w:szCs w:val="20"/>
              </w:rPr>
            </w:pPr>
            <w:r w:rsidRPr="006F2BD9">
              <w:rPr>
                <w:sz w:val="20"/>
                <w:szCs w:val="20"/>
              </w:rPr>
              <w:t>Neurology</w:t>
            </w:r>
          </w:p>
        </w:tc>
        <w:tc>
          <w:tcPr>
            <w:tcW w:w="847" w:type="dxa"/>
            <w:vAlign w:val="center"/>
          </w:tcPr>
          <w:p w14:paraId="3DA5FA69" w14:textId="77777777" w:rsidR="000E73BE" w:rsidRPr="006F2BD9" w:rsidRDefault="000E73BE">
            <w:pPr>
              <w:jc w:val="center"/>
              <w:rPr>
                <w:sz w:val="20"/>
                <w:szCs w:val="20"/>
              </w:rPr>
            </w:pPr>
            <w:r w:rsidRPr="006F2BD9">
              <w:rPr>
                <w:sz w:val="20"/>
                <w:szCs w:val="20"/>
              </w:rPr>
              <w:t>95.2%</w:t>
            </w:r>
          </w:p>
        </w:tc>
        <w:tc>
          <w:tcPr>
            <w:tcW w:w="1590" w:type="dxa"/>
          </w:tcPr>
          <w:p w14:paraId="238466F0" w14:textId="77777777" w:rsidR="000E73BE" w:rsidRPr="006F2BD9" w:rsidRDefault="000E73BE">
            <w:pPr>
              <w:rPr>
                <w:sz w:val="20"/>
                <w:szCs w:val="20"/>
              </w:rPr>
            </w:pPr>
            <w:r w:rsidRPr="006F2BD9">
              <w:rPr>
                <w:sz w:val="20"/>
                <w:szCs w:val="20"/>
              </w:rPr>
              <w:t>Neurology</w:t>
            </w:r>
          </w:p>
        </w:tc>
        <w:tc>
          <w:tcPr>
            <w:tcW w:w="1634" w:type="dxa"/>
            <w:vAlign w:val="center"/>
          </w:tcPr>
          <w:p w14:paraId="296DC208" w14:textId="77777777" w:rsidR="000E73BE" w:rsidRPr="006F2BD9" w:rsidRDefault="000E73BE">
            <w:pPr>
              <w:jc w:val="center"/>
              <w:rPr>
                <w:sz w:val="20"/>
                <w:szCs w:val="20"/>
              </w:rPr>
            </w:pPr>
            <w:r w:rsidRPr="006F2BD9">
              <w:rPr>
                <w:rFonts w:ascii="Calibri" w:hAnsi="Calibri" w:cs="Calibri"/>
                <w:color w:val="000000"/>
                <w:sz w:val="20"/>
                <w:szCs w:val="20"/>
              </w:rPr>
              <w:t>69.2%</w:t>
            </w:r>
          </w:p>
        </w:tc>
        <w:tc>
          <w:tcPr>
            <w:tcW w:w="1508" w:type="dxa"/>
          </w:tcPr>
          <w:p w14:paraId="72B97343" w14:textId="77777777" w:rsidR="000E73BE" w:rsidRPr="006F2BD9" w:rsidRDefault="000E73BE">
            <w:pPr>
              <w:rPr>
                <w:sz w:val="20"/>
                <w:szCs w:val="20"/>
              </w:rPr>
            </w:pPr>
            <w:r w:rsidRPr="006F2BD9">
              <w:rPr>
                <w:sz w:val="20"/>
                <w:szCs w:val="20"/>
              </w:rPr>
              <w:t>Neurology</w:t>
            </w:r>
          </w:p>
        </w:tc>
        <w:tc>
          <w:tcPr>
            <w:tcW w:w="1560" w:type="dxa"/>
            <w:vAlign w:val="center"/>
          </w:tcPr>
          <w:p w14:paraId="4F87C0AF" w14:textId="77777777" w:rsidR="000E73BE" w:rsidRPr="006F2BD9" w:rsidRDefault="000E73BE">
            <w:pPr>
              <w:jc w:val="center"/>
              <w:rPr>
                <w:sz w:val="20"/>
                <w:szCs w:val="20"/>
              </w:rPr>
            </w:pPr>
            <w:r w:rsidRPr="006F2BD9">
              <w:rPr>
                <w:rFonts w:ascii="Calibri" w:hAnsi="Calibri" w:cs="Calibri"/>
                <w:color w:val="000000"/>
                <w:sz w:val="20"/>
                <w:szCs w:val="20"/>
              </w:rPr>
              <w:t>63.0%</w:t>
            </w:r>
          </w:p>
        </w:tc>
      </w:tr>
      <w:tr w:rsidR="000E73BE" w:rsidRPr="006F2BD9" w14:paraId="660F362D" w14:textId="77777777">
        <w:tc>
          <w:tcPr>
            <w:tcW w:w="1808" w:type="dxa"/>
          </w:tcPr>
          <w:p w14:paraId="2F03605B" w14:textId="77777777" w:rsidR="000E73BE" w:rsidRPr="006F2BD9" w:rsidRDefault="000E73BE">
            <w:pPr>
              <w:rPr>
                <w:sz w:val="20"/>
                <w:szCs w:val="20"/>
              </w:rPr>
            </w:pPr>
            <w:r w:rsidRPr="006F2BD9">
              <w:rPr>
                <w:sz w:val="20"/>
                <w:szCs w:val="20"/>
              </w:rPr>
              <w:t>Internal Medicine</w:t>
            </w:r>
          </w:p>
        </w:tc>
        <w:tc>
          <w:tcPr>
            <w:tcW w:w="847" w:type="dxa"/>
            <w:vAlign w:val="center"/>
          </w:tcPr>
          <w:p w14:paraId="2F94417A" w14:textId="77777777" w:rsidR="000E73BE" w:rsidRPr="006F2BD9" w:rsidRDefault="000E73BE">
            <w:pPr>
              <w:jc w:val="center"/>
              <w:rPr>
                <w:sz w:val="20"/>
                <w:szCs w:val="20"/>
              </w:rPr>
            </w:pPr>
            <w:r w:rsidRPr="006F2BD9">
              <w:rPr>
                <w:sz w:val="20"/>
                <w:szCs w:val="20"/>
              </w:rPr>
              <w:t>2.0%</w:t>
            </w:r>
          </w:p>
        </w:tc>
        <w:tc>
          <w:tcPr>
            <w:tcW w:w="1590" w:type="dxa"/>
          </w:tcPr>
          <w:p w14:paraId="65A0A48F" w14:textId="77777777" w:rsidR="000E73BE" w:rsidRPr="006F2BD9" w:rsidRDefault="000E73BE">
            <w:pPr>
              <w:rPr>
                <w:sz w:val="20"/>
                <w:szCs w:val="20"/>
              </w:rPr>
            </w:pPr>
            <w:r w:rsidRPr="006F2BD9">
              <w:rPr>
                <w:sz w:val="20"/>
                <w:szCs w:val="20"/>
              </w:rPr>
              <w:t>VRGP</w:t>
            </w:r>
          </w:p>
        </w:tc>
        <w:tc>
          <w:tcPr>
            <w:tcW w:w="1634" w:type="dxa"/>
            <w:vAlign w:val="center"/>
          </w:tcPr>
          <w:p w14:paraId="5ED5E77A" w14:textId="77777777" w:rsidR="000E73BE" w:rsidRPr="006F2BD9" w:rsidRDefault="000E73BE">
            <w:pPr>
              <w:jc w:val="center"/>
              <w:rPr>
                <w:sz w:val="20"/>
                <w:szCs w:val="20"/>
              </w:rPr>
            </w:pPr>
            <w:r w:rsidRPr="006F2BD9">
              <w:rPr>
                <w:rFonts w:ascii="Calibri" w:hAnsi="Calibri" w:cs="Calibri"/>
                <w:color w:val="000000"/>
                <w:sz w:val="20"/>
                <w:szCs w:val="20"/>
              </w:rPr>
              <w:t>22.6$</w:t>
            </w:r>
          </w:p>
        </w:tc>
        <w:tc>
          <w:tcPr>
            <w:tcW w:w="1508" w:type="dxa"/>
          </w:tcPr>
          <w:p w14:paraId="4F1E11E1" w14:textId="77777777" w:rsidR="000E73BE" w:rsidRPr="006F2BD9" w:rsidRDefault="000E73BE">
            <w:pPr>
              <w:rPr>
                <w:sz w:val="20"/>
                <w:szCs w:val="20"/>
              </w:rPr>
            </w:pPr>
            <w:r w:rsidRPr="006F2BD9">
              <w:rPr>
                <w:sz w:val="20"/>
                <w:szCs w:val="20"/>
              </w:rPr>
              <w:t>VRGP</w:t>
            </w:r>
          </w:p>
        </w:tc>
        <w:tc>
          <w:tcPr>
            <w:tcW w:w="1560" w:type="dxa"/>
            <w:vAlign w:val="center"/>
          </w:tcPr>
          <w:p w14:paraId="4FA0C76B" w14:textId="77777777" w:rsidR="000E73BE" w:rsidRPr="006F2BD9" w:rsidRDefault="000E73BE">
            <w:pPr>
              <w:jc w:val="center"/>
              <w:rPr>
                <w:sz w:val="20"/>
                <w:szCs w:val="20"/>
              </w:rPr>
            </w:pPr>
            <w:r w:rsidRPr="006F2BD9">
              <w:rPr>
                <w:rFonts w:ascii="Calibri" w:hAnsi="Calibri" w:cs="Calibri"/>
                <w:color w:val="000000"/>
                <w:sz w:val="20"/>
                <w:szCs w:val="20"/>
              </w:rPr>
              <w:t>27.3%</w:t>
            </w:r>
          </w:p>
        </w:tc>
      </w:tr>
      <w:tr w:rsidR="000E73BE" w:rsidRPr="006F2BD9" w14:paraId="56E816D1" w14:textId="77777777">
        <w:tc>
          <w:tcPr>
            <w:tcW w:w="1808" w:type="dxa"/>
          </w:tcPr>
          <w:p w14:paraId="709E422C" w14:textId="77777777" w:rsidR="000E73BE" w:rsidRPr="006F2BD9" w:rsidRDefault="000E73BE">
            <w:pPr>
              <w:rPr>
                <w:sz w:val="20"/>
                <w:szCs w:val="20"/>
              </w:rPr>
            </w:pPr>
            <w:r w:rsidRPr="006F2BD9">
              <w:rPr>
                <w:sz w:val="20"/>
                <w:szCs w:val="20"/>
              </w:rPr>
              <w:t>NONVRGP</w:t>
            </w:r>
          </w:p>
        </w:tc>
        <w:tc>
          <w:tcPr>
            <w:tcW w:w="847" w:type="dxa"/>
            <w:vAlign w:val="center"/>
          </w:tcPr>
          <w:p w14:paraId="025D8C6C" w14:textId="77777777" w:rsidR="000E73BE" w:rsidRPr="006F2BD9" w:rsidRDefault="000E73BE">
            <w:pPr>
              <w:jc w:val="center"/>
              <w:rPr>
                <w:sz w:val="20"/>
                <w:szCs w:val="20"/>
              </w:rPr>
            </w:pPr>
            <w:r w:rsidRPr="006F2BD9">
              <w:rPr>
                <w:sz w:val="20"/>
                <w:szCs w:val="20"/>
              </w:rPr>
              <w:t>1.7%</w:t>
            </w:r>
          </w:p>
        </w:tc>
        <w:tc>
          <w:tcPr>
            <w:tcW w:w="1590" w:type="dxa"/>
          </w:tcPr>
          <w:p w14:paraId="59E0B737" w14:textId="77777777" w:rsidR="000E73BE" w:rsidRPr="006F2BD9" w:rsidRDefault="000E73BE">
            <w:pPr>
              <w:rPr>
                <w:sz w:val="20"/>
                <w:szCs w:val="20"/>
              </w:rPr>
            </w:pPr>
            <w:r w:rsidRPr="006F2BD9">
              <w:rPr>
                <w:sz w:val="20"/>
                <w:szCs w:val="20"/>
              </w:rPr>
              <w:t>GP Trainee</w:t>
            </w:r>
          </w:p>
        </w:tc>
        <w:tc>
          <w:tcPr>
            <w:tcW w:w="1634" w:type="dxa"/>
            <w:vAlign w:val="center"/>
          </w:tcPr>
          <w:p w14:paraId="1CE1AABA" w14:textId="77777777" w:rsidR="000E73BE" w:rsidRPr="006F2BD9" w:rsidRDefault="000E73BE">
            <w:pPr>
              <w:jc w:val="center"/>
              <w:rPr>
                <w:sz w:val="20"/>
                <w:szCs w:val="20"/>
              </w:rPr>
            </w:pPr>
            <w:r w:rsidRPr="006F2BD9">
              <w:rPr>
                <w:rFonts w:ascii="Calibri" w:hAnsi="Calibri" w:cs="Calibri"/>
                <w:color w:val="000000"/>
                <w:sz w:val="20"/>
                <w:szCs w:val="20"/>
              </w:rPr>
              <w:t>2.2%</w:t>
            </w:r>
          </w:p>
        </w:tc>
        <w:tc>
          <w:tcPr>
            <w:tcW w:w="1508" w:type="dxa"/>
          </w:tcPr>
          <w:p w14:paraId="185F61B6" w14:textId="77777777" w:rsidR="000E73BE" w:rsidRPr="006F2BD9" w:rsidRDefault="000E73BE">
            <w:pPr>
              <w:rPr>
                <w:sz w:val="20"/>
                <w:szCs w:val="20"/>
              </w:rPr>
            </w:pPr>
            <w:r w:rsidRPr="006F2BD9">
              <w:rPr>
                <w:sz w:val="20"/>
                <w:szCs w:val="20"/>
              </w:rPr>
              <w:t>Internal Medicine</w:t>
            </w:r>
          </w:p>
        </w:tc>
        <w:tc>
          <w:tcPr>
            <w:tcW w:w="1560" w:type="dxa"/>
            <w:vAlign w:val="center"/>
          </w:tcPr>
          <w:p w14:paraId="1E34492D" w14:textId="77777777" w:rsidR="000E73BE" w:rsidRPr="006F2BD9" w:rsidRDefault="000E73BE">
            <w:pPr>
              <w:jc w:val="center"/>
              <w:rPr>
                <w:sz w:val="20"/>
                <w:szCs w:val="20"/>
              </w:rPr>
            </w:pPr>
            <w:r w:rsidRPr="006F2BD9">
              <w:rPr>
                <w:rFonts w:ascii="Calibri" w:hAnsi="Calibri" w:cs="Calibri"/>
                <w:color w:val="000000"/>
                <w:sz w:val="20"/>
                <w:szCs w:val="20"/>
              </w:rPr>
              <w:t>3.6%</w:t>
            </w:r>
          </w:p>
        </w:tc>
      </w:tr>
      <w:tr w:rsidR="000E73BE" w:rsidRPr="006F2BD9" w14:paraId="77C80EE1" w14:textId="77777777">
        <w:tc>
          <w:tcPr>
            <w:tcW w:w="1808" w:type="dxa"/>
          </w:tcPr>
          <w:p w14:paraId="20C0371B" w14:textId="77777777" w:rsidR="000E73BE" w:rsidRPr="006F2BD9" w:rsidRDefault="000E73BE">
            <w:pPr>
              <w:rPr>
                <w:sz w:val="20"/>
                <w:szCs w:val="20"/>
              </w:rPr>
            </w:pPr>
            <w:r w:rsidRPr="006F2BD9">
              <w:rPr>
                <w:sz w:val="20"/>
                <w:szCs w:val="20"/>
              </w:rPr>
              <w:t>Nuclear Medicine</w:t>
            </w:r>
          </w:p>
        </w:tc>
        <w:tc>
          <w:tcPr>
            <w:tcW w:w="847" w:type="dxa"/>
            <w:vAlign w:val="center"/>
          </w:tcPr>
          <w:p w14:paraId="090EBEDC" w14:textId="77777777" w:rsidR="000E73BE" w:rsidRPr="006F2BD9" w:rsidRDefault="000E73BE">
            <w:pPr>
              <w:jc w:val="center"/>
              <w:rPr>
                <w:sz w:val="20"/>
                <w:szCs w:val="20"/>
              </w:rPr>
            </w:pPr>
            <w:r w:rsidRPr="006F2BD9">
              <w:rPr>
                <w:sz w:val="20"/>
                <w:szCs w:val="20"/>
              </w:rPr>
              <w:t>0.6%</w:t>
            </w:r>
          </w:p>
        </w:tc>
        <w:tc>
          <w:tcPr>
            <w:tcW w:w="1590" w:type="dxa"/>
          </w:tcPr>
          <w:p w14:paraId="15BCAC4E" w14:textId="77777777" w:rsidR="000E73BE" w:rsidRPr="006F2BD9" w:rsidRDefault="000E73BE">
            <w:pPr>
              <w:rPr>
                <w:sz w:val="20"/>
                <w:szCs w:val="20"/>
              </w:rPr>
            </w:pPr>
            <w:r w:rsidRPr="006F2BD9">
              <w:rPr>
                <w:sz w:val="20"/>
                <w:szCs w:val="20"/>
              </w:rPr>
              <w:t>Internal Medicine</w:t>
            </w:r>
          </w:p>
        </w:tc>
        <w:tc>
          <w:tcPr>
            <w:tcW w:w="1634" w:type="dxa"/>
            <w:vAlign w:val="center"/>
          </w:tcPr>
          <w:p w14:paraId="022AF086" w14:textId="77777777" w:rsidR="000E73BE" w:rsidRPr="006F2BD9" w:rsidRDefault="000E73BE">
            <w:pPr>
              <w:jc w:val="center"/>
              <w:rPr>
                <w:sz w:val="20"/>
                <w:szCs w:val="20"/>
              </w:rPr>
            </w:pPr>
            <w:r w:rsidRPr="006F2BD9">
              <w:rPr>
                <w:rFonts w:ascii="Calibri" w:hAnsi="Calibri" w:cs="Calibri"/>
                <w:color w:val="000000"/>
                <w:sz w:val="20"/>
                <w:szCs w:val="20"/>
              </w:rPr>
              <w:t>2.1%</w:t>
            </w:r>
          </w:p>
        </w:tc>
        <w:tc>
          <w:tcPr>
            <w:tcW w:w="1508" w:type="dxa"/>
          </w:tcPr>
          <w:p w14:paraId="445A0365" w14:textId="77777777" w:rsidR="000E73BE" w:rsidRPr="006F2BD9" w:rsidRDefault="000E73BE">
            <w:pPr>
              <w:rPr>
                <w:sz w:val="20"/>
                <w:szCs w:val="20"/>
              </w:rPr>
            </w:pPr>
            <w:r w:rsidRPr="006F2BD9">
              <w:rPr>
                <w:sz w:val="20"/>
                <w:szCs w:val="20"/>
              </w:rPr>
              <w:t>GP Trainee</w:t>
            </w:r>
          </w:p>
        </w:tc>
        <w:tc>
          <w:tcPr>
            <w:tcW w:w="1560" w:type="dxa"/>
            <w:vAlign w:val="center"/>
          </w:tcPr>
          <w:p w14:paraId="4C4114CE" w14:textId="77777777" w:rsidR="000E73BE" w:rsidRPr="006F2BD9" w:rsidRDefault="000E73BE">
            <w:pPr>
              <w:jc w:val="center"/>
              <w:rPr>
                <w:sz w:val="20"/>
                <w:szCs w:val="20"/>
              </w:rPr>
            </w:pPr>
            <w:r w:rsidRPr="006F2BD9">
              <w:rPr>
                <w:rFonts w:ascii="Calibri" w:hAnsi="Calibri" w:cs="Calibri"/>
                <w:color w:val="000000"/>
                <w:sz w:val="20"/>
                <w:szCs w:val="20"/>
              </w:rPr>
              <w:t>2.6%</w:t>
            </w:r>
          </w:p>
        </w:tc>
      </w:tr>
    </w:tbl>
    <w:p w14:paraId="50EFCB18" w14:textId="77777777" w:rsidR="000E73BE" w:rsidRPr="006F2BD9" w:rsidRDefault="000E73BE" w:rsidP="000E73BE">
      <w:pPr>
        <w:tabs>
          <w:tab w:val="left" w:pos="720"/>
        </w:tabs>
        <w:autoSpaceDE w:val="0"/>
        <w:autoSpaceDN w:val="0"/>
        <w:adjustRightInd w:val="0"/>
        <w:spacing w:after="0"/>
        <w:rPr>
          <w:rFonts w:ascii="Calibri" w:hAnsi="Calibri" w:cs="Calibri"/>
          <w:sz w:val="20"/>
          <w:szCs w:val="20"/>
        </w:rPr>
      </w:pPr>
      <w:r w:rsidRPr="006F2BD9">
        <w:rPr>
          <w:rFonts w:ascii="Calibri" w:hAnsi="Calibri" w:cs="Calibri"/>
          <w:sz w:val="20"/>
          <w:szCs w:val="20"/>
        </w:rPr>
        <w:t>Note:</w:t>
      </w:r>
    </w:p>
    <w:p w14:paraId="1A4F2D37" w14:textId="77777777" w:rsidR="000E73BE" w:rsidRPr="006F2BD9" w:rsidRDefault="000E73BE" w:rsidP="000E73BE">
      <w:pPr>
        <w:tabs>
          <w:tab w:val="left" w:pos="720"/>
        </w:tabs>
        <w:autoSpaceDE w:val="0"/>
        <w:autoSpaceDN w:val="0"/>
        <w:adjustRightInd w:val="0"/>
        <w:spacing w:after="0"/>
        <w:rPr>
          <w:rFonts w:ascii="Calibri" w:hAnsi="Calibri" w:cs="Calibri"/>
          <w:sz w:val="20"/>
          <w:szCs w:val="20"/>
        </w:rPr>
      </w:pPr>
      <w:r w:rsidRPr="006F2BD9">
        <w:rPr>
          <w:rFonts w:ascii="Calibri" w:hAnsi="Calibri" w:cs="Calibri"/>
          <w:sz w:val="20"/>
          <w:szCs w:val="20"/>
        </w:rPr>
        <w:t>The data is for the period 1 June 2021 to 29 February 2024 for Botox and galcanezumab and 1 August 2021 to 29 February 2024 for fremanezumab.</w:t>
      </w:r>
    </w:p>
    <w:p w14:paraId="6A86541F" w14:textId="77777777" w:rsidR="000E73BE" w:rsidRPr="006F2BD9" w:rsidRDefault="000E73BE" w:rsidP="000E73BE">
      <w:pPr>
        <w:autoSpaceDE w:val="0"/>
        <w:autoSpaceDN w:val="0"/>
        <w:adjustRightInd w:val="0"/>
        <w:spacing w:after="0"/>
        <w:rPr>
          <w:rFonts w:ascii="Calibri" w:hAnsi="Calibri" w:cs="Calibri"/>
          <w:sz w:val="20"/>
          <w:szCs w:val="20"/>
        </w:rPr>
      </w:pPr>
      <w:r w:rsidRPr="006F2BD9">
        <w:rPr>
          <w:rFonts w:ascii="Calibri" w:hAnsi="Calibri" w:cs="Calibri"/>
          <w:sz w:val="20"/>
          <w:szCs w:val="20"/>
        </w:rPr>
        <w:t xml:space="preserve">NONVRGP – </w:t>
      </w:r>
      <w:proofErr w:type="gramStart"/>
      <w:r w:rsidRPr="006F2BD9">
        <w:rPr>
          <w:rFonts w:ascii="Calibri" w:hAnsi="Calibri" w:cs="Calibri"/>
          <w:sz w:val="20"/>
          <w:szCs w:val="20"/>
        </w:rPr>
        <w:t>Non-vocationally</w:t>
      </w:r>
      <w:proofErr w:type="gramEnd"/>
      <w:r w:rsidRPr="006F2BD9">
        <w:rPr>
          <w:rFonts w:ascii="Calibri" w:hAnsi="Calibri" w:cs="Calibri"/>
          <w:sz w:val="20"/>
          <w:szCs w:val="20"/>
        </w:rPr>
        <w:t xml:space="preserve"> registered GP</w:t>
      </w:r>
    </w:p>
    <w:p w14:paraId="056A818D" w14:textId="11DAFC4D" w:rsidR="000E73BE" w:rsidRPr="006F2BD9" w:rsidRDefault="000E73BE" w:rsidP="006E138D">
      <w:pPr>
        <w:autoSpaceDE w:val="0"/>
        <w:autoSpaceDN w:val="0"/>
        <w:adjustRightInd w:val="0"/>
        <w:spacing w:after="0"/>
        <w:rPr>
          <w:rFonts w:ascii="Calibri" w:hAnsi="Calibri" w:cs="Calibri"/>
          <w:sz w:val="20"/>
          <w:szCs w:val="20"/>
        </w:rPr>
      </w:pPr>
      <w:r w:rsidRPr="006F2BD9">
        <w:rPr>
          <w:rFonts w:ascii="Calibri" w:hAnsi="Calibri" w:cs="Calibri"/>
          <w:sz w:val="20"/>
          <w:szCs w:val="20"/>
        </w:rPr>
        <w:t>VRGP - Vocationally registered GP</w:t>
      </w:r>
    </w:p>
    <w:p w14:paraId="427A20FE" w14:textId="77777777" w:rsidR="006E138D" w:rsidRPr="006E138D" w:rsidRDefault="006E138D" w:rsidP="006E138D">
      <w:pPr>
        <w:autoSpaceDE w:val="0"/>
        <w:autoSpaceDN w:val="0"/>
        <w:adjustRightInd w:val="0"/>
        <w:spacing w:after="0"/>
        <w:rPr>
          <w:rFonts w:ascii="Calibri" w:hAnsi="Calibri" w:cs="Calibri"/>
          <w:sz w:val="20"/>
          <w:szCs w:val="20"/>
        </w:rPr>
      </w:pPr>
    </w:p>
    <w:p w14:paraId="042D22BC" w14:textId="5E214B7B" w:rsidR="006E138D" w:rsidRPr="008F0ED3" w:rsidRDefault="006E138D" w:rsidP="006E138D">
      <w:pPr>
        <w:spacing w:after="0"/>
        <w:rPr>
          <w:b/>
          <w:bCs/>
        </w:rPr>
      </w:pPr>
      <w:r w:rsidRPr="004501EA">
        <w:rPr>
          <w:b/>
          <w:bCs/>
        </w:rPr>
        <w:t>Table 1</w:t>
      </w:r>
      <w:r>
        <w:rPr>
          <w:b/>
          <w:bCs/>
        </w:rPr>
        <w:t>8</w:t>
      </w:r>
      <w:r w:rsidRPr="004501EA">
        <w:rPr>
          <w:b/>
          <w:bCs/>
        </w:rPr>
        <w:t>: Percentage of prescriptions supplied by prescriber type</w:t>
      </w:r>
      <w:r>
        <w:rPr>
          <w:b/>
          <w:bCs/>
        </w:rPr>
        <w:t xml:space="preserve"> and treatment phase</w:t>
      </w:r>
    </w:p>
    <w:tbl>
      <w:tblPr>
        <w:tblStyle w:val="TableGrid"/>
        <w:tblW w:w="0" w:type="auto"/>
        <w:tblLook w:val="04A0" w:firstRow="1" w:lastRow="0" w:firstColumn="1" w:lastColumn="0" w:noHBand="0" w:noVBand="1"/>
      </w:tblPr>
      <w:tblGrid>
        <w:gridCol w:w="1789"/>
        <w:gridCol w:w="1789"/>
        <w:gridCol w:w="1789"/>
        <w:gridCol w:w="1790"/>
        <w:gridCol w:w="1790"/>
      </w:tblGrid>
      <w:tr w:rsidR="006E138D" w:rsidRPr="006F2BD9" w14:paraId="3E6121EB" w14:textId="77777777">
        <w:tc>
          <w:tcPr>
            <w:tcW w:w="1789" w:type="dxa"/>
          </w:tcPr>
          <w:p w14:paraId="529A47DC" w14:textId="77777777" w:rsidR="006E138D" w:rsidRPr="006F2BD9" w:rsidRDefault="006E138D">
            <w:pPr>
              <w:rPr>
                <w:b/>
                <w:bCs/>
                <w:sz w:val="20"/>
                <w:szCs w:val="20"/>
              </w:rPr>
            </w:pPr>
            <w:r w:rsidRPr="006F2BD9">
              <w:rPr>
                <w:b/>
                <w:bCs/>
                <w:sz w:val="20"/>
                <w:szCs w:val="20"/>
              </w:rPr>
              <w:t>Speciality</w:t>
            </w:r>
          </w:p>
        </w:tc>
        <w:tc>
          <w:tcPr>
            <w:tcW w:w="1789" w:type="dxa"/>
          </w:tcPr>
          <w:p w14:paraId="03C39A4B" w14:textId="77777777" w:rsidR="006E138D" w:rsidRPr="006F2BD9" w:rsidRDefault="006E138D">
            <w:pPr>
              <w:rPr>
                <w:sz w:val="20"/>
                <w:szCs w:val="20"/>
              </w:rPr>
            </w:pPr>
            <w:r w:rsidRPr="006F2BD9">
              <w:rPr>
                <w:b/>
                <w:bCs/>
                <w:sz w:val="20"/>
                <w:szCs w:val="20"/>
              </w:rPr>
              <w:t>Galcanezumab Initial</w:t>
            </w:r>
          </w:p>
        </w:tc>
        <w:tc>
          <w:tcPr>
            <w:tcW w:w="1789" w:type="dxa"/>
          </w:tcPr>
          <w:p w14:paraId="0202DAC9" w14:textId="77777777" w:rsidR="006E138D" w:rsidRPr="006F2BD9" w:rsidRDefault="006E138D">
            <w:pPr>
              <w:rPr>
                <w:sz w:val="20"/>
                <w:szCs w:val="20"/>
              </w:rPr>
            </w:pPr>
            <w:r w:rsidRPr="006F2BD9">
              <w:rPr>
                <w:b/>
                <w:bCs/>
                <w:sz w:val="20"/>
                <w:szCs w:val="20"/>
              </w:rPr>
              <w:t>Galcanezumab Continuation</w:t>
            </w:r>
          </w:p>
        </w:tc>
        <w:tc>
          <w:tcPr>
            <w:tcW w:w="1790" w:type="dxa"/>
          </w:tcPr>
          <w:p w14:paraId="428FF296" w14:textId="77777777" w:rsidR="006E138D" w:rsidRPr="006F2BD9" w:rsidRDefault="006E138D">
            <w:pPr>
              <w:rPr>
                <w:sz w:val="20"/>
                <w:szCs w:val="20"/>
              </w:rPr>
            </w:pPr>
            <w:r w:rsidRPr="006F2BD9">
              <w:rPr>
                <w:b/>
                <w:bCs/>
                <w:sz w:val="20"/>
                <w:szCs w:val="20"/>
              </w:rPr>
              <w:t>Fremanezumab Initial</w:t>
            </w:r>
          </w:p>
        </w:tc>
        <w:tc>
          <w:tcPr>
            <w:tcW w:w="1790" w:type="dxa"/>
          </w:tcPr>
          <w:p w14:paraId="275A4CB9" w14:textId="77777777" w:rsidR="006E138D" w:rsidRPr="006F2BD9" w:rsidRDefault="006E138D">
            <w:pPr>
              <w:rPr>
                <w:b/>
                <w:bCs/>
                <w:sz w:val="20"/>
                <w:szCs w:val="20"/>
              </w:rPr>
            </w:pPr>
            <w:r w:rsidRPr="006F2BD9">
              <w:rPr>
                <w:b/>
                <w:bCs/>
                <w:sz w:val="20"/>
                <w:szCs w:val="20"/>
              </w:rPr>
              <w:t>Fremanezumab</w:t>
            </w:r>
          </w:p>
          <w:p w14:paraId="4E3E12B9" w14:textId="77777777" w:rsidR="006E138D" w:rsidRPr="006F2BD9" w:rsidRDefault="006E138D">
            <w:pPr>
              <w:rPr>
                <w:sz w:val="20"/>
                <w:szCs w:val="20"/>
              </w:rPr>
            </w:pPr>
            <w:r w:rsidRPr="006F2BD9">
              <w:rPr>
                <w:b/>
                <w:bCs/>
                <w:sz w:val="20"/>
                <w:szCs w:val="20"/>
              </w:rPr>
              <w:t>Continuation</w:t>
            </w:r>
          </w:p>
        </w:tc>
      </w:tr>
      <w:tr w:rsidR="006E138D" w:rsidRPr="006F2BD9" w14:paraId="12696876" w14:textId="77777777">
        <w:tc>
          <w:tcPr>
            <w:tcW w:w="1789" w:type="dxa"/>
            <w:vAlign w:val="bottom"/>
          </w:tcPr>
          <w:p w14:paraId="2F5EFEA0" w14:textId="77777777" w:rsidR="006E138D" w:rsidRPr="006F2BD9" w:rsidRDefault="006E138D">
            <w:pPr>
              <w:rPr>
                <w:sz w:val="20"/>
                <w:szCs w:val="20"/>
              </w:rPr>
            </w:pPr>
            <w:r w:rsidRPr="006F2BD9">
              <w:rPr>
                <w:rFonts w:ascii="Calibri" w:hAnsi="Calibri" w:cs="Calibri"/>
                <w:color w:val="000000"/>
                <w:sz w:val="20"/>
                <w:szCs w:val="20"/>
              </w:rPr>
              <w:t>Neurology</w:t>
            </w:r>
          </w:p>
        </w:tc>
        <w:tc>
          <w:tcPr>
            <w:tcW w:w="1789" w:type="dxa"/>
            <w:vAlign w:val="center"/>
          </w:tcPr>
          <w:p w14:paraId="6A5B1A30" w14:textId="77777777" w:rsidR="006E138D" w:rsidRPr="006F2BD9" w:rsidRDefault="006E138D">
            <w:pPr>
              <w:jc w:val="center"/>
              <w:rPr>
                <w:sz w:val="20"/>
                <w:szCs w:val="20"/>
              </w:rPr>
            </w:pPr>
            <w:r w:rsidRPr="006F2BD9">
              <w:rPr>
                <w:sz w:val="20"/>
                <w:szCs w:val="20"/>
              </w:rPr>
              <w:t>80.0%</w:t>
            </w:r>
          </w:p>
        </w:tc>
        <w:tc>
          <w:tcPr>
            <w:tcW w:w="1789" w:type="dxa"/>
            <w:vAlign w:val="center"/>
          </w:tcPr>
          <w:p w14:paraId="44088A04" w14:textId="77777777" w:rsidR="006E138D" w:rsidRPr="006F2BD9" w:rsidRDefault="006E138D">
            <w:pPr>
              <w:jc w:val="center"/>
              <w:rPr>
                <w:sz w:val="20"/>
                <w:szCs w:val="20"/>
              </w:rPr>
            </w:pPr>
            <w:r w:rsidRPr="006F2BD9">
              <w:rPr>
                <w:rFonts w:ascii="Calibri" w:hAnsi="Calibri" w:cs="Calibri"/>
                <w:color w:val="000000"/>
                <w:sz w:val="20"/>
                <w:szCs w:val="20"/>
              </w:rPr>
              <w:t>59.6%</w:t>
            </w:r>
          </w:p>
        </w:tc>
        <w:tc>
          <w:tcPr>
            <w:tcW w:w="1790" w:type="dxa"/>
            <w:vAlign w:val="center"/>
          </w:tcPr>
          <w:p w14:paraId="16A3887B" w14:textId="77777777" w:rsidR="006E138D" w:rsidRPr="006F2BD9" w:rsidRDefault="006E138D">
            <w:pPr>
              <w:jc w:val="center"/>
              <w:rPr>
                <w:sz w:val="20"/>
                <w:szCs w:val="20"/>
              </w:rPr>
            </w:pPr>
            <w:r w:rsidRPr="006F2BD9">
              <w:rPr>
                <w:sz w:val="20"/>
                <w:szCs w:val="20"/>
              </w:rPr>
              <w:t>78.5%</w:t>
            </w:r>
          </w:p>
        </w:tc>
        <w:tc>
          <w:tcPr>
            <w:tcW w:w="1790" w:type="dxa"/>
            <w:vAlign w:val="center"/>
          </w:tcPr>
          <w:p w14:paraId="1AB7A609" w14:textId="77777777" w:rsidR="006E138D" w:rsidRPr="006F2BD9" w:rsidRDefault="006E138D">
            <w:pPr>
              <w:jc w:val="center"/>
              <w:rPr>
                <w:sz w:val="20"/>
                <w:szCs w:val="20"/>
              </w:rPr>
            </w:pPr>
            <w:r w:rsidRPr="006F2BD9">
              <w:rPr>
                <w:sz w:val="20"/>
                <w:szCs w:val="20"/>
              </w:rPr>
              <w:t>64.9%</w:t>
            </w:r>
          </w:p>
        </w:tc>
      </w:tr>
      <w:tr w:rsidR="006E138D" w:rsidRPr="006F2BD9" w14:paraId="66E87129" w14:textId="77777777">
        <w:tc>
          <w:tcPr>
            <w:tcW w:w="1789" w:type="dxa"/>
            <w:vAlign w:val="bottom"/>
          </w:tcPr>
          <w:p w14:paraId="70D92B64" w14:textId="77777777" w:rsidR="006E138D" w:rsidRPr="006F2BD9" w:rsidRDefault="006E138D">
            <w:pPr>
              <w:rPr>
                <w:sz w:val="20"/>
                <w:szCs w:val="20"/>
              </w:rPr>
            </w:pPr>
            <w:r w:rsidRPr="006F2BD9">
              <w:rPr>
                <w:rFonts w:ascii="Calibri" w:hAnsi="Calibri" w:cs="Calibri"/>
                <w:color w:val="000000"/>
                <w:sz w:val="20"/>
                <w:szCs w:val="20"/>
              </w:rPr>
              <w:t>VRGP</w:t>
            </w:r>
          </w:p>
        </w:tc>
        <w:tc>
          <w:tcPr>
            <w:tcW w:w="1789" w:type="dxa"/>
            <w:vAlign w:val="center"/>
          </w:tcPr>
          <w:p w14:paraId="566281D4" w14:textId="77777777" w:rsidR="006E138D" w:rsidRPr="006F2BD9" w:rsidRDefault="006E138D">
            <w:pPr>
              <w:jc w:val="center"/>
              <w:rPr>
                <w:sz w:val="20"/>
                <w:szCs w:val="20"/>
              </w:rPr>
            </w:pPr>
            <w:r w:rsidRPr="006F2BD9">
              <w:rPr>
                <w:sz w:val="20"/>
                <w:szCs w:val="20"/>
              </w:rPr>
              <w:t>11.9%</w:t>
            </w:r>
          </w:p>
        </w:tc>
        <w:tc>
          <w:tcPr>
            <w:tcW w:w="1789" w:type="dxa"/>
            <w:vAlign w:val="center"/>
          </w:tcPr>
          <w:p w14:paraId="1C1B8E70" w14:textId="77777777" w:rsidR="006E138D" w:rsidRPr="006F2BD9" w:rsidRDefault="006E138D">
            <w:pPr>
              <w:jc w:val="center"/>
              <w:rPr>
                <w:sz w:val="20"/>
                <w:szCs w:val="20"/>
              </w:rPr>
            </w:pPr>
            <w:r w:rsidRPr="006F2BD9">
              <w:rPr>
                <w:rFonts w:ascii="Calibri" w:hAnsi="Calibri" w:cs="Calibri"/>
                <w:color w:val="000000"/>
                <w:sz w:val="20"/>
                <w:szCs w:val="20"/>
              </w:rPr>
              <w:t>30.4%</w:t>
            </w:r>
          </w:p>
        </w:tc>
        <w:tc>
          <w:tcPr>
            <w:tcW w:w="1790" w:type="dxa"/>
            <w:vAlign w:val="center"/>
          </w:tcPr>
          <w:p w14:paraId="68343228" w14:textId="77777777" w:rsidR="006E138D" w:rsidRPr="006F2BD9" w:rsidRDefault="006E138D">
            <w:pPr>
              <w:jc w:val="center"/>
              <w:rPr>
                <w:sz w:val="20"/>
                <w:szCs w:val="20"/>
              </w:rPr>
            </w:pPr>
            <w:r w:rsidRPr="006F2BD9">
              <w:rPr>
                <w:sz w:val="20"/>
                <w:szCs w:val="20"/>
              </w:rPr>
              <w:t>13.4%</w:t>
            </w:r>
          </w:p>
        </w:tc>
        <w:tc>
          <w:tcPr>
            <w:tcW w:w="1790" w:type="dxa"/>
            <w:vAlign w:val="center"/>
          </w:tcPr>
          <w:p w14:paraId="35750FB5" w14:textId="77777777" w:rsidR="006E138D" w:rsidRPr="006F2BD9" w:rsidRDefault="006E138D">
            <w:pPr>
              <w:jc w:val="center"/>
              <w:rPr>
                <w:sz w:val="20"/>
                <w:szCs w:val="20"/>
              </w:rPr>
            </w:pPr>
            <w:r w:rsidRPr="006F2BD9">
              <w:rPr>
                <w:sz w:val="20"/>
                <w:szCs w:val="20"/>
              </w:rPr>
              <w:t>26.8%</w:t>
            </w:r>
          </w:p>
        </w:tc>
      </w:tr>
      <w:tr w:rsidR="006E138D" w:rsidRPr="006F2BD9" w14:paraId="6489F6CE" w14:textId="77777777">
        <w:tc>
          <w:tcPr>
            <w:tcW w:w="1789" w:type="dxa"/>
            <w:vAlign w:val="bottom"/>
          </w:tcPr>
          <w:p w14:paraId="7E4A2D00" w14:textId="77777777" w:rsidR="006E138D" w:rsidRPr="006F2BD9" w:rsidRDefault="006E138D">
            <w:pPr>
              <w:rPr>
                <w:sz w:val="20"/>
                <w:szCs w:val="20"/>
              </w:rPr>
            </w:pPr>
            <w:r w:rsidRPr="006F2BD9">
              <w:rPr>
                <w:rFonts w:ascii="Calibri" w:hAnsi="Calibri" w:cs="Calibri"/>
                <w:color w:val="000000"/>
                <w:sz w:val="20"/>
                <w:szCs w:val="20"/>
              </w:rPr>
              <w:t>Internal Medicine</w:t>
            </w:r>
          </w:p>
        </w:tc>
        <w:tc>
          <w:tcPr>
            <w:tcW w:w="1789" w:type="dxa"/>
            <w:vAlign w:val="center"/>
          </w:tcPr>
          <w:p w14:paraId="7EAD438B" w14:textId="77777777" w:rsidR="006E138D" w:rsidRPr="006F2BD9" w:rsidRDefault="006E138D">
            <w:pPr>
              <w:jc w:val="center"/>
              <w:rPr>
                <w:sz w:val="20"/>
                <w:szCs w:val="20"/>
              </w:rPr>
            </w:pPr>
            <w:r w:rsidRPr="006F2BD9">
              <w:rPr>
                <w:sz w:val="20"/>
                <w:szCs w:val="20"/>
              </w:rPr>
              <w:t>2.8%</w:t>
            </w:r>
          </w:p>
        </w:tc>
        <w:tc>
          <w:tcPr>
            <w:tcW w:w="1789" w:type="dxa"/>
            <w:vAlign w:val="center"/>
          </w:tcPr>
          <w:p w14:paraId="58053716" w14:textId="77777777" w:rsidR="006E138D" w:rsidRPr="006F2BD9" w:rsidRDefault="006E138D">
            <w:pPr>
              <w:jc w:val="center"/>
              <w:rPr>
                <w:sz w:val="20"/>
                <w:szCs w:val="20"/>
              </w:rPr>
            </w:pPr>
            <w:r w:rsidRPr="006F2BD9">
              <w:rPr>
                <w:rFonts w:ascii="Calibri" w:hAnsi="Calibri" w:cs="Calibri"/>
                <w:color w:val="000000"/>
                <w:sz w:val="20"/>
                <w:szCs w:val="20"/>
              </w:rPr>
              <w:t>3.7%</w:t>
            </w:r>
          </w:p>
        </w:tc>
        <w:tc>
          <w:tcPr>
            <w:tcW w:w="1790" w:type="dxa"/>
            <w:vAlign w:val="center"/>
          </w:tcPr>
          <w:p w14:paraId="5B1F301E" w14:textId="77777777" w:rsidR="006E138D" w:rsidRPr="006F2BD9" w:rsidRDefault="006E138D">
            <w:pPr>
              <w:jc w:val="center"/>
              <w:rPr>
                <w:sz w:val="20"/>
                <w:szCs w:val="20"/>
              </w:rPr>
            </w:pPr>
            <w:r w:rsidRPr="006F2BD9">
              <w:rPr>
                <w:sz w:val="20"/>
                <w:szCs w:val="20"/>
              </w:rPr>
              <w:t>2.3%</w:t>
            </w:r>
          </w:p>
        </w:tc>
        <w:tc>
          <w:tcPr>
            <w:tcW w:w="1790" w:type="dxa"/>
            <w:vAlign w:val="center"/>
          </w:tcPr>
          <w:p w14:paraId="5685C2AB" w14:textId="77777777" w:rsidR="006E138D" w:rsidRPr="006F2BD9" w:rsidRDefault="006E138D">
            <w:pPr>
              <w:jc w:val="center"/>
              <w:rPr>
                <w:sz w:val="20"/>
                <w:szCs w:val="20"/>
              </w:rPr>
            </w:pPr>
            <w:r w:rsidRPr="006F2BD9">
              <w:rPr>
                <w:sz w:val="20"/>
                <w:szCs w:val="20"/>
              </w:rPr>
              <w:t>2.1%</w:t>
            </w:r>
          </w:p>
        </w:tc>
      </w:tr>
      <w:tr w:rsidR="006E138D" w:rsidRPr="006F2BD9" w14:paraId="1F664124" w14:textId="77777777">
        <w:tc>
          <w:tcPr>
            <w:tcW w:w="1789" w:type="dxa"/>
            <w:vAlign w:val="bottom"/>
          </w:tcPr>
          <w:p w14:paraId="1BCE3121" w14:textId="77777777" w:rsidR="006E138D" w:rsidRPr="006F2BD9" w:rsidRDefault="006E138D">
            <w:pPr>
              <w:rPr>
                <w:sz w:val="20"/>
                <w:szCs w:val="20"/>
              </w:rPr>
            </w:pPr>
            <w:r w:rsidRPr="006F2BD9">
              <w:rPr>
                <w:rFonts w:ascii="Calibri" w:hAnsi="Calibri" w:cs="Calibri"/>
                <w:color w:val="000000"/>
                <w:sz w:val="20"/>
                <w:szCs w:val="20"/>
              </w:rPr>
              <w:t>GP Trainee</w:t>
            </w:r>
          </w:p>
        </w:tc>
        <w:tc>
          <w:tcPr>
            <w:tcW w:w="1789" w:type="dxa"/>
            <w:vAlign w:val="center"/>
          </w:tcPr>
          <w:p w14:paraId="503F6EDE" w14:textId="77777777" w:rsidR="006E138D" w:rsidRPr="006F2BD9" w:rsidRDefault="006E138D">
            <w:pPr>
              <w:jc w:val="center"/>
              <w:rPr>
                <w:sz w:val="20"/>
                <w:szCs w:val="20"/>
              </w:rPr>
            </w:pPr>
            <w:r w:rsidRPr="006F2BD9">
              <w:rPr>
                <w:sz w:val="20"/>
                <w:szCs w:val="20"/>
              </w:rPr>
              <w:t>1.0%</w:t>
            </w:r>
          </w:p>
        </w:tc>
        <w:tc>
          <w:tcPr>
            <w:tcW w:w="1789" w:type="dxa"/>
            <w:vAlign w:val="center"/>
          </w:tcPr>
          <w:p w14:paraId="2C8D171D" w14:textId="77777777" w:rsidR="006E138D" w:rsidRPr="006F2BD9" w:rsidRDefault="006E138D">
            <w:pPr>
              <w:jc w:val="center"/>
              <w:rPr>
                <w:sz w:val="20"/>
                <w:szCs w:val="20"/>
              </w:rPr>
            </w:pPr>
            <w:r w:rsidRPr="006F2BD9">
              <w:rPr>
                <w:rFonts w:ascii="Calibri" w:hAnsi="Calibri" w:cs="Calibri"/>
                <w:color w:val="000000"/>
                <w:sz w:val="20"/>
                <w:szCs w:val="20"/>
              </w:rPr>
              <w:t>2.9%</w:t>
            </w:r>
          </w:p>
        </w:tc>
        <w:tc>
          <w:tcPr>
            <w:tcW w:w="1790" w:type="dxa"/>
            <w:vAlign w:val="center"/>
          </w:tcPr>
          <w:p w14:paraId="3BBC6C8E" w14:textId="77777777" w:rsidR="006E138D" w:rsidRPr="006F2BD9" w:rsidRDefault="006E138D">
            <w:pPr>
              <w:jc w:val="center"/>
              <w:rPr>
                <w:sz w:val="20"/>
                <w:szCs w:val="20"/>
              </w:rPr>
            </w:pPr>
            <w:r w:rsidRPr="006F2BD9">
              <w:rPr>
                <w:sz w:val="20"/>
                <w:szCs w:val="20"/>
              </w:rPr>
              <w:t>1.5%</w:t>
            </w:r>
          </w:p>
        </w:tc>
        <w:tc>
          <w:tcPr>
            <w:tcW w:w="1790" w:type="dxa"/>
            <w:vAlign w:val="center"/>
          </w:tcPr>
          <w:p w14:paraId="469D6631" w14:textId="77777777" w:rsidR="006E138D" w:rsidRPr="006F2BD9" w:rsidRDefault="006E138D">
            <w:pPr>
              <w:jc w:val="center"/>
              <w:rPr>
                <w:sz w:val="20"/>
                <w:szCs w:val="20"/>
              </w:rPr>
            </w:pPr>
            <w:r w:rsidRPr="006F2BD9">
              <w:rPr>
                <w:sz w:val="20"/>
                <w:szCs w:val="20"/>
              </w:rPr>
              <w:t>2.5%</w:t>
            </w:r>
          </w:p>
        </w:tc>
      </w:tr>
      <w:tr w:rsidR="006E138D" w:rsidRPr="006F2BD9" w14:paraId="2E57825A" w14:textId="77777777">
        <w:tc>
          <w:tcPr>
            <w:tcW w:w="1789" w:type="dxa"/>
            <w:vAlign w:val="bottom"/>
          </w:tcPr>
          <w:p w14:paraId="30DDC5AA" w14:textId="77777777" w:rsidR="006E138D" w:rsidRPr="006F2BD9" w:rsidRDefault="006E138D">
            <w:pPr>
              <w:rPr>
                <w:sz w:val="20"/>
                <w:szCs w:val="20"/>
              </w:rPr>
            </w:pPr>
            <w:r w:rsidRPr="006F2BD9">
              <w:rPr>
                <w:rFonts w:ascii="Calibri" w:hAnsi="Calibri" w:cs="Calibri"/>
                <w:color w:val="000000"/>
                <w:sz w:val="20"/>
                <w:szCs w:val="20"/>
              </w:rPr>
              <w:t>NONVRGP</w:t>
            </w:r>
          </w:p>
        </w:tc>
        <w:tc>
          <w:tcPr>
            <w:tcW w:w="1789" w:type="dxa"/>
            <w:vAlign w:val="center"/>
          </w:tcPr>
          <w:p w14:paraId="46F4DE74" w14:textId="77777777" w:rsidR="006E138D" w:rsidRPr="006F2BD9" w:rsidRDefault="006E138D">
            <w:pPr>
              <w:jc w:val="center"/>
              <w:rPr>
                <w:sz w:val="20"/>
                <w:szCs w:val="20"/>
              </w:rPr>
            </w:pPr>
            <w:r w:rsidRPr="006F2BD9">
              <w:rPr>
                <w:sz w:val="20"/>
                <w:szCs w:val="20"/>
              </w:rPr>
              <w:t>2.2%</w:t>
            </w:r>
          </w:p>
        </w:tc>
        <w:tc>
          <w:tcPr>
            <w:tcW w:w="1789" w:type="dxa"/>
            <w:vAlign w:val="center"/>
          </w:tcPr>
          <w:p w14:paraId="3B06DDDC" w14:textId="77777777" w:rsidR="006E138D" w:rsidRPr="006F2BD9" w:rsidRDefault="006E138D">
            <w:pPr>
              <w:jc w:val="center"/>
              <w:rPr>
                <w:sz w:val="20"/>
                <w:szCs w:val="20"/>
              </w:rPr>
            </w:pPr>
            <w:r w:rsidRPr="006F2BD9">
              <w:rPr>
                <w:rFonts w:ascii="Calibri" w:hAnsi="Calibri" w:cs="Calibri"/>
                <w:color w:val="000000"/>
                <w:sz w:val="20"/>
                <w:szCs w:val="20"/>
              </w:rPr>
              <w:t>2.0%</w:t>
            </w:r>
          </w:p>
        </w:tc>
        <w:tc>
          <w:tcPr>
            <w:tcW w:w="1790" w:type="dxa"/>
            <w:vAlign w:val="center"/>
          </w:tcPr>
          <w:p w14:paraId="117A12F9" w14:textId="77777777" w:rsidR="006E138D" w:rsidRPr="006F2BD9" w:rsidRDefault="006E138D">
            <w:pPr>
              <w:jc w:val="center"/>
              <w:rPr>
                <w:sz w:val="20"/>
                <w:szCs w:val="20"/>
              </w:rPr>
            </w:pPr>
            <w:r w:rsidRPr="006F2BD9">
              <w:rPr>
                <w:sz w:val="20"/>
                <w:szCs w:val="20"/>
              </w:rPr>
              <w:t>2.5%</w:t>
            </w:r>
          </w:p>
        </w:tc>
        <w:tc>
          <w:tcPr>
            <w:tcW w:w="1790" w:type="dxa"/>
            <w:vAlign w:val="center"/>
          </w:tcPr>
          <w:p w14:paraId="133689F7" w14:textId="77777777" w:rsidR="006E138D" w:rsidRPr="006F2BD9" w:rsidRDefault="006E138D">
            <w:pPr>
              <w:jc w:val="center"/>
              <w:rPr>
                <w:sz w:val="20"/>
                <w:szCs w:val="20"/>
              </w:rPr>
            </w:pPr>
            <w:r w:rsidRPr="006F2BD9">
              <w:rPr>
                <w:sz w:val="20"/>
                <w:szCs w:val="20"/>
              </w:rPr>
              <w:t>1.9%</w:t>
            </w:r>
          </w:p>
        </w:tc>
      </w:tr>
    </w:tbl>
    <w:p w14:paraId="6E308452" w14:textId="77777777" w:rsidR="006E138D" w:rsidRPr="006F2BD9" w:rsidRDefault="006E138D" w:rsidP="006E138D">
      <w:pPr>
        <w:tabs>
          <w:tab w:val="left" w:pos="720"/>
        </w:tabs>
        <w:autoSpaceDE w:val="0"/>
        <w:autoSpaceDN w:val="0"/>
        <w:adjustRightInd w:val="0"/>
        <w:spacing w:after="0"/>
        <w:rPr>
          <w:rFonts w:ascii="Calibri" w:hAnsi="Calibri" w:cs="Calibri"/>
          <w:sz w:val="20"/>
          <w:szCs w:val="20"/>
        </w:rPr>
      </w:pPr>
      <w:r w:rsidRPr="006F2BD9">
        <w:rPr>
          <w:rFonts w:ascii="Calibri" w:hAnsi="Calibri" w:cs="Calibri"/>
          <w:sz w:val="20"/>
          <w:szCs w:val="20"/>
        </w:rPr>
        <w:t>Note:</w:t>
      </w:r>
    </w:p>
    <w:p w14:paraId="56511E85" w14:textId="77777777" w:rsidR="006E138D" w:rsidRPr="006F2BD9" w:rsidRDefault="006E138D" w:rsidP="006E138D">
      <w:pPr>
        <w:tabs>
          <w:tab w:val="left" w:pos="720"/>
        </w:tabs>
        <w:autoSpaceDE w:val="0"/>
        <w:autoSpaceDN w:val="0"/>
        <w:adjustRightInd w:val="0"/>
        <w:spacing w:after="0"/>
        <w:rPr>
          <w:rFonts w:ascii="Calibri" w:hAnsi="Calibri" w:cs="Calibri"/>
          <w:sz w:val="20"/>
          <w:szCs w:val="20"/>
        </w:rPr>
      </w:pPr>
      <w:r w:rsidRPr="006F2BD9">
        <w:rPr>
          <w:rFonts w:ascii="Calibri" w:hAnsi="Calibri" w:cs="Calibri"/>
          <w:sz w:val="20"/>
          <w:szCs w:val="20"/>
        </w:rPr>
        <w:t>The data is for the period 1 June 2021 to 29 February 2024 for galcanezumab and 1 August 2021 to 29 February 2024 for fremanezumab.</w:t>
      </w:r>
    </w:p>
    <w:p w14:paraId="010CC157" w14:textId="77777777" w:rsidR="006E138D" w:rsidRPr="006F2BD9" w:rsidRDefault="006E138D" w:rsidP="006E138D">
      <w:pPr>
        <w:autoSpaceDE w:val="0"/>
        <w:autoSpaceDN w:val="0"/>
        <w:adjustRightInd w:val="0"/>
        <w:spacing w:after="0"/>
        <w:rPr>
          <w:rFonts w:ascii="Calibri" w:hAnsi="Calibri" w:cs="Calibri"/>
          <w:sz w:val="20"/>
          <w:szCs w:val="20"/>
        </w:rPr>
      </w:pPr>
      <w:r w:rsidRPr="006F2BD9">
        <w:rPr>
          <w:rFonts w:ascii="Calibri" w:hAnsi="Calibri" w:cs="Calibri"/>
          <w:sz w:val="20"/>
          <w:szCs w:val="20"/>
        </w:rPr>
        <w:t xml:space="preserve">NONVRGP – </w:t>
      </w:r>
      <w:proofErr w:type="gramStart"/>
      <w:r w:rsidRPr="006F2BD9">
        <w:rPr>
          <w:rFonts w:ascii="Calibri" w:hAnsi="Calibri" w:cs="Calibri"/>
          <w:sz w:val="20"/>
          <w:szCs w:val="20"/>
        </w:rPr>
        <w:t>Non-vocationally</w:t>
      </w:r>
      <w:proofErr w:type="gramEnd"/>
      <w:r w:rsidRPr="006F2BD9">
        <w:rPr>
          <w:rFonts w:ascii="Calibri" w:hAnsi="Calibri" w:cs="Calibri"/>
          <w:sz w:val="20"/>
          <w:szCs w:val="20"/>
        </w:rPr>
        <w:t xml:space="preserve"> registered GP</w:t>
      </w:r>
    </w:p>
    <w:p w14:paraId="6161E518" w14:textId="77777777" w:rsidR="006E138D" w:rsidRPr="006F2BD9" w:rsidRDefault="006E138D" w:rsidP="006E138D">
      <w:pPr>
        <w:autoSpaceDE w:val="0"/>
        <w:autoSpaceDN w:val="0"/>
        <w:adjustRightInd w:val="0"/>
        <w:spacing w:after="0"/>
        <w:rPr>
          <w:rFonts w:ascii="Calibri" w:hAnsi="Calibri" w:cs="Calibri"/>
          <w:sz w:val="20"/>
          <w:szCs w:val="20"/>
        </w:rPr>
      </w:pPr>
      <w:r w:rsidRPr="006F2BD9">
        <w:rPr>
          <w:rFonts w:ascii="Calibri" w:hAnsi="Calibri" w:cs="Calibri"/>
          <w:sz w:val="20"/>
          <w:szCs w:val="20"/>
        </w:rPr>
        <w:t>VRGP - Vocationally registered GP</w:t>
      </w:r>
    </w:p>
    <w:p w14:paraId="17EF1CC5" w14:textId="77777777" w:rsidR="006C020D" w:rsidRDefault="006C020D" w:rsidP="00A35800"/>
    <w:p w14:paraId="0AA5D362" w14:textId="77777777" w:rsidR="006C020D" w:rsidRDefault="006C020D" w:rsidP="00A35800"/>
    <w:p w14:paraId="3E60C512" w14:textId="77777777" w:rsidR="006F2BD9" w:rsidRDefault="006F2BD9" w:rsidP="00A35800">
      <w:pPr>
        <w:rPr>
          <w:b/>
          <w:bCs/>
          <w:i/>
          <w:iCs/>
        </w:rPr>
      </w:pPr>
    </w:p>
    <w:p w14:paraId="463B4090" w14:textId="771D6962" w:rsidR="001D3CEF" w:rsidRPr="006C020D" w:rsidRDefault="001D3CEF" w:rsidP="00A35800">
      <w:pPr>
        <w:rPr>
          <w:b/>
          <w:bCs/>
          <w:i/>
          <w:iCs/>
        </w:rPr>
      </w:pPr>
      <w:r w:rsidRPr="001D3CEF">
        <w:rPr>
          <w:b/>
          <w:bCs/>
          <w:i/>
          <w:iCs/>
        </w:rPr>
        <w:lastRenderedPageBreak/>
        <w:t>Mapping</w:t>
      </w:r>
      <w:r w:rsidR="00EE39D4">
        <w:rPr>
          <w:b/>
          <w:bCs/>
          <w:i/>
          <w:iCs/>
        </w:rPr>
        <w:t xml:space="preserve"> of geospatial analyses</w:t>
      </w:r>
    </w:p>
    <w:p w14:paraId="44FCB7DE" w14:textId="090E7220" w:rsidR="00790A55" w:rsidRDefault="0029473D" w:rsidP="00A35800">
      <w:r>
        <w:rPr>
          <w:noProof/>
        </w:rPr>
        <w:drawing>
          <wp:inline distT="0" distB="0" distL="0" distR="0" wp14:anchorId="0B7FDC11" wp14:editId="51641F37">
            <wp:extent cx="5400675" cy="2943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675" cy="2943225"/>
                    </a:xfrm>
                    <a:prstGeom prst="rect">
                      <a:avLst/>
                    </a:prstGeom>
                    <a:noFill/>
                  </pic:spPr>
                </pic:pic>
              </a:graphicData>
            </a:graphic>
          </wp:inline>
        </w:drawing>
      </w:r>
    </w:p>
    <w:p w14:paraId="1CA2DFA9" w14:textId="54E0B7BF" w:rsidR="00F304A0" w:rsidRDefault="00790A55" w:rsidP="00790A55">
      <w:pPr>
        <w:rPr>
          <w:b/>
          <w:bCs/>
        </w:rPr>
      </w:pPr>
      <w:r w:rsidRPr="00DD75FD">
        <w:rPr>
          <w:b/>
          <w:bCs/>
        </w:rPr>
        <w:t xml:space="preserve">Figure </w:t>
      </w:r>
      <w:r w:rsidR="00AF3988">
        <w:rPr>
          <w:b/>
          <w:bCs/>
        </w:rPr>
        <w:t>1</w:t>
      </w:r>
      <w:r w:rsidR="00F304A0">
        <w:rPr>
          <w:b/>
          <w:bCs/>
        </w:rPr>
        <w:t>0</w:t>
      </w:r>
      <w:r w:rsidRPr="00DD75FD">
        <w:rPr>
          <w:b/>
          <w:bCs/>
        </w:rPr>
        <w:t xml:space="preserve">: Rate of </w:t>
      </w:r>
      <w:r w:rsidR="00C12F5A">
        <w:rPr>
          <w:b/>
          <w:bCs/>
        </w:rPr>
        <w:t>dispensing</w:t>
      </w:r>
      <w:r w:rsidRPr="00DD75FD">
        <w:rPr>
          <w:b/>
          <w:bCs/>
        </w:rPr>
        <w:t xml:space="preserve"> of </w:t>
      </w:r>
      <w:r w:rsidR="00EA29FC">
        <w:rPr>
          <w:b/>
          <w:bCs/>
        </w:rPr>
        <w:t>g</w:t>
      </w:r>
      <w:r w:rsidRPr="00DD75FD">
        <w:rPr>
          <w:b/>
          <w:bCs/>
        </w:rPr>
        <w:t>alcanezumab by Statistical Area 4</w:t>
      </w:r>
    </w:p>
    <w:p w14:paraId="7EE0C29C" w14:textId="560C502E" w:rsidR="00F304A0" w:rsidRDefault="00F304A0" w:rsidP="00790A55">
      <w:pPr>
        <w:rPr>
          <w:b/>
          <w:bCs/>
        </w:rPr>
      </w:pPr>
      <w:r>
        <w:rPr>
          <w:noProof/>
        </w:rPr>
        <w:drawing>
          <wp:inline distT="0" distB="0" distL="0" distR="0" wp14:anchorId="316CE508" wp14:editId="399B2219">
            <wp:extent cx="5400675" cy="2943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675" cy="2943225"/>
                    </a:xfrm>
                    <a:prstGeom prst="rect">
                      <a:avLst/>
                    </a:prstGeom>
                    <a:noFill/>
                  </pic:spPr>
                </pic:pic>
              </a:graphicData>
            </a:graphic>
          </wp:inline>
        </w:drawing>
      </w:r>
    </w:p>
    <w:p w14:paraId="558C3516" w14:textId="21750FBE" w:rsidR="00F304A0" w:rsidRPr="006F2BD9" w:rsidRDefault="00F304A0" w:rsidP="006F2BD9">
      <w:pPr>
        <w:rPr>
          <w:b/>
          <w:bCs/>
        </w:rPr>
      </w:pPr>
      <w:r w:rsidRPr="00DD75FD">
        <w:rPr>
          <w:b/>
          <w:bCs/>
        </w:rPr>
        <w:t xml:space="preserve">Figure </w:t>
      </w:r>
      <w:r>
        <w:rPr>
          <w:b/>
          <w:bCs/>
        </w:rPr>
        <w:t>11</w:t>
      </w:r>
      <w:r w:rsidRPr="00DD75FD">
        <w:rPr>
          <w:b/>
          <w:bCs/>
        </w:rPr>
        <w:t xml:space="preserve">: Rate of </w:t>
      </w:r>
      <w:r>
        <w:rPr>
          <w:b/>
          <w:bCs/>
        </w:rPr>
        <w:t>dispensing</w:t>
      </w:r>
      <w:r w:rsidRPr="00DD75FD">
        <w:rPr>
          <w:b/>
          <w:bCs/>
        </w:rPr>
        <w:t xml:space="preserve"> of </w:t>
      </w:r>
      <w:r>
        <w:rPr>
          <w:b/>
          <w:bCs/>
        </w:rPr>
        <w:t>f</w:t>
      </w:r>
      <w:r w:rsidRPr="00DD75FD">
        <w:rPr>
          <w:b/>
          <w:bCs/>
        </w:rPr>
        <w:t>remanezumab by Statistical Area 4</w:t>
      </w:r>
    </w:p>
    <w:p w14:paraId="1AB11EE7" w14:textId="5E0E2C9C" w:rsidR="00F304A0" w:rsidRPr="0067269B" w:rsidRDefault="00F304A0" w:rsidP="00F304A0">
      <w:pPr>
        <w:spacing w:after="0"/>
      </w:pPr>
      <w:r>
        <w:t>The geospatial a</w:t>
      </w:r>
      <w:r w:rsidRPr="00F304A0">
        <w:t>nalysis is presented as</w:t>
      </w:r>
      <w:r w:rsidR="0067269B">
        <w:t xml:space="preserve"> </w:t>
      </w:r>
      <w:r w:rsidRPr="00F304A0">
        <w:t xml:space="preserve">listing year </w:t>
      </w:r>
      <w:r w:rsidR="0067269B">
        <w:t>(the 12 months since the date of listing on the PBS) for</w:t>
      </w:r>
      <w:r w:rsidR="0067269B" w:rsidRPr="0067269B">
        <w:t xml:space="preserve"> galcanezumab </w:t>
      </w:r>
      <w:r w:rsidR="0067269B">
        <w:t xml:space="preserve">(June </w:t>
      </w:r>
      <w:r w:rsidRPr="00F304A0">
        <w:t>to May)</w:t>
      </w:r>
      <w:r w:rsidR="0067269B">
        <w:t xml:space="preserve"> and </w:t>
      </w:r>
      <w:r w:rsidR="0067269B" w:rsidRPr="0067269B">
        <w:t>fremanezumab</w:t>
      </w:r>
      <w:r w:rsidRPr="00F304A0">
        <w:t xml:space="preserve"> (August to July)</w:t>
      </w:r>
      <w:r w:rsidR="0067269B">
        <w:t xml:space="preserve"> respectively.</w:t>
      </w:r>
    </w:p>
    <w:p w14:paraId="13393F67" w14:textId="77777777" w:rsidR="00F304A0" w:rsidRPr="00DD75FD" w:rsidRDefault="00F304A0" w:rsidP="00790A55">
      <w:pPr>
        <w:rPr>
          <w:b/>
          <w:bCs/>
        </w:rPr>
      </w:pPr>
    </w:p>
    <w:p w14:paraId="191B9CFA" w14:textId="1F1A7DD0" w:rsidR="00D26969" w:rsidRDefault="00870048" w:rsidP="00790A55">
      <w:r>
        <w:rPr>
          <w:noProof/>
        </w:rPr>
        <w:lastRenderedPageBreak/>
        <w:drawing>
          <wp:inline distT="0" distB="0" distL="0" distR="0" wp14:anchorId="2EBC1D39" wp14:editId="173D20A8">
            <wp:extent cx="5400675" cy="29432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675" cy="2943225"/>
                    </a:xfrm>
                    <a:prstGeom prst="rect">
                      <a:avLst/>
                    </a:prstGeom>
                    <a:noFill/>
                  </pic:spPr>
                </pic:pic>
              </a:graphicData>
            </a:graphic>
          </wp:inline>
        </w:drawing>
      </w:r>
    </w:p>
    <w:p w14:paraId="4834D368" w14:textId="79C63B88" w:rsidR="008530A4" w:rsidRPr="00EE67A7" w:rsidRDefault="00D26969" w:rsidP="00A35800">
      <w:pPr>
        <w:rPr>
          <w:b/>
          <w:bCs/>
        </w:rPr>
      </w:pPr>
      <w:r w:rsidRPr="005066AB">
        <w:rPr>
          <w:b/>
          <w:bCs/>
        </w:rPr>
        <w:t xml:space="preserve">Figure </w:t>
      </w:r>
      <w:r w:rsidR="00AF3988">
        <w:rPr>
          <w:b/>
          <w:bCs/>
        </w:rPr>
        <w:t>12</w:t>
      </w:r>
      <w:r w:rsidRPr="005066AB">
        <w:rPr>
          <w:b/>
          <w:bCs/>
        </w:rPr>
        <w:t xml:space="preserve">: Rate of use of Botox </w:t>
      </w:r>
      <w:r w:rsidR="00EE67A7">
        <w:rPr>
          <w:b/>
          <w:bCs/>
        </w:rPr>
        <w:t xml:space="preserve">MBS </w:t>
      </w:r>
      <w:r w:rsidRPr="005066AB">
        <w:rPr>
          <w:b/>
          <w:bCs/>
        </w:rPr>
        <w:t>services by Statistical Area 4</w:t>
      </w:r>
    </w:p>
    <w:p w14:paraId="1B9CD2A5" w14:textId="5A89BA85" w:rsidR="00780B5A" w:rsidRDefault="07D12C91" w:rsidP="00FF182E">
      <w:pPr>
        <w:pStyle w:val="NormalWeb"/>
      </w:pPr>
      <w:r>
        <w:rPr>
          <w:noProof/>
        </w:rPr>
        <w:drawing>
          <wp:inline distT="0" distB="0" distL="0" distR="0" wp14:anchorId="25FD58B9" wp14:editId="151F4AD3">
            <wp:extent cx="5695948" cy="4029075"/>
            <wp:effectExtent l="0" t="0" r="0" b="0"/>
            <wp:docPr id="1905237750" name="Picture 190523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695948" cy="4029075"/>
                    </a:xfrm>
                    <a:prstGeom prst="rect">
                      <a:avLst/>
                    </a:prstGeom>
                  </pic:spPr>
                </pic:pic>
              </a:graphicData>
            </a:graphic>
          </wp:inline>
        </w:drawing>
      </w:r>
    </w:p>
    <w:p w14:paraId="2324E613" w14:textId="44E6D421" w:rsidR="00BD08D8" w:rsidRPr="003C065A" w:rsidRDefault="00CD7BDD" w:rsidP="003C065A">
      <w:pPr>
        <w:spacing w:after="0"/>
        <w:rPr>
          <w:b/>
          <w:bCs/>
        </w:rPr>
      </w:pPr>
      <w:r w:rsidRPr="003C065A">
        <w:rPr>
          <w:b/>
          <w:bCs/>
        </w:rPr>
        <w:t xml:space="preserve">Figure </w:t>
      </w:r>
      <w:r w:rsidR="00AF3988">
        <w:rPr>
          <w:b/>
          <w:bCs/>
        </w:rPr>
        <w:t>13</w:t>
      </w:r>
      <w:r w:rsidRPr="003C065A">
        <w:rPr>
          <w:b/>
          <w:bCs/>
        </w:rPr>
        <w:t xml:space="preserve">: Map of </w:t>
      </w:r>
      <w:r w:rsidR="007D1E6D" w:rsidRPr="003C065A">
        <w:rPr>
          <w:b/>
          <w:bCs/>
        </w:rPr>
        <w:t xml:space="preserve">Locations of Medical </w:t>
      </w:r>
      <w:r w:rsidR="00780B5A" w:rsidRPr="003C065A">
        <w:rPr>
          <w:b/>
          <w:bCs/>
        </w:rPr>
        <w:t>Professionals Specialising in Migraine and Headache</w:t>
      </w:r>
    </w:p>
    <w:p w14:paraId="004EA1BC" w14:textId="228CB774" w:rsidR="00BD08D8" w:rsidRPr="00750A78" w:rsidRDefault="00BD08D8" w:rsidP="00BD08D8">
      <w:pPr>
        <w:spacing w:after="0"/>
        <w:rPr>
          <w:sz w:val="20"/>
          <w:szCs w:val="20"/>
        </w:rPr>
      </w:pPr>
      <w:r w:rsidRPr="00750A78">
        <w:rPr>
          <w:sz w:val="20"/>
          <w:szCs w:val="20"/>
        </w:rPr>
        <w:t>Note:</w:t>
      </w:r>
    </w:p>
    <w:p w14:paraId="4A40A0F5" w14:textId="77E175E6" w:rsidR="00FD6385" w:rsidRPr="006C020D" w:rsidRDefault="00C713F0" w:rsidP="00BD08D8">
      <w:pPr>
        <w:spacing w:after="0"/>
        <w:rPr>
          <w:sz w:val="20"/>
          <w:szCs w:val="20"/>
        </w:rPr>
      </w:pPr>
      <w:r w:rsidRPr="00750A78">
        <w:rPr>
          <w:sz w:val="20"/>
          <w:szCs w:val="20"/>
        </w:rPr>
        <w:t xml:space="preserve">Sourced </w:t>
      </w:r>
      <w:hyperlink r:id="rId36" w:history="1">
        <w:r w:rsidR="00FF4F59" w:rsidRPr="00750A78">
          <w:rPr>
            <w:rStyle w:val="Hyperlink"/>
            <w:sz w:val="20"/>
            <w:szCs w:val="20"/>
          </w:rPr>
          <w:t>Doctor Directory - Headache Australia</w:t>
        </w:r>
      </w:hyperlink>
      <w:r w:rsidR="00FF4F59" w:rsidRPr="00750A78">
        <w:rPr>
          <w:sz w:val="20"/>
          <w:szCs w:val="20"/>
        </w:rPr>
        <w:t xml:space="preserve"> – Migraine and Hea</w:t>
      </w:r>
      <w:r w:rsidR="007D1E6D" w:rsidRPr="00750A78">
        <w:rPr>
          <w:sz w:val="20"/>
          <w:szCs w:val="20"/>
        </w:rPr>
        <w:t xml:space="preserve">dache Australia, </w:t>
      </w:r>
      <w:r w:rsidR="00BD08D8" w:rsidRPr="00750A78">
        <w:rPr>
          <w:sz w:val="20"/>
          <w:szCs w:val="20"/>
        </w:rPr>
        <w:t>Accessed 28 February 2024</w:t>
      </w:r>
      <w:r w:rsidR="009F34D0">
        <w:rPr>
          <w:sz w:val="20"/>
          <w:szCs w:val="20"/>
        </w:rPr>
        <w:t>.</w:t>
      </w:r>
    </w:p>
    <w:p w14:paraId="5F22B4D8" w14:textId="319090EA" w:rsidR="00736041" w:rsidRPr="005E22C2"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5ABEDF84" w14:textId="63006175" w:rsidR="00347B36" w:rsidRDefault="00347B36" w:rsidP="00347B36">
      <w:r w:rsidRPr="00BA5D42">
        <w:t xml:space="preserve">Table </w:t>
      </w:r>
      <w:r w:rsidR="000D3E76">
        <w:t>1</w:t>
      </w:r>
      <w:r w:rsidR="006E138D">
        <w:t>9</w:t>
      </w:r>
      <w:r w:rsidRPr="00BA5D42">
        <w:t xml:space="preserve"> </w:t>
      </w:r>
      <w:r w:rsidR="00F35BB4">
        <w:t xml:space="preserve">and </w:t>
      </w:r>
      <w:r w:rsidR="006E138D">
        <w:t>20</w:t>
      </w:r>
      <w:r w:rsidR="00F35BB4">
        <w:t xml:space="preserve"> </w:t>
      </w:r>
      <w:r w:rsidRPr="00BA5D42">
        <w:t>compares the predicted versus the actual utilisation and cost to government of</w:t>
      </w:r>
      <w:r>
        <w:t xml:space="preserve"> </w:t>
      </w:r>
      <w:r w:rsidR="000E73BE" w:rsidRPr="007A0D6E">
        <w:t>galcanezumab</w:t>
      </w:r>
      <w:r w:rsidR="000E73BE">
        <w:t xml:space="preserve"> and </w:t>
      </w:r>
      <w:r w:rsidR="007A0D6E">
        <w:t>f</w:t>
      </w:r>
      <w:r w:rsidR="007A0D6E" w:rsidRPr="007A0D6E">
        <w:t>remanezumab</w:t>
      </w:r>
      <w:r>
        <w:t xml:space="preserve"> </w:t>
      </w:r>
      <w:r w:rsidR="00F35BB4">
        <w:t xml:space="preserve">respectively </w:t>
      </w:r>
      <w:r w:rsidRPr="00BA5D42">
        <w:t xml:space="preserve">over the first </w:t>
      </w:r>
      <w:r>
        <w:t>two</w:t>
      </w:r>
      <w:r w:rsidRPr="00BA5D42">
        <w:t xml:space="preserve"> years of listing.</w:t>
      </w:r>
      <w:r>
        <w:t xml:space="preserve"> </w:t>
      </w:r>
    </w:p>
    <w:p w14:paraId="62478852" w14:textId="5B8FCE02" w:rsidR="000E73BE" w:rsidRPr="00CF2532" w:rsidRDefault="000E73BE" w:rsidP="000E73BE">
      <w:pPr>
        <w:spacing w:before="200" w:after="20"/>
        <w:rPr>
          <w:b/>
          <w:bCs/>
        </w:rPr>
      </w:pPr>
      <w:r w:rsidRPr="00CF2532">
        <w:rPr>
          <w:b/>
          <w:bCs/>
        </w:rPr>
        <w:t xml:space="preserve">Table </w:t>
      </w:r>
      <w:r>
        <w:rPr>
          <w:b/>
          <w:bCs/>
        </w:rPr>
        <w:t>1</w:t>
      </w:r>
      <w:r w:rsidR="006E138D">
        <w:rPr>
          <w:b/>
          <w:bCs/>
        </w:rPr>
        <w:t>9</w:t>
      </w:r>
      <w:r w:rsidRPr="00CF2532">
        <w:rPr>
          <w:b/>
          <w:bCs/>
        </w:rPr>
        <w:t xml:space="preserve">: Comparison of predicted versus actual utilisation of </w:t>
      </w:r>
      <w:r w:rsidRPr="007A0D6E">
        <w:rPr>
          <w:b/>
          <w:bCs/>
        </w:rPr>
        <w:t>galcanezumab</w:t>
      </w:r>
      <w:r w:rsidRPr="00CF2532">
        <w:rPr>
          <w:b/>
          <w:bCs/>
        </w:rPr>
        <w:t xml:space="preserve"> for each year of listing</w:t>
      </w:r>
    </w:p>
    <w:tbl>
      <w:tblPr>
        <w:tblW w:w="8785" w:type="dxa"/>
        <w:tblLayout w:type="fixed"/>
        <w:tblLook w:val="04A0" w:firstRow="1" w:lastRow="0" w:firstColumn="1" w:lastColumn="0" w:noHBand="0" w:noVBand="1"/>
      </w:tblPr>
      <w:tblGrid>
        <w:gridCol w:w="4438"/>
        <w:gridCol w:w="2173"/>
        <w:gridCol w:w="2174"/>
      </w:tblGrid>
      <w:tr w:rsidR="000E73BE" w:rsidRPr="009B492F" w14:paraId="09B9FF1D" w14:textId="77777777">
        <w:trPr>
          <w:trHeight w:val="444"/>
        </w:trPr>
        <w:tc>
          <w:tcPr>
            <w:tcW w:w="4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D458C3A" w14:textId="77777777" w:rsidR="000E73BE" w:rsidRPr="006B1AA8" w:rsidRDefault="000E73BE">
            <w:pPr>
              <w:spacing w:before="60" w:after="60"/>
              <w:rPr>
                <w:rFonts w:ascii="Times New Roman" w:eastAsia="Times New Roman" w:hAnsi="Times New Roman" w:cs="Times New Roman"/>
                <w:sz w:val="20"/>
                <w:szCs w:val="20"/>
                <w:shd w:val="clear" w:color="auto" w:fill="C0C0C1"/>
              </w:rPr>
            </w:pPr>
          </w:p>
        </w:tc>
        <w:tc>
          <w:tcPr>
            <w:tcW w:w="2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20217021" w14:textId="77777777" w:rsidR="000E73BE" w:rsidRPr="006B1AA8" w:rsidRDefault="000E73BE">
            <w:pPr>
              <w:spacing w:before="60" w:after="60"/>
              <w:jc w:val="center"/>
              <w:rPr>
                <w:rFonts w:ascii="Calibri" w:eastAsia="Times New Roman" w:hAnsi="Calibri" w:cs="Calibri"/>
                <w:b/>
                <w:bCs/>
                <w:sz w:val="20"/>
                <w:szCs w:val="20"/>
                <w:shd w:val="clear" w:color="auto" w:fill="C0C0C1"/>
              </w:rPr>
            </w:pPr>
            <w:r w:rsidRPr="006B1AA8">
              <w:rPr>
                <w:rFonts w:ascii="Calibri" w:eastAsia="Times New Roman" w:hAnsi="Calibri" w:cs="Calibri"/>
                <w:b/>
                <w:bCs/>
                <w:sz w:val="20"/>
                <w:szCs w:val="20"/>
                <w:shd w:val="clear" w:color="auto" w:fill="C0C0C1"/>
              </w:rPr>
              <w:t>Year 1</w:t>
            </w:r>
            <w:r w:rsidRPr="006B1AA8">
              <w:rPr>
                <w:rFonts w:ascii="Calibri" w:eastAsia="Times New Roman" w:hAnsi="Calibri" w:cs="Calibri"/>
                <w:b/>
                <w:bCs/>
                <w:sz w:val="20"/>
                <w:szCs w:val="20"/>
                <w:shd w:val="clear" w:color="auto" w:fill="C0C0C1"/>
                <w:vertAlign w:val="superscript"/>
              </w:rPr>
              <w:t>a</w:t>
            </w:r>
          </w:p>
        </w:tc>
        <w:tc>
          <w:tcPr>
            <w:tcW w:w="217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DD75A8F" w14:textId="77777777" w:rsidR="000E73BE" w:rsidRPr="006B1AA8" w:rsidRDefault="000E73BE">
            <w:pPr>
              <w:spacing w:before="60" w:after="60"/>
              <w:jc w:val="center"/>
              <w:rPr>
                <w:rFonts w:ascii="Calibri" w:eastAsia="Times New Roman" w:hAnsi="Calibri" w:cs="Calibri"/>
                <w:b/>
                <w:bCs/>
                <w:sz w:val="20"/>
                <w:szCs w:val="20"/>
                <w:shd w:val="clear" w:color="auto" w:fill="C0C0C1"/>
              </w:rPr>
            </w:pPr>
            <w:r w:rsidRPr="006B1AA8">
              <w:rPr>
                <w:rFonts w:ascii="Calibri" w:eastAsia="Times New Roman" w:hAnsi="Calibri" w:cs="Calibri"/>
                <w:b/>
                <w:bCs/>
                <w:sz w:val="20"/>
                <w:szCs w:val="20"/>
                <w:shd w:val="clear" w:color="auto" w:fill="C0C0C1"/>
              </w:rPr>
              <w:t>Year 2</w:t>
            </w:r>
            <w:r w:rsidRPr="006B1AA8">
              <w:rPr>
                <w:rFonts w:ascii="Calibri" w:eastAsia="Times New Roman" w:hAnsi="Calibri" w:cs="Calibri"/>
                <w:b/>
                <w:bCs/>
                <w:sz w:val="20"/>
                <w:szCs w:val="20"/>
                <w:shd w:val="clear" w:color="auto" w:fill="C0C0C1"/>
                <w:vertAlign w:val="superscript"/>
              </w:rPr>
              <w:t>a</w:t>
            </w:r>
          </w:p>
        </w:tc>
      </w:tr>
      <w:tr w:rsidR="000E73BE" w:rsidRPr="00CF2532" w14:paraId="49853DCF" w14:textId="77777777">
        <w:trPr>
          <w:trHeight w:val="34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7CA2DF" w14:textId="77777777" w:rsidR="000E73BE" w:rsidRPr="006B1AA8" w:rsidRDefault="000E73BE">
            <w:pPr>
              <w:spacing w:before="60" w:after="60"/>
              <w:rPr>
                <w:rFonts w:cstheme="minorHAnsi"/>
                <w:b/>
                <w:bCs/>
                <w:sz w:val="20"/>
                <w:szCs w:val="20"/>
              </w:rPr>
            </w:pPr>
            <w:r w:rsidRPr="006B1AA8">
              <w:rPr>
                <w:rFonts w:cstheme="minorHAnsi"/>
                <w:b/>
                <w:bCs/>
                <w:sz w:val="20"/>
                <w:szCs w:val="20"/>
              </w:rPr>
              <w:t>Number of patients</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812CB7" w14:textId="77777777" w:rsidR="000E73BE" w:rsidRPr="006B1AA8" w:rsidRDefault="000E73BE">
            <w:pPr>
              <w:spacing w:before="60" w:after="60"/>
              <w:jc w:val="center"/>
              <w:rPr>
                <w:rFonts w:cstheme="minorHAnsi"/>
                <w:sz w:val="20"/>
                <w:szCs w:val="20"/>
              </w:rPr>
            </w:pP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9D2AF2" w14:textId="77777777" w:rsidR="000E73BE" w:rsidRPr="006B1AA8" w:rsidRDefault="000E73BE">
            <w:pPr>
              <w:spacing w:before="60" w:after="60"/>
              <w:jc w:val="center"/>
              <w:rPr>
                <w:rFonts w:cstheme="minorHAnsi"/>
                <w:sz w:val="20"/>
                <w:szCs w:val="20"/>
              </w:rPr>
            </w:pPr>
          </w:p>
        </w:tc>
      </w:tr>
      <w:tr w:rsidR="000E73BE" w:rsidRPr="00F94204" w14:paraId="05C1081D" w14:textId="77777777">
        <w:trPr>
          <w:trHeight w:val="34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A11B5F" w14:textId="364BBB1E" w:rsidR="000E73BE" w:rsidRPr="006B1AA8" w:rsidRDefault="000E73BE">
            <w:pPr>
              <w:spacing w:before="60" w:after="60"/>
              <w:rPr>
                <w:rFonts w:cstheme="minorHAnsi"/>
                <w:sz w:val="20"/>
                <w:szCs w:val="20"/>
              </w:rPr>
            </w:pPr>
            <w:r w:rsidRPr="006B1AA8">
              <w:rPr>
                <w:rFonts w:cstheme="minorHAnsi"/>
                <w:sz w:val="20"/>
                <w:szCs w:val="20"/>
              </w:rPr>
              <w:t>Predicted</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A3D7F1" w14:textId="737CB489" w:rsidR="000E73BE" w:rsidRPr="001847BD" w:rsidRDefault="009B11B3">
            <w:pPr>
              <w:spacing w:before="60" w:after="60"/>
              <w:jc w:val="center"/>
              <w:rPr>
                <w:rFonts w:cstheme="minorHAnsi"/>
                <w:sz w:val="20"/>
                <w:szCs w:val="20"/>
                <w:highlight w:val="lightGray"/>
              </w:rPr>
            </w:pPr>
            <w:r w:rsidRPr="009B11B3">
              <w:rPr>
                <w:rFonts w:cstheme="minorHAnsi"/>
                <w:sz w:val="20"/>
                <w:szCs w:val="20"/>
                <w:highlight w:val="black"/>
              </w:rPr>
              <w:t>XXXXX</w:t>
            </w:r>
          </w:p>
        </w:tc>
        <w:tc>
          <w:tcPr>
            <w:tcW w:w="2174" w:type="dxa"/>
            <w:tcBorders>
              <w:top w:val="single" w:sz="4" w:space="0" w:color="auto"/>
              <w:left w:val="nil"/>
              <w:bottom w:val="single" w:sz="4" w:space="0" w:color="auto"/>
              <w:right w:val="single" w:sz="4" w:space="0" w:color="auto"/>
            </w:tcBorders>
            <w:shd w:val="clear" w:color="auto" w:fill="FFFFFF" w:themeFill="background1"/>
            <w:noWrap/>
            <w:vAlign w:val="center"/>
          </w:tcPr>
          <w:p w14:paraId="1A9FF685" w14:textId="0FEEBFC6" w:rsidR="000E73BE" w:rsidRPr="001847BD" w:rsidRDefault="009B11B3">
            <w:pPr>
              <w:spacing w:before="60" w:after="60"/>
              <w:jc w:val="center"/>
              <w:rPr>
                <w:rFonts w:cstheme="minorHAnsi"/>
                <w:sz w:val="20"/>
                <w:szCs w:val="20"/>
                <w:highlight w:val="lightGray"/>
              </w:rPr>
            </w:pPr>
            <w:r w:rsidRPr="009B11B3">
              <w:rPr>
                <w:rFonts w:cstheme="minorHAnsi"/>
                <w:sz w:val="20"/>
                <w:szCs w:val="20"/>
                <w:highlight w:val="black"/>
              </w:rPr>
              <w:t>XXXXX</w:t>
            </w:r>
          </w:p>
        </w:tc>
      </w:tr>
      <w:tr w:rsidR="000E73BE" w:rsidRPr="00F94204" w14:paraId="406D3276" w14:textId="77777777">
        <w:trPr>
          <w:trHeight w:val="34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60F210" w14:textId="77777777" w:rsidR="000E73BE" w:rsidRPr="006B1AA8" w:rsidRDefault="000E73BE">
            <w:pPr>
              <w:spacing w:before="60" w:after="60"/>
              <w:rPr>
                <w:rFonts w:cstheme="minorHAnsi"/>
                <w:sz w:val="20"/>
                <w:szCs w:val="20"/>
              </w:rPr>
            </w:pPr>
            <w:r w:rsidRPr="006B1AA8">
              <w:rPr>
                <w:rFonts w:cstheme="minorHAnsi"/>
                <w:sz w:val="20"/>
                <w:szCs w:val="20"/>
              </w:rPr>
              <w:t>Actual</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7332C1F" w14:textId="77777777" w:rsidR="000E73BE" w:rsidRPr="006B1AA8" w:rsidRDefault="000E73BE">
            <w:pPr>
              <w:spacing w:before="60" w:after="60"/>
              <w:jc w:val="center"/>
              <w:rPr>
                <w:rFonts w:cstheme="minorHAnsi"/>
                <w:sz w:val="20"/>
                <w:szCs w:val="20"/>
              </w:rPr>
            </w:pPr>
            <w:r>
              <w:rPr>
                <w:rFonts w:cstheme="minorHAnsi"/>
                <w:sz w:val="20"/>
                <w:szCs w:val="20"/>
              </w:rPr>
              <w:t>9,759</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309914" w14:textId="77777777" w:rsidR="000E73BE" w:rsidRPr="006B1AA8" w:rsidRDefault="000E73BE">
            <w:pPr>
              <w:spacing w:before="60" w:after="60"/>
              <w:jc w:val="center"/>
              <w:rPr>
                <w:rFonts w:cstheme="minorHAnsi"/>
                <w:sz w:val="20"/>
                <w:szCs w:val="20"/>
              </w:rPr>
            </w:pPr>
            <w:r>
              <w:rPr>
                <w:rFonts w:cstheme="minorHAnsi"/>
                <w:sz w:val="20"/>
                <w:szCs w:val="20"/>
              </w:rPr>
              <w:t>10,521</w:t>
            </w:r>
          </w:p>
        </w:tc>
      </w:tr>
      <w:tr w:rsidR="000E73BE" w:rsidRPr="00F94204" w14:paraId="65CFAF4B" w14:textId="77777777">
        <w:trPr>
          <w:trHeight w:val="34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35BA6D" w14:textId="77777777" w:rsidR="000E73BE" w:rsidRPr="006B1AA8" w:rsidRDefault="000E73BE">
            <w:pPr>
              <w:spacing w:before="60" w:after="60"/>
              <w:rPr>
                <w:rFonts w:cstheme="minorHAnsi"/>
                <w:sz w:val="20"/>
                <w:szCs w:val="20"/>
              </w:rPr>
            </w:pPr>
            <w:r w:rsidRPr="006B1AA8">
              <w:rPr>
                <w:rFonts w:cstheme="minorHAnsi"/>
                <w:sz w:val="20"/>
                <w:szCs w:val="20"/>
              </w:rPr>
              <w:t xml:space="preserve">Difference </w:t>
            </w:r>
            <w:r w:rsidRPr="006B1AA8">
              <w:rPr>
                <w:rFonts w:cstheme="minorHAnsi"/>
                <w:sz w:val="20"/>
                <w:szCs w:val="20"/>
                <w:vertAlign w:val="superscript"/>
              </w:rPr>
              <w:t>b</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3DB993" w14:textId="6951E7E6" w:rsidR="000E73BE" w:rsidRPr="001847BD" w:rsidRDefault="009B11B3">
            <w:pPr>
              <w:spacing w:before="60" w:after="60"/>
              <w:jc w:val="center"/>
              <w:rPr>
                <w:rFonts w:cstheme="minorHAnsi"/>
                <w:sz w:val="20"/>
                <w:szCs w:val="20"/>
                <w:highlight w:val="lightGray"/>
              </w:rPr>
            </w:pPr>
            <w:r w:rsidRPr="009B11B3">
              <w:rPr>
                <w:rFonts w:cstheme="minorHAnsi"/>
                <w:sz w:val="20"/>
                <w:szCs w:val="20"/>
                <w:highlight w:val="black"/>
              </w:rPr>
              <w:t>XXXXX</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B04E4F0" w14:textId="731AEEBF" w:rsidR="000E73BE" w:rsidRPr="001847BD" w:rsidRDefault="009B11B3">
            <w:pPr>
              <w:spacing w:before="60" w:after="60"/>
              <w:jc w:val="center"/>
              <w:rPr>
                <w:rFonts w:cstheme="minorHAnsi"/>
                <w:sz w:val="20"/>
                <w:szCs w:val="20"/>
                <w:highlight w:val="lightGray"/>
              </w:rPr>
            </w:pPr>
            <w:r w:rsidRPr="009B11B3">
              <w:rPr>
                <w:rFonts w:cstheme="minorHAnsi"/>
                <w:sz w:val="20"/>
                <w:szCs w:val="20"/>
                <w:highlight w:val="black"/>
              </w:rPr>
              <w:t>XXXXX</w:t>
            </w:r>
          </w:p>
        </w:tc>
      </w:tr>
      <w:tr w:rsidR="000E73BE" w:rsidRPr="00F94204" w14:paraId="1BF502A4" w14:textId="77777777">
        <w:trPr>
          <w:trHeight w:val="34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84ABE2" w14:textId="77777777" w:rsidR="000E73BE" w:rsidRPr="006B1AA8" w:rsidRDefault="000E73BE">
            <w:pPr>
              <w:spacing w:before="60" w:after="60"/>
              <w:rPr>
                <w:rFonts w:cstheme="minorHAnsi"/>
                <w:b/>
                <w:bCs/>
                <w:sz w:val="20"/>
                <w:szCs w:val="20"/>
              </w:rPr>
            </w:pPr>
            <w:r w:rsidRPr="006B1AA8">
              <w:rPr>
                <w:rFonts w:cstheme="minorHAnsi"/>
                <w:b/>
                <w:bCs/>
                <w:sz w:val="20"/>
                <w:szCs w:val="20"/>
              </w:rPr>
              <w:t>Number of scripts</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C2DC8F" w14:textId="77777777" w:rsidR="000E73BE" w:rsidRPr="006B1AA8" w:rsidRDefault="000E73BE">
            <w:pPr>
              <w:spacing w:before="60" w:after="60"/>
              <w:jc w:val="center"/>
              <w:rPr>
                <w:rFonts w:cstheme="minorHAnsi"/>
                <w:sz w:val="20"/>
                <w:szCs w:val="20"/>
              </w:rPr>
            </w:pP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9443AC" w14:textId="77777777" w:rsidR="000E73BE" w:rsidRPr="006B1AA8" w:rsidRDefault="000E73BE">
            <w:pPr>
              <w:spacing w:before="60" w:after="60"/>
              <w:jc w:val="center"/>
              <w:rPr>
                <w:rFonts w:cstheme="minorHAnsi"/>
                <w:sz w:val="20"/>
                <w:szCs w:val="20"/>
              </w:rPr>
            </w:pPr>
          </w:p>
        </w:tc>
      </w:tr>
      <w:tr w:rsidR="000E73BE" w:rsidRPr="00F94204" w14:paraId="4793A72E" w14:textId="77777777">
        <w:trPr>
          <w:trHeight w:val="34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73094C" w14:textId="125640C6" w:rsidR="000E73BE" w:rsidRPr="006B1AA8" w:rsidRDefault="000E73BE">
            <w:pPr>
              <w:spacing w:before="60" w:after="60"/>
              <w:rPr>
                <w:rFonts w:cstheme="minorHAnsi"/>
                <w:sz w:val="20"/>
                <w:szCs w:val="20"/>
              </w:rPr>
            </w:pPr>
            <w:r w:rsidRPr="006B1AA8">
              <w:rPr>
                <w:rFonts w:cstheme="minorHAnsi"/>
                <w:sz w:val="20"/>
                <w:szCs w:val="20"/>
              </w:rPr>
              <w:t>Predicted</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387988" w14:textId="28D11FA3" w:rsidR="000E73BE" w:rsidRPr="001847BD" w:rsidRDefault="009B11B3">
            <w:pPr>
              <w:spacing w:before="60" w:after="60"/>
              <w:jc w:val="center"/>
              <w:rPr>
                <w:rFonts w:cstheme="minorHAnsi"/>
                <w:sz w:val="20"/>
                <w:szCs w:val="20"/>
                <w:highlight w:val="lightGray"/>
              </w:rPr>
            </w:pPr>
            <w:r w:rsidRPr="009B11B3">
              <w:rPr>
                <w:rFonts w:cstheme="minorHAnsi"/>
                <w:sz w:val="20"/>
                <w:szCs w:val="20"/>
                <w:highlight w:val="black"/>
              </w:rPr>
              <w:t>XXXXXX</w:t>
            </w:r>
          </w:p>
        </w:tc>
        <w:tc>
          <w:tcPr>
            <w:tcW w:w="2174" w:type="dxa"/>
            <w:tcBorders>
              <w:top w:val="single" w:sz="4" w:space="0" w:color="auto"/>
              <w:left w:val="nil"/>
              <w:bottom w:val="single" w:sz="4" w:space="0" w:color="auto"/>
              <w:right w:val="single" w:sz="4" w:space="0" w:color="auto"/>
            </w:tcBorders>
            <w:shd w:val="clear" w:color="auto" w:fill="FFFFFF" w:themeFill="background1"/>
            <w:noWrap/>
            <w:vAlign w:val="center"/>
          </w:tcPr>
          <w:p w14:paraId="729B36D6" w14:textId="25F2F27C" w:rsidR="000E73BE" w:rsidRPr="001847BD" w:rsidRDefault="009B11B3">
            <w:pPr>
              <w:spacing w:before="60" w:after="60"/>
              <w:jc w:val="center"/>
              <w:rPr>
                <w:rFonts w:cstheme="minorHAnsi"/>
                <w:sz w:val="20"/>
                <w:szCs w:val="20"/>
                <w:highlight w:val="lightGray"/>
              </w:rPr>
            </w:pPr>
            <w:r w:rsidRPr="009B11B3">
              <w:rPr>
                <w:rFonts w:cstheme="minorHAnsi"/>
                <w:sz w:val="20"/>
                <w:szCs w:val="20"/>
                <w:highlight w:val="black"/>
              </w:rPr>
              <w:t>XXXXXX</w:t>
            </w:r>
          </w:p>
        </w:tc>
      </w:tr>
      <w:tr w:rsidR="000E73BE" w:rsidRPr="00F94204" w14:paraId="22078381" w14:textId="77777777">
        <w:trPr>
          <w:trHeight w:val="34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8157DF" w14:textId="77777777" w:rsidR="000E73BE" w:rsidRPr="006B1AA8" w:rsidRDefault="000E73BE">
            <w:pPr>
              <w:spacing w:before="60" w:after="60"/>
              <w:rPr>
                <w:rFonts w:cstheme="minorHAnsi"/>
                <w:sz w:val="20"/>
                <w:szCs w:val="20"/>
              </w:rPr>
            </w:pPr>
            <w:r w:rsidRPr="006B1AA8">
              <w:rPr>
                <w:rFonts w:cstheme="minorHAnsi"/>
                <w:sz w:val="20"/>
                <w:szCs w:val="20"/>
              </w:rPr>
              <w:t>Actual</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B14B66B" w14:textId="77777777" w:rsidR="000E73BE" w:rsidRPr="00695BCB" w:rsidRDefault="000E73BE">
            <w:pPr>
              <w:spacing w:before="60" w:after="60"/>
              <w:jc w:val="center"/>
              <w:rPr>
                <w:rFonts w:cstheme="minorHAnsi"/>
                <w:sz w:val="20"/>
                <w:szCs w:val="20"/>
              </w:rPr>
            </w:pPr>
            <w:r w:rsidRPr="00695BCB">
              <w:rPr>
                <w:sz w:val="20"/>
                <w:szCs w:val="20"/>
              </w:rPr>
              <w:t>56,185</w:t>
            </w:r>
          </w:p>
        </w:tc>
        <w:tc>
          <w:tcPr>
            <w:tcW w:w="2174" w:type="dxa"/>
            <w:tcBorders>
              <w:top w:val="single" w:sz="4" w:space="0" w:color="auto"/>
              <w:left w:val="nil"/>
              <w:bottom w:val="single" w:sz="4" w:space="0" w:color="auto"/>
              <w:right w:val="single" w:sz="4" w:space="0" w:color="auto"/>
            </w:tcBorders>
            <w:shd w:val="clear" w:color="auto" w:fill="FFFFFF" w:themeFill="background1"/>
            <w:noWrap/>
          </w:tcPr>
          <w:p w14:paraId="54A6E762" w14:textId="77777777" w:rsidR="000E73BE" w:rsidRPr="00695BCB" w:rsidRDefault="000E73BE">
            <w:pPr>
              <w:spacing w:before="60" w:after="60"/>
              <w:jc w:val="center"/>
              <w:rPr>
                <w:rFonts w:cstheme="minorHAnsi"/>
                <w:sz w:val="20"/>
                <w:szCs w:val="20"/>
              </w:rPr>
            </w:pPr>
            <w:r w:rsidRPr="00695BCB">
              <w:rPr>
                <w:sz w:val="20"/>
                <w:szCs w:val="20"/>
              </w:rPr>
              <w:t>77,294</w:t>
            </w:r>
          </w:p>
        </w:tc>
      </w:tr>
      <w:tr w:rsidR="000E73BE" w:rsidRPr="00F94204" w14:paraId="7B2CEF1E" w14:textId="77777777">
        <w:trPr>
          <w:trHeight w:val="34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4CAABB" w14:textId="77777777" w:rsidR="000E73BE" w:rsidRPr="006B1AA8" w:rsidRDefault="000E73BE">
            <w:pPr>
              <w:spacing w:before="60" w:after="60"/>
              <w:rPr>
                <w:rFonts w:cstheme="minorHAnsi"/>
                <w:sz w:val="20"/>
                <w:szCs w:val="20"/>
              </w:rPr>
            </w:pPr>
            <w:r w:rsidRPr="006B1AA8">
              <w:rPr>
                <w:rFonts w:cstheme="minorHAnsi"/>
                <w:sz w:val="20"/>
                <w:szCs w:val="20"/>
              </w:rPr>
              <w:t>Difference</w:t>
            </w:r>
            <w:r w:rsidRPr="006B1AA8">
              <w:rPr>
                <w:rFonts w:cstheme="minorHAnsi"/>
                <w:sz w:val="20"/>
                <w:szCs w:val="20"/>
                <w:vertAlign w:val="superscript"/>
              </w:rPr>
              <w:t xml:space="preserve"> b</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93E8A9F" w14:textId="06A0743A" w:rsidR="000E73BE" w:rsidRPr="001847BD" w:rsidRDefault="009B11B3">
            <w:pPr>
              <w:spacing w:before="60" w:after="60"/>
              <w:jc w:val="center"/>
              <w:rPr>
                <w:rFonts w:cstheme="minorHAnsi"/>
                <w:sz w:val="20"/>
                <w:szCs w:val="20"/>
                <w:highlight w:val="lightGray"/>
              </w:rPr>
            </w:pPr>
            <w:r w:rsidRPr="009B11B3">
              <w:rPr>
                <w:rFonts w:cstheme="minorHAnsi"/>
                <w:sz w:val="20"/>
                <w:szCs w:val="20"/>
                <w:highlight w:val="black"/>
              </w:rPr>
              <w:t>XXXXX</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F58C291" w14:textId="3E0CAE8E" w:rsidR="000E73BE" w:rsidRPr="001847BD" w:rsidRDefault="009B11B3">
            <w:pPr>
              <w:spacing w:before="60" w:after="60"/>
              <w:jc w:val="center"/>
              <w:rPr>
                <w:rFonts w:cstheme="minorHAnsi"/>
                <w:sz w:val="20"/>
                <w:szCs w:val="20"/>
                <w:highlight w:val="lightGray"/>
              </w:rPr>
            </w:pPr>
            <w:r w:rsidRPr="009B11B3">
              <w:rPr>
                <w:rFonts w:cstheme="minorHAnsi"/>
                <w:sz w:val="20"/>
                <w:szCs w:val="20"/>
                <w:highlight w:val="black"/>
              </w:rPr>
              <w:t>XXXXX</w:t>
            </w:r>
          </w:p>
        </w:tc>
      </w:tr>
    </w:tbl>
    <w:p w14:paraId="05DE45D1" w14:textId="77777777" w:rsidR="000E73BE" w:rsidRPr="00F94204" w:rsidRDefault="000E73BE" w:rsidP="000E73BE">
      <w:pPr>
        <w:spacing w:after="0"/>
        <w:rPr>
          <w:sz w:val="20"/>
          <w:szCs w:val="20"/>
        </w:rPr>
      </w:pPr>
      <w:r w:rsidRPr="00F94204">
        <w:rPr>
          <w:sz w:val="20"/>
          <w:szCs w:val="20"/>
        </w:rPr>
        <w:t>Source: The predicted figures were sourced from the final version of the financial estimates model.</w:t>
      </w:r>
    </w:p>
    <w:p w14:paraId="3B291667" w14:textId="77777777" w:rsidR="000E73BE" w:rsidRPr="00F94204" w:rsidRDefault="000E73BE" w:rsidP="000E73BE">
      <w:pPr>
        <w:spacing w:after="0"/>
        <w:rPr>
          <w:sz w:val="20"/>
          <w:szCs w:val="20"/>
        </w:rPr>
      </w:pPr>
      <w:r w:rsidRPr="00F94204">
        <w:rPr>
          <w:sz w:val="20"/>
          <w:szCs w:val="20"/>
        </w:rPr>
        <w:t>Note:</w:t>
      </w:r>
    </w:p>
    <w:p w14:paraId="324D3F17" w14:textId="77777777" w:rsidR="000E73BE" w:rsidRPr="00F94204" w:rsidRDefault="000E73BE" w:rsidP="000E73BE">
      <w:pPr>
        <w:spacing w:after="0"/>
        <w:rPr>
          <w:sz w:val="20"/>
          <w:szCs w:val="20"/>
        </w:rPr>
      </w:pPr>
      <w:r w:rsidRPr="00F94204">
        <w:rPr>
          <w:sz w:val="20"/>
          <w:szCs w:val="20"/>
          <w:vertAlign w:val="superscript"/>
        </w:rPr>
        <w:t>a</w:t>
      </w:r>
      <w:r w:rsidRPr="00F94204">
        <w:rPr>
          <w:sz w:val="20"/>
          <w:szCs w:val="20"/>
        </w:rPr>
        <w:t xml:space="preserve"> </w:t>
      </w:r>
      <w:proofErr w:type="gramStart"/>
      <w:r w:rsidRPr="00F94204">
        <w:rPr>
          <w:sz w:val="20"/>
          <w:szCs w:val="20"/>
        </w:rPr>
        <w:t>The</w:t>
      </w:r>
      <w:proofErr w:type="gramEnd"/>
      <w:r w:rsidRPr="00F94204">
        <w:rPr>
          <w:sz w:val="20"/>
          <w:szCs w:val="20"/>
        </w:rPr>
        <w:t xml:space="preserve"> figures are presented in listing years (</w:t>
      </w:r>
      <w:r>
        <w:rPr>
          <w:sz w:val="20"/>
          <w:szCs w:val="20"/>
        </w:rPr>
        <w:t>Jun</w:t>
      </w:r>
      <w:r w:rsidRPr="00F94204">
        <w:rPr>
          <w:sz w:val="20"/>
          <w:szCs w:val="20"/>
        </w:rPr>
        <w:t xml:space="preserve"> to </w:t>
      </w:r>
      <w:r>
        <w:rPr>
          <w:sz w:val="20"/>
          <w:szCs w:val="20"/>
        </w:rPr>
        <w:t>May</w:t>
      </w:r>
      <w:r w:rsidRPr="00F94204">
        <w:rPr>
          <w:sz w:val="20"/>
          <w:szCs w:val="20"/>
        </w:rPr>
        <w:t>).</w:t>
      </w:r>
    </w:p>
    <w:p w14:paraId="587A2EBE" w14:textId="77777777" w:rsidR="000E73BE" w:rsidRPr="006479AB" w:rsidRDefault="000E73BE" w:rsidP="000E73BE">
      <w:pPr>
        <w:spacing w:after="0"/>
        <w:rPr>
          <w:sz w:val="20"/>
          <w:szCs w:val="20"/>
        </w:rPr>
      </w:pPr>
      <w:r w:rsidRPr="00F94204">
        <w:rPr>
          <w:sz w:val="20"/>
          <w:szCs w:val="20"/>
          <w:vertAlign w:val="superscript"/>
        </w:rPr>
        <w:t>b</w:t>
      </w:r>
      <w:r w:rsidRPr="00F94204">
        <w:rPr>
          <w:sz w:val="20"/>
          <w:szCs w:val="20"/>
        </w:rPr>
        <w:t xml:space="preserve"> Difference is calculated as: ((Actual – Predicted)/Predicted) x 100.</w:t>
      </w:r>
    </w:p>
    <w:p w14:paraId="5B46958A" w14:textId="77777777" w:rsidR="000E73BE" w:rsidRPr="00205637" w:rsidRDefault="000E73BE" w:rsidP="00347B36"/>
    <w:p w14:paraId="6791C35C" w14:textId="5546D619" w:rsidR="00347B36" w:rsidRPr="00CF2532" w:rsidRDefault="00347B36" w:rsidP="00347B36">
      <w:pPr>
        <w:spacing w:before="200" w:after="20"/>
        <w:rPr>
          <w:b/>
          <w:bCs/>
        </w:rPr>
      </w:pPr>
      <w:r w:rsidRPr="00CF2532">
        <w:rPr>
          <w:b/>
          <w:bCs/>
        </w:rPr>
        <w:t xml:space="preserve">Table </w:t>
      </w:r>
      <w:r w:rsidR="006E138D">
        <w:rPr>
          <w:b/>
          <w:bCs/>
        </w:rPr>
        <w:t>20</w:t>
      </w:r>
      <w:r w:rsidRPr="00CF2532">
        <w:rPr>
          <w:b/>
          <w:bCs/>
        </w:rPr>
        <w:t>: Comparison of predicted versus actual utilisation of</w:t>
      </w:r>
      <w:r w:rsidR="00AC5642">
        <w:rPr>
          <w:b/>
          <w:bCs/>
        </w:rPr>
        <w:t xml:space="preserve"> f</w:t>
      </w:r>
      <w:r w:rsidR="00AC5642" w:rsidRPr="00AC5642">
        <w:rPr>
          <w:b/>
          <w:bCs/>
        </w:rPr>
        <w:t>remanezumab</w:t>
      </w:r>
      <w:r w:rsidRPr="00CF2532">
        <w:rPr>
          <w:b/>
          <w:bCs/>
        </w:rPr>
        <w:t xml:space="preserve"> for each year of listing</w:t>
      </w:r>
    </w:p>
    <w:tbl>
      <w:tblPr>
        <w:tblW w:w="8785" w:type="dxa"/>
        <w:tblLayout w:type="fixed"/>
        <w:tblLook w:val="04A0" w:firstRow="1" w:lastRow="0" w:firstColumn="1" w:lastColumn="0" w:noHBand="0" w:noVBand="1"/>
      </w:tblPr>
      <w:tblGrid>
        <w:gridCol w:w="4438"/>
        <w:gridCol w:w="2173"/>
        <w:gridCol w:w="2174"/>
      </w:tblGrid>
      <w:tr w:rsidR="00347B36" w:rsidRPr="009B492F" w14:paraId="5EC0C3FA" w14:textId="77777777">
        <w:trPr>
          <w:trHeight w:val="444"/>
        </w:trPr>
        <w:tc>
          <w:tcPr>
            <w:tcW w:w="4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E009CA7" w14:textId="77777777" w:rsidR="00347B36" w:rsidRPr="006B1AA8" w:rsidRDefault="00347B36">
            <w:pPr>
              <w:spacing w:before="60" w:after="60"/>
              <w:rPr>
                <w:rFonts w:ascii="Times New Roman" w:eastAsia="Times New Roman" w:hAnsi="Times New Roman" w:cs="Times New Roman"/>
                <w:sz w:val="20"/>
                <w:szCs w:val="20"/>
                <w:shd w:val="clear" w:color="auto" w:fill="C0C0C1"/>
              </w:rPr>
            </w:pPr>
          </w:p>
        </w:tc>
        <w:tc>
          <w:tcPr>
            <w:tcW w:w="2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588692A6" w14:textId="77777777" w:rsidR="00347B36" w:rsidRPr="006B1AA8" w:rsidRDefault="00347B36">
            <w:pPr>
              <w:spacing w:before="60" w:after="60"/>
              <w:jc w:val="center"/>
              <w:rPr>
                <w:rFonts w:ascii="Calibri" w:eastAsia="Times New Roman" w:hAnsi="Calibri" w:cs="Calibri"/>
                <w:b/>
                <w:bCs/>
                <w:sz w:val="20"/>
                <w:szCs w:val="20"/>
                <w:shd w:val="clear" w:color="auto" w:fill="C0C0C1"/>
              </w:rPr>
            </w:pPr>
            <w:r w:rsidRPr="006B1AA8">
              <w:rPr>
                <w:rFonts w:ascii="Calibri" w:eastAsia="Times New Roman" w:hAnsi="Calibri" w:cs="Calibri"/>
                <w:b/>
                <w:bCs/>
                <w:sz w:val="20"/>
                <w:szCs w:val="20"/>
                <w:shd w:val="clear" w:color="auto" w:fill="C0C0C1"/>
              </w:rPr>
              <w:t>Year 1</w:t>
            </w:r>
            <w:r w:rsidRPr="006B1AA8">
              <w:rPr>
                <w:rFonts w:ascii="Calibri" w:eastAsia="Times New Roman" w:hAnsi="Calibri" w:cs="Calibri"/>
                <w:b/>
                <w:bCs/>
                <w:sz w:val="20"/>
                <w:szCs w:val="20"/>
                <w:shd w:val="clear" w:color="auto" w:fill="C0C0C1"/>
                <w:vertAlign w:val="superscript"/>
              </w:rPr>
              <w:t>a</w:t>
            </w:r>
          </w:p>
        </w:tc>
        <w:tc>
          <w:tcPr>
            <w:tcW w:w="217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DB4DE4B" w14:textId="77777777" w:rsidR="00347B36" w:rsidRPr="006B1AA8" w:rsidRDefault="00347B36">
            <w:pPr>
              <w:spacing w:before="60" w:after="60"/>
              <w:jc w:val="center"/>
              <w:rPr>
                <w:rFonts w:ascii="Calibri" w:eastAsia="Times New Roman" w:hAnsi="Calibri" w:cs="Calibri"/>
                <w:b/>
                <w:bCs/>
                <w:sz w:val="20"/>
                <w:szCs w:val="20"/>
                <w:shd w:val="clear" w:color="auto" w:fill="C0C0C1"/>
              </w:rPr>
            </w:pPr>
            <w:r w:rsidRPr="006B1AA8">
              <w:rPr>
                <w:rFonts w:ascii="Calibri" w:eastAsia="Times New Roman" w:hAnsi="Calibri" w:cs="Calibri"/>
                <w:b/>
                <w:bCs/>
                <w:sz w:val="20"/>
                <w:szCs w:val="20"/>
                <w:shd w:val="clear" w:color="auto" w:fill="C0C0C1"/>
              </w:rPr>
              <w:t>Year 2</w:t>
            </w:r>
            <w:r w:rsidRPr="006B1AA8">
              <w:rPr>
                <w:rFonts w:ascii="Calibri" w:eastAsia="Times New Roman" w:hAnsi="Calibri" w:cs="Calibri"/>
                <w:b/>
                <w:bCs/>
                <w:sz w:val="20"/>
                <w:szCs w:val="20"/>
                <w:shd w:val="clear" w:color="auto" w:fill="C0C0C1"/>
                <w:vertAlign w:val="superscript"/>
              </w:rPr>
              <w:t>a</w:t>
            </w:r>
          </w:p>
        </w:tc>
      </w:tr>
      <w:tr w:rsidR="00347B36" w:rsidRPr="00CF2532" w14:paraId="274FED9C" w14:textId="77777777" w:rsidTr="007C791A">
        <w:trPr>
          <w:trHeight w:val="364"/>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2B3AC5" w14:textId="77777777" w:rsidR="00347B36" w:rsidRPr="006B1AA8" w:rsidRDefault="00347B36">
            <w:pPr>
              <w:spacing w:before="60" w:after="60"/>
              <w:rPr>
                <w:rFonts w:cstheme="minorHAnsi"/>
                <w:b/>
                <w:bCs/>
                <w:sz w:val="20"/>
                <w:szCs w:val="20"/>
              </w:rPr>
            </w:pPr>
            <w:r w:rsidRPr="006B1AA8">
              <w:rPr>
                <w:rFonts w:cstheme="minorHAnsi"/>
                <w:b/>
                <w:bCs/>
                <w:sz w:val="20"/>
                <w:szCs w:val="20"/>
              </w:rPr>
              <w:t>Number of patients</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7A4F17" w14:textId="77777777" w:rsidR="00347B36" w:rsidRPr="006B1AA8" w:rsidRDefault="00347B36">
            <w:pPr>
              <w:spacing w:before="60" w:after="60"/>
              <w:jc w:val="center"/>
              <w:rPr>
                <w:rFonts w:cstheme="minorHAnsi"/>
                <w:sz w:val="20"/>
                <w:szCs w:val="20"/>
              </w:rPr>
            </w:pP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38EFAF" w14:textId="77777777" w:rsidR="00347B36" w:rsidRPr="006B1AA8" w:rsidRDefault="00347B36">
            <w:pPr>
              <w:spacing w:before="60" w:after="60"/>
              <w:jc w:val="center"/>
              <w:rPr>
                <w:rFonts w:cstheme="minorHAnsi"/>
                <w:sz w:val="20"/>
                <w:szCs w:val="20"/>
              </w:rPr>
            </w:pPr>
          </w:p>
        </w:tc>
      </w:tr>
      <w:tr w:rsidR="00B7176C" w:rsidRPr="00F94204" w14:paraId="4CD4D4A9" w14:textId="77777777" w:rsidTr="007C791A">
        <w:trPr>
          <w:trHeight w:val="364"/>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5B35C4" w14:textId="11FF9B5D" w:rsidR="00B7176C" w:rsidRPr="006B1AA8" w:rsidRDefault="00B7176C" w:rsidP="00B7176C">
            <w:pPr>
              <w:spacing w:before="60" w:after="60"/>
              <w:rPr>
                <w:rFonts w:cstheme="minorHAnsi"/>
                <w:sz w:val="20"/>
                <w:szCs w:val="20"/>
              </w:rPr>
            </w:pPr>
            <w:r w:rsidRPr="006B1AA8">
              <w:rPr>
                <w:rFonts w:cstheme="minorHAnsi"/>
                <w:sz w:val="20"/>
                <w:szCs w:val="20"/>
              </w:rPr>
              <w:t>Predicted</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62A6D9C" w14:textId="337C33CA" w:rsidR="00B7176C" w:rsidRPr="00447E71" w:rsidRDefault="00447E71" w:rsidP="00B7176C">
            <w:pPr>
              <w:spacing w:before="60" w:after="60"/>
              <w:jc w:val="center"/>
              <w:rPr>
                <w:rFonts w:cstheme="minorHAnsi"/>
                <w:sz w:val="20"/>
                <w:szCs w:val="20"/>
                <w:highlight w:val="black"/>
              </w:rPr>
            </w:pPr>
            <w:r w:rsidRPr="00447E71">
              <w:rPr>
                <w:rFonts w:cstheme="minorHAnsi"/>
                <w:sz w:val="20"/>
                <w:szCs w:val="20"/>
                <w:highlight w:val="black"/>
              </w:rPr>
              <w:t>XXXXX</w:t>
            </w:r>
          </w:p>
        </w:tc>
        <w:tc>
          <w:tcPr>
            <w:tcW w:w="2174" w:type="dxa"/>
            <w:tcBorders>
              <w:top w:val="single" w:sz="4" w:space="0" w:color="auto"/>
              <w:left w:val="nil"/>
              <w:bottom w:val="single" w:sz="4" w:space="0" w:color="auto"/>
              <w:right w:val="single" w:sz="4" w:space="0" w:color="auto"/>
            </w:tcBorders>
            <w:shd w:val="clear" w:color="auto" w:fill="FFFFFF" w:themeFill="background1"/>
            <w:noWrap/>
          </w:tcPr>
          <w:p w14:paraId="24BB9F23" w14:textId="78B1DC44" w:rsidR="00B7176C" w:rsidRPr="00447E71" w:rsidRDefault="00447E71" w:rsidP="00B7176C">
            <w:pPr>
              <w:spacing w:before="60" w:after="60"/>
              <w:jc w:val="center"/>
              <w:rPr>
                <w:rFonts w:cstheme="minorHAnsi"/>
                <w:sz w:val="20"/>
                <w:szCs w:val="20"/>
                <w:highlight w:val="black"/>
              </w:rPr>
            </w:pPr>
            <w:r w:rsidRPr="00447E71">
              <w:rPr>
                <w:rFonts w:cstheme="minorHAnsi"/>
                <w:sz w:val="20"/>
                <w:szCs w:val="20"/>
                <w:highlight w:val="black"/>
              </w:rPr>
              <w:t>XXXXXX</w:t>
            </w:r>
          </w:p>
        </w:tc>
      </w:tr>
      <w:tr w:rsidR="00220388" w:rsidRPr="00F94204" w14:paraId="256449AF" w14:textId="77777777" w:rsidTr="007C791A">
        <w:trPr>
          <w:trHeight w:val="364"/>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EF3429" w14:textId="77777777" w:rsidR="00220388" w:rsidRPr="006B1AA8" w:rsidRDefault="00220388" w:rsidP="00220388">
            <w:pPr>
              <w:spacing w:before="60" w:after="60"/>
              <w:rPr>
                <w:rFonts w:cstheme="minorHAnsi"/>
                <w:sz w:val="20"/>
                <w:szCs w:val="20"/>
              </w:rPr>
            </w:pPr>
            <w:r w:rsidRPr="006B1AA8">
              <w:rPr>
                <w:rFonts w:cstheme="minorHAnsi"/>
                <w:sz w:val="20"/>
                <w:szCs w:val="20"/>
              </w:rPr>
              <w:t>Actual</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2B0B76D" w14:textId="2E6A83F1" w:rsidR="00220388" w:rsidRPr="00220388" w:rsidRDefault="00220388" w:rsidP="00220388">
            <w:pPr>
              <w:spacing w:before="60" w:after="60"/>
              <w:jc w:val="center"/>
              <w:rPr>
                <w:rFonts w:cstheme="minorHAnsi"/>
                <w:sz w:val="20"/>
                <w:szCs w:val="20"/>
              </w:rPr>
            </w:pPr>
            <w:r w:rsidRPr="00220388">
              <w:rPr>
                <w:sz w:val="20"/>
                <w:szCs w:val="20"/>
              </w:rPr>
              <w:t>6,189</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79A2B9" w14:textId="47546F98" w:rsidR="00220388" w:rsidRPr="00220388" w:rsidRDefault="00220388" w:rsidP="00220388">
            <w:pPr>
              <w:spacing w:before="60" w:after="60"/>
              <w:jc w:val="center"/>
              <w:rPr>
                <w:rFonts w:cstheme="minorHAnsi"/>
                <w:sz w:val="20"/>
                <w:szCs w:val="20"/>
              </w:rPr>
            </w:pPr>
            <w:r w:rsidRPr="00220388">
              <w:rPr>
                <w:sz w:val="20"/>
                <w:szCs w:val="20"/>
              </w:rPr>
              <w:t>10,997</w:t>
            </w:r>
          </w:p>
        </w:tc>
      </w:tr>
      <w:tr w:rsidR="00347B36" w:rsidRPr="00F94204" w14:paraId="1E241355" w14:textId="77777777" w:rsidTr="007C791A">
        <w:trPr>
          <w:trHeight w:val="364"/>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6B7413" w14:textId="77777777" w:rsidR="00347B36" w:rsidRPr="006B1AA8" w:rsidRDefault="00347B36">
            <w:pPr>
              <w:spacing w:before="60" w:after="60"/>
              <w:rPr>
                <w:rFonts w:cstheme="minorHAnsi"/>
                <w:sz w:val="20"/>
                <w:szCs w:val="20"/>
              </w:rPr>
            </w:pPr>
            <w:r w:rsidRPr="006B1AA8">
              <w:rPr>
                <w:rFonts w:cstheme="minorHAnsi"/>
                <w:sz w:val="20"/>
                <w:szCs w:val="20"/>
              </w:rPr>
              <w:t xml:space="preserve">Difference </w:t>
            </w:r>
            <w:r w:rsidRPr="006B1AA8">
              <w:rPr>
                <w:rFonts w:cstheme="minorHAnsi"/>
                <w:sz w:val="20"/>
                <w:szCs w:val="20"/>
                <w:vertAlign w:val="superscript"/>
              </w:rPr>
              <w:t>b</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C50CAE8" w14:textId="1B6955F7" w:rsidR="00347B36" w:rsidRPr="00447E71" w:rsidRDefault="00447E71">
            <w:pPr>
              <w:spacing w:before="60" w:after="60"/>
              <w:jc w:val="center"/>
              <w:rPr>
                <w:rFonts w:cstheme="minorHAnsi"/>
                <w:sz w:val="20"/>
                <w:szCs w:val="20"/>
                <w:highlight w:val="black"/>
              </w:rPr>
            </w:pPr>
            <w:r w:rsidRPr="00447E71">
              <w:rPr>
                <w:rFonts w:cstheme="minorHAnsi"/>
                <w:sz w:val="20"/>
                <w:szCs w:val="20"/>
                <w:highlight w:val="black"/>
              </w:rPr>
              <w:t>XXXX</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84DD21" w14:textId="678A2DDD" w:rsidR="004A12F9" w:rsidRPr="00447E71" w:rsidRDefault="00447E71" w:rsidP="004A12F9">
            <w:pPr>
              <w:spacing w:before="60" w:after="60"/>
              <w:jc w:val="center"/>
              <w:rPr>
                <w:rFonts w:cstheme="minorHAnsi"/>
                <w:sz w:val="20"/>
                <w:szCs w:val="20"/>
                <w:highlight w:val="black"/>
              </w:rPr>
            </w:pPr>
            <w:r w:rsidRPr="00447E71">
              <w:rPr>
                <w:rFonts w:cstheme="minorHAnsi"/>
                <w:sz w:val="20"/>
                <w:szCs w:val="20"/>
                <w:highlight w:val="black"/>
              </w:rPr>
              <w:t>XXXX</w:t>
            </w:r>
          </w:p>
        </w:tc>
      </w:tr>
      <w:tr w:rsidR="00347B36" w:rsidRPr="00F94204" w14:paraId="2019C866" w14:textId="77777777" w:rsidTr="007C791A">
        <w:trPr>
          <w:trHeight w:val="364"/>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065D46" w14:textId="77777777" w:rsidR="00347B36" w:rsidRPr="006B1AA8" w:rsidRDefault="00347B36">
            <w:pPr>
              <w:spacing w:before="60" w:after="60"/>
              <w:rPr>
                <w:rFonts w:cstheme="minorHAnsi"/>
                <w:b/>
                <w:bCs/>
                <w:sz w:val="20"/>
                <w:szCs w:val="20"/>
              </w:rPr>
            </w:pPr>
            <w:r w:rsidRPr="006B1AA8">
              <w:rPr>
                <w:rFonts w:cstheme="minorHAnsi"/>
                <w:b/>
                <w:bCs/>
                <w:sz w:val="20"/>
                <w:szCs w:val="20"/>
              </w:rPr>
              <w:t>Number of scripts</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352584" w14:textId="77777777" w:rsidR="00347B36" w:rsidRPr="006B1AA8" w:rsidRDefault="00347B36">
            <w:pPr>
              <w:spacing w:before="60" w:after="60"/>
              <w:jc w:val="center"/>
              <w:rPr>
                <w:rFonts w:cstheme="minorHAnsi"/>
                <w:sz w:val="20"/>
                <w:szCs w:val="20"/>
              </w:rPr>
            </w:pP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ECFFAF" w14:textId="77777777" w:rsidR="00347B36" w:rsidRPr="006B1AA8" w:rsidRDefault="00347B36">
            <w:pPr>
              <w:spacing w:before="60" w:after="60"/>
              <w:jc w:val="center"/>
              <w:rPr>
                <w:rFonts w:cstheme="minorHAnsi"/>
                <w:sz w:val="20"/>
                <w:szCs w:val="20"/>
              </w:rPr>
            </w:pPr>
          </w:p>
        </w:tc>
      </w:tr>
      <w:tr w:rsidR="00347B36" w:rsidRPr="00F94204" w14:paraId="5A0D19FF" w14:textId="77777777" w:rsidTr="007C791A">
        <w:trPr>
          <w:trHeight w:val="364"/>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29B338" w14:textId="15F7F171" w:rsidR="00347B36" w:rsidRPr="006B1AA8" w:rsidRDefault="00347B36">
            <w:pPr>
              <w:spacing w:before="60" w:after="60"/>
              <w:rPr>
                <w:rFonts w:cstheme="minorHAnsi"/>
                <w:sz w:val="20"/>
                <w:szCs w:val="20"/>
              </w:rPr>
            </w:pPr>
            <w:r w:rsidRPr="006B1AA8">
              <w:rPr>
                <w:rFonts w:cstheme="minorHAnsi"/>
                <w:sz w:val="20"/>
                <w:szCs w:val="20"/>
              </w:rPr>
              <w:t>Predicted</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CD2DBC" w14:textId="2A896793" w:rsidR="00347B36" w:rsidRPr="00447E71" w:rsidRDefault="00447E71">
            <w:pPr>
              <w:spacing w:before="60" w:after="60"/>
              <w:jc w:val="center"/>
              <w:rPr>
                <w:rFonts w:cstheme="minorHAnsi"/>
                <w:sz w:val="20"/>
                <w:szCs w:val="20"/>
                <w:highlight w:val="black"/>
              </w:rPr>
            </w:pPr>
            <w:r w:rsidRPr="00447E71">
              <w:rPr>
                <w:rFonts w:cstheme="minorHAnsi"/>
                <w:sz w:val="20"/>
                <w:szCs w:val="20"/>
                <w:highlight w:val="black"/>
              </w:rPr>
              <w:t>XXXXXX</w:t>
            </w:r>
          </w:p>
        </w:tc>
        <w:tc>
          <w:tcPr>
            <w:tcW w:w="2174" w:type="dxa"/>
            <w:tcBorders>
              <w:top w:val="single" w:sz="4" w:space="0" w:color="auto"/>
              <w:left w:val="nil"/>
              <w:bottom w:val="single" w:sz="4" w:space="0" w:color="auto"/>
              <w:right w:val="single" w:sz="4" w:space="0" w:color="auto"/>
            </w:tcBorders>
            <w:shd w:val="clear" w:color="auto" w:fill="FFFFFF" w:themeFill="background1"/>
            <w:noWrap/>
            <w:vAlign w:val="center"/>
          </w:tcPr>
          <w:p w14:paraId="64603639" w14:textId="535E6FAD" w:rsidR="00347B36" w:rsidRPr="00447E71" w:rsidRDefault="00447E71">
            <w:pPr>
              <w:spacing w:before="60" w:after="60"/>
              <w:jc w:val="center"/>
              <w:rPr>
                <w:rFonts w:cstheme="minorHAnsi"/>
                <w:sz w:val="20"/>
                <w:szCs w:val="20"/>
                <w:highlight w:val="black"/>
              </w:rPr>
            </w:pPr>
            <w:r w:rsidRPr="00447E71">
              <w:rPr>
                <w:rFonts w:cstheme="minorHAnsi"/>
                <w:sz w:val="20"/>
                <w:szCs w:val="20"/>
                <w:highlight w:val="black"/>
              </w:rPr>
              <w:t>XXXXXX</w:t>
            </w:r>
          </w:p>
        </w:tc>
      </w:tr>
      <w:tr w:rsidR="008328EE" w:rsidRPr="00F94204" w14:paraId="3321097E" w14:textId="77777777" w:rsidTr="007C791A">
        <w:trPr>
          <w:trHeight w:val="364"/>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AB3E0D" w14:textId="77777777" w:rsidR="008328EE" w:rsidRPr="006B1AA8" w:rsidRDefault="008328EE" w:rsidP="008328EE">
            <w:pPr>
              <w:spacing w:before="60" w:after="60"/>
              <w:rPr>
                <w:rFonts w:cstheme="minorHAnsi"/>
                <w:sz w:val="20"/>
                <w:szCs w:val="20"/>
              </w:rPr>
            </w:pPr>
            <w:r w:rsidRPr="006B1AA8">
              <w:rPr>
                <w:rFonts w:cstheme="minorHAnsi"/>
                <w:sz w:val="20"/>
                <w:szCs w:val="20"/>
              </w:rPr>
              <w:t>Actual</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B786093" w14:textId="2B74D0F8" w:rsidR="008328EE" w:rsidRPr="008328EE" w:rsidRDefault="008328EE" w:rsidP="008328EE">
            <w:pPr>
              <w:spacing w:before="60" w:after="60"/>
              <w:jc w:val="center"/>
              <w:rPr>
                <w:rFonts w:cstheme="minorHAnsi"/>
                <w:sz w:val="20"/>
                <w:szCs w:val="20"/>
              </w:rPr>
            </w:pPr>
            <w:r w:rsidRPr="008328EE">
              <w:rPr>
                <w:sz w:val="20"/>
                <w:szCs w:val="20"/>
              </w:rPr>
              <w:t>34,774</w:t>
            </w:r>
          </w:p>
        </w:tc>
        <w:tc>
          <w:tcPr>
            <w:tcW w:w="2174" w:type="dxa"/>
            <w:tcBorders>
              <w:top w:val="single" w:sz="4" w:space="0" w:color="auto"/>
              <w:left w:val="nil"/>
              <w:bottom w:val="single" w:sz="4" w:space="0" w:color="auto"/>
              <w:right w:val="single" w:sz="4" w:space="0" w:color="auto"/>
            </w:tcBorders>
            <w:shd w:val="clear" w:color="auto" w:fill="FFFFFF" w:themeFill="background1"/>
            <w:noWrap/>
          </w:tcPr>
          <w:p w14:paraId="741DB7CC" w14:textId="3B817510" w:rsidR="008328EE" w:rsidRPr="008328EE" w:rsidRDefault="008328EE" w:rsidP="008328EE">
            <w:pPr>
              <w:spacing w:before="60" w:after="60"/>
              <w:jc w:val="center"/>
              <w:rPr>
                <w:rFonts w:cstheme="minorHAnsi"/>
                <w:sz w:val="20"/>
                <w:szCs w:val="20"/>
              </w:rPr>
            </w:pPr>
            <w:r w:rsidRPr="008328EE">
              <w:rPr>
                <w:sz w:val="20"/>
                <w:szCs w:val="20"/>
              </w:rPr>
              <w:t>70,866</w:t>
            </w:r>
          </w:p>
        </w:tc>
      </w:tr>
      <w:tr w:rsidR="00347B36" w:rsidRPr="00F94204" w14:paraId="2AA07531" w14:textId="77777777" w:rsidTr="007C791A">
        <w:trPr>
          <w:trHeight w:val="365"/>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75EE55" w14:textId="77777777" w:rsidR="00347B36" w:rsidRPr="006B1AA8" w:rsidRDefault="00347B36">
            <w:pPr>
              <w:spacing w:before="60" w:after="60"/>
              <w:rPr>
                <w:rFonts w:cstheme="minorHAnsi"/>
                <w:sz w:val="20"/>
                <w:szCs w:val="20"/>
              </w:rPr>
            </w:pPr>
            <w:r w:rsidRPr="006B1AA8">
              <w:rPr>
                <w:rFonts w:cstheme="minorHAnsi"/>
                <w:sz w:val="20"/>
                <w:szCs w:val="20"/>
              </w:rPr>
              <w:t>Difference</w:t>
            </w:r>
            <w:r w:rsidRPr="006B1AA8">
              <w:rPr>
                <w:rFonts w:cstheme="minorHAnsi"/>
                <w:sz w:val="20"/>
                <w:szCs w:val="20"/>
                <w:vertAlign w:val="superscript"/>
              </w:rPr>
              <w:t xml:space="preserve"> b</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44F843" w14:textId="40A4286F" w:rsidR="00347B36" w:rsidRPr="00447E71" w:rsidRDefault="00447E71">
            <w:pPr>
              <w:spacing w:before="60" w:after="60"/>
              <w:jc w:val="center"/>
              <w:rPr>
                <w:rFonts w:cstheme="minorHAnsi"/>
                <w:sz w:val="20"/>
                <w:szCs w:val="20"/>
                <w:highlight w:val="black"/>
              </w:rPr>
            </w:pPr>
            <w:r w:rsidRPr="00447E71">
              <w:rPr>
                <w:rFonts w:cstheme="minorHAnsi"/>
                <w:sz w:val="20"/>
                <w:szCs w:val="20"/>
                <w:highlight w:val="black"/>
              </w:rPr>
              <w:t>XXXXX</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F503D3" w14:textId="2FD3AE51" w:rsidR="00347B36" w:rsidRPr="00447E71" w:rsidRDefault="00447E71">
            <w:pPr>
              <w:spacing w:before="60" w:after="60"/>
              <w:jc w:val="center"/>
              <w:rPr>
                <w:rFonts w:cstheme="minorHAnsi"/>
                <w:sz w:val="20"/>
                <w:szCs w:val="20"/>
                <w:highlight w:val="black"/>
              </w:rPr>
            </w:pPr>
            <w:r w:rsidRPr="00447E71">
              <w:rPr>
                <w:rFonts w:cstheme="minorHAnsi"/>
                <w:sz w:val="20"/>
                <w:szCs w:val="20"/>
                <w:highlight w:val="black"/>
              </w:rPr>
              <w:t>XXXXXX</w:t>
            </w:r>
          </w:p>
        </w:tc>
      </w:tr>
    </w:tbl>
    <w:p w14:paraId="42AD938B" w14:textId="273A009A" w:rsidR="00347B36" w:rsidRPr="00F94204" w:rsidRDefault="00347B36" w:rsidP="00347B36">
      <w:pPr>
        <w:spacing w:after="0"/>
        <w:rPr>
          <w:sz w:val="20"/>
          <w:szCs w:val="20"/>
        </w:rPr>
      </w:pPr>
      <w:r w:rsidRPr="00F94204">
        <w:rPr>
          <w:sz w:val="20"/>
          <w:szCs w:val="20"/>
        </w:rPr>
        <w:t>Source: The predicted figures were sourced from the</w:t>
      </w:r>
      <w:r w:rsidR="001168BA">
        <w:rPr>
          <w:sz w:val="20"/>
          <w:szCs w:val="20"/>
        </w:rPr>
        <w:t xml:space="preserve"> submission </w:t>
      </w:r>
      <w:r w:rsidR="004E4A81">
        <w:rPr>
          <w:sz w:val="20"/>
          <w:szCs w:val="20"/>
        </w:rPr>
        <w:t xml:space="preserve">to the March 2020 PBAC meeting </w:t>
      </w:r>
      <w:r w:rsidR="001168BA">
        <w:rPr>
          <w:sz w:val="20"/>
          <w:szCs w:val="20"/>
        </w:rPr>
        <w:t>for number of patients and the</w:t>
      </w:r>
      <w:r w:rsidRPr="00F94204">
        <w:rPr>
          <w:sz w:val="20"/>
          <w:szCs w:val="20"/>
        </w:rPr>
        <w:t xml:space="preserve"> final version of the financial estimates model</w:t>
      </w:r>
      <w:r w:rsidR="001168BA">
        <w:rPr>
          <w:sz w:val="20"/>
          <w:szCs w:val="20"/>
        </w:rPr>
        <w:t xml:space="preserve"> for the number of scripts</w:t>
      </w:r>
      <w:r w:rsidRPr="00F94204">
        <w:rPr>
          <w:sz w:val="20"/>
          <w:szCs w:val="20"/>
        </w:rPr>
        <w:t>.</w:t>
      </w:r>
    </w:p>
    <w:p w14:paraId="18020A19" w14:textId="77777777" w:rsidR="00347B36" w:rsidRPr="00F94204" w:rsidRDefault="00347B36" w:rsidP="00347B36">
      <w:pPr>
        <w:spacing w:after="0"/>
        <w:rPr>
          <w:sz w:val="20"/>
          <w:szCs w:val="20"/>
        </w:rPr>
      </w:pPr>
      <w:r w:rsidRPr="00F94204">
        <w:rPr>
          <w:sz w:val="20"/>
          <w:szCs w:val="20"/>
        </w:rPr>
        <w:t>Note:</w:t>
      </w:r>
    </w:p>
    <w:p w14:paraId="214A2951" w14:textId="75BB64F8" w:rsidR="00347B36" w:rsidRPr="00F94204" w:rsidRDefault="00347B36" w:rsidP="00347B36">
      <w:pPr>
        <w:spacing w:after="0"/>
        <w:rPr>
          <w:sz w:val="20"/>
          <w:szCs w:val="20"/>
        </w:rPr>
      </w:pPr>
      <w:r w:rsidRPr="00F94204">
        <w:rPr>
          <w:sz w:val="20"/>
          <w:szCs w:val="20"/>
          <w:vertAlign w:val="superscript"/>
        </w:rPr>
        <w:t>a</w:t>
      </w:r>
      <w:r w:rsidRPr="00F94204">
        <w:rPr>
          <w:sz w:val="20"/>
          <w:szCs w:val="20"/>
        </w:rPr>
        <w:t xml:space="preserve"> </w:t>
      </w:r>
      <w:proofErr w:type="gramStart"/>
      <w:r w:rsidRPr="00F94204">
        <w:rPr>
          <w:sz w:val="20"/>
          <w:szCs w:val="20"/>
        </w:rPr>
        <w:t>The</w:t>
      </w:r>
      <w:proofErr w:type="gramEnd"/>
      <w:r w:rsidRPr="00F94204">
        <w:rPr>
          <w:sz w:val="20"/>
          <w:szCs w:val="20"/>
        </w:rPr>
        <w:t xml:space="preserve"> figures are presented in listing years (</w:t>
      </w:r>
      <w:r w:rsidR="00016037">
        <w:rPr>
          <w:sz w:val="20"/>
          <w:szCs w:val="20"/>
        </w:rPr>
        <w:t xml:space="preserve">Aug </w:t>
      </w:r>
      <w:r w:rsidRPr="00F94204">
        <w:rPr>
          <w:sz w:val="20"/>
          <w:szCs w:val="20"/>
        </w:rPr>
        <w:t xml:space="preserve">to </w:t>
      </w:r>
      <w:r w:rsidR="00016037">
        <w:rPr>
          <w:sz w:val="20"/>
          <w:szCs w:val="20"/>
        </w:rPr>
        <w:t>Jul</w:t>
      </w:r>
      <w:r w:rsidRPr="00F94204">
        <w:rPr>
          <w:sz w:val="20"/>
          <w:szCs w:val="20"/>
        </w:rPr>
        <w:t>).</w:t>
      </w:r>
    </w:p>
    <w:p w14:paraId="2330567A" w14:textId="7CB10DC0" w:rsidR="00326D88" w:rsidRDefault="00347B36" w:rsidP="00F35BB4">
      <w:pPr>
        <w:spacing w:after="0"/>
        <w:rPr>
          <w:sz w:val="20"/>
          <w:szCs w:val="20"/>
        </w:rPr>
      </w:pPr>
      <w:r w:rsidRPr="00F94204">
        <w:rPr>
          <w:sz w:val="20"/>
          <w:szCs w:val="20"/>
          <w:vertAlign w:val="superscript"/>
        </w:rPr>
        <w:t>b</w:t>
      </w:r>
      <w:r w:rsidRPr="00F94204">
        <w:rPr>
          <w:sz w:val="20"/>
          <w:szCs w:val="20"/>
        </w:rPr>
        <w:t xml:space="preserve"> Difference is calculated as: ((Actual – Predicted)/Predicted) x 100.</w:t>
      </w:r>
    </w:p>
    <w:p w14:paraId="69A0B2FD" w14:textId="08E86C76" w:rsidR="00A408FE" w:rsidRDefault="00AB3733" w:rsidP="00E73D0A">
      <w:pPr>
        <w:pStyle w:val="Heading1"/>
      </w:pPr>
      <w:r>
        <w:lastRenderedPageBreak/>
        <w:t>D</w:t>
      </w:r>
      <w:r w:rsidR="007346C7" w:rsidRPr="005E22C2">
        <w:t>iscussion</w:t>
      </w:r>
    </w:p>
    <w:p w14:paraId="603ACF92" w14:textId="55939D2B" w:rsidR="000E73BE" w:rsidRDefault="000E73BE" w:rsidP="000E73BE">
      <w:pPr>
        <w:shd w:val="clear" w:color="auto" w:fill="FFFFFF" w:themeFill="background1"/>
        <w:spacing w:after="0"/>
      </w:pPr>
      <w:bookmarkStart w:id="8" w:name="_Hlk164154765"/>
      <w:r>
        <w:t xml:space="preserve">The predicted vs. actual utilisation of </w:t>
      </w:r>
      <w:r w:rsidRPr="00275651">
        <w:t xml:space="preserve">galcanezumab </w:t>
      </w:r>
      <w:r w:rsidR="006B434F">
        <w:t>(Table 1</w:t>
      </w:r>
      <w:r w:rsidR="006E138D">
        <w:t>9</w:t>
      </w:r>
      <w:r w:rsidR="006B434F">
        <w:t xml:space="preserve">) </w:t>
      </w:r>
      <w:r>
        <w:t xml:space="preserve">over the first two years of listing, </w:t>
      </w:r>
      <w:r w:rsidR="0079139F">
        <w:t xml:space="preserve">there were </w:t>
      </w:r>
      <w:r w:rsidR="009B11B3" w:rsidRPr="009B11B3">
        <w:rPr>
          <w:highlight w:val="black"/>
        </w:rPr>
        <w:t>XXXX</w:t>
      </w:r>
      <w:r>
        <w:t xml:space="preserve"> patients initiated in year one than expected with the possibility that there were </w:t>
      </w:r>
      <w:r w:rsidR="009B11B3" w:rsidRPr="009B11B3">
        <w:rPr>
          <w:highlight w:val="black"/>
        </w:rPr>
        <w:t>XXXX</w:t>
      </w:r>
      <w:r>
        <w:t xml:space="preserve"> patients continuing treatment for longer than expected into year two. In year two there were </w:t>
      </w:r>
      <w:r w:rsidR="009B11B3" w:rsidRPr="009B11B3">
        <w:rPr>
          <w:highlight w:val="black"/>
        </w:rPr>
        <w:t>XXXX</w:t>
      </w:r>
      <w:r>
        <w:t xml:space="preserve"> initiating patients along with the </w:t>
      </w:r>
      <w:r w:rsidR="009B11B3" w:rsidRPr="009B11B3">
        <w:rPr>
          <w:highlight w:val="black"/>
        </w:rPr>
        <w:t>XXXXXXXXXX</w:t>
      </w:r>
      <w:r>
        <w:t xml:space="preserve"> continuing patients from year one with the possibility that some patients transitioned to </w:t>
      </w:r>
      <w:r w:rsidRPr="00275651">
        <w:t>fremanezumab</w:t>
      </w:r>
      <w:r>
        <w:t xml:space="preserve"> starting in the third quarter of 2022. </w:t>
      </w:r>
      <w:r>
        <w:rPr>
          <w:shd w:val="clear" w:color="auto" w:fill="FFFFFF" w:themeFill="background1"/>
        </w:rPr>
        <w:t>Within the agreed financial estimates, t</w:t>
      </w:r>
      <w:r w:rsidRPr="00F61967">
        <w:rPr>
          <w:shd w:val="clear" w:color="auto" w:fill="FFFFFF" w:themeFill="background1"/>
        </w:rPr>
        <w:t xml:space="preserve">he </w:t>
      </w:r>
      <w:r>
        <w:rPr>
          <w:shd w:val="clear" w:color="auto" w:fill="FFFFFF" w:themeFill="background1"/>
        </w:rPr>
        <w:t xml:space="preserve">predicted uptake of galcanezumab was </w:t>
      </w:r>
      <w:r w:rsidR="009B11B3" w:rsidRPr="009B11B3">
        <w:rPr>
          <w:highlight w:val="black"/>
          <w:shd w:val="clear" w:color="auto" w:fill="BFBFBF" w:themeFill="background1" w:themeFillShade="BF"/>
        </w:rPr>
        <w:t>XXXXX</w:t>
      </w:r>
      <w:r>
        <w:rPr>
          <w:shd w:val="clear" w:color="auto" w:fill="FFFFFF" w:themeFill="background1"/>
        </w:rPr>
        <w:t xml:space="preserve"> in year 1 and </w:t>
      </w:r>
      <w:r w:rsidR="009B11B3" w:rsidRPr="009B11B3">
        <w:rPr>
          <w:highlight w:val="black"/>
          <w:shd w:val="clear" w:color="auto" w:fill="BFBFBF" w:themeFill="background1" w:themeFillShade="BF"/>
        </w:rPr>
        <w:t>XXXXX</w:t>
      </w:r>
      <w:r>
        <w:rPr>
          <w:shd w:val="clear" w:color="auto" w:fill="FFFFFF" w:themeFill="background1"/>
        </w:rPr>
        <w:t xml:space="preserve"> in year two.</w:t>
      </w:r>
      <w:r>
        <w:t xml:space="preserve"> The initial uptake was </w:t>
      </w:r>
      <w:r w:rsidR="009B11B3" w:rsidRPr="009B11B3">
        <w:rPr>
          <w:highlight w:val="black"/>
        </w:rPr>
        <w:t>XXXXXX</w:t>
      </w:r>
      <w:r>
        <w:t xml:space="preserve"> in years one and two. It was considered that the continuation rate at three months of</w:t>
      </w:r>
      <w:r w:rsidR="009B11B3">
        <w:t xml:space="preserve"> </w:t>
      </w:r>
      <w:r w:rsidR="009B11B3" w:rsidRPr="009B11B3">
        <w:rPr>
          <w:highlight w:val="black"/>
        </w:rPr>
        <w:t>XXX</w:t>
      </w:r>
      <w:r>
        <w:t xml:space="preserve"> may have been an </w:t>
      </w:r>
      <w:r w:rsidR="009B11B3" w:rsidRPr="009B11B3">
        <w:rPr>
          <w:highlight w:val="black"/>
        </w:rPr>
        <w:t>XXXXXXXXXXXXX</w:t>
      </w:r>
      <w:r>
        <w:t>.</w:t>
      </w:r>
      <w:r>
        <w:rPr>
          <w:shd w:val="clear" w:color="auto" w:fill="BFBFBF" w:themeFill="background1" w:themeFillShade="BF"/>
        </w:rPr>
        <w:t xml:space="preserve"> </w:t>
      </w:r>
    </w:p>
    <w:p w14:paraId="65FF9AD7" w14:textId="77777777" w:rsidR="000E73BE" w:rsidRDefault="000E73BE" w:rsidP="000E73BE">
      <w:pPr>
        <w:shd w:val="clear" w:color="auto" w:fill="FFFFFF" w:themeFill="background1"/>
        <w:spacing w:after="0"/>
      </w:pPr>
    </w:p>
    <w:p w14:paraId="425C8AAD" w14:textId="4F15CA48" w:rsidR="00A408FE" w:rsidRDefault="00590CF7" w:rsidP="00F1132C">
      <w:r>
        <w:t xml:space="preserve">The difference between the actual and predicted number of scripts for </w:t>
      </w:r>
      <w:r w:rsidR="00275651" w:rsidRPr="00275651">
        <w:t>fremanezumab</w:t>
      </w:r>
      <w:r w:rsidR="009531FE">
        <w:t xml:space="preserve"> </w:t>
      </w:r>
      <w:r w:rsidR="006B434F">
        <w:t xml:space="preserve">(Table </w:t>
      </w:r>
      <w:r w:rsidR="006E138D">
        <w:t>20</w:t>
      </w:r>
      <w:r w:rsidR="006B434F">
        <w:t xml:space="preserve">) </w:t>
      </w:r>
      <w:r w:rsidR="009531FE">
        <w:t xml:space="preserve">over the first </w:t>
      </w:r>
      <w:r w:rsidR="00743D84">
        <w:t>two</w:t>
      </w:r>
      <w:r w:rsidR="009531FE">
        <w:t xml:space="preserve"> years of listing could be </w:t>
      </w:r>
      <w:r w:rsidR="00275651">
        <w:t xml:space="preserve">the result of </w:t>
      </w:r>
      <w:r w:rsidR="00447E71" w:rsidRPr="00447E71">
        <w:rPr>
          <w:highlight w:val="black"/>
          <w:shd w:val="clear" w:color="auto" w:fill="BFBFBF" w:themeFill="background1" w:themeFillShade="BF"/>
        </w:rPr>
        <w:t>XXXX</w:t>
      </w:r>
      <w:r w:rsidR="009531FE">
        <w:t xml:space="preserve"> patients initiating</w:t>
      </w:r>
      <w:r w:rsidR="005A6178">
        <w:t xml:space="preserve"> and </w:t>
      </w:r>
      <w:proofErr w:type="gramStart"/>
      <w:r w:rsidR="005A6178">
        <w:t>continuing on</w:t>
      </w:r>
      <w:proofErr w:type="gramEnd"/>
      <w:r w:rsidR="009531FE">
        <w:t xml:space="preserve"> </w:t>
      </w:r>
      <w:r w:rsidR="005A6178">
        <w:t>treatment</w:t>
      </w:r>
      <w:r w:rsidR="009531FE">
        <w:t xml:space="preserve"> th</w:t>
      </w:r>
      <w:r w:rsidR="005A6178">
        <w:t>a</w:t>
      </w:r>
      <w:r w:rsidR="009531FE">
        <w:t>n expected</w:t>
      </w:r>
      <w:r w:rsidR="00551130">
        <w:t xml:space="preserve">. </w:t>
      </w:r>
      <w:r w:rsidR="00764CA0">
        <w:t xml:space="preserve">The </w:t>
      </w:r>
      <w:bookmarkStart w:id="9" w:name="_Hlk162000505"/>
      <w:r w:rsidR="00764CA0">
        <w:t xml:space="preserve">number of </w:t>
      </w:r>
      <w:r w:rsidR="00157142">
        <w:t>initiating</w:t>
      </w:r>
      <w:r w:rsidR="00764CA0">
        <w:t xml:space="preserve"> patients </w:t>
      </w:r>
      <w:bookmarkEnd w:id="9"/>
      <w:r w:rsidR="0064702D">
        <w:t xml:space="preserve">in the first </w:t>
      </w:r>
      <w:r w:rsidR="00743D84">
        <w:t xml:space="preserve">and second </w:t>
      </w:r>
      <w:r w:rsidR="0064702D">
        <w:t>year</w:t>
      </w:r>
      <w:r w:rsidR="00743D84">
        <w:t>s</w:t>
      </w:r>
      <w:r w:rsidR="0064702D">
        <w:t xml:space="preserve"> </w:t>
      </w:r>
      <w:r w:rsidR="00764CA0">
        <w:t>w</w:t>
      </w:r>
      <w:r w:rsidR="0064702D">
        <w:t>as</w:t>
      </w:r>
      <w:r w:rsidR="00764CA0">
        <w:t xml:space="preserve"> </w:t>
      </w:r>
      <w:r w:rsidR="00447E71" w:rsidRPr="00447E71">
        <w:rPr>
          <w:highlight w:val="black"/>
          <w:shd w:val="clear" w:color="auto" w:fill="D9D9D9" w:themeFill="background1" w:themeFillShade="D9"/>
        </w:rPr>
        <w:t>XXXXXXX</w:t>
      </w:r>
      <w:r w:rsidR="00764CA0">
        <w:t xml:space="preserve"> </w:t>
      </w:r>
      <w:r w:rsidR="00447E71" w:rsidRPr="00447E71">
        <w:rPr>
          <w:highlight w:val="black"/>
          <w:shd w:val="clear" w:color="auto" w:fill="BFBFBF" w:themeFill="background1" w:themeFillShade="BF"/>
        </w:rPr>
        <w:t>XXXX</w:t>
      </w:r>
      <w:r w:rsidR="00764CA0">
        <w:t xml:space="preserve"> </w:t>
      </w:r>
      <w:r w:rsidR="00157142">
        <w:t>than</w:t>
      </w:r>
      <w:r w:rsidR="00764CA0">
        <w:t xml:space="preserve"> predicted</w:t>
      </w:r>
      <w:r w:rsidR="00743D84">
        <w:t>. Th</w:t>
      </w:r>
      <w:r w:rsidR="00DA2A43">
        <w:t>ere</w:t>
      </w:r>
      <w:r w:rsidR="009B6268">
        <w:t xml:space="preserve"> w</w:t>
      </w:r>
      <w:r w:rsidR="00DA2A43">
        <w:t xml:space="preserve">ere </w:t>
      </w:r>
      <w:r w:rsidR="00447E71" w:rsidRPr="00447E71">
        <w:rPr>
          <w:highlight w:val="black"/>
          <w:shd w:val="clear" w:color="auto" w:fill="D9D9D9" w:themeFill="background1" w:themeFillShade="D9"/>
        </w:rPr>
        <w:t>XXXX</w:t>
      </w:r>
      <w:r w:rsidR="009B6268">
        <w:t xml:space="preserve"> continuing patients in year</w:t>
      </w:r>
      <w:r w:rsidR="00AB5EB0">
        <w:t xml:space="preserve"> </w:t>
      </w:r>
      <w:r w:rsidR="00743D84">
        <w:t>two</w:t>
      </w:r>
      <w:r w:rsidR="00AB5EB0">
        <w:t xml:space="preserve"> then predicted from the November 2019 submission</w:t>
      </w:r>
      <w:r w:rsidR="00157142">
        <w:t>.</w:t>
      </w:r>
      <w:r w:rsidR="00697976">
        <w:t xml:space="preserve"> </w:t>
      </w:r>
      <w:r w:rsidR="00DE3BE5">
        <w:t>I</w:t>
      </w:r>
      <w:r w:rsidR="006C0BEF">
        <w:t xml:space="preserve">n the first </w:t>
      </w:r>
      <w:r w:rsidR="00743D84">
        <w:t>two</w:t>
      </w:r>
      <w:r w:rsidR="006C0BEF">
        <w:t xml:space="preserve"> </w:t>
      </w:r>
      <w:r w:rsidR="00702E3C">
        <w:t>years</w:t>
      </w:r>
      <w:r w:rsidR="006C0BEF">
        <w:t xml:space="preserve"> of listing</w:t>
      </w:r>
      <w:r w:rsidR="00A428A4">
        <w:t>,</w:t>
      </w:r>
      <w:r w:rsidR="006C0BEF">
        <w:t xml:space="preserve"> </w:t>
      </w:r>
      <w:r w:rsidR="00447E71" w:rsidRPr="00447E71">
        <w:rPr>
          <w:highlight w:val="black"/>
        </w:rPr>
        <w:t>XXXXXXXXXXXX</w:t>
      </w:r>
      <w:r w:rsidR="006C0BEF">
        <w:t xml:space="preserve"> of scripts were for </w:t>
      </w:r>
      <w:r w:rsidR="00702E3C">
        <w:t>675</w:t>
      </w:r>
      <w:r w:rsidR="00A428A4">
        <w:t xml:space="preserve"> </w:t>
      </w:r>
      <w:r w:rsidR="00702E3C">
        <w:t>mg dosing</w:t>
      </w:r>
      <w:r w:rsidR="00292C79">
        <w:t xml:space="preserve">, possibly indicating an extremely limited amount </w:t>
      </w:r>
      <w:r w:rsidR="008C605D">
        <w:t xml:space="preserve">of </w:t>
      </w:r>
      <w:r w:rsidR="00292C79">
        <w:t>stockpiling by patients</w:t>
      </w:r>
      <w:r w:rsidR="00F14434">
        <w:t xml:space="preserve">. </w:t>
      </w:r>
      <w:r w:rsidR="00992CF7">
        <w:t xml:space="preserve">The time on treatment (median </w:t>
      </w:r>
      <w:r w:rsidR="000552F5">
        <w:t xml:space="preserve">661 days with breaks and 304 days without breaks) indicates that </w:t>
      </w:r>
      <w:r w:rsidR="00447E71" w:rsidRPr="00447E71">
        <w:rPr>
          <w:highlight w:val="black"/>
          <w:shd w:val="clear" w:color="auto" w:fill="BFBFBF" w:themeFill="background1" w:themeFillShade="BF"/>
        </w:rPr>
        <w:t>XXXXX</w:t>
      </w:r>
      <w:r w:rsidR="000552F5">
        <w:t xml:space="preserve"> </w:t>
      </w:r>
      <w:r w:rsidR="00771D86">
        <w:t>patients are discontinuing treatment than assumed in the March 202</w:t>
      </w:r>
      <w:r w:rsidR="002F1FB8">
        <w:t>0</w:t>
      </w:r>
      <w:r w:rsidR="00771D86">
        <w:t xml:space="preserve"> resubmission.</w:t>
      </w:r>
      <w:r w:rsidR="006959F3">
        <w:t xml:space="preserve"> </w:t>
      </w:r>
    </w:p>
    <w:p w14:paraId="4832A9B4" w14:textId="2A1792D5" w:rsidR="005E6E3B" w:rsidRDefault="00ED5B5C" w:rsidP="006B434F">
      <w:r>
        <w:t>The Nov</w:t>
      </w:r>
      <w:r w:rsidR="00275651">
        <w:t>ember 201</w:t>
      </w:r>
      <w:r>
        <w:t xml:space="preserve">9 </w:t>
      </w:r>
      <w:r w:rsidR="00EE02FA">
        <w:t>sub</w:t>
      </w:r>
      <w:r w:rsidR="00275651">
        <w:t>mission</w:t>
      </w:r>
      <w:r w:rsidR="00EE02FA">
        <w:t xml:space="preserve"> and Mar</w:t>
      </w:r>
      <w:r w:rsidR="00275651">
        <w:t>ch</w:t>
      </w:r>
      <w:r w:rsidR="00EE02FA">
        <w:t xml:space="preserve"> </w:t>
      </w:r>
      <w:r w:rsidR="00275651">
        <w:t>20</w:t>
      </w:r>
      <w:r w:rsidR="00EE02FA">
        <w:t>2</w:t>
      </w:r>
      <w:r w:rsidR="009812A8">
        <w:t>0</w:t>
      </w:r>
      <w:r w:rsidR="00EE02FA">
        <w:t xml:space="preserve"> re</w:t>
      </w:r>
      <w:r>
        <w:t>sub</w:t>
      </w:r>
      <w:r w:rsidR="00275651">
        <w:t>mission</w:t>
      </w:r>
      <w:r>
        <w:t xml:space="preserve"> assumed a </w:t>
      </w:r>
      <w:r w:rsidR="002427F4">
        <w:t xml:space="preserve">continuation rate of </w:t>
      </w:r>
      <w:r w:rsidR="00447E71" w:rsidRPr="00447E71">
        <w:rPr>
          <w:highlight w:val="black"/>
          <w:shd w:val="clear" w:color="auto" w:fill="D9D9D9" w:themeFill="background1" w:themeFillShade="D9"/>
        </w:rPr>
        <w:t>XXXXX</w:t>
      </w:r>
      <w:r w:rsidR="002427F4">
        <w:t xml:space="preserve"> after 12 weeks based on Botox</w:t>
      </w:r>
      <w:r w:rsidR="00275651">
        <w:t>. G</w:t>
      </w:r>
      <w:r w:rsidR="002427F4">
        <w:t xml:space="preserve">iven the </w:t>
      </w:r>
      <w:r w:rsidR="001654C0">
        <w:t xml:space="preserve">dosing </w:t>
      </w:r>
      <w:r w:rsidR="00EE02FA">
        <w:t>requirements</w:t>
      </w:r>
      <w:r w:rsidR="001654C0">
        <w:t xml:space="preserve"> for B</w:t>
      </w:r>
      <w:r w:rsidR="00275651">
        <w:t>otox</w:t>
      </w:r>
      <w:r w:rsidR="009842C8">
        <w:t>,</w:t>
      </w:r>
      <w:r w:rsidR="001654C0">
        <w:t xml:space="preserve"> this may be a </w:t>
      </w:r>
      <w:r w:rsidR="00447E71" w:rsidRPr="00447E71">
        <w:rPr>
          <w:highlight w:val="black"/>
        </w:rPr>
        <w:t>XXXXXX</w:t>
      </w:r>
      <w:r w:rsidR="00695CD6" w:rsidRPr="00447E71">
        <w:t xml:space="preserve"> </w:t>
      </w:r>
      <w:proofErr w:type="gramStart"/>
      <w:r w:rsidR="00447E71" w:rsidRPr="00447E71">
        <w:rPr>
          <w:highlight w:val="black"/>
        </w:rPr>
        <w:t>XXXXXXXXXXXXX</w:t>
      </w:r>
      <w:proofErr w:type="gramEnd"/>
      <w:r w:rsidR="001654C0">
        <w:t xml:space="preserve"> </w:t>
      </w:r>
      <w:r w:rsidR="00EE02FA">
        <w:t>and the Mar</w:t>
      </w:r>
      <w:r w:rsidR="00275651">
        <w:t>ch</w:t>
      </w:r>
      <w:r w:rsidR="00EE02FA">
        <w:t xml:space="preserve"> </w:t>
      </w:r>
      <w:r w:rsidR="00275651">
        <w:t>20</w:t>
      </w:r>
      <w:r w:rsidR="00EE02FA">
        <w:t>2</w:t>
      </w:r>
      <w:r w:rsidR="009812A8">
        <w:t>0</w:t>
      </w:r>
      <w:r w:rsidR="00EE02FA">
        <w:t xml:space="preserve"> resub</w:t>
      </w:r>
      <w:r w:rsidR="00275651">
        <w:t>mission</w:t>
      </w:r>
      <w:r w:rsidR="00EE02FA">
        <w:t xml:space="preserve"> assumed a di</w:t>
      </w:r>
      <w:r w:rsidR="00FC24B7">
        <w:t xml:space="preserve">scontinuation rate of </w:t>
      </w:r>
      <w:r w:rsidR="00447E71" w:rsidRPr="00447E71">
        <w:rPr>
          <w:highlight w:val="black"/>
          <w:shd w:val="clear" w:color="auto" w:fill="D9D9D9" w:themeFill="background1" w:themeFillShade="D9"/>
        </w:rPr>
        <w:t>XXX</w:t>
      </w:r>
      <w:r w:rsidR="00FC24B7">
        <w:t xml:space="preserve"> after 12 months </w:t>
      </w:r>
      <w:r w:rsidR="00275651">
        <w:t xml:space="preserve">which </w:t>
      </w:r>
      <w:r w:rsidR="00FC24B7">
        <w:t xml:space="preserve">may be a </w:t>
      </w:r>
      <w:r w:rsidR="00447E71" w:rsidRPr="00447E71">
        <w:rPr>
          <w:highlight w:val="black"/>
        </w:rPr>
        <w:t>XXXXXXXX</w:t>
      </w:r>
      <w:r w:rsidR="006323AB" w:rsidRPr="00447E71">
        <w:t xml:space="preserve"> </w:t>
      </w:r>
      <w:r w:rsidR="00447E71" w:rsidRPr="00447E71">
        <w:rPr>
          <w:highlight w:val="black"/>
        </w:rPr>
        <w:t>XXXXXXXXXXXX</w:t>
      </w:r>
      <w:r w:rsidR="00831C95">
        <w:t>.</w:t>
      </w:r>
      <w:bookmarkEnd w:id="8"/>
    </w:p>
    <w:p w14:paraId="67EACAC1" w14:textId="4BEC4AB0" w:rsidR="002D6826" w:rsidRDefault="002D6826" w:rsidP="005E6E3B">
      <w:pPr>
        <w:shd w:val="clear" w:color="auto" w:fill="FFFFFF" w:themeFill="background1"/>
        <w:spacing w:after="0"/>
      </w:pPr>
      <w:r>
        <w:t>As would be expected</w:t>
      </w:r>
      <w:r w:rsidR="00E730E1">
        <w:t>,</w:t>
      </w:r>
      <w:r>
        <w:t xml:space="preserve"> the age and gender pattern of the use of </w:t>
      </w:r>
      <w:r w:rsidRPr="002D6826">
        <w:t xml:space="preserve">galcanezumab </w:t>
      </w:r>
      <w:r w:rsidR="006A76F3">
        <w:t>and</w:t>
      </w:r>
      <w:r w:rsidRPr="002D6826">
        <w:t xml:space="preserve"> fremanezumab</w:t>
      </w:r>
      <w:r>
        <w:t xml:space="preserve"> mirrors that of demographics of migraine in Australia</w:t>
      </w:r>
      <w:r w:rsidRPr="002D6826">
        <w:rPr>
          <w:vertAlign w:val="superscript"/>
        </w:rPr>
        <w:t>4</w:t>
      </w:r>
      <w:r>
        <w:t xml:space="preserve">. The reason for the change in usage pattern in the second half of 2022 between </w:t>
      </w:r>
      <w:r w:rsidRPr="00780E7D">
        <w:t>galcanezumab</w:t>
      </w:r>
      <w:r>
        <w:t xml:space="preserve"> </w:t>
      </w:r>
      <w:r w:rsidR="00E730E1">
        <w:t>and</w:t>
      </w:r>
      <w:r>
        <w:t xml:space="preserve"> </w:t>
      </w:r>
      <w:r w:rsidRPr="00414B5A">
        <w:t>fremanezumab</w:t>
      </w:r>
      <w:r>
        <w:t xml:space="preserve"> is not apparent while the increase </w:t>
      </w:r>
      <w:r w:rsidR="006A76F3">
        <w:t xml:space="preserve">in </w:t>
      </w:r>
      <w:r>
        <w:t xml:space="preserve">use of </w:t>
      </w:r>
      <w:r w:rsidRPr="00414B5A">
        <w:t>fremanezumab</w:t>
      </w:r>
      <w:r>
        <w:t xml:space="preserve"> in late 2023 can be attributed to the broadening of its restriction</w:t>
      </w:r>
      <w:r w:rsidR="00E730E1">
        <w:t>,</w:t>
      </w:r>
      <w:r>
        <w:t xml:space="preserve"> and to a less</w:t>
      </w:r>
      <w:r w:rsidR="00E730E1">
        <w:t>e</w:t>
      </w:r>
      <w:r>
        <w:t>r extent</w:t>
      </w:r>
      <w:r w:rsidR="00E730E1">
        <w:t>,</w:t>
      </w:r>
      <w:r>
        <w:t xml:space="preserve"> the </w:t>
      </w:r>
      <w:r w:rsidR="00E730E1">
        <w:t>shortages limiting the</w:t>
      </w:r>
      <w:r>
        <w:t xml:space="preserve"> availability of </w:t>
      </w:r>
      <w:r w:rsidRPr="002D6826">
        <w:t>galcanezumab</w:t>
      </w:r>
      <w:r>
        <w:t>.</w:t>
      </w:r>
    </w:p>
    <w:p w14:paraId="76DAEA32" w14:textId="77777777" w:rsidR="002D6826" w:rsidRPr="002D6826" w:rsidRDefault="002D6826" w:rsidP="005E6E3B">
      <w:pPr>
        <w:shd w:val="clear" w:color="auto" w:fill="FFFFFF" w:themeFill="background1"/>
        <w:spacing w:after="0"/>
      </w:pPr>
    </w:p>
    <w:p w14:paraId="043E71CB" w14:textId="14283CA7" w:rsidR="00414B5A" w:rsidRDefault="00414B5A" w:rsidP="00414B5A">
      <w:pPr>
        <w:spacing w:after="0"/>
      </w:pPr>
      <w:r>
        <w:t xml:space="preserve">It should be noted that the data on co-dispensing </w:t>
      </w:r>
      <w:r w:rsidR="007334E5">
        <w:t xml:space="preserve">of analgesics </w:t>
      </w:r>
      <w:r>
        <w:t xml:space="preserve">(Tables 6 and 8) does not necessarily indicate co-administration. </w:t>
      </w:r>
      <w:r w:rsidRPr="00414B5A">
        <w:t xml:space="preserve">It </w:t>
      </w:r>
      <w:r w:rsidR="005E7AD1">
        <w:t>wa</w:t>
      </w:r>
      <w:r w:rsidRPr="00414B5A">
        <w:t xml:space="preserve">s more likely that patients who are co-administering non-opioid analgesia along with their </w:t>
      </w:r>
      <w:bookmarkStart w:id="10" w:name="_Hlk162980866"/>
      <w:r w:rsidRPr="00780E7D">
        <w:t>galcanezumab</w:t>
      </w:r>
      <w:r>
        <w:t xml:space="preserve"> or </w:t>
      </w:r>
      <w:r w:rsidRPr="00414B5A">
        <w:t>fremanezumab</w:t>
      </w:r>
      <w:r>
        <w:t xml:space="preserve"> </w:t>
      </w:r>
      <w:bookmarkEnd w:id="10"/>
      <w:r>
        <w:t xml:space="preserve">are obtaining these medications </w:t>
      </w:r>
      <w:proofErr w:type="gramStart"/>
      <w:r>
        <w:t>over-the-counter</w:t>
      </w:r>
      <w:proofErr w:type="gramEnd"/>
      <w:r>
        <w:t xml:space="preserve"> rather than through the PBS. It </w:t>
      </w:r>
      <w:r w:rsidR="00560754">
        <w:t>wa</w:t>
      </w:r>
      <w:r>
        <w:t xml:space="preserve">s not possible to determine what </w:t>
      </w:r>
      <w:r w:rsidR="00374BBF">
        <w:t xml:space="preserve">if </w:t>
      </w:r>
      <w:r>
        <w:t xml:space="preserve">any analgesia </w:t>
      </w:r>
      <w:r w:rsidR="00374BBF">
        <w:t xml:space="preserve">(non-opioid or opioid) </w:t>
      </w:r>
      <w:r>
        <w:t xml:space="preserve">that patients may be co-administering nor </w:t>
      </w:r>
      <w:r w:rsidR="007E283C">
        <w:t>wa</w:t>
      </w:r>
      <w:r>
        <w:t>s it possible to determine whether the co-dispensed medication is being taken for migraine or another condition.</w:t>
      </w:r>
    </w:p>
    <w:p w14:paraId="35D33FAC" w14:textId="77777777" w:rsidR="00414B5A" w:rsidRDefault="00414B5A" w:rsidP="005E6E3B">
      <w:pPr>
        <w:shd w:val="clear" w:color="auto" w:fill="FFFFFF" w:themeFill="background1"/>
        <w:spacing w:after="0"/>
      </w:pPr>
    </w:p>
    <w:p w14:paraId="726FEEA4" w14:textId="7D957ACF" w:rsidR="00AB21C0" w:rsidRDefault="00414B5A" w:rsidP="49679C9C">
      <w:r>
        <w:t xml:space="preserve">Figure </w:t>
      </w:r>
      <w:r w:rsidR="00BB5971">
        <w:t>9</w:t>
      </w:r>
      <w:r>
        <w:t xml:space="preserve"> indicates that a</w:t>
      </w:r>
      <w:r w:rsidR="00C26909">
        <w:t>fter an initial dec</w:t>
      </w:r>
      <w:r w:rsidR="00066769">
        <w:t>r</w:t>
      </w:r>
      <w:r w:rsidR="00C26909">
        <w:t xml:space="preserve">ease in the </w:t>
      </w:r>
      <w:r w:rsidR="00BD2BEA">
        <w:t xml:space="preserve">use of </w:t>
      </w:r>
      <w:r>
        <w:t xml:space="preserve">triptans and </w:t>
      </w:r>
      <w:r w:rsidR="00743D84">
        <w:t>first</w:t>
      </w:r>
      <w:r w:rsidR="00BD2BEA">
        <w:t xml:space="preserve"> line </w:t>
      </w:r>
      <w:r>
        <w:t>medications for prophylaxis</w:t>
      </w:r>
      <w:r w:rsidR="00E730E1">
        <w:t>,</w:t>
      </w:r>
      <w:r>
        <w:t xml:space="preserve"> the use of these medications ha</w:t>
      </w:r>
      <w:r w:rsidR="00C800D8">
        <w:t>d</w:t>
      </w:r>
      <w:r>
        <w:t xml:space="preserve"> levelled off </w:t>
      </w:r>
      <w:r w:rsidR="00BD2BEA">
        <w:t xml:space="preserve">after the introduction of </w:t>
      </w:r>
      <w:r w:rsidRPr="00780E7D">
        <w:t>galcanezumab</w:t>
      </w:r>
      <w:r>
        <w:t xml:space="preserve"> or </w:t>
      </w:r>
      <w:r w:rsidRPr="00414B5A">
        <w:t>fremanezumab</w:t>
      </w:r>
      <w:r>
        <w:t xml:space="preserve">. </w:t>
      </w:r>
      <w:r w:rsidR="0082718B">
        <w:t>Tables 7 and 9 indicate</w:t>
      </w:r>
      <w:r w:rsidR="00797944">
        <w:t>d</w:t>
      </w:r>
      <w:r w:rsidR="0082718B">
        <w:t xml:space="preserve"> that</w:t>
      </w:r>
      <w:r w:rsidR="00374BBF">
        <w:t xml:space="preserve">, to some </w:t>
      </w:r>
      <w:r w:rsidR="00743D84">
        <w:t>extent</w:t>
      </w:r>
      <w:r w:rsidR="00374BBF">
        <w:t xml:space="preserve">, </w:t>
      </w:r>
      <w:r w:rsidR="0082718B">
        <w:t xml:space="preserve">triptans and </w:t>
      </w:r>
      <w:r w:rsidR="004A4847">
        <w:t>first</w:t>
      </w:r>
      <w:r w:rsidR="0082718B">
        <w:t xml:space="preserve"> line medications for prophylaxis </w:t>
      </w:r>
      <w:r w:rsidR="00797944">
        <w:t>we</w:t>
      </w:r>
      <w:r w:rsidR="0082718B">
        <w:t xml:space="preserve">re being co-dispensed with </w:t>
      </w:r>
      <w:r w:rsidR="0082718B" w:rsidRPr="0082718B">
        <w:lastRenderedPageBreak/>
        <w:t>galcanezumab or fremanezumab</w:t>
      </w:r>
      <w:r w:rsidR="00CC5590">
        <w:t>. There seem</w:t>
      </w:r>
      <w:r w:rsidR="00A64D1F">
        <w:t>ed</w:t>
      </w:r>
      <w:r w:rsidR="00CC5590">
        <w:t xml:space="preserve"> to be </w:t>
      </w:r>
      <w:r w:rsidR="0083228E">
        <w:t xml:space="preserve">a </w:t>
      </w:r>
      <w:r w:rsidR="00CC5590">
        <w:t xml:space="preserve">consistent pattern of co-dispensing </w:t>
      </w:r>
      <w:r w:rsidR="00CC5590" w:rsidRPr="00CC5590">
        <w:t xml:space="preserve">triptans and </w:t>
      </w:r>
      <w:r w:rsidR="00743D84">
        <w:t>first</w:t>
      </w:r>
      <w:r w:rsidR="00CC5590" w:rsidRPr="00CC5590">
        <w:t xml:space="preserve"> line medications for prophylaxis </w:t>
      </w:r>
      <w:r w:rsidR="003B2743">
        <w:t xml:space="preserve">along </w:t>
      </w:r>
      <w:r w:rsidR="00CC5590" w:rsidRPr="00CC5590">
        <w:t>with galcanezumab or fremanezumab</w:t>
      </w:r>
      <w:r w:rsidR="00CC5590">
        <w:t>.</w:t>
      </w:r>
      <w:r w:rsidR="00CC5590" w:rsidRPr="00CC5590">
        <w:t xml:space="preserve"> </w:t>
      </w:r>
      <w:r w:rsidR="76DE42BD">
        <w:t xml:space="preserve">Use of triptans and </w:t>
      </w:r>
      <w:r w:rsidR="00743D84">
        <w:t>first</w:t>
      </w:r>
      <w:r w:rsidR="76DE42BD">
        <w:t xml:space="preserve"> line </w:t>
      </w:r>
      <w:r>
        <w:t xml:space="preserve">medications for </w:t>
      </w:r>
      <w:r w:rsidR="76DE42BD">
        <w:t xml:space="preserve">prophylaxis in those undergoing treatment with </w:t>
      </w:r>
      <w:r w:rsidRPr="00414B5A">
        <w:t>galcanezumab or fremanezumab</w:t>
      </w:r>
      <w:r w:rsidR="76DE42BD">
        <w:t xml:space="preserve"> may be for the treatment of breakthrough migraines.</w:t>
      </w:r>
      <w:r w:rsidR="0082718B">
        <w:t xml:space="preserve"> However, it should be noted that, particularly in the case of </w:t>
      </w:r>
      <w:r w:rsidR="00743D84">
        <w:t>first</w:t>
      </w:r>
      <w:r w:rsidR="0082718B">
        <w:t xml:space="preserve"> line medications for prophylaxis which have indications other than migraine prophylaxis, co-dispensing may not indicate co-administration for migraine</w:t>
      </w:r>
      <w:r w:rsidR="00BF5ED3">
        <w:t xml:space="preserve"> but use in co-morbidities</w:t>
      </w:r>
      <w:r w:rsidR="0082718B">
        <w:t>.</w:t>
      </w:r>
      <w:r w:rsidR="00BF5ED3">
        <w:t xml:space="preserve"> It </w:t>
      </w:r>
      <w:r w:rsidR="00DC6B36">
        <w:t>wa</w:t>
      </w:r>
      <w:r w:rsidR="00BF5ED3">
        <w:t xml:space="preserve">s therefore likely that in the </w:t>
      </w:r>
      <w:r w:rsidR="0082718B">
        <w:t xml:space="preserve">case of </w:t>
      </w:r>
      <w:r w:rsidR="00743D84">
        <w:t>first</w:t>
      </w:r>
      <w:r w:rsidR="0082718B">
        <w:t xml:space="preserve"> line medications for prophylaxis</w:t>
      </w:r>
      <w:r w:rsidR="0057106F">
        <w:t>,</w:t>
      </w:r>
      <w:r w:rsidR="0082718B">
        <w:t xml:space="preserve"> </w:t>
      </w:r>
      <w:r w:rsidR="003B2743">
        <w:t>a</w:t>
      </w:r>
      <w:r w:rsidR="0082718B">
        <w:t xml:space="preserve"> p</w:t>
      </w:r>
      <w:r w:rsidR="003B2743">
        <w:t>roportion</w:t>
      </w:r>
      <w:r w:rsidR="0082718B">
        <w:t xml:space="preserve"> of patients </w:t>
      </w:r>
      <w:r w:rsidR="003C1281">
        <w:t>we</w:t>
      </w:r>
      <w:r w:rsidR="0082718B">
        <w:t xml:space="preserve">re using these mediations for indications other than migraine. </w:t>
      </w:r>
      <w:r w:rsidR="00BF5ED3">
        <w:t xml:space="preserve">However, it </w:t>
      </w:r>
      <w:r w:rsidR="0066208F">
        <w:t>wa</w:t>
      </w:r>
      <w:r w:rsidR="00BF5ED3">
        <w:t>s reasonable to consider that i</w:t>
      </w:r>
      <w:r w:rsidR="00AB21C0">
        <w:t xml:space="preserve">f a patient </w:t>
      </w:r>
      <w:r w:rsidR="005B06D9">
        <w:t>wa</w:t>
      </w:r>
      <w:r w:rsidR="00AB21C0">
        <w:t xml:space="preserve">s being </w:t>
      </w:r>
      <w:r w:rsidR="00B41772">
        <w:t xml:space="preserve">dispensed a </w:t>
      </w:r>
      <w:r w:rsidR="00743D84">
        <w:t>first</w:t>
      </w:r>
      <w:r w:rsidR="0082718B">
        <w:t xml:space="preserve"> </w:t>
      </w:r>
      <w:r w:rsidR="00B41772">
        <w:t xml:space="preserve">line </w:t>
      </w:r>
      <w:r w:rsidR="0082718B">
        <w:t xml:space="preserve">medication for prophylaxis </w:t>
      </w:r>
      <w:r w:rsidR="00B41772">
        <w:t xml:space="preserve">after a triptan </w:t>
      </w:r>
      <w:r w:rsidR="0082718B">
        <w:t xml:space="preserve">(Table 10) </w:t>
      </w:r>
      <w:r w:rsidR="00B41772">
        <w:t xml:space="preserve">it </w:t>
      </w:r>
      <w:r w:rsidR="00D1588F">
        <w:t>wa</w:t>
      </w:r>
      <w:r w:rsidR="00B41772">
        <w:t xml:space="preserve">s likely that the </w:t>
      </w:r>
      <w:r w:rsidR="00743D84">
        <w:t>first</w:t>
      </w:r>
      <w:r w:rsidR="00B41772">
        <w:t xml:space="preserve"> line </w:t>
      </w:r>
      <w:r w:rsidR="009B4CC8">
        <w:t xml:space="preserve">medication </w:t>
      </w:r>
      <w:r w:rsidR="00F73084">
        <w:t>wa</w:t>
      </w:r>
      <w:r w:rsidR="00B41772">
        <w:t>s being used for migraine prophylaxis.</w:t>
      </w:r>
    </w:p>
    <w:p w14:paraId="2F035A3F" w14:textId="408F403D" w:rsidR="0022063C" w:rsidRDefault="0083228E" w:rsidP="0083228E">
      <w:r>
        <w:t>While i</w:t>
      </w:r>
      <w:r w:rsidR="00271D8E">
        <w:t xml:space="preserve">t </w:t>
      </w:r>
      <w:r w:rsidR="001235AB">
        <w:t>wa</w:t>
      </w:r>
      <w:r w:rsidR="00271D8E">
        <w:t xml:space="preserve">s difficult to determine </w:t>
      </w:r>
      <w:r w:rsidR="003B2743">
        <w:t>whether</w:t>
      </w:r>
      <w:r w:rsidR="00271D8E">
        <w:t xml:space="preserve"> a medication used for </w:t>
      </w:r>
      <w:r w:rsidR="00743D84">
        <w:t>first</w:t>
      </w:r>
      <w:r w:rsidR="00271D8E">
        <w:t xml:space="preserve"> line prophylactic therapy </w:t>
      </w:r>
      <w:r w:rsidR="00785E35">
        <w:t>wa</w:t>
      </w:r>
      <w:r w:rsidR="00271D8E">
        <w:t xml:space="preserve">s being prescribed for migraine or another indication there </w:t>
      </w:r>
      <w:r w:rsidR="004672F7">
        <w:t>wa</w:t>
      </w:r>
      <w:r w:rsidR="00271D8E">
        <w:t xml:space="preserve">s </w:t>
      </w:r>
      <w:r w:rsidR="00F53491">
        <w:t>some evidence</w:t>
      </w:r>
      <w:r w:rsidR="00271D8E">
        <w:t xml:space="preserve"> </w:t>
      </w:r>
      <w:r w:rsidR="00F53491">
        <w:t>of a</w:t>
      </w:r>
      <w:r>
        <w:t xml:space="preserve"> </w:t>
      </w:r>
      <w:r w:rsidR="00CC5590">
        <w:t>pattern</w:t>
      </w:r>
      <w:r>
        <w:t>,</w:t>
      </w:r>
      <w:r w:rsidR="00CC5590">
        <w:t xml:space="preserve"> both </w:t>
      </w:r>
      <w:r>
        <w:t>in</w:t>
      </w:r>
      <w:r w:rsidR="00CC5590">
        <w:t xml:space="preserve"> co-dispensing and treatment sequence</w:t>
      </w:r>
      <w:r w:rsidR="0057106F">
        <w:t>,</w:t>
      </w:r>
      <w:r w:rsidR="00CC5590">
        <w:t xml:space="preserve"> which may indicate a </w:t>
      </w:r>
      <w:r w:rsidR="00271D8E">
        <w:t>preference rank of the</w:t>
      </w:r>
      <w:r w:rsidR="00EB326D">
        <w:t>s</w:t>
      </w:r>
      <w:r w:rsidR="00271D8E">
        <w:t xml:space="preserve">e </w:t>
      </w:r>
      <w:r w:rsidR="00743D84">
        <w:t>first</w:t>
      </w:r>
      <w:r w:rsidR="00EB326D">
        <w:t xml:space="preserve"> line </w:t>
      </w:r>
      <w:r w:rsidR="00271D8E">
        <w:t>medications</w:t>
      </w:r>
      <w:r>
        <w:t xml:space="preserve"> for use in migraine prophylaxis</w:t>
      </w:r>
      <w:r w:rsidR="00271D8E">
        <w:t>.</w:t>
      </w:r>
      <w:r w:rsidR="00E227C4">
        <w:t xml:space="preserve"> T</w:t>
      </w:r>
      <w:r w:rsidR="007334E5">
        <w:t xml:space="preserve">he data on </w:t>
      </w:r>
      <w:r w:rsidR="009B4CC8">
        <w:t>c</w:t>
      </w:r>
      <w:r w:rsidR="00405CF0">
        <w:t>o-</w:t>
      </w:r>
      <w:r w:rsidR="00941F8E">
        <w:t>dispensing</w:t>
      </w:r>
      <w:r w:rsidR="00405CF0">
        <w:t xml:space="preserve"> </w:t>
      </w:r>
      <w:r w:rsidR="007334E5">
        <w:t xml:space="preserve">(Table 7 and 9) </w:t>
      </w:r>
      <w:r w:rsidR="00271D8E">
        <w:t xml:space="preserve">of </w:t>
      </w:r>
      <w:r w:rsidR="00743D84">
        <w:t>first</w:t>
      </w:r>
      <w:r w:rsidR="00271D8E">
        <w:t xml:space="preserve"> line prophylactic therapy, </w:t>
      </w:r>
      <w:r w:rsidR="007334E5">
        <w:t xml:space="preserve">taken together </w:t>
      </w:r>
      <w:r w:rsidR="00941F8E">
        <w:t xml:space="preserve">with </w:t>
      </w:r>
      <w:r w:rsidR="007334E5">
        <w:t xml:space="preserve">the data on the sequence of </w:t>
      </w:r>
      <w:r w:rsidR="00743D84">
        <w:t>first</w:t>
      </w:r>
      <w:r w:rsidR="007334E5">
        <w:t xml:space="preserve"> line to </w:t>
      </w:r>
      <w:r w:rsidR="00743D84">
        <w:t>second</w:t>
      </w:r>
      <w:r w:rsidR="00941F8E">
        <w:t xml:space="preserve"> line prophylactic therapy </w:t>
      </w:r>
      <w:r w:rsidR="007334E5">
        <w:t xml:space="preserve">(Tables </w:t>
      </w:r>
      <w:r w:rsidR="00271D8E">
        <w:t xml:space="preserve">11 and 12) </w:t>
      </w:r>
      <w:r w:rsidR="00C31B65">
        <w:t xml:space="preserve">mimic </w:t>
      </w:r>
      <w:r w:rsidR="007334E5">
        <w:t xml:space="preserve">the </w:t>
      </w:r>
      <w:r w:rsidR="00F2066B">
        <w:t xml:space="preserve">dispensing </w:t>
      </w:r>
      <w:r w:rsidR="00271D8E">
        <w:t xml:space="preserve">pattern </w:t>
      </w:r>
      <w:r w:rsidR="00F2066B">
        <w:t xml:space="preserve">of </w:t>
      </w:r>
      <w:r w:rsidR="00743D84">
        <w:t>first</w:t>
      </w:r>
      <w:r w:rsidR="00F2066B">
        <w:t xml:space="preserve"> line </w:t>
      </w:r>
      <w:r w:rsidR="00271D8E">
        <w:t xml:space="preserve">prophylactic therapy </w:t>
      </w:r>
      <w:r w:rsidR="00F2066B">
        <w:t xml:space="preserve">as standalone </w:t>
      </w:r>
      <w:r w:rsidR="00374BBF">
        <w:t xml:space="preserve">migraine </w:t>
      </w:r>
      <w:r w:rsidR="00F2066B">
        <w:t>t</w:t>
      </w:r>
      <w:r w:rsidR="00374BBF">
        <w:t>herapy</w:t>
      </w:r>
      <w:r w:rsidR="00F2066B">
        <w:t xml:space="preserve"> </w:t>
      </w:r>
      <w:r w:rsidR="00EB326D">
        <w:t>(</w:t>
      </w:r>
      <w:r w:rsidR="007334E5">
        <w:t xml:space="preserve">as can be </w:t>
      </w:r>
      <w:r w:rsidR="00271D8E">
        <w:t>ascertained</w:t>
      </w:r>
      <w:r w:rsidR="007334E5">
        <w:t xml:space="preserve"> from the </w:t>
      </w:r>
      <w:r w:rsidR="007334E5" w:rsidRPr="007334E5">
        <w:t xml:space="preserve">treatment sequence of </w:t>
      </w:r>
      <w:r w:rsidR="00743D84">
        <w:t>first</w:t>
      </w:r>
      <w:r w:rsidR="007334E5" w:rsidRPr="007334E5">
        <w:t xml:space="preserve"> line </w:t>
      </w:r>
      <w:r w:rsidR="00271D8E">
        <w:t>prophylactic therapy</w:t>
      </w:r>
      <w:r w:rsidR="00EB326D">
        <w:t>)</w:t>
      </w:r>
      <w:r w:rsidR="00271D8E">
        <w:t xml:space="preserve"> </w:t>
      </w:r>
      <w:r w:rsidR="00CC5590">
        <w:t>(Table</w:t>
      </w:r>
      <w:r w:rsidR="00374BBF">
        <w:t>s</w:t>
      </w:r>
      <w:r w:rsidR="00CC5590">
        <w:t xml:space="preserve"> 10</w:t>
      </w:r>
      <w:r w:rsidR="00374BBF">
        <w:t>, 11 and 12</w:t>
      </w:r>
      <w:r w:rsidR="00CC5590">
        <w:t>)</w:t>
      </w:r>
      <w:r w:rsidR="008213E0">
        <w:t>.</w:t>
      </w:r>
      <w:r w:rsidR="007334E5">
        <w:t xml:space="preserve"> </w:t>
      </w:r>
      <w:r w:rsidR="00407BD7">
        <w:t>I</w:t>
      </w:r>
      <w:r w:rsidR="009B4CC8">
        <w:t xml:space="preserve">t </w:t>
      </w:r>
      <w:r w:rsidR="00D35B43">
        <w:t>wa</w:t>
      </w:r>
      <w:r w:rsidR="009B4CC8">
        <w:t>s likely</w:t>
      </w:r>
      <w:r w:rsidR="002E4A89">
        <w:t xml:space="preserve"> that those patients co-</w:t>
      </w:r>
      <w:r w:rsidR="000376BF">
        <w:t>dispensed</w:t>
      </w:r>
      <w:r w:rsidR="00FF02E0">
        <w:t>,</w:t>
      </w:r>
      <w:r w:rsidR="002E4A89">
        <w:t xml:space="preserve"> </w:t>
      </w:r>
      <w:r w:rsidR="00271D8E">
        <w:t>or have a treatment sequence</w:t>
      </w:r>
      <w:r w:rsidR="00FF02E0">
        <w:t>,</w:t>
      </w:r>
      <w:r w:rsidR="00271D8E">
        <w:t xml:space="preserve"> which involve</w:t>
      </w:r>
      <w:r w:rsidR="00FF02E0">
        <w:t>s</w:t>
      </w:r>
      <w:r w:rsidR="00271D8E">
        <w:t xml:space="preserve"> a </w:t>
      </w:r>
      <w:r w:rsidR="00743D84">
        <w:t>first</w:t>
      </w:r>
      <w:r w:rsidR="002E4A89">
        <w:t xml:space="preserve"> line</w:t>
      </w:r>
      <w:r w:rsidR="009B4CC8">
        <w:t xml:space="preserve"> </w:t>
      </w:r>
      <w:r w:rsidR="002E4A89">
        <w:t>prophylaxis</w:t>
      </w:r>
      <w:r w:rsidR="009B4CC8">
        <w:t xml:space="preserve"> </w:t>
      </w:r>
      <w:r w:rsidR="00271D8E">
        <w:t xml:space="preserve">therapy </w:t>
      </w:r>
      <w:r w:rsidR="00407BD7">
        <w:t>are being treated</w:t>
      </w:r>
      <w:r w:rsidR="002E4A89">
        <w:t xml:space="preserve"> for </w:t>
      </w:r>
      <w:r w:rsidR="000376BF">
        <w:t>relevant ARTG indications</w:t>
      </w:r>
      <w:r w:rsidR="00271D8E">
        <w:t xml:space="preserve"> and</w:t>
      </w:r>
      <w:r w:rsidR="00296758">
        <w:t xml:space="preserve"> </w:t>
      </w:r>
      <w:r w:rsidR="00407BD7">
        <w:t xml:space="preserve">likely </w:t>
      </w:r>
      <w:r w:rsidR="00296758">
        <w:t>represent patients with co-morbidities</w:t>
      </w:r>
      <w:r w:rsidR="00407BD7">
        <w:t>.</w:t>
      </w:r>
      <w:r w:rsidR="006A76F3">
        <w:t xml:space="preserve"> However, g</w:t>
      </w:r>
      <w:r w:rsidR="009B4CC8">
        <w:t>iven the pattern of use in co-dispensing and treatment sequence</w:t>
      </w:r>
      <w:r w:rsidR="00407BD7">
        <w:t>,</w:t>
      </w:r>
      <w:r w:rsidR="009B4CC8">
        <w:t xml:space="preserve"> it </w:t>
      </w:r>
      <w:r w:rsidR="0065773C">
        <w:t>wa</w:t>
      </w:r>
      <w:r w:rsidR="009B4CC8">
        <w:t xml:space="preserve">s likely that the </w:t>
      </w:r>
      <w:r>
        <w:t xml:space="preserve">preference </w:t>
      </w:r>
      <w:r w:rsidR="009B4CC8">
        <w:t xml:space="preserve">rank of usage of triptans and </w:t>
      </w:r>
      <w:r w:rsidR="00743D84">
        <w:t>first</w:t>
      </w:r>
      <w:r w:rsidR="009B4CC8">
        <w:t xml:space="preserve"> line medications </w:t>
      </w:r>
      <w:r w:rsidR="00374BBF">
        <w:t>presents a</w:t>
      </w:r>
      <w:r w:rsidR="00407BD7">
        <w:t>n</w:t>
      </w:r>
      <w:r w:rsidR="00374BBF">
        <w:t xml:space="preserve"> </w:t>
      </w:r>
      <w:r w:rsidR="002D6826">
        <w:t>accurate</w:t>
      </w:r>
      <w:r w:rsidR="009B4CC8">
        <w:t xml:space="preserve"> picture of the preference for </w:t>
      </w:r>
      <w:proofErr w:type="gramStart"/>
      <w:r w:rsidR="009B4CC8">
        <w:t>particular triptans</w:t>
      </w:r>
      <w:proofErr w:type="gramEnd"/>
      <w:r w:rsidR="009B4CC8">
        <w:t xml:space="preserve"> and </w:t>
      </w:r>
      <w:r w:rsidR="00743D84">
        <w:t>first</w:t>
      </w:r>
      <w:r w:rsidR="009B4CC8">
        <w:t xml:space="preserve"> line therapy</w:t>
      </w:r>
      <w:r w:rsidR="00271D8E">
        <w:t xml:space="preserve"> for migraine.</w:t>
      </w:r>
    </w:p>
    <w:p w14:paraId="482C35F1" w14:textId="4AA4F6D9" w:rsidR="0022063C" w:rsidRDefault="0022063C" w:rsidP="000E502A">
      <w:pPr>
        <w:spacing w:after="0"/>
      </w:pPr>
      <w:r>
        <w:t>Caution needs to be used when interpreting the service rates for Botox vs</w:t>
      </w:r>
      <w:r w:rsidR="00407BD7">
        <w:t>.</w:t>
      </w:r>
      <w:r>
        <w:t xml:space="preserve"> the dispensing rates for </w:t>
      </w:r>
      <w:r w:rsidR="0010196F" w:rsidRPr="00CC5590">
        <w:t>galcanezumab</w:t>
      </w:r>
      <w:r>
        <w:t xml:space="preserve"> and </w:t>
      </w:r>
      <w:r w:rsidR="0010196F" w:rsidRPr="0010196F">
        <w:t>fremanezumab</w:t>
      </w:r>
      <w:r>
        <w:t xml:space="preserve"> as patients</w:t>
      </w:r>
      <w:r w:rsidR="007C392D">
        <w:t xml:space="preserve"> (given the mode of administration of Botox)</w:t>
      </w:r>
      <w:r>
        <w:t xml:space="preserve"> will likely travel in to receive their </w:t>
      </w:r>
      <w:r w:rsidR="00271D8E">
        <w:t>Botox</w:t>
      </w:r>
      <w:r>
        <w:t xml:space="preserve"> service (injection</w:t>
      </w:r>
      <w:r w:rsidR="007C392D">
        <w:t>s</w:t>
      </w:r>
      <w:r>
        <w:t>) at a more central</w:t>
      </w:r>
      <w:r w:rsidR="007C392D">
        <w:t xml:space="preserve"> specialist</w:t>
      </w:r>
      <w:r>
        <w:t xml:space="preserve"> clinic while </w:t>
      </w:r>
      <w:proofErr w:type="gramStart"/>
      <w:r w:rsidR="007C392D">
        <w:t>the majority of</w:t>
      </w:r>
      <w:proofErr w:type="gramEnd"/>
      <w:r w:rsidR="007C392D">
        <w:t xml:space="preserve"> patients</w:t>
      </w:r>
      <w:r>
        <w:t xml:space="preserve"> may get </w:t>
      </w:r>
      <w:r w:rsidR="009E6574">
        <w:t xml:space="preserve">their </w:t>
      </w:r>
      <w:r w:rsidR="0010196F" w:rsidRPr="00CC5590">
        <w:t>galcanezumab</w:t>
      </w:r>
      <w:r>
        <w:t xml:space="preserve"> and </w:t>
      </w:r>
      <w:r w:rsidR="0010196F" w:rsidRPr="00CC5590">
        <w:t>fremanezumab</w:t>
      </w:r>
      <w:r>
        <w:t xml:space="preserve"> prescriptions at a more central </w:t>
      </w:r>
      <w:r w:rsidR="007C392D">
        <w:t xml:space="preserve">specialist </w:t>
      </w:r>
      <w:r>
        <w:t xml:space="preserve">clinic but have </w:t>
      </w:r>
      <w:r w:rsidR="005C7B71">
        <w:t>scripts dispensed at their local pharmacy</w:t>
      </w:r>
      <w:r w:rsidR="00407BD7">
        <w:t>.</w:t>
      </w:r>
      <w:r w:rsidR="007C392D">
        <w:t xml:space="preserve"> </w:t>
      </w:r>
      <w:r w:rsidR="00407BD7">
        <w:t>I</w:t>
      </w:r>
      <w:r w:rsidR="007C392D">
        <w:t xml:space="preserve">t </w:t>
      </w:r>
      <w:r w:rsidR="0058141C">
        <w:t>wa</w:t>
      </w:r>
      <w:r w:rsidR="00407BD7">
        <w:t xml:space="preserve">s </w:t>
      </w:r>
      <w:r w:rsidR="007C392D">
        <w:t xml:space="preserve">likely that some patients </w:t>
      </w:r>
      <w:r w:rsidR="00D475B6">
        <w:t>we</w:t>
      </w:r>
      <w:r w:rsidR="007C392D">
        <w:t xml:space="preserve">re getting their </w:t>
      </w:r>
      <w:r w:rsidR="007C392D" w:rsidRPr="007C392D">
        <w:t xml:space="preserve">galcanezumab </w:t>
      </w:r>
      <w:r w:rsidR="007C392D">
        <w:t>or</w:t>
      </w:r>
      <w:r w:rsidR="007C392D" w:rsidRPr="007C392D">
        <w:t xml:space="preserve"> fremanezumab</w:t>
      </w:r>
      <w:r w:rsidR="007C392D">
        <w:t xml:space="preserve"> </w:t>
      </w:r>
      <w:r w:rsidR="006A76F3">
        <w:t xml:space="preserve">continuing </w:t>
      </w:r>
      <w:r w:rsidR="007C392D">
        <w:t>scripts at their local</w:t>
      </w:r>
      <w:r w:rsidR="002D6826">
        <w:t xml:space="preserve"> General Practice</w:t>
      </w:r>
      <w:r w:rsidR="007C392D">
        <w:t xml:space="preserve"> clinic</w:t>
      </w:r>
      <w:r w:rsidR="006208F6">
        <w:t xml:space="preserve"> (Table 17</w:t>
      </w:r>
      <w:r w:rsidR="00250E8F">
        <w:t xml:space="preserve"> and 18</w:t>
      </w:r>
      <w:r w:rsidR="006208F6">
        <w:t>)</w:t>
      </w:r>
      <w:r w:rsidR="005C7B71">
        <w:t>.</w:t>
      </w:r>
      <w:r w:rsidR="0010196F">
        <w:t xml:space="preserve"> While the dispensing of </w:t>
      </w:r>
      <w:r w:rsidR="0010196F" w:rsidRPr="00CC5590">
        <w:t xml:space="preserve">galcanezumab </w:t>
      </w:r>
      <w:r w:rsidR="0010196F">
        <w:t xml:space="preserve">and </w:t>
      </w:r>
      <w:r w:rsidR="0010196F" w:rsidRPr="00CC5590">
        <w:t>fremanezumab</w:t>
      </w:r>
      <w:r w:rsidR="0010196F">
        <w:t xml:space="preserve"> d</w:t>
      </w:r>
      <w:r w:rsidR="00882F55">
        <w:t>id</w:t>
      </w:r>
      <w:r w:rsidR="009F34D0">
        <w:t xml:space="preserve">, to a certain extent, overlap (Figures </w:t>
      </w:r>
      <w:r w:rsidR="00AF3988">
        <w:t>10</w:t>
      </w:r>
      <w:r w:rsidR="009F34D0">
        <w:t xml:space="preserve"> and </w:t>
      </w:r>
      <w:r w:rsidR="00AF3988">
        <w:t>11</w:t>
      </w:r>
      <w:r w:rsidR="009F34D0">
        <w:t xml:space="preserve">) this </w:t>
      </w:r>
      <w:r w:rsidR="00882F55">
        <w:t>wa</w:t>
      </w:r>
      <w:r w:rsidR="009F34D0">
        <w:t>s not the case with Botox administration</w:t>
      </w:r>
      <w:r w:rsidR="00407BD7">
        <w:t xml:space="preserve">, </w:t>
      </w:r>
      <w:r w:rsidR="009F34D0">
        <w:t xml:space="preserve">the majority of which </w:t>
      </w:r>
      <w:r w:rsidR="00882F55">
        <w:t>took</w:t>
      </w:r>
      <w:r w:rsidR="009F34D0">
        <w:t xml:space="preserve"> place in certain SA3 locations</w:t>
      </w:r>
      <w:r w:rsidR="002D64E5">
        <w:t xml:space="preserve">. </w:t>
      </w:r>
      <w:r w:rsidR="001109D5">
        <w:t xml:space="preserve">A total of </w:t>
      </w:r>
      <w:r w:rsidR="002D64E5">
        <w:t>15 SA3 locations account</w:t>
      </w:r>
      <w:r w:rsidR="00882F55">
        <w:t>ed</w:t>
      </w:r>
      <w:r w:rsidR="002D64E5">
        <w:t xml:space="preserve"> for 50% of Botox services</w:t>
      </w:r>
      <w:r w:rsidR="005F0A02">
        <w:t>, which compare</w:t>
      </w:r>
      <w:r w:rsidR="00882F55">
        <w:t>d</w:t>
      </w:r>
      <w:r w:rsidR="005F0A02">
        <w:t xml:space="preserve"> to 63 SA3 locations accounting for 50% of </w:t>
      </w:r>
      <w:r w:rsidR="005F0A02" w:rsidRPr="005F0A02">
        <w:t>fremanezumab</w:t>
      </w:r>
      <w:r w:rsidR="005F0A02">
        <w:t xml:space="preserve"> scripts dispensed and 73 SA3 locations accounting for 50% of </w:t>
      </w:r>
      <w:r w:rsidR="005F0A02" w:rsidRPr="005F0A02">
        <w:t>galcanezumab</w:t>
      </w:r>
      <w:r w:rsidR="005F0A02">
        <w:t xml:space="preserve"> scripts dispensed. This indicate</w:t>
      </w:r>
      <w:r w:rsidR="005735A6">
        <w:t>d</w:t>
      </w:r>
      <w:r w:rsidR="005F0A02">
        <w:t xml:space="preserve"> that Botox services </w:t>
      </w:r>
      <w:r w:rsidR="005735A6">
        <w:t>we</w:t>
      </w:r>
      <w:r w:rsidR="005F0A02">
        <w:t xml:space="preserve">re being delivered more centrally while scripts for </w:t>
      </w:r>
      <w:r w:rsidR="005F0A02" w:rsidRPr="005F0A02">
        <w:t>galcanezumab</w:t>
      </w:r>
      <w:r w:rsidR="005F0A02">
        <w:t xml:space="preserve"> and </w:t>
      </w:r>
      <w:r w:rsidR="005F0A02" w:rsidRPr="005F0A02">
        <w:t>fremanezumab</w:t>
      </w:r>
      <w:r w:rsidR="005F0A02">
        <w:t xml:space="preserve"> </w:t>
      </w:r>
      <w:r w:rsidR="005735A6">
        <w:t>we</w:t>
      </w:r>
      <w:r w:rsidR="005F0A02">
        <w:t>re being dispensed in a wider geographical area.</w:t>
      </w:r>
      <w:r w:rsidR="00C870A6">
        <w:t xml:space="preserve"> Table 1</w:t>
      </w:r>
      <w:r w:rsidR="00250E8F">
        <w:t>7</w:t>
      </w:r>
      <w:r w:rsidR="00C870A6">
        <w:t xml:space="preserve"> indicate</w:t>
      </w:r>
      <w:r w:rsidR="005735A6">
        <w:t>d</w:t>
      </w:r>
      <w:r w:rsidR="00C870A6">
        <w:t xml:space="preserve"> that over 95% of Botox </w:t>
      </w:r>
      <w:r w:rsidR="005735A6">
        <w:t>wa</w:t>
      </w:r>
      <w:r w:rsidR="00C870A6">
        <w:t xml:space="preserve">s being prescribed by neurologists </w:t>
      </w:r>
      <w:r w:rsidR="00B86562">
        <w:t xml:space="preserve">as the </w:t>
      </w:r>
      <w:r w:rsidR="00C4601A">
        <w:t xml:space="preserve">current </w:t>
      </w:r>
      <w:r w:rsidR="00B86562">
        <w:t>PBS restriction require</w:t>
      </w:r>
      <w:r w:rsidR="00690F9D">
        <w:t>d</w:t>
      </w:r>
      <w:r w:rsidR="00B86562">
        <w:t xml:space="preserve"> that both treatment initiation and continuation be undertaken by a neurologist</w:t>
      </w:r>
      <w:r w:rsidR="00C4601A">
        <w:t>.</w:t>
      </w:r>
      <w:r w:rsidR="00B86562">
        <w:t xml:space="preserve"> </w:t>
      </w:r>
      <w:r w:rsidR="00DF265A">
        <w:t>A</w:t>
      </w:r>
      <w:r w:rsidR="00C870A6">
        <w:t xml:space="preserve">round one-third of </w:t>
      </w:r>
      <w:r w:rsidR="00C870A6" w:rsidRPr="00C870A6">
        <w:t>galcanezumab and fremanezumab</w:t>
      </w:r>
      <w:r w:rsidR="00C870A6">
        <w:t xml:space="preserve"> prescriptions </w:t>
      </w:r>
      <w:r w:rsidR="00690F9D">
        <w:t>we</w:t>
      </w:r>
      <w:r w:rsidR="00C870A6">
        <w:t>re being written by specialities other than neurology</w:t>
      </w:r>
      <w:r w:rsidR="00250E8F">
        <w:t xml:space="preserve"> (Table 17)</w:t>
      </w:r>
      <w:r w:rsidR="00C870A6">
        <w:t xml:space="preserve">, </w:t>
      </w:r>
      <w:r w:rsidR="008075AD">
        <w:t xml:space="preserve">which </w:t>
      </w:r>
      <w:r w:rsidR="009F5A0E">
        <w:t>wa</w:t>
      </w:r>
      <w:r w:rsidR="008075AD">
        <w:t xml:space="preserve">s </w:t>
      </w:r>
      <w:r w:rsidR="008075AD">
        <w:lastRenderedPageBreak/>
        <w:t xml:space="preserve">likely to be the result of the </w:t>
      </w:r>
      <w:r w:rsidR="00C4601A">
        <w:t xml:space="preserve">current PBS restriction </w:t>
      </w:r>
      <w:r w:rsidR="008075AD">
        <w:t xml:space="preserve">requirements that treatment initiation be undertaken by a neurologist while treatment continuation can be either </w:t>
      </w:r>
      <w:r w:rsidR="00C4601A">
        <w:t xml:space="preserve">be </w:t>
      </w:r>
      <w:r w:rsidR="008075AD">
        <w:t xml:space="preserve">by a neurologist or </w:t>
      </w:r>
      <w:r w:rsidR="008075AD" w:rsidRPr="008075AD">
        <w:t>in consultation with a neurologist</w:t>
      </w:r>
      <w:r w:rsidR="006E138D">
        <w:t xml:space="preserve"> (Table 18)</w:t>
      </w:r>
      <w:r w:rsidR="008075AD">
        <w:t xml:space="preserve">. This </w:t>
      </w:r>
      <w:r w:rsidR="00C870A6">
        <w:t>indica</w:t>
      </w:r>
      <w:r w:rsidR="008075AD">
        <w:t>t</w:t>
      </w:r>
      <w:r w:rsidR="00DF265A">
        <w:t>e</w:t>
      </w:r>
      <w:r w:rsidR="00F748B8">
        <w:t>d</w:t>
      </w:r>
      <w:r w:rsidR="00C870A6">
        <w:t xml:space="preserve"> that </w:t>
      </w:r>
      <w:r w:rsidR="008075AD">
        <w:t>while</w:t>
      </w:r>
      <w:r w:rsidR="00022075">
        <w:t xml:space="preserve"> </w:t>
      </w:r>
      <w:r w:rsidR="00C870A6">
        <w:t xml:space="preserve">the bulk of Botox </w:t>
      </w:r>
      <w:r w:rsidR="00F748B8">
        <w:t>wa</w:t>
      </w:r>
      <w:r w:rsidR="00C870A6">
        <w:t>s being prescribed and administered within specialist centres</w:t>
      </w:r>
      <w:r w:rsidR="00DF265A">
        <w:t>,</w:t>
      </w:r>
      <w:r w:rsidR="00C870A6">
        <w:t xml:space="preserve"> </w:t>
      </w:r>
      <w:r w:rsidR="007C392D">
        <w:t xml:space="preserve">a significant proportion of </w:t>
      </w:r>
      <w:r w:rsidR="007C392D" w:rsidRPr="007C392D">
        <w:t>galcanezumab and fremanezumab</w:t>
      </w:r>
      <w:r w:rsidR="007C392D">
        <w:t xml:space="preserve"> </w:t>
      </w:r>
      <w:r w:rsidR="00F748B8">
        <w:t>wa</w:t>
      </w:r>
      <w:r w:rsidR="007C392D">
        <w:t xml:space="preserve">s being prescribed outside </w:t>
      </w:r>
      <w:r w:rsidR="00DF265A">
        <w:t xml:space="preserve">of </w:t>
      </w:r>
      <w:r w:rsidR="007C392D">
        <w:t>specialist centres</w:t>
      </w:r>
      <w:r w:rsidR="00DF265A">
        <w:t>,</w:t>
      </w:r>
      <w:r w:rsidR="008075AD">
        <w:t xml:space="preserve"> most</w:t>
      </w:r>
      <w:r w:rsidR="00C4601A">
        <w:t xml:space="preserve"> likely</w:t>
      </w:r>
      <w:r w:rsidR="008075AD">
        <w:t xml:space="preserve"> </w:t>
      </w:r>
      <w:proofErr w:type="gramStart"/>
      <w:r w:rsidR="008075AD">
        <w:t>as a result of</w:t>
      </w:r>
      <w:proofErr w:type="gramEnd"/>
      <w:r w:rsidR="008075AD">
        <w:t xml:space="preserve"> continuing therapy being prescribed in primary care</w:t>
      </w:r>
      <w:r w:rsidR="007C392D">
        <w:t>.</w:t>
      </w:r>
    </w:p>
    <w:p w14:paraId="4450A027" w14:textId="77777777" w:rsidR="00774962" w:rsidRDefault="00774962" w:rsidP="000E502A">
      <w:pPr>
        <w:spacing w:after="0"/>
      </w:pPr>
    </w:p>
    <w:p w14:paraId="3C267483" w14:textId="77777777" w:rsidR="00774962" w:rsidRDefault="00774962" w:rsidP="00774962">
      <w:pPr>
        <w:pStyle w:val="Heading1"/>
      </w:pPr>
      <w:r>
        <w:t>DUSC consideration</w:t>
      </w:r>
    </w:p>
    <w:p w14:paraId="1E898FC0" w14:textId="64B1E290" w:rsidR="007A3C2C" w:rsidRPr="00260906" w:rsidRDefault="007A3C2C" w:rsidP="007A3C2C">
      <w:pPr>
        <w:spacing w:after="160" w:line="256" w:lineRule="auto"/>
        <w:rPr>
          <w:rFonts w:eastAsia="Calibri" w:cs="Times New Roman"/>
          <w:kern w:val="2"/>
          <w14:ligatures w14:val="standardContextual"/>
        </w:rPr>
      </w:pPr>
      <w:r w:rsidRPr="00260906">
        <w:rPr>
          <w:rFonts w:eastAsia="Calibri" w:cs="Times New Roman"/>
          <w:kern w:val="2"/>
          <w14:ligatures w14:val="standardContextual"/>
        </w:rPr>
        <w:t xml:space="preserve">DUSC considered that how chronic, or treatment-resistant migraine is defined within the current restrictions for galcanezumab and fremanezumab respectively </w:t>
      </w:r>
      <w:r w:rsidR="00293171">
        <w:rPr>
          <w:rFonts w:eastAsia="Calibri" w:cs="Times New Roman"/>
          <w:kern w:val="2"/>
          <w14:ligatures w14:val="standardContextual"/>
        </w:rPr>
        <w:t>wa</w:t>
      </w:r>
      <w:r w:rsidRPr="00260906">
        <w:rPr>
          <w:rFonts w:eastAsia="Calibri" w:cs="Times New Roman"/>
          <w:kern w:val="2"/>
          <w14:ligatures w14:val="standardContextual"/>
        </w:rPr>
        <w:t>s leading to behaviours to match the restrictions. This may be contributing to the overuse of over the counter (OTC) medications for migraine and headache, which in turn could be causing medication overuse headache for which patients are seeking medical care and prescriptions for chronic migraine. DUSC considered that some patients are then meeting the definitions under the relevant restrictions, but not due to the underlying pathophysiology associated with migraine but due to the overuse of OTC medication to treat migraine and headache.</w:t>
      </w:r>
    </w:p>
    <w:p w14:paraId="1E5C6FC0" w14:textId="77AA1EFD" w:rsidR="007A3C2C" w:rsidRDefault="007A3C2C" w:rsidP="007A3C2C">
      <w:pPr>
        <w:spacing w:after="160" w:line="256" w:lineRule="auto"/>
        <w:rPr>
          <w:rFonts w:eastAsia="Calibri" w:cs="Times New Roman"/>
          <w:i/>
          <w:iCs/>
          <w:kern w:val="2"/>
          <w14:ligatures w14:val="standardContextual"/>
        </w:rPr>
      </w:pPr>
      <w:r>
        <w:rPr>
          <w:rFonts w:eastAsia="Calibri" w:cs="Times New Roman"/>
          <w:kern w:val="2"/>
          <w14:ligatures w14:val="standardContextual"/>
        </w:rPr>
        <w:t xml:space="preserve">DUSC noted that there </w:t>
      </w:r>
      <w:r w:rsidR="00293171">
        <w:rPr>
          <w:rFonts w:eastAsia="Calibri" w:cs="Times New Roman"/>
          <w:kern w:val="2"/>
          <w14:ligatures w14:val="standardContextual"/>
        </w:rPr>
        <w:t>we</w:t>
      </w:r>
      <w:r>
        <w:rPr>
          <w:rFonts w:eastAsia="Calibri" w:cs="Times New Roman"/>
          <w:kern w:val="2"/>
          <w14:ligatures w14:val="standardContextual"/>
        </w:rPr>
        <w:t xml:space="preserve">re delays in seeing a neurologist for assessment and treatment initiation and considered that additional information and training could be provided to GPs in relation to the prevention and treatment of migraine and medication overuse headache. </w:t>
      </w:r>
      <w:r w:rsidRPr="00260906">
        <w:rPr>
          <w:rFonts w:eastAsia="Calibri" w:cs="Times New Roman"/>
          <w:kern w:val="2"/>
          <w14:ligatures w14:val="standardContextual"/>
        </w:rPr>
        <w:t>DUSC considered that additional information could be provided by the Australian Commission on Safety and Quality in Health Care in relation to migraine, medication overuse headache, and chronic pain management more generally as the overuse of OTC analgesics for chronic pain can lead to medication overuse headache.</w:t>
      </w:r>
    </w:p>
    <w:p w14:paraId="5B37D8AA" w14:textId="6CB57E0A" w:rsidR="007A3C2C" w:rsidRDefault="007A3C2C" w:rsidP="007A3C2C">
      <w:pPr>
        <w:spacing w:after="160" w:line="256" w:lineRule="auto"/>
        <w:rPr>
          <w:rFonts w:eastAsia="Calibri" w:cs="Times New Roman"/>
          <w:kern w:val="2"/>
          <w14:ligatures w14:val="standardContextual"/>
        </w:rPr>
      </w:pPr>
      <w:r>
        <w:rPr>
          <w:rFonts w:eastAsia="Calibri" w:cs="Times New Roman"/>
          <w:kern w:val="2"/>
          <w14:ligatures w14:val="standardContextual"/>
        </w:rPr>
        <w:t xml:space="preserve">DUSC noted </w:t>
      </w:r>
      <w:r w:rsidR="0023710A" w:rsidRPr="0023710A">
        <w:rPr>
          <w:rFonts w:eastAsia="Calibri" w:cs="Times New Roman"/>
          <w:kern w:val="2"/>
          <w14:ligatures w14:val="standardContextual"/>
        </w:rPr>
        <w:t xml:space="preserve">that in their </w:t>
      </w:r>
      <w:proofErr w:type="gramStart"/>
      <w:r w:rsidR="0023710A" w:rsidRPr="0023710A">
        <w:rPr>
          <w:rFonts w:eastAsia="Calibri" w:cs="Times New Roman"/>
          <w:kern w:val="2"/>
          <w14:ligatures w14:val="standardContextual"/>
        </w:rPr>
        <w:t>Pre-sub-</w:t>
      </w:r>
      <w:proofErr w:type="gramEnd"/>
      <w:r w:rsidR="0023710A" w:rsidRPr="0023710A">
        <w:rPr>
          <w:rFonts w:eastAsia="Calibri" w:cs="Times New Roman"/>
          <w:kern w:val="2"/>
          <w14:ligatures w14:val="standardContextual"/>
        </w:rPr>
        <w:t xml:space="preserve">committee response’s </w:t>
      </w:r>
      <w:r>
        <w:rPr>
          <w:rFonts w:eastAsia="Calibri" w:cs="Times New Roman"/>
          <w:kern w:val="2"/>
          <w14:ligatures w14:val="standardContextual"/>
        </w:rPr>
        <w:t xml:space="preserve">consumers </w:t>
      </w:r>
      <w:r w:rsidR="00447E71" w:rsidRPr="00447E71">
        <w:rPr>
          <w:rFonts w:eastAsia="Calibri" w:cs="Times New Roman"/>
          <w:kern w:val="2"/>
          <w:highlight w:val="black"/>
          <w14:ligatures w14:val="standardContextual"/>
        </w:rPr>
        <w:t>XXX</w:t>
      </w:r>
      <w:r w:rsidRPr="00447E71">
        <w:rPr>
          <w:rFonts w:eastAsia="Calibri" w:cs="Times New Roman"/>
          <w:kern w:val="2"/>
          <w14:ligatures w14:val="standardContextual"/>
        </w:rPr>
        <w:t xml:space="preserve"> </w:t>
      </w:r>
      <w:r w:rsidR="00447E71" w:rsidRPr="00447E71">
        <w:rPr>
          <w:rFonts w:eastAsia="Calibri" w:cs="Times New Roman"/>
          <w:kern w:val="2"/>
          <w:highlight w:val="black"/>
          <w14:ligatures w14:val="standardContextual"/>
        </w:rPr>
        <w:t>X</w:t>
      </w:r>
      <w:r w:rsidRPr="00447E71">
        <w:rPr>
          <w:rFonts w:eastAsia="Calibri" w:cs="Times New Roman"/>
          <w:kern w:val="2"/>
          <w14:ligatures w14:val="standardContextual"/>
        </w:rPr>
        <w:t xml:space="preserve"> </w:t>
      </w:r>
      <w:r w:rsidR="00447E71" w:rsidRPr="00447E71">
        <w:rPr>
          <w:rFonts w:eastAsia="Calibri" w:cs="Times New Roman"/>
          <w:kern w:val="2"/>
          <w:highlight w:val="black"/>
          <w14:ligatures w14:val="standardContextual"/>
        </w:rPr>
        <w:t>XXXXXXX</w:t>
      </w:r>
      <w:r>
        <w:rPr>
          <w:rFonts w:eastAsia="Calibri" w:cs="Times New Roman"/>
          <w:kern w:val="2"/>
          <w14:ligatures w14:val="standardContextual"/>
        </w:rPr>
        <w:t xml:space="preserve"> argued that it was inappropriate to use the </w:t>
      </w:r>
      <w:r>
        <w:rPr>
          <w:rFonts w:eastAsia="Calibri"/>
          <w:kern w:val="2"/>
          <w14:ligatures w14:val="standardContextual"/>
        </w:rPr>
        <w:t xml:space="preserve">utilisation of </w:t>
      </w:r>
      <w:r>
        <w:rPr>
          <w:rFonts w:eastAsia="Calibri"/>
          <w:color w:val="222222"/>
          <w:kern w:val="2"/>
          <w14:ligatures w14:val="standardContextual"/>
        </w:rPr>
        <w:t>botulinum toxin type</w:t>
      </w:r>
      <w:r>
        <w:rPr>
          <w:rFonts w:ascii="Open Sans" w:eastAsia="Calibri" w:hAnsi="Open Sans" w:cs="Open Sans"/>
          <w:color w:val="222222"/>
          <w:kern w:val="2"/>
          <w14:ligatures w14:val="standardContextual"/>
        </w:rPr>
        <w:t xml:space="preserve"> A</w:t>
      </w:r>
      <w:r>
        <w:rPr>
          <w:rFonts w:eastAsia="Calibri" w:cs="Times New Roman"/>
          <w:kern w:val="2"/>
          <w14:ligatures w14:val="standardContextual"/>
        </w:rPr>
        <w:t xml:space="preserve"> (Botox) to estimate the use of calcitonin gene-related peptide (CGRP) antagonists. DUSC noted that the administration of Botox was significantly different from that of galcanezumab and fremanezumab, as was evident from the geospatial analysis, in that Botox requires numerous injections by a neurologist usually undertaken in a specialist centre.</w:t>
      </w:r>
    </w:p>
    <w:p w14:paraId="087FC947" w14:textId="58F57E02" w:rsidR="007A3C2C" w:rsidRPr="00260906" w:rsidRDefault="007A3C2C" w:rsidP="007A3C2C">
      <w:pPr>
        <w:spacing w:after="160" w:line="256" w:lineRule="auto"/>
        <w:rPr>
          <w:rFonts w:eastAsia="Calibri" w:cs="Times New Roman"/>
          <w:kern w:val="2"/>
          <w14:ligatures w14:val="standardContextual"/>
        </w:rPr>
      </w:pPr>
      <w:r w:rsidRPr="00260906">
        <w:rPr>
          <w:rFonts w:eastAsia="Calibri" w:cs="Times New Roman"/>
          <w:kern w:val="2"/>
          <w14:ligatures w14:val="standardContextual"/>
        </w:rPr>
        <w:t xml:space="preserve">DUSC considered that there </w:t>
      </w:r>
      <w:r w:rsidR="00293171">
        <w:rPr>
          <w:rFonts w:eastAsia="Calibri" w:cs="Times New Roman"/>
          <w:kern w:val="2"/>
          <w14:ligatures w14:val="standardContextual"/>
        </w:rPr>
        <w:t>wa</w:t>
      </w:r>
      <w:r w:rsidRPr="00260906">
        <w:rPr>
          <w:rFonts w:eastAsia="Calibri" w:cs="Times New Roman"/>
          <w:kern w:val="2"/>
          <w14:ligatures w14:val="standardContextual"/>
        </w:rPr>
        <w:t xml:space="preserve">s </w:t>
      </w:r>
      <w:r w:rsidR="00293171">
        <w:rPr>
          <w:rFonts w:eastAsia="Calibri" w:cs="Times New Roman"/>
          <w:kern w:val="2"/>
          <w14:ligatures w14:val="standardContextual"/>
        </w:rPr>
        <w:t xml:space="preserve">a </w:t>
      </w:r>
      <w:r w:rsidRPr="00260906">
        <w:rPr>
          <w:rFonts w:eastAsia="Calibri" w:cs="Times New Roman"/>
          <w:kern w:val="2"/>
          <w14:ligatures w14:val="standardContextual"/>
        </w:rPr>
        <w:t>significant unmet need for CGRP antagonists. DUSC considered that the CGRP antagonist’s clinical criteria and place in therapy could be examined via a post market review. DUSC considered that an age-standardised geospatial analysis as well as an analysis of stopping data would be of benefit. DUSC considered that CGRP antagonists ha</w:t>
      </w:r>
      <w:r w:rsidR="002C7B68">
        <w:rPr>
          <w:rFonts w:eastAsia="Calibri" w:cs="Times New Roman"/>
          <w:kern w:val="2"/>
          <w14:ligatures w14:val="standardContextual"/>
        </w:rPr>
        <w:t>d</w:t>
      </w:r>
      <w:r w:rsidRPr="00260906">
        <w:rPr>
          <w:rFonts w:eastAsia="Calibri" w:cs="Times New Roman"/>
          <w:kern w:val="2"/>
          <w14:ligatures w14:val="standardContextual"/>
        </w:rPr>
        <w:t xml:space="preserve"> the potential to become an earlier line of therapy overtime if restrictions were to change due to greater familiarity with the therapy by physicians and consumers, a different side effect profile and therapeutic action than current first line prophylactic medication for chronic migraine.</w:t>
      </w:r>
    </w:p>
    <w:p w14:paraId="29596244" w14:textId="4550936F" w:rsidR="007A3C2C" w:rsidRPr="00260906" w:rsidRDefault="007A3C2C" w:rsidP="007A3C2C">
      <w:pPr>
        <w:spacing w:after="160" w:line="256" w:lineRule="auto"/>
        <w:rPr>
          <w:rFonts w:eastAsia="Calibri" w:cs="Times New Roman"/>
          <w:i/>
          <w:iCs/>
          <w:kern w:val="2"/>
          <w14:ligatures w14:val="standardContextual"/>
        </w:rPr>
      </w:pPr>
      <w:r w:rsidRPr="00260906">
        <w:rPr>
          <w:rFonts w:eastAsia="Calibri" w:cs="Times New Roman"/>
          <w:kern w:val="2"/>
          <w14:ligatures w14:val="standardContextual"/>
        </w:rPr>
        <w:t xml:space="preserve">DUSC did not consider that GPs should be initiating therapy with galcanezumab and fremanezumab due to current TGA black </w:t>
      </w:r>
      <w:r w:rsidR="001A5D93">
        <w:rPr>
          <w:rFonts w:eastAsia="Calibri" w:cs="Times New Roman"/>
          <w:kern w:val="2"/>
          <w14:ligatures w14:val="standardContextual"/>
        </w:rPr>
        <w:t>triangle</w:t>
      </w:r>
      <w:r w:rsidR="001A5D93" w:rsidRPr="00260906">
        <w:rPr>
          <w:rFonts w:eastAsia="Calibri" w:cs="Times New Roman"/>
          <w:kern w:val="2"/>
          <w14:ligatures w14:val="standardContextual"/>
        </w:rPr>
        <w:t xml:space="preserve"> </w:t>
      </w:r>
      <w:proofErr w:type="gramStart"/>
      <w:r w:rsidRPr="00260906">
        <w:rPr>
          <w:rFonts w:eastAsia="Calibri" w:cs="Times New Roman"/>
          <w:kern w:val="2"/>
          <w14:ligatures w14:val="standardContextual"/>
        </w:rPr>
        <w:t>warning, and</w:t>
      </w:r>
      <w:proofErr w:type="gramEnd"/>
      <w:r w:rsidRPr="00260906">
        <w:rPr>
          <w:rFonts w:eastAsia="Calibri" w:cs="Times New Roman"/>
          <w:kern w:val="2"/>
          <w14:ligatures w14:val="standardContextual"/>
        </w:rPr>
        <w:t xml:space="preserve"> need for additional </w:t>
      </w:r>
      <w:r w:rsidRPr="00260906">
        <w:rPr>
          <w:rFonts w:eastAsia="Calibri" w:cs="Times New Roman"/>
          <w:kern w:val="2"/>
          <w14:ligatures w14:val="standardContextual"/>
        </w:rPr>
        <w:lastRenderedPageBreak/>
        <w:t>education with CGRP antagonists. DUSC discussed whether the treatment criteria in the current restrictions for the initial treatment phase could be altered from ‘Must be treated by a neurologist’ to ‘Must be treated by a neurologist; OR Must be treated by a general practitioner in consultation with a neurologist’, which would align it with the continuing treatment phase.</w:t>
      </w:r>
    </w:p>
    <w:p w14:paraId="732083B3" w14:textId="77777777" w:rsidR="00774962" w:rsidRDefault="00774962" w:rsidP="00774962">
      <w:pPr>
        <w:pStyle w:val="Heading1"/>
      </w:pPr>
      <w:r>
        <w:t>DUSC actions</w:t>
      </w:r>
    </w:p>
    <w:p w14:paraId="60A11668" w14:textId="77777777" w:rsidR="007A3C2C" w:rsidRDefault="007A3C2C" w:rsidP="007A3C2C">
      <w:r>
        <w:t>DUSC suggested that a further analysis should be undertaken to examine an age-standardised geospatial analysis as well as an analysis of stopping data.</w:t>
      </w:r>
    </w:p>
    <w:p w14:paraId="1EE580A8" w14:textId="77777777" w:rsidR="007A3C2C" w:rsidRPr="00832324" w:rsidRDefault="007A3C2C" w:rsidP="007A3C2C">
      <w:pPr>
        <w:rPr>
          <w:highlight w:val="yellow"/>
        </w:rPr>
      </w:pPr>
      <w:r>
        <w:t>DUSC requested that the report be provided to the PBAC for consideration.</w:t>
      </w:r>
    </w:p>
    <w:p w14:paraId="7FC79D19" w14:textId="77777777" w:rsidR="00774962" w:rsidRDefault="00774962" w:rsidP="00774962">
      <w:pPr>
        <w:pStyle w:val="Heading1"/>
      </w:pPr>
      <w:r w:rsidRPr="0092516A">
        <w:t>Context for analysis</w:t>
      </w:r>
    </w:p>
    <w:p w14:paraId="27E2BA46" w14:textId="77777777" w:rsidR="00774962" w:rsidRDefault="00774962" w:rsidP="00774962">
      <w:r>
        <w:t>The DUSC is a Sub Committee of the Pharmaceutical Benefits Advisory Committee (PBAC). The DUSC assesses estimates on projected usage and financial cost of medicines.</w:t>
      </w:r>
    </w:p>
    <w:p w14:paraId="4010E260" w14:textId="77777777" w:rsidR="00774962" w:rsidRDefault="00774962" w:rsidP="00774962">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2C959A2" w14:textId="77777777" w:rsidR="00774962" w:rsidRDefault="00774962" w:rsidP="00774962">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6180971B" w14:textId="77777777" w:rsidR="00774962" w:rsidRDefault="00774962" w:rsidP="00774962">
      <w:r>
        <w:t>The utilisation analysis report was provided to the pharmaceutical sponsors of each drug and comments on the report were provided to DUSC prior to its consideration of the analysis.</w:t>
      </w:r>
    </w:p>
    <w:p w14:paraId="1D31DF4C" w14:textId="77777777" w:rsidR="00774962" w:rsidRDefault="00774962" w:rsidP="00774962">
      <w:pPr>
        <w:pStyle w:val="Heading1"/>
      </w:pPr>
      <w:r>
        <w:t>Sponsor</w:t>
      </w:r>
      <w:r w:rsidRPr="0092516A">
        <w:t>s</w:t>
      </w:r>
      <w:r>
        <w:t>’</w:t>
      </w:r>
      <w:r w:rsidRPr="0092516A">
        <w:t xml:space="preserve"> comments</w:t>
      </w:r>
    </w:p>
    <w:p w14:paraId="4AE807B5" w14:textId="5B5385EF" w:rsidR="000429A0" w:rsidRDefault="000429A0" w:rsidP="00774962">
      <w:pPr>
        <w:contextualSpacing/>
      </w:pPr>
      <w:r w:rsidRPr="000429A0">
        <w:t>Teva Pharma Australia Pty Ltd</w:t>
      </w:r>
      <w:r w:rsidR="00DF520F">
        <w:t>:</w:t>
      </w:r>
    </w:p>
    <w:p w14:paraId="40CDC007" w14:textId="77777777" w:rsidR="000429A0" w:rsidRDefault="000429A0" w:rsidP="00774962">
      <w:pPr>
        <w:contextualSpacing/>
      </w:pPr>
    </w:p>
    <w:p w14:paraId="715956A1" w14:textId="17C7111B" w:rsidR="004B7DBC" w:rsidRDefault="004B7DBC" w:rsidP="00774962">
      <w:pPr>
        <w:contextualSpacing/>
        <w:rPr>
          <w:rFonts w:ascii="Calibri" w:eastAsia="Times New Roman" w:hAnsi="Calibri" w:cs="Times New Roman"/>
        </w:rPr>
      </w:pPr>
      <w:r>
        <w:t xml:space="preserve">TEVA </w:t>
      </w:r>
      <w:r w:rsidR="00EF6440">
        <w:t>highlights t</w:t>
      </w:r>
      <w:r w:rsidR="003643BF">
        <w:t>h</w:t>
      </w:r>
      <w:r w:rsidR="0068479B">
        <w:t>at</w:t>
      </w:r>
      <w:r w:rsidR="003643BF">
        <w:t xml:space="preserve"> </w:t>
      </w:r>
      <w:r w:rsidR="0068479B">
        <w:t xml:space="preserve">in 2017 </w:t>
      </w:r>
      <w:r w:rsidR="003643BF">
        <w:t>DUSC</w:t>
      </w:r>
      <w:r w:rsidR="0068479B">
        <w:t xml:space="preserve"> correctly noted </w:t>
      </w:r>
      <w:r w:rsidR="002722A8">
        <w:t xml:space="preserve">that </w:t>
      </w:r>
      <w:r w:rsidR="0068479B">
        <w:t>the disparity between the c</w:t>
      </w:r>
      <w:r w:rsidR="0068479B" w:rsidRPr="00447C69">
        <w:rPr>
          <w:rFonts w:ascii="Calibri" w:eastAsia="Times New Roman" w:hAnsi="Calibri" w:cs="Times New Roman"/>
        </w:rPr>
        <w:t>ontinuation rate on treatment at 24 weeks (i.e. after 2 treatments), 71.4%, was more than double that predicted from trial data, 32.9%.</w:t>
      </w:r>
      <w:r w:rsidR="002722A8">
        <w:rPr>
          <w:rFonts w:ascii="Calibri" w:eastAsia="Times New Roman" w:hAnsi="Calibri" w:cs="Times New Roman"/>
        </w:rPr>
        <w:t xml:space="preserve"> </w:t>
      </w:r>
      <w:r w:rsidR="00CA4F76">
        <w:rPr>
          <w:rFonts w:ascii="Calibri" w:eastAsia="Times New Roman" w:hAnsi="Calibri" w:cs="Times New Roman"/>
        </w:rPr>
        <w:t>Simi</w:t>
      </w:r>
      <w:r w:rsidR="001B333A">
        <w:rPr>
          <w:rFonts w:ascii="Calibri" w:eastAsia="Times New Roman" w:hAnsi="Calibri" w:cs="Times New Roman"/>
        </w:rPr>
        <w:t>larly</w:t>
      </w:r>
      <w:r w:rsidR="001E2652">
        <w:rPr>
          <w:rFonts w:ascii="Calibri" w:eastAsia="Times New Roman" w:hAnsi="Calibri" w:cs="Times New Roman"/>
        </w:rPr>
        <w:t>,</w:t>
      </w:r>
      <w:r w:rsidR="001B333A">
        <w:rPr>
          <w:rFonts w:ascii="Calibri" w:eastAsia="Times New Roman" w:hAnsi="Calibri" w:cs="Times New Roman"/>
        </w:rPr>
        <w:t xml:space="preserve"> patients on CGRPs are </w:t>
      </w:r>
      <w:proofErr w:type="gramStart"/>
      <w:r w:rsidR="001B333A">
        <w:rPr>
          <w:rFonts w:ascii="Calibri" w:eastAsia="Times New Roman" w:hAnsi="Calibri" w:cs="Times New Roman"/>
        </w:rPr>
        <w:t>c</w:t>
      </w:r>
      <w:r w:rsidR="001E2652">
        <w:rPr>
          <w:rFonts w:ascii="Calibri" w:eastAsia="Times New Roman" w:hAnsi="Calibri" w:cs="Times New Roman"/>
        </w:rPr>
        <w:t>ontinuing on</w:t>
      </w:r>
      <w:proofErr w:type="gramEnd"/>
      <w:r w:rsidR="001E2652">
        <w:rPr>
          <w:rFonts w:ascii="Calibri" w:eastAsia="Times New Roman" w:hAnsi="Calibri" w:cs="Times New Roman"/>
        </w:rPr>
        <w:t xml:space="preserve"> therapy in excess of what was predicted</w:t>
      </w:r>
      <w:r w:rsidR="00277AAD">
        <w:rPr>
          <w:rFonts w:ascii="Calibri" w:eastAsia="Times New Roman" w:hAnsi="Calibri" w:cs="Times New Roman"/>
        </w:rPr>
        <w:t>,</w:t>
      </w:r>
      <w:r w:rsidR="007B1E2C">
        <w:rPr>
          <w:rFonts w:ascii="Calibri" w:eastAsia="Times New Roman" w:hAnsi="Calibri" w:cs="Times New Roman"/>
        </w:rPr>
        <w:t xml:space="preserve"> likely because </w:t>
      </w:r>
      <w:r w:rsidR="00AC6A2A">
        <w:rPr>
          <w:rFonts w:ascii="Calibri" w:eastAsia="Times New Roman" w:hAnsi="Calibri" w:cs="Times New Roman"/>
        </w:rPr>
        <w:t xml:space="preserve">of their high levels of efficacy. </w:t>
      </w:r>
    </w:p>
    <w:p w14:paraId="054A89CA" w14:textId="77777777" w:rsidR="000429A0" w:rsidRDefault="000429A0" w:rsidP="00774962">
      <w:pPr>
        <w:contextualSpacing/>
        <w:rPr>
          <w:rFonts w:ascii="Calibri" w:eastAsia="Times New Roman" w:hAnsi="Calibri" w:cs="Times New Roman"/>
        </w:rPr>
      </w:pPr>
    </w:p>
    <w:p w14:paraId="4052D1F3" w14:textId="3EB30C6F" w:rsidR="000429A0" w:rsidRPr="002E39A1" w:rsidRDefault="00DF520F" w:rsidP="00774962">
      <w:pPr>
        <w:contextualSpacing/>
        <w:rPr>
          <w:rFonts w:ascii="Calibri" w:eastAsia="Times New Roman" w:hAnsi="Calibri" w:cs="Times New Roman"/>
        </w:rPr>
      </w:pPr>
      <w:r w:rsidRPr="00DF520F">
        <w:rPr>
          <w:rFonts w:ascii="Calibri" w:eastAsia="Times New Roman" w:hAnsi="Calibri" w:cs="Times New Roman"/>
        </w:rPr>
        <w:t>Eli Lilly Australia Pty Ltd</w:t>
      </w:r>
      <w:r>
        <w:rPr>
          <w:rFonts w:ascii="Calibri" w:eastAsia="Times New Roman" w:hAnsi="Calibri" w:cs="Times New Roman"/>
        </w:rPr>
        <w:t>:</w:t>
      </w:r>
      <w:r w:rsidRPr="00DF520F">
        <w:rPr>
          <w:rFonts w:ascii="Calibri" w:eastAsia="Times New Roman" w:hAnsi="Calibri" w:cs="Times New Roman"/>
        </w:rPr>
        <w:t xml:space="preserve"> The sponsor ha</w:t>
      </w:r>
      <w:r w:rsidR="001B7C30">
        <w:rPr>
          <w:rFonts w:ascii="Calibri" w:eastAsia="Times New Roman" w:hAnsi="Calibri" w:cs="Times New Roman"/>
        </w:rPr>
        <w:t>d</w:t>
      </w:r>
      <w:r w:rsidRPr="00DF520F">
        <w:rPr>
          <w:rFonts w:ascii="Calibri" w:eastAsia="Times New Roman" w:hAnsi="Calibri" w:cs="Times New Roman"/>
        </w:rPr>
        <w:t xml:space="preserve"> no comment.</w:t>
      </w:r>
    </w:p>
    <w:p w14:paraId="25788A7E" w14:textId="77777777" w:rsidR="00774962" w:rsidRDefault="00774962" w:rsidP="00774962">
      <w:pPr>
        <w:pStyle w:val="Heading1"/>
      </w:pPr>
      <w:r w:rsidRPr="00A4020E">
        <w:lastRenderedPageBreak/>
        <w:t>Disclaimer</w:t>
      </w:r>
    </w:p>
    <w:p w14:paraId="1C65D1C7" w14:textId="77777777" w:rsidR="00774962" w:rsidRDefault="00774962" w:rsidP="00774962">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092D7625" w14:textId="77777777" w:rsidR="00774962" w:rsidRDefault="00774962" w:rsidP="00774962">
      <w:r>
        <w:t xml:space="preserve">The Department of Health and Aged Care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301A1B6B" w14:textId="77777777" w:rsidR="00774962" w:rsidRDefault="00774962" w:rsidP="00774962">
      <w:r>
        <w:t xml:space="preserve">To the extent provided by law, the Department of Health and Aged Care makes no warranties or representations as to accuracy or completeness of information contained in this report. </w:t>
      </w:r>
    </w:p>
    <w:p w14:paraId="749AB7A0" w14:textId="77777777" w:rsidR="00774962" w:rsidRPr="00F1132C" w:rsidRDefault="00774962" w:rsidP="00774962">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42F32E67" w14:textId="77777777" w:rsidR="00774962" w:rsidRPr="00F1132C" w:rsidRDefault="00774962" w:rsidP="000E502A">
      <w:pPr>
        <w:spacing w:after="0"/>
      </w:pPr>
    </w:p>
    <w:p w14:paraId="17757D62" w14:textId="46FB1014" w:rsidR="00665160" w:rsidRDefault="004B306F" w:rsidP="007A37E3">
      <w:pPr>
        <w:pStyle w:val="Heading1"/>
      </w:pPr>
      <w:r>
        <w:t>References</w:t>
      </w:r>
    </w:p>
    <w:p w14:paraId="30726900" w14:textId="757551D4" w:rsidR="00774C17" w:rsidRPr="00774C17" w:rsidRDefault="00AA4B2B">
      <w:pPr>
        <w:pStyle w:val="ListParagraph"/>
        <w:numPr>
          <w:ilvl w:val="0"/>
          <w:numId w:val="11"/>
        </w:numPr>
      </w:pPr>
      <w:r w:rsidRPr="00774C17">
        <w:rPr>
          <w:szCs w:val="18"/>
        </w:rPr>
        <w:t>Emgality</w:t>
      </w:r>
      <w:r w:rsidR="008C0216" w:rsidRPr="00774C17">
        <w:rPr>
          <w:rFonts w:cstheme="minorHAnsi"/>
          <w:szCs w:val="18"/>
        </w:rPr>
        <w:t>®</w:t>
      </w:r>
      <w:r w:rsidRPr="00774C17">
        <w:rPr>
          <w:szCs w:val="18"/>
        </w:rPr>
        <w:t xml:space="preserve"> (Galcanezumab)</w:t>
      </w:r>
      <w:r w:rsidR="00400C8E" w:rsidRPr="00774C17">
        <w:rPr>
          <w:szCs w:val="18"/>
        </w:rPr>
        <w:t>.</w:t>
      </w:r>
      <w:r w:rsidRPr="00774C17">
        <w:rPr>
          <w:szCs w:val="18"/>
        </w:rPr>
        <w:t xml:space="preserve"> </w:t>
      </w:r>
      <w:r w:rsidR="00400C8E" w:rsidRPr="00774C17">
        <w:rPr>
          <w:szCs w:val="18"/>
        </w:rPr>
        <w:t>Australian Approved Product Information</w:t>
      </w:r>
      <w:r w:rsidRPr="00774C17">
        <w:rPr>
          <w:szCs w:val="18"/>
        </w:rPr>
        <w:t>.</w:t>
      </w:r>
      <w:r w:rsidR="00070B4B" w:rsidRPr="00774C17">
        <w:rPr>
          <w:szCs w:val="18"/>
        </w:rPr>
        <w:t xml:space="preserve"> </w:t>
      </w:r>
      <w:r w:rsidR="00070B4B">
        <w:t>Eli Lilly Australia</w:t>
      </w:r>
      <w:r w:rsidR="00E70DCC">
        <w:t xml:space="preserve">. </w:t>
      </w:r>
      <w:r w:rsidR="00AB3FDA">
        <w:t xml:space="preserve">Approved </w:t>
      </w:r>
      <w:r w:rsidR="00E70DCC" w:rsidRPr="00E70DCC">
        <w:t>28</w:t>
      </w:r>
      <w:r w:rsidR="00AB3FDA">
        <w:t xml:space="preserve"> </w:t>
      </w:r>
      <w:r w:rsidR="00E70DCC" w:rsidRPr="00E70DCC">
        <w:t>May</w:t>
      </w:r>
      <w:r w:rsidR="00AB3FDA">
        <w:t xml:space="preserve"> </w:t>
      </w:r>
      <w:r w:rsidR="00E70DCC" w:rsidRPr="00E70DCC">
        <w:t>2019</w:t>
      </w:r>
      <w:r w:rsidR="00AB3FDA">
        <w:t>, updated</w:t>
      </w:r>
      <w:r w:rsidR="00E70DCC">
        <w:t xml:space="preserve"> 11 J</w:t>
      </w:r>
      <w:r w:rsidR="00AB3FDA">
        <w:t>anuary</w:t>
      </w:r>
      <w:r w:rsidR="00E70DCC">
        <w:t xml:space="preserve"> 2024</w:t>
      </w:r>
      <w:r w:rsidR="00AB3FDA">
        <w:t>. Available from</w:t>
      </w:r>
      <w:r w:rsidR="00774C17">
        <w:t xml:space="preserve"> </w:t>
      </w:r>
      <w:hyperlink r:id="rId37" w:history="1">
        <w:r w:rsidR="00774C17" w:rsidRPr="00774C17">
          <w:rPr>
            <w:rStyle w:val="Hyperlink"/>
          </w:rPr>
          <w:t>EMGALITY (tga.gov.au)</w:t>
        </w:r>
      </w:hyperlink>
      <w:r w:rsidR="00774C17">
        <w:rPr>
          <w:rStyle w:val="Hyperlink"/>
        </w:rPr>
        <w:t>.</w:t>
      </w:r>
    </w:p>
    <w:p w14:paraId="066BCC5D" w14:textId="0D85D547" w:rsidR="00636EDF" w:rsidRPr="00694F11" w:rsidRDefault="00AA4B2B" w:rsidP="00E00190">
      <w:pPr>
        <w:pStyle w:val="ListParagraph"/>
        <w:numPr>
          <w:ilvl w:val="0"/>
          <w:numId w:val="11"/>
        </w:numPr>
      </w:pPr>
      <w:r w:rsidRPr="00AA4B2B">
        <w:rPr>
          <w:szCs w:val="18"/>
        </w:rPr>
        <w:t>Ajovy® (Fremanezumab).</w:t>
      </w:r>
      <w:r w:rsidR="00400C8E">
        <w:rPr>
          <w:szCs w:val="18"/>
        </w:rPr>
        <w:t xml:space="preserve"> </w:t>
      </w:r>
      <w:r w:rsidR="00400C8E" w:rsidRPr="00400C8E">
        <w:rPr>
          <w:szCs w:val="18"/>
        </w:rPr>
        <w:t>Australian Approved Product Information</w:t>
      </w:r>
      <w:r w:rsidR="00400C8E">
        <w:rPr>
          <w:szCs w:val="18"/>
        </w:rPr>
        <w:t>.</w:t>
      </w:r>
      <w:r w:rsidR="00694F11" w:rsidRPr="00694F11">
        <w:rPr>
          <w:sz w:val="20"/>
          <w:szCs w:val="20"/>
        </w:rPr>
        <w:t xml:space="preserve"> </w:t>
      </w:r>
      <w:r w:rsidR="001504F6" w:rsidRPr="001504F6">
        <w:t>Teva Pharma Australia</w:t>
      </w:r>
      <w:r w:rsidR="001504F6">
        <w:t xml:space="preserve">. </w:t>
      </w:r>
      <w:r w:rsidR="00E00190">
        <w:t>Approved Ajovy pre-filled syringe: 20 September 2019, Ajovy autoinjector: 2 June 2021, updated 11 October 2023.</w:t>
      </w:r>
      <w:r w:rsidR="001504F6" w:rsidRPr="001504F6">
        <w:t xml:space="preserve"> </w:t>
      </w:r>
      <w:r w:rsidR="00694F11">
        <w:t>Available from</w:t>
      </w:r>
      <w:r w:rsidR="00694F11" w:rsidRPr="00E00190">
        <w:rPr>
          <w:sz w:val="20"/>
          <w:szCs w:val="20"/>
        </w:rPr>
        <w:t xml:space="preserve"> </w:t>
      </w:r>
      <w:hyperlink r:id="rId38" w:history="1">
        <w:r w:rsidR="00694F11" w:rsidRPr="00694F11">
          <w:rPr>
            <w:rStyle w:val="Hyperlink"/>
          </w:rPr>
          <w:t>AJOVY (tga.gov.au)</w:t>
        </w:r>
      </w:hyperlink>
      <w:r w:rsidR="00694F11">
        <w:rPr>
          <w:rStyle w:val="Hyperlink"/>
        </w:rPr>
        <w:t>.</w:t>
      </w:r>
    </w:p>
    <w:p w14:paraId="40F0C51A" w14:textId="5CA11674" w:rsidR="00636EDF" w:rsidRDefault="00636EDF" w:rsidP="002468CD">
      <w:pPr>
        <w:pStyle w:val="ListParagraph"/>
        <w:numPr>
          <w:ilvl w:val="0"/>
          <w:numId w:val="11"/>
        </w:numPr>
      </w:pPr>
      <w:r>
        <w:t xml:space="preserve">Jenkins B. Migraine management. </w:t>
      </w:r>
      <w:r w:rsidRPr="002468CD">
        <w:rPr>
          <w:i/>
          <w:iCs/>
        </w:rPr>
        <w:t>Aust Prescr</w:t>
      </w:r>
      <w:r w:rsidR="006E4E68" w:rsidRPr="002468CD">
        <w:rPr>
          <w:i/>
          <w:iCs/>
        </w:rPr>
        <w:t>.</w:t>
      </w:r>
      <w:r>
        <w:t xml:space="preserve"> 2020;</w:t>
      </w:r>
      <w:r w:rsidR="006E4E68">
        <w:t xml:space="preserve"> </w:t>
      </w:r>
      <w:r>
        <w:t xml:space="preserve">43:148-51. </w:t>
      </w:r>
      <w:hyperlink r:id="rId39" w:history="1">
        <w:r w:rsidRPr="000B3214">
          <w:rPr>
            <w:rStyle w:val="Hyperlink"/>
          </w:rPr>
          <w:t>https://doi.org/10.18773/austprescr.2020.047</w:t>
        </w:r>
      </w:hyperlink>
    </w:p>
    <w:p w14:paraId="4BF6B0AF" w14:textId="2EAFB191" w:rsidR="00C56E8D" w:rsidRDefault="008B1B6D" w:rsidP="002468CD">
      <w:pPr>
        <w:pStyle w:val="ListParagraph"/>
        <w:numPr>
          <w:ilvl w:val="0"/>
          <w:numId w:val="11"/>
        </w:numPr>
      </w:pPr>
      <w:r w:rsidRPr="008B1B6D">
        <w:t>Deloitte Access Economics</w:t>
      </w:r>
      <w:r>
        <w:t xml:space="preserve"> (2018) </w:t>
      </w:r>
      <w:r w:rsidRPr="008B1B6D">
        <w:t>Migraine in Australia</w:t>
      </w:r>
      <w:r w:rsidR="00DA6B39">
        <w:t xml:space="preserve">, Accessed </w:t>
      </w:r>
      <w:r w:rsidR="00C56E8D">
        <w:t xml:space="preserve">27/2/2024, </w:t>
      </w:r>
      <w:hyperlink r:id="rId40" w:history="1">
        <w:r w:rsidR="00E95299" w:rsidRPr="00F53443">
          <w:rPr>
            <w:rStyle w:val="Hyperlink"/>
          </w:rPr>
          <w:t>https://www.deloitte.com/au/en/services/economics/perspectives/migraine-australia-whitepaper.html</w:t>
        </w:r>
      </w:hyperlink>
    </w:p>
    <w:p w14:paraId="2C95B5C2" w14:textId="052AFA16" w:rsidR="004018E0" w:rsidRDefault="001B055B">
      <w:pPr>
        <w:pStyle w:val="ListParagraph"/>
        <w:numPr>
          <w:ilvl w:val="0"/>
          <w:numId w:val="11"/>
        </w:numPr>
        <w:spacing w:after="0"/>
      </w:pPr>
      <w:r w:rsidRPr="001B055B">
        <w:t xml:space="preserve">Eller M, Cheng S. Migraine management: an update for the 2020s. </w:t>
      </w:r>
      <w:r w:rsidRPr="004A4847">
        <w:rPr>
          <w:i/>
          <w:iCs/>
        </w:rPr>
        <w:t>Intern Med J</w:t>
      </w:r>
      <w:r w:rsidRPr="001B055B">
        <w:t>. 2022;52(7):1123-1128. doi:10.1111/imj.15843</w:t>
      </w:r>
    </w:p>
    <w:p w14:paraId="1FF754AD" w14:textId="77777777" w:rsidR="004018E0" w:rsidRDefault="004018E0" w:rsidP="008740A3">
      <w:pPr>
        <w:spacing w:after="0"/>
      </w:pPr>
    </w:p>
    <w:p w14:paraId="69D98BB3" w14:textId="6279014E" w:rsidR="00F65704" w:rsidRDefault="008110F6" w:rsidP="0082771A">
      <w:pPr>
        <w:spacing w:line="276" w:lineRule="auto"/>
      </w:pPr>
      <w:r>
        <w:br w:type="page"/>
      </w:r>
    </w:p>
    <w:p w14:paraId="452EB105" w14:textId="5414FA66" w:rsidR="00F65704" w:rsidRDefault="00F65704" w:rsidP="00022075">
      <w:pPr>
        <w:spacing w:after="0"/>
        <w:rPr>
          <w:b/>
          <w:bCs/>
        </w:rPr>
      </w:pPr>
      <w:r w:rsidRPr="00367147">
        <w:rPr>
          <w:b/>
          <w:bCs/>
        </w:rPr>
        <w:lastRenderedPageBreak/>
        <w:t>Appendi</w:t>
      </w:r>
      <w:r w:rsidR="00367147" w:rsidRPr="00367147">
        <w:rPr>
          <w:b/>
          <w:bCs/>
        </w:rPr>
        <w:t>x A</w:t>
      </w:r>
    </w:p>
    <w:p w14:paraId="277B1281" w14:textId="77777777" w:rsidR="00367147" w:rsidRDefault="00367147" w:rsidP="00367147">
      <w:pPr>
        <w:spacing w:after="0"/>
        <w:jc w:val="right"/>
        <w:rPr>
          <w:b/>
          <w:bCs/>
        </w:rPr>
      </w:pPr>
    </w:p>
    <w:p w14:paraId="049DB9D4" w14:textId="43F4949C" w:rsidR="00367147" w:rsidRDefault="00367147" w:rsidP="00367147">
      <w:pPr>
        <w:spacing w:after="0"/>
        <w:rPr>
          <w:b/>
          <w:bCs/>
        </w:rPr>
      </w:pPr>
      <w:r>
        <w:rPr>
          <w:b/>
          <w:bCs/>
        </w:rPr>
        <w:t>Non-opioid Analgesia</w:t>
      </w:r>
    </w:p>
    <w:p w14:paraId="30207A0A" w14:textId="77777777" w:rsidR="00367147" w:rsidRDefault="00367147" w:rsidP="00367147">
      <w:pPr>
        <w:spacing w:after="0"/>
        <w:rPr>
          <w:b/>
          <w:bCs/>
        </w:rPr>
      </w:pPr>
    </w:p>
    <w:p w14:paraId="3BFDFE67" w14:textId="77777777" w:rsidR="00E93EB2" w:rsidRPr="00E93EB2" w:rsidRDefault="00E93EB2" w:rsidP="00E93EB2">
      <w:pPr>
        <w:spacing w:after="0"/>
      </w:pPr>
      <w:r w:rsidRPr="00E93EB2">
        <w:t>IBUPROFEN</w:t>
      </w:r>
    </w:p>
    <w:p w14:paraId="7D85F1D2" w14:textId="0AD06325" w:rsidR="00E93EB2" w:rsidRPr="00E93EB2" w:rsidRDefault="00E93EB2" w:rsidP="00E93EB2">
      <w:pPr>
        <w:spacing w:after="0"/>
      </w:pPr>
      <w:r w:rsidRPr="00E93EB2">
        <w:t>ASPIRIN</w:t>
      </w:r>
    </w:p>
    <w:p w14:paraId="599FB8D9" w14:textId="7D9FB107" w:rsidR="00E93EB2" w:rsidRPr="00E93EB2" w:rsidRDefault="00E93EB2" w:rsidP="00E93EB2">
      <w:pPr>
        <w:spacing w:after="0"/>
      </w:pPr>
      <w:r w:rsidRPr="00E93EB2">
        <w:t>DICLOFENAC</w:t>
      </w:r>
    </w:p>
    <w:p w14:paraId="5ADE3DC3" w14:textId="5F833B77" w:rsidR="00E93EB2" w:rsidRDefault="00E93EB2" w:rsidP="00E93EB2">
      <w:pPr>
        <w:spacing w:after="0"/>
      </w:pPr>
      <w:r w:rsidRPr="00E93EB2">
        <w:t>PARACETAMOL</w:t>
      </w:r>
    </w:p>
    <w:p w14:paraId="6054EAB0" w14:textId="77777777" w:rsidR="00763332" w:rsidRDefault="00763332" w:rsidP="00E93EB2">
      <w:pPr>
        <w:spacing w:after="0"/>
      </w:pPr>
    </w:p>
    <w:p w14:paraId="36731A44" w14:textId="44CC03BE" w:rsidR="00763332" w:rsidRPr="00763332" w:rsidRDefault="00763332" w:rsidP="00E93EB2">
      <w:pPr>
        <w:spacing w:after="0"/>
        <w:rPr>
          <w:b/>
          <w:bCs/>
        </w:rPr>
      </w:pPr>
      <w:r w:rsidRPr="00763332">
        <w:rPr>
          <w:b/>
          <w:bCs/>
        </w:rPr>
        <w:t>Opioid Analgesia</w:t>
      </w:r>
      <w:r w:rsidR="00F410F6">
        <w:rPr>
          <w:b/>
          <w:bCs/>
        </w:rPr>
        <w:t xml:space="preserve"> for severe pain</w:t>
      </w:r>
    </w:p>
    <w:p w14:paraId="444E6EEB" w14:textId="77777777" w:rsidR="00763332" w:rsidRDefault="00763332" w:rsidP="00E93EB2">
      <w:pPr>
        <w:spacing w:after="0"/>
      </w:pPr>
    </w:p>
    <w:p w14:paraId="099F34FF" w14:textId="77777777" w:rsidR="007B090E" w:rsidRDefault="007B090E" w:rsidP="007B090E">
      <w:pPr>
        <w:spacing w:after="0"/>
      </w:pPr>
      <w:r>
        <w:t>HYDROMORPHONE</w:t>
      </w:r>
    </w:p>
    <w:p w14:paraId="3BC0CE30" w14:textId="77777777" w:rsidR="007B090E" w:rsidRDefault="007B090E" w:rsidP="007B090E">
      <w:pPr>
        <w:spacing w:after="0"/>
      </w:pPr>
      <w:r>
        <w:t>OXYCODONE</w:t>
      </w:r>
    </w:p>
    <w:p w14:paraId="6EB2E013" w14:textId="77777777" w:rsidR="007B090E" w:rsidRDefault="007B090E" w:rsidP="007B090E">
      <w:pPr>
        <w:spacing w:after="0"/>
      </w:pPr>
      <w:r>
        <w:t>MORPHINE</w:t>
      </w:r>
    </w:p>
    <w:p w14:paraId="5F4B3488" w14:textId="77777777" w:rsidR="007B090E" w:rsidRDefault="007B090E" w:rsidP="007B090E">
      <w:pPr>
        <w:spacing w:after="0"/>
      </w:pPr>
      <w:r>
        <w:t>BUPRENORPHINE</w:t>
      </w:r>
    </w:p>
    <w:p w14:paraId="632B3A84" w14:textId="77777777" w:rsidR="007B090E" w:rsidRDefault="007B090E" w:rsidP="007B090E">
      <w:pPr>
        <w:spacing w:after="0"/>
      </w:pPr>
      <w:r>
        <w:t>CODEINE</w:t>
      </w:r>
    </w:p>
    <w:p w14:paraId="5FE1288A" w14:textId="77777777" w:rsidR="007B090E" w:rsidRDefault="007B090E" w:rsidP="007B090E">
      <w:pPr>
        <w:spacing w:after="0"/>
      </w:pPr>
      <w:r>
        <w:t>OXYCODONE + NALOXONE</w:t>
      </w:r>
    </w:p>
    <w:p w14:paraId="04734847" w14:textId="77777777" w:rsidR="007B090E" w:rsidRDefault="007B090E" w:rsidP="007B090E">
      <w:pPr>
        <w:spacing w:after="0"/>
      </w:pPr>
      <w:r>
        <w:t>PARACETAMOL + CODEINE</w:t>
      </w:r>
    </w:p>
    <w:p w14:paraId="55A87D9F" w14:textId="77777777" w:rsidR="007B090E" w:rsidRDefault="007B090E" w:rsidP="007B090E">
      <w:pPr>
        <w:spacing w:after="0"/>
      </w:pPr>
      <w:r>
        <w:t>TAPENTADOL</w:t>
      </w:r>
    </w:p>
    <w:p w14:paraId="37B6417B" w14:textId="3BE80E96" w:rsidR="00763332" w:rsidRPr="00E93EB2" w:rsidRDefault="007B090E" w:rsidP="007B090E">
      <w:pPr>
        <w:spacing w:after="0"/>
      </w:pPr>
      <w:r>
        <w:t>TRAMADOL</w:t>
      </w:r>
    </w:p>
    <w:p w14:paraId="473309DF" w14:textId="77777777" w:rsidR="00E93EB2" w:rsidRDefault="00E93EB2" w:rsidP="00367147">
      <w:pPr>
        <w:spacing w:after="0"/>
        <w:rPr>
          <w:b/>
          <w:bCs/>
        </w:rPr>
      </w:pPr>
    </w:p>
    <w:p w14:paraId="5800AAF1" w14:textId="78E8BD61" w:rsidR="00367147" w:rsidRDefault="00367147" w:rsidP="00367147">
      <w:pPr>
        <w:spacing w:after="0"/>
        <w:rPr>
          <w:b/>
          <w:bCs/>
        </w:rPr>
      </w:pPr>
      <w:r>
        <w:rPr>
          <w:b/>
          <w:bCs/>
        </w:rPr>
        <w:t>Triptans</w:t>
      </w:r>
    </w:p>
    <w:p w14:paraId="18A28E2C" w14:textId="77777777" w:rsidR="00E93EB2" w:rsidRDefault="00E93EB2" w:rsidP="00367147">
      <w:pPr>
        <w:spacing w:after="0"/>
        <w:rPr>
          <w:b/>
          <w:bCs/>
        </w:rPr>
      </w:pPr>
    </w:p>
    <w:p w14:paraId="24DDBBC7" w14:textId="77777777" w:rsidR="00D3268A" w:rsidRPr="00D3268A" w:rsidRDefault="00D3268A" w:rsidP="00D3268A">
      <w:pPr>
        <w:spacing w:after="0"/>
      </w:pPr>
      <w:r w:rsidRPr="00D3268A">
        <w:t>ELETRIPTAN</w:t>
      </w:r>
    </w:p>
    <w:p w14:paraId="76CE9537" w14:textId="77777777" w:rsidR="00D3268A" w:rsidRPr="00D3268A" w:rsidRDefault="00D3268A" w:rsidP="00D3268A">
      <w:pPr>
        <w:spacing w:after="0"/>
      </w:pPr>
      <w:r w:rsidRPr="00D3268A">
        <w:t>NARATRIPTAN</w:t>
      </w:r>
    </w:p>
    <w:p w14:paraId="6E3F4867" w14:textId="77777777" w:rsidR="00D3268A" w:rsidRPr="00D3268A" w:rsidRDefault="00D3268A" w:rsidP="00D3268A">
      <w:pPr>
        <w:spacing w:after="0"/>
      </w:pPr>
      <w:r w:rsidRPr="00D3268A">
        <w:t>RIZATRIPTAN</w:t>
      </w:r>
    </w:p>
    <w:p w14:paraId="7B276F27" w14:textId="77777777" w:rsidR="00D3268A" w:rsidRPr="00D3268A" w:rsidRDefault="00D3268A" w:rsidP="00D3268A">
      <w:pPr>
        <w:spacing w:after="0"/>
      </w:pPr>
      <w:r w:rsidRPr="00D3268A">
        <w:t>SUMATRIPTAN</w:t>
      </w:r>
    </w:p>
    <w:p w14:paraId="1DDF1955" w14:textId="32E027B3" w:rsidR="00E93EB2" w:rsidRDefault="00D3268A" w:rsidP="00D3268A">
      <w:pPr>
        <w:spacing w:after="0"/>
        <w:rPr>
          <w:b/>
          <w:bCs/>
        </w:rPr>
      </w:pPr>
      <w:r w:rsidRPr="00D3268A">
        <w:t>ZOLMITRIPTAN</w:t>
      </w:r>
    </w:p>
    <w:p w14:paraId="4C950F02" w14:textId="77777777" w:rsidR="00367147" w:rsidRDefault="00367147" w:rsidP="00367147">
      <w:pPr>
        <w:spacing w:after="0"/>
        <w:rPr>
          <w:b/>
          <w:bCs/>
        </w:rPr>
      </w:pPr>
    </w:p>
    <w:p w14:paraId="421630EC" w14:textId="5E1D89AC" w:rsidR="00367147" w:rsidRDefault="004830EA" w:rsidP="00367147">
      <w:pPr>
        <w:spacing w:after="0"/>
        <w:rPr>
          <w:b/>
          <w:bCs/>
        </w:rPr>
      </w:pPr>
      <w:r>
        <w:rPr>
          <w:b/>
          <w:bCs/>
        </w:rPr>
        <w:t>1st Line Therapy for Migraine Prophylaxis</w:t>
      </w:r>
    </w:p>
    <w:p w14:paraId="2AD98659" w14:textId="77777777" w:rsidR="004830EA" w:rsidRDefault="004830EA" w:rsidP="00367147">
      <w:pPr>
        <w:spacing w:after="0"/>
        <w:rPr>
          <w:b/>
          <w:bCs/>
        </w:rPr>
      </w:pPr>
    </w:p>
    <w:p w14:paraId="4A35A358" w14:textId="77777777" w:rsidR="007447D2" w:rsidRPr="007447D2" w:rsidRDefault="007447D2" w:rsidP="007447D2">
      <w:pPr>
        <w:spacing w:after="0"/>
      </w:pPr>
      <w:r w:rsidRPr="007447D2">
        <w:t>TOPIRAMATE</w:t>
      </w:r>
    </w:p>
    <w:p w14:paraId="4DBE1C1A" w14:textId="77777777" w:rsidR="007447D2" w:rsidRPr="007447D2" w:rsidRDefault="007447D2" w:rsidP="007447D2">
      <w:pPr>
        <w:spacing w:after="0"/>
      </w:pPr>
      <w:r w:rsidRPr="007447D2">
        <w:t>PIZOTIFEN</w:t>
      </w:r>
    </w:p>
    <w:p w14:paraId="0152A615" w14:textId="77777777" w:rsidR="007447D2" w:rsidRPr="007447D2" w:rsidRDefault="007447D2" w:rsidP="007447D2">
      <w:pPr>
        <w:spacing w:after="0"/>
      </w:pPr>
      <w:r w:rsidRPr="007447D2">
        <w:t>AMITRIPTYLINE</w:t>
      </w:r>
    </w:p>
    <w:p w14:paraId="5171A5C7" w14:textId="77777777" w:rsidR="007447D2" w:rsidRPr="007447D2" w:rsidRDefault="007447D2" w:rsidP="007447D2">
      <w:pPr>
        <w:spacing w:after="0"/>
      </w:pPr>
      <w:r w:rsidRPr="007447D2">
        <w:t>CANDESARTAN</w:t>
      </w:r>
    </w:p>
    <w:p w14:paraId="19839EDF" w14:textId="77777777" w:rsidR="007447D2" w:rsidRPr="007447D2" w:rsidRDefault="007447D2" w:rsidP="007447D2">
      <w:pPr>
        <w:spacing w:after="0"/>
      </w:pPr>
      <w:r w:rsidRPr="007447D2">
        <w:t>PROPRANOLOL</w:t>
      </w:r>
    </w:p>
    <w:p w14:paraId="69E2C080" w14:textId="43FAB9A3" w:rsidR="007447D2" w:rsidRDefault="007447D2" w:rsidP="007447D2">
      <w:pPr>
        <w:spacing w:after="0"/>
      </w:pPr>
      <w:r w:rsidRPr="007447D2">
        <w:t>VERAPAMIL</w:t>
      </w:r>
    </w:p>
    <w:p w14:paraId="6A14637F" w14:textId="04D5DCAD" w:rsidR="00460A02" w:rsidRDefault="00460A02" w:rsidP="007447D2">
      <w:pPr>
        <w:spacing w:after="0"/>
      </w:pPr>
      <w:r w:rsidRPr="00E138FF">
        <w:rPr>
          <w:caps/>
        </w:rPr>
        <w:t>Sodium</w:t>
      </w:r>
      <w:r>
        <w:t xml:space="preserve"> </w:t>
      </w:r>
      <w:r w:rsidRPr="00E138FF">
        <w:t>VALPROATE</w:t>
      </w:r>
    </w:p>
    <w:p w14:paraId="3EF8BEAE" w14:textId="77777777" w:rsidR="00ED476D" w:rsidRDefault="00ED476D" w:rsidP="007447D2">
      <w:pPr>
        <w:spacing w:after="0"/>
      </w:pPr>
    </w:p>
    <w:p w14:paraId="14422A70" w14:textId="71F37ADF" w:rsidR="00ED476D" w:rsidRDefault="00ED476D" w:rsidP="007447D2">
      <w:pPr>
        <w:spacing w:after="0"/>
      </w:pPr>
      <w:r w:rsidRPr="00ED476D">
        <w:rPr>
          <w:caps/>
        </w:rPr>
        <w:t>nortriptyline</w:t>
      </w:r>
      <w:r>
        <w:rPr>
          <w:caps/>
        </w:rPr>
        <w:t xml:space="preserve"> – </w:t>
      </w:r>
      <w:r>
        <w:t xml:space="preserve">PBS </w:t>
      </w:r>
      <w:r w:rsidR="00233FA3">
        <w:t>restricted</w:t>
      </w:r>
      <w:r>
        <w:t xml:space="preserve"> for major depression</w:t>
      </w:r>
      <w:r w:rsidR="00DA361B">
        <w:t>.</w:t>
      </w:r>
    </w:p>
    <w:p w14:paraId="0376E109" w14:textId="77777777" w:rsidR="00BC10A8" w:rsidRDefault="00BC10A8" w:rsidP="007447D2">
      <w:pPr>
        <w:spacing w:after="0"/>
      </w:pPr>
    </w:p>
    <w:p w14:paraId="602939F0" w14:textId="1A1835C7" w:rsidR="00BC10A8" w:rsidRPr="00BC10A8" w:rsidRDefault="00E35DBA" w:rsidP="007447D2">
      <w:pPr>
        <w:spacing w:after="0"/>
        <w:rPr>
          <w:b/>
          <w:bCs/>
        </w:rPr>
      </w:pPr>
      <w:r>
        <w:rPr>
          <w:b/>
          <w:bCs/>
        </w:rPr>
        <w:t xml:space="preserve">Other </w:t>
      </w:r>
      <w:r w:rsidR="00BC10A8" w:rsidRPr="00BC10A8">
        <w:rPr>
          <w:b/>
          <w:bCs/>
        </w:rPr>
        <w:t>2</w:t>
      </w:r>
      <w:r w:rsidR="00BC10A8" w:rsidRPr="00BC10A8">
        <w:rPr>
          <w:b/>
          <w:bCs/>
          <w:vertAlign w:val="superscript"/>
        </w:rPr>
        <w:t>nd</w:t>
      </w:r>
      <w:r w:rsidR="00BC10A8" w:rsidRPr="00BC10A8">
        <w:rPr>
          <w:b/>
          <w:bCs/>
        </w:rPr>
        <w:t xml:space="preserve"> Line Therapy for Migraine Prophylaxis</w:t>
      </w:r>
    </w:p>
    <w:p w14:paraId="78FB7014" w14:textId="77777777" w:rsidR="00BC10A8" w:rsidRDefault="00BC10A8" w:rsidP="007447D2">
      <w:pPr>
        <w:spacing w:after="0"/>
      </w:pPr>
    </w:p>
    <w:p w14:paraId="2D74B552" w14:textId="77777777" w:rsidR="00813AE5" w:rsidRDefault="00813AE5" w:rsidP="00813AE5">
      <w:pPr>
        <w:spacing w:after="0"/>
      </w:pPr>
      <w:r>
        <w:t>BOTULINUM TOXIN TYPE A</w:t>
      </w:r>
    </w:p>
    <w:p w14:paraId="391977A1" w14:textId="5D0BB8F0" w:rsidR="00367147" w:rsidRPr="007447D2" w:rsidRDefault="00813AE5" w:rsidP="00367147">
      <w:pPr>
        <w:spacing w:after="0"/>
      </w:pPr>
      <w:r>
        <w:t>EPTINEZUMAB</w:t>
      </w:r>
    </w:p>
    <w:sectPr w:rsidR="00367147" w:rsidRPr="007447D2" w:rsidSect="00DD188C">
      <w:footerReference w:type="even" r:id="rId41"/>
      <w:footerReference w:type="default" r:id="rId42"/>
      <w:footerReference w:type="first" r:id="rId43"/>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E7D54" w14:textId="77777777" w:rsidR="007D410E" w:rsidRDefault="007D410E" w:rsidP="00A35800">
      <w:r>
        <w:separator/>
      </w:r>
    </w:p>
  </w:endnote>
  <w:endnote w:type="continuationSeparator" w:id="0">
    <w:p w14:paraId="056D0548" w14:textId="77777777" w:rsidR="007D410E" w:rsidRDefault="007D410E" w:rsidP="00A35800">
      <w:r>
        <w:continuationSeparator/>
      </w:r>
    </w:p>
  </w:endnote>
  <w:endnote w:type="continuationNotice" w:id="1">
    <w:p w14:paraId="68C4D730" w14:textId="77777777" w:rsidR="007D410E" w:rsidRDefault="007D41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524495F8" w14:textId="77777777" w:rsidR="00774962" w:rsidRPr="009863D5" w:rsidRDefault="00774962" w:rsidP="00774962">
            <w:pPr>
              <w:pStyle w:val="Footer"/>
              <w:jc w:val="center"/>
              <w:rPr>
                <w:i/>
                <w:iCs/>
                <w:sz w:val="20"/>
                <w:szCs w:val="20"/>
              </w:rPr>
            </w:pPr>
            <w:r w:rsidRPr="009863D5">
              <w:rPr>
                <w:i/>
                <w:iCs/>
                <w:sz w:val="20"/>
                <w:szCs w:val="20"/>
              </w:rPr>
              <w:t>Public Release Document</w:t>
            </w:r>
            <w:r>
              <w:rPr>
                <w:i/>
                <w:iCs/>
                <w:sz w:val="20"/>
                <w:szCs w:val="20"/>
              </w:rPr>
              <w:t>,</w:t>
            </w:r>
            <w:r w:rsidRPr="009863D5">
              <w:rPr>
                <w:i/>
                <w:iCs/>
                <w:sz w:val="20"/>
                <w:szCs w:val="20"/>
              </w:rPr>
              <w:t xml:space="preserve"> June 2024</w:t>
            </w:r>
            <w:r>
              <w:rPr>
                <w:i/>
                <w:iCs/>
                <w:sz w:val="20"/>
                <w:szCs w:val="20"/>
              </w:rPr>
              <w:t xml:space="preserve"> DUSC Meeting</w:t>
            </w:r>
          </w:p>
          <w:p w14:paraId="10292A9A" w14:textId="7D864046"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C597D" w14:textId="77777777" w:rsidR="007D410E" w:rsidRDefault="007D410E" w:rsidP="00A35800">
      <w:r>
        <w:separator/>
      </w:r>
    </w:p>
  </w:footnote>
  <w:footnote w:type="continuationSeparator" w:id="0">
    <w:p w14:paraId="26E8AF61" w14:textId="77777777" w:rsidR="007D410E" w:rsidRDefault="007D410E" w:rsidP="00A35800">
      <w:r>
        <w:continuationSeparator/>
      </w:r>
    </w:p>
  </w:footnote>
  <w:footnote w:type="continuationNotice" w:id="1">
    <w:p w14:paraId="66778A0A" w14:textId="77777777" w:rsidR="007D410E" w:rsidRDefault="007D410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790E"/>
    <w:multiLevelType w:val="hybridMultilevel"/>
    <w:tmpl w:val="24EE1AD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C73558"/>
    <w:multiLevelType w:val="hybridMultilevel"/>
    <w:tmpl w:val="25F44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171431"/>
    <w:multiLevelType w:val="hybridMultilevel"/>
    <w:tmpl w:val="8C5E5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303FFA"/>
    <w:multiLevelType w:val="hybridMultilevel"/>
    <w:tmpl w:val="34F28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717D32"/>
    <w:multiLevelType w:val="hybridMultilevel"/>
    <w:tmpl w:val="95F45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6E20D7"/>
    <w:multiLevelType w:val="hybridMultilevel"/>
    <w:tmpl w:val="323CB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BF1AE0"/>
    <w:multiLevelType w:val="hybridMultilevel"/>
    <w:tmpl w:val="8CB21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C0D4696"/>
    <w:multiLevelType w:val="hybridMultilevel"/>
    <w:tmpl w:val="8C480F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C755FDD"/>
    <w:multiLevelType w:val="hybridMultilevel"/>
    <w:tmpl w:val="D1484C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48349051">
    <w:abstractNumId w:val="9"/>
  </w:num>
  <w:num w:numId="2" w16cid:durableId="1562985181">
    <w:abstractNumId w:val="8"/>
  </w:num>
  <w:num w:numId="3" w16cid:durableId="807666443">
    <w:abstractNumId w:val="3"/>
  </w:num>
  <w:num w:numId="4" w16cid:durableId="1824275514">
    <w:abstractNumId w:val="7"/>
  </w:num>
  <w:num w:numId="5" w16cid:durableId="1511144518">
    <w:abstractNumId w:val="11"/>
  </w:num>
  <w:num w:numId="6" w16cid:durableId="1207447274">
    <w:abstractNumId w:val="1"/>
  </w:num>
  <w:num w:numId="7" w16cid:durableId="1302613838">
    <w:abstractNumId w:val="4"/>
  </w:num>
  <w:num w:numId="8" w16cid:durableId="297339334">
    <w:abstractNumId w:val="5"/>
  </w:num>
  <w:num w:numId="9" w16cid:durableId="1591962603">
    <w:abstractNumId w:val="10"/>
  </w:num>
  <w:num w:numId="10" w16cid:durableId="302198417">
    <w:abstractNumId w:val="2"/>
  </w:num>
  <w:num w:numId="11" w16cid:durableId="1180505175">
    <w:abstractNumId w:val="0"/>
  </w:num>
  <w:num w:numId="12" w16cid:durableId="593439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02EF"/>
    <w:rsid w:val="0000236F"/>
    <w:rsid w:val="000024E9"/>
    <w:rsid w:val="0000425F"/>
    <w:rsid w:val="00004FF4"/>
    <w:rsid w:val="00005D72"/>
    <w:rsid w:val="000061AB"/>
    <w:rsid w:val="00007E85"/>
    <w:rsid w:val="00013465"/>
    <w:rsid w:val="00015195"/>
    <w:rsid w:val="00016037"/>
    <w:rsid w:val="00020BA2"/>
    <w:rsid w:val="00021F2B"/>
    <w:rsid w:val="00022075"/>
    <w:rsid w:val="000226B3"/>
    <w:rsid w:val="00022C44"/>
    <w:rsid w:val="00024549"/>
    <w:rsid w:val="00024D75"/>
    <w:rsid w:val="000256E1"/>
    <w:rsid w:val="00025FD0"/>
    <w:rsid w:val="00030619"/>
    <w:rsid w:val="00031EDD"/>
    <w:rsid w:val="000376BF"/>
    <w:rsid w:val="000404B0"/>
    <w:rsid w:val="000429A0"/>
    <w:rsid w:val="00042B5B"/>
    <w:rsid w:val="00044908"/>
    <w:rsid w:val="00046D19"/>
    <w:rsid w:val="00050C8F"/>
    <w:rsid w:val="000544B6"/>
    <w:rsid w:val="000549EB"/>
    <w:rsid w:val="000552F5"/>
    <w:rsid w:val="00056DC0"/>
    <w:rsid w:val="000578C1"/>
    <w:rsid w:val="000604AF"/>
    <w:rsid w:val="000608EE"/>
    <w:rsid w:val="00066444"/>
    <w:rsid w:val="00066769"/>
    <w:rsid w:val="0006765D"/>
    <w:rsid w:val="00067D3F"/>
    <w:rsid w:val="00067E59"/>
    <w:rsid w:val="00070B4B"/>
    <w:rsid w:val="00070CF1"/>
    <w:rsid w:val="00072F47"/>
    <w:rsid w:val="00074D2B"/>
    <w:rsid w:val="000761CF"/>
    <w:rsid w:val="00076946"/>
    <w:rsid w:val="000772E2"/>
    <w:rsid w:val="00083497"/>
    <w:rsid w:val="00085674"/>
    <w:rsid w:val="0008612C"/>
    <w:rsid w:val="00086C11"/>
    <w:rsid w:val="00087ADE"/>
    <w:rsid w:val="000909EA"/>
    <w:rsid w:val="000922CE"/>
    <w:rsid w:val="000925A8"/>
    <w:rsid w:val="00093756"/>
    <w:rsid w:val="00093A5B"/>
    <w:rsid w:val="00093BDE"/>
    <w:rsid w:val="0009426E"/>
    <w:rsid w:val="0009473A"/>
    <w:rsid w:val="00094DCF"/>
    <w:rsid w:val="0009545E"/>
    <w:rsid w:val="000A102F"/>
    <w:rsid w:val="000A1CBD"/>
    <w:rsid w:val="000A24D5"/>
    <w:rsid w:val="000A33D4"/>
    <w:rsid w:val="000A4203"/>
    <w:rsid w:val="000A4D09"/>
    <w:rsid w:val="000A4FFC"/>
    <w:rsid w:val="000A51E4"/>
    <w:rsid w:val="000A6CFD"/>
    <w:rsid w:val="000A75DF"/>
    <w:rsid w:val="000B02AF"/>
    <w:rsid w:val="000B050E"/>
    <w:rsid w:val="000B0982"/>
    <w:rsid w:val="000B169B"/>
    <w:rsid w:val="000B3707"/>
    <w:rsid w:val="000B3A39"/>
    <w:rsid w:val="000B5F5B"/>
    <w:rsid w:val="000B6411"/>
    <w:rsid w:val="000B796C"/>
    <w:rsid w:val="000C0CEA"/>
    <w:rsid w:val="000C39D0"/>
    <w:rsid w:val="000C46BB"/>
    <w:rsid w:val="000C4D9D"/>
    <w:rsid w:val="000C5A2B"/>
    <w:rsid w:val="000C727D"/>
    <w:rsid w:val="000C7C4B"/>
    <w:rsid w:val="000C7D8B"/>
    <w:rsid w:val="000D3E76"/>
    <w:rsid w:val="000D5A29"/>
    <w:rsid w:val="000D5E4A"/>
    <w:rsid w:val="000D6234"/>
    <w:rsid w:val="000D67A0"/>
    <w:rsid w:val="000D7A37"/>
    <w:rsid w:val="000E2720"/>
    <w:rsid w:val="000E485D"/>
    <w:rsid w:val="000E502A"/>
    <w:rsid w:val="000E5D08"/>
    <w:rsid w:val="000E72C6"/>
    <w:rsid w:val="000E73BE"/>
    <w:rsid w:val="000E78D9"/>
    <w:rsid w:val="000F03BC"/>
    <w:rsid w:val="000F058F"/>
    <w:rsid w:val="000F1893"/>
    <w:rsid w:val="000F2F51"/>
    <w:rsid w:val="000F325C"/>
    <w:rsid w:val="000F3DC2"/>
    <w:rsid w:val="000F5CE4"/>
    <w:rsid w:val="000F6474"/>
    <w:rsid w:val="000F6A7A"/>
    <w:rsid w:val="000F70F4"/>
    <w:rsid w:val="000F7410"/>
    <w:rsid w:val="0010196F"/>
    <w:rsid w:val="00103FDA"/>
    <w:rsid w:val="00105D31"/>
    <w:rsid w:val="00106709"/>
    <w:rsid w:val="001070D5"/>
    <w:rsid w:val="001109D5"/>
    <w:rsid w:val="00110CA6"/>
    <w:rsid w:val="00113CF8"/>
    <w:rsid w:val="00113D1B"/>
    <w:rsid w:val="00113D74"/>
    <w:rsid w:val="001168BA"/>
    <w:rsid w:val="00117C5C"/>
    <w:rsid w:val="001225FA"/>
    <w:rsid w:val="0012275C"/>
    <w:rsid w:val="00122ACC"/>
    <w:rsid w:val="001235AB"/>
    <w:rsid w:val="001264CF"/>
    <w:rsid w:val="0012731E"/>
    <w:rsid w:val="001310AE"/>
    <w:rsid w:val="0013141B"/>
    <w:rsid w:val="001322A0"/>
    <w:rsid w:val="0013486D"/>
    <w:rsid w:val="0013637A"/>
    <w:rsid w:val="001420B3"/>
    <w:rsid w:val="0014250B"/>
    <w:rsid w:val="001425C2"/>
    <w:rsid w:val="0014457D"/>
    <w:rsid w:val="001446E2"/>
    <w:rsid w:val="001452A7"/>
    <w:rsid w:val="001460C4"/>
    <w:rsid w:val="0014658F"/>
    <w:rsid w:val="00146B07"/>
    <w:rsid w:val="00146D10"/>
    <w:rsid w:val="001504EE"/>
    <w:rsid w:val="001504F6"/>
    <w:rsid w:val="001528B4"/>
    <w:rsid w:val="00152CC8"/>
    <w:rsid w:val="001541A0"/>
    <w:rsid w:val="001548C7"/>
    <w:rsid w:val="001563DE"/>
    <w:rsid w:val="0015691C"/>
    <w:rsid w:val="00157142"/>
    <w:rsid w:val="0015720C"/>
    <w:rsid w:val="0016168D"/>
    <w:rsid w:val="001621F7"/>
    <w:rsid w:val="001624D7"/>
    <w:rsid w:val="00162528"/>
    <w:rsid w:val="00163BE4"/>
    <w:rsid w:val="001654C0"/>
    <w:rsid w:val="00165792"/>
    <w:rsid w:val="0016597C"/>
    <w:rsid w:val="0016667B"/>
    <w:rsid w:val="00166F0B"/>
    <w:rsid w:val="00172B19"/>
    <w:rsid w:val="0017594D"/>
    <w:rsid w:val="00177B86"/>
    <w:rsid w:val="00181491"/>
    <w:rsid w:val="001820A4"/>
    <w:rsid w:val="00182585"/>
    <w:rsid w:val="0018297B"/>
    <w:rsid w:val="001831CC"/>
    <w:rsid w:val="00184FE2"/>
    <w:rsid w:val="001856F8"/>
    <w:rsid w:val="00191182"/>
    <w:rsid w:val="00192D83"/>
    <w:rsid w:val="0019302B"/>
    <w:rsid w:val="0019310C"/>
    <w:rsid w:val="0019329E"/>
    <w:rsid w:val="0019664D"/>
    <w:rsid w:val="001A128B"/>
    <w:rsid w:val="001A138A"/>
    <w:rsid w:val="001A2F58"/>
    <w:rsid w:val="001A5D93"/>
    <w:rsid w:val="001A6103"/>
    <w:rsid w:val="001A7101"/>
    <w:rsid w:val="001A7493"/>
    <w:rsid w:val="001B055B"/>
    <w:rsid w:val="001B333A"/>
    <w:rsid w:val="001B3EFC"/>
    <w:rsid w:val="001B5D37"/>
    <w:rsid w:val="001B65B1"/>
    <w:rsid w:val="001B69A8"/>
    <w:rsid w:val="001B7C30"/>
    <w:rsid w:val="001C1DDF"/>
    <w:rsid w:val="001C2862"/>
    <w:rsid w:val="001C2940"/>
    <w:rsid w:val="001C4016"/>
    <w:rsid w:val="001C509D"/>
    <w:rsid w:val="001C548D"/>
    <w:rsid w:val="001C6A5D"/>
    <w:rsid w:val="001D30D5"/>
    <w:rsid w:val="001D3671"/>
    <w:rsid w:val="001D3CEF"/>
    <w:rsid w:val="001E0A65"/>
    <w:rsid w:val="001E1375"/>
    <w:rsid w:val="001E14A7"/>
    <w:rsid w:val="001E2652"/>
    <w:rsid w:val="001E31A6"/>
    <w:rsid w:val="001E37EF"/>
    <w:rsid w:val="001E42C7"/>
    <w:rsid w:val="001E4CAB"/>
    <w:rsid w:val="001E5074"/>
    <w:rsid w:val="001E58D4"/>
    <w:rsid w:val="001E679A"/>
    <w:rsid w:val="001E75BE"/>
    <w:rsid w:val="001F0A4E"/>
    <w:rsid w:val="001F2F3E"/>
    <w:rsid w:val="001F3D6F"/>
    <w:rsid w:val="001F4906"/>
    <w:rsid w:val="001F4B73"/>
    <w:rsid w:val="001F58C0"/>
    <w:rsid w:val="001F6CAC"/>
    <w:rsid w:val="001F7C4A"/>
    <w:rsid w:val="00200669"/>
    <w:rsid w:val="00203DD5"/>
    <w:rsid w:val="0020578A"/>
    <w:rsid w:val="00206B98"/>
    <w:rsid w:val="00207631"/>
    <w:rsid w:val="00207664"/>
    <w:rsid w:val="00207EB8"/>
    <w:rsid w:val="00210F2D"/>
    <w:rsid w:val="002115CC"/>
    <w:rsid w:val="00211ED9"/>
    <w:rsid w:val="002133A9"/>
    <w:rsid w:val="00214013"/>
    <w:rsid w:val="002148B3"/>
    <w:rsid w:val="002161C4"/>
    <w:rsid w:val="00216542"/>
    <w:rsid w:val="0021668E"/>
    <w:rsid w:val="00216F75"/>
    <w:rsid w:val="00220388"/>
    <w:rsid w:val="0022063C"/>
    <w:rsid w:val="00220FC1"/>
    <w:rsid w:val="0022110A"/>
    <w:rsid w:val="002219D1"/>
    <w:rsid w:val="00222E9A"/>
    <w:rsid w:val="00224B15"/>
    <w:rsid w:val="002261A8"/>
    <w:rsid w:val="00226DFC"/>
    <w:rsid w:val="00227C91"/>
    <w:rsid w:val="00227D02"/>
    <w:rsid w:val="0023179D"/>
    <w:rsid w:val="002322B0"/>
    <w:rsid w:val="0023274B"/>
    <w:rsid w:val="002339D5"/>
    <w:rsid w:val="00233FA3"/>
    <w:rsid w:val="0023710A"/>
    <w:rsid w:val="002376EF"/>
    <w:rsid w:val="00241250"/>
    <w:rsid w:val="002414FF"/>
    <w:rsid w:val="00241E92"/>
    <w:rsid w:val="002427F4"/>
    <w:rsid w:val="00242F00"/>
    <w:rsid w:val="00243453"/>
    <w:rsid w:val="00243DC3"/>
    <w:rsid w:val="00244197"/>
    <w:rsid w:val="00245A4B"/>
    <w:rsid w:val="002468CD"/>
    <w:rsid w:val="002500FE"/>
    <w:rsid w:val="00250E8F"/>
    <w:rsid w:val="00251A10"/>
    <w:rsid w:val="0025389D"/>
    <w:rsid w:val="00254E02"/>
    <w:rsid w:val="00260865"/>
    <w:rsid w:val="00260894"/>
    <w:rsid w:val="002623AB"/>
    <w:rsid w:val="0026265F"/>
    <w:rsid w:val="00263566"/>
    <w:rsid w:val="00265C93"/>
    <w:rsid w:val="00267152"/>
    <w:rsid w:val="002672D3"/>
    <w:rsid w:val="0026796A"/>
    <w:rsid w:val="002708DE"/>
    <w:rsid w:val="00271C0B"/>
    <w:rsid w:val="00271D8E"/>
    <w:rsid w:val="002722A8"/>
    <w:rsid w:val="00272F3C"/>
    <w:rsid w:val="002738DF"/>
    <w:rsid w:val="00274DA7"/>
    <w:rsid w:val="00274F99"/>
    <w:rsid w:val="00275651"/>
    <w:rsid w:val="002758CF"/>
    <w:rsid w:val="00275956"/>
    <w:rsid w:val="00276089"/>
    <w:rsid w:val="00277AAD"/>
    <w:rsid w:val="002818C2"/>
    <w:rsid w:val="00281AC3"/>
    <w:rsid w:val="002827FD"/>
    <w:rsid w:val="00283078"/>
    <w:rsid w:val="002836B4"/>
    <w:rsid w:val="002836F8"/>
    <w:rsid w:val="00286A04"/>
    <w:rsid w:val="00286C3A"/>
    <w:rsid w:val="00287415"/>
    <w:rsid w:val="002879A0"/>
    <w:rsid w:val="00287B3B"/>
    <w:rsid w:val="00292256"/>
    <w:rsid w:val="00292C79"/>
    <w:rsid w:val="002930F5"/>
    <w:rsid w:val="00293171"/>
    <w:rsid w:val="00293883"/>
    <w:rsid w:val="0029473D"/>
    <w:rsid w:val="00296048"/>
    <w:rsid w:val="002960AA"/>
    <w:rsid w:val="00296758"/>
    <w:rsid w:val="002967DB"/>
    <w:rsid w:val="00296B81"/>
    <w:rsid w:val="00297802"/>
    <w:rsid w:val="002A06B7"/>
    <w:rsid w:val="002A454A"/>
    <w:rsid w:val="002A4B9B"/>
    <w:rsid w:val="002A57CF"/>
    <w:rsid w:val="002A6C24"/>
    <w:rsid w:val="002A74C4"/>
    <w:rsid w:val="002A7EAD"/>
    <w:rsid w:val="002B239A"/>
    <w:rsid w:val="002B5907"/>
    <w:rsid w:val="002B5939"/>
    <w:rsid w:val="002C04E8"/>
    <w:rsid w:val="002C0585"/>
    <w:rsid w:val="002C1161"/>
    <w:rsid w:val="002C5BFA"/>
    <w:rsid w:val="002C6E0C"/>
    <w:rsid w:val="002C7B68"/>
    <w:rsid w:val="002C7F7B"/>
    <w:rsid w:val="002D1299"/>
    <w:rsid w:val="002D144A"/>
    <w:rsid w:val="002D157C"/>
    <w:rsid w:val="002D43AB"/>
    <w:rsid w:val="002D556D"/>
    <w:rsid w:val="002D5815"/>
    <w:rsid w:val="002D5F8C"/>
    <w:rsid w:val="002D64E5"/>
    <w:rsid w:val="002D6826"/>
    <w:rsid w:val="002D7607"/>
    <w:rsid w:val="002DC860"/>
    <w:rsid w:val="002E074D"/>
    <w:rsid w:val="002E07FB"/>
    <w:rsid w:val="002E19A3"/>
    <w:rsid w:val="002E212B"/>
    <w:rsid w:val="002E3337"/>
    <w:rsid w:val="002E39A1"/>
    <w:rsid w:val="002E4A89"/>
    <w:rsid w:val="002E4D26"/>
    <w:rsid w:val="002E6D03"/>
    <w:rsid w:val="002E7E64"/>
    <w:rsid w:val="002F002A"/>
    <w:rsid w:val="002F1FB8"/>
    <w:rsid w:val="002F20DE"/>
    <w:rsid w:val="002F27B8"/>
    <w:rsid w:val="002F49A8"/>
    <w:rsid w:val="002F5E66"/>
    <w:rsid w:val="002F61CA"/>
    <w:rsid w:val="002F61F0"/>
    <w:rsid w:val="002F63A8"/>
    <w:rsid w:val="002F6E70"/>
    <w:rsid w:val="0030010D"/>
    <w:rsid w:val="00304453"/>
    <w:rsid w:val="003054AC"/>
    <w:rsid w:val="00307EC6"/>
    <w:rsid w:val="00311728"/>
    <w:rsid w:val="00312343"/>
    <w:rsid w:val="00313024"/>
    <w:rsid w:val="00313610"/>
    <w:rsid w:val="003138D1"/>
    <w:rsid w:val="00314C6B"/>
    <w:rsid w:val="00320D13"/>
    <w:rsid w:val="00321185"/>
    <w:rsid w:val="00322AE1"/>
    <w:rsid w:val="00323937"/>
    <w:rsid w:val="003249CC"/>
    <w:rsid w:val="003251DC"/>
    <w:rsid w:val="003252A6"/>
    <w:rsid w:val="0032546B"/>
    <w:rsid w:val="00326D88"/>
    <w:rsid w:val="00327E42"/>
    <w:rsid w:val="0033089D"/>
    <w:rsid w:val="003333B9"/>
    <w:rsid w:val="00333C8E"/>
    <w:rsid w:val="0033504C"/>
    <w:rsid w:val="00336816"/>
    <w:rsid w:val="00336BF0"/>
    <w:rsid w:val="003370D0"/>
    <w:rsid w:val="00337355"/>
    <w:rsid w:val="003402E4"/>
    <w:rsid w:val="00340CD0"/>
    <w:rsid w:val="00340DCD"/>
    <w:rsid w:val="00340F95"/>
    <w:rsid w:val="00341FE4"/>
    <w:rsid w:val="003432A9"/>
    <w:rsid w:val="00343C1F"/>
    <w:rsid w:val="0034631F"/>
    <w:rsid w:val="00346EAD"/>
    <w:rsid w:val="00347B36"/>
    <w:rsid w:val="00347B68"/>
    <w:rsid w:val="0035066C"/>
    <w:rsid w:val="00350B79"/>
    <w:rsid w:val="003518FC"/>
    <w:rsid w:val="00352682"/>
    <w:rsid w:val="003531ED"/>
    <w:rsid w:val="00354378"/>
    <w:rsid w:val="00354445"/>
    <w:rsid w:val="00354FAF"/>
    <w:rsid w:val="00354FE5"/>
    <w:rsid w:val="00355103"/>
    <w:rsid w:val="00355615"/>
    <w:rsid w:val="00357137"/>
    <w:rsid w:val="00357D37"/>
    <w:rsid w:val="00360367"/>
    <w:rsid w:val="00360559"/>
    <w:rsid w:val="00360B9A"/>
    <w:rsid w:val="00361E8F"/>
    <w:rsid w:val="00363B51"/>
    <w:rsid w:val="00363DCD"/>
    <w:rsid w:val="003643BF"/>
    <w:rsid w:val="00364982"/>
    <w:rsid w:val="003670EF"/>
    <w:rsid w:val="00367147"/>
    <w:rsid w:val="0036725D"/>
    <w:rsid w:val="00367506"/>
    <w:rsid w:val="003679AF"/>
    <w:rsid w:val="00367F8B"/>
    <w:rsid w:val="00370477"/>
    <w:rsid w:val="00370C18"/>
    <w:rsid w:val="00370FB0"/>
    <w:rsid w:val="00371138"/>
    <w:rsid w:val="00371547"/>
    <w:rsid w:val="00372093"/>
    <w:rsid w:val="00374BBF"/>
    <w:rsid w:val="0037527A"/>
    <w:rsid w:val="00376265"/>
    <w:rsid w:val="00377504"/>
    <w:rsid w:val="003818A7"/>
    <w:rsid w:val="00381B27"/>
    <w:rsid w:val="0038366A"/>
    <w:rsid w:val="00384D6C"/>
    <w:rsid w:val="0039017F"/>
    <w:rsid w:val="003905DA"/>
    <w:rsid w:val="00390B5D"/>
    <w:rsid w:val="00393035"/>
    <w:rsid w:val="00394AEE"/>
    <w:rsid w:val="00395D3C"/>
    <w:rsid w:val="00397B36"/>
    <w:rsid w:val="003A01B8"/>
    <w:rsid w:val="003A1C2E"/>
    <w:rsid w:val="003A1C47"/>
    <w:rsid w:val="003A271C"/>
    <w:rsid w:val="003A32EC"/>
    <w:rsid w:val="003A3CF9"/>
    <w:rsid w:val="003A45A3"/>
    <w:rsid w:val="003A58C5"/>
    <w:rsid w:val="003A5BB8"/>
    <w:rsid w:val="003A5CC8"/>
    <w:rsid w:val="003B15A9"/>
    <w:rsid w:val="003B2743"/>
    <w:rsid w:val="003B288D"/>
    <w:rsid w:val="003B55D3"/>
    <w:rsid w:val="003B575C"/>
    <w:rsid w:val="003B7564"/>
    <w:rsid w:val="003C065A"/>
    <w:rsid w:val="003C1281"/>
    <w:rsid w:val="003C1C51"/>
    <w:rsid w:val="003C2D98"/>
    <w:rsid w:val="003C451F"/>
    <w:rsid w:val="003D069A"/>
    <w:rsid w:val="003D0748"/>
    <w:rsid w:val="003D319A"/>
    <w:rsid w:val="003D3A96"/>
    <w:rsid w:val="003D3B9C"/>
    <w:rsid w:val="003D3D7F"/>
    <w:rsid w:val="003D4070"/>
    <w:rsid w:val="003D4C65"/>
    <w:rsid w:val="003D5D86"/>
    <w:rsid w:val="003D7D0C"/>
    <w:rsid w:val="003D7F14"/>
    <w:rsid w:val="003E060C"/>
    <w:rsid w:val="003E1EA3"/>
    <w:rsid w:val="003E36F1"/>
    <w:rsid w:val="003E3C69"/>
    <w:rsid w:val="003E5FDA"/>
    <w:rsid w:val="003E7167"/>
    <w:rsid w:val="003E7726"/>
    <w:rsid w:val="003F074F"/>
    <w:rsid w:val="003F0B22"/>
    <w:rsid w:val="003F2F33"/>
    <w:rsid w:val="003F35D8"/>
    <w:rsid w:val="003F4794"/>
    <w:rsid w:val="003F7B43"/>
    <w:rsid w:val="00400C8E"/>
    <w:rsid w:val="004015AD"/>
    <w:rsid w:val="004018E0"/>
    <w:rsid w:val="004036A3"/>
    <w:rsid w:val="00404485"/>
    <w:rsid w:val="00404F03"/>
    <w:rsid w:val="00405CF0"/>
    <w:rsid w:val="00407BD7"/>
    <w:rsid w:val="00412051"/>
    <w:rsid w:val="00413FA6"/>
    <w:rsid w:val="00414B5A"/>
    <w:rsid w:val="0042173D"/>
    <w:rsid w:val="004233D6"/>
    <w:rsid w:val="00423B94"/>
    <w:rsid w:val="00424C9B"/>
    <w:rsid w:val="00425DCA"/>
    <w:rsid w:val="0042602F"/>
    <w:rsid w:val="00427692"/>
    <w:rsid w:val="0043025A"/>
    <w:rsid w:val="00430BFB"/>
    <w:rsid w:val="00430E14"/>
    <w:rsid w:val="0043281A"/>
    <w:rsid w:val="00432D6E"/>
    <w:rsid w:val="00433149"/>
    <w:rsid w:val="00433D34"/>
    <w:rsid w:val="00434245"/>
    <w:rsid w:val="004349F4"/>
    <w:rsid w:val="004357E9"/>
    <w:rsid w:val="00436C0C"/>
    <w:rsid w:val="00437E0A"/>
    <w:rsid w:val="00441960"/>
    <w:rsid w:val="00441F1F"/>
    <w:rsid w:val="0044470C"/>
    <w:rsid w:val="00445627"/>
    <w:rsid w:val="00447C69"/>
    <w:rsid w:val="00447C71"/>
    <w:rsid w:val="00447E28"/>
    <w:rsid w:val="00447E71"/>
    <w:rsid w:val="00447EC1"/>
    <w:rsid w:val="0045005B"/>
    <w:rsid w:val="004501EA"/>
    <w:rsid w:val="00451814"/>
    <w:rsid w:val="00455319"/>
    <w:rsid w:val="004563B1"/>
    <w:rsid w:val="004563F9"/>
    <w:rsid w:val="00456C9D"/>
    <w:rsid w:val="00457977"/>
    <w:rsid w:val="00460A02"/>
    <w:rsid w:val="00460CE6"/>
    <w:rsid w:val="0046130A"/>
    <w:rsid w:val="00463731"/>
    <w:rsid w:val="0046400A"/>
    <w:rsid w:val="004643DF"/>
    <w:rsid w:val="004646E8"/>
    <w:rsid w:val="004672DA"/>
    <w:rsid w:val="004672F7"/>
    <w:rsid w:val="004673D8"/>
    <w:rsid w:val="0046748F"/>
    <w:rsid w:val="00467B25"/>
    <w:rsid w:val="00470BED"/>
    <w:rsid w:val="004767B9"/>
    <w:rsid w:val="00481108"/>
    <w:rsid w:val="00481E43"/>
    <w:rsid w:val="004830EA"/>
    <w:rsid w:val="004843A6"/>
    <w:rsid w:val="00485DAA"/>
    <w:rsid w:val="0049042B"/>
    <w:rsid w:val="00492D9F"/>
    <w:rsid w:val="00493842"/>
    <w:rsid w:val="0049385F"/>
    <w:rsid w:val="00494BF0"/>
    <w:rsid w:val="00495473"/>
    <w:rsid w:val="004957EC"/>
    <w:rsid w:val="004A12F9"/>
    <w:rsid w:val="004A2640"/>
    <w:rsid w:val="004A3984"/>
    <w:rsid w:val="004A3E9F"/>
    <w:rsid w:val="004A458E"/>
    <w:rsid w:val="004A4847"/>
    <w:rsid w:val="004A5A46"/>
    <w:rsid w:val="004A5F99"/>
    <w:rsid w:val="004B18AD"/>
    <w:rsid w:val="004B23E7"/>
    <w:rsid w:val="004B306F"/>
    <w:rsid w:val="004B396A"/>
    <w:rsid w:val="004B3B9D"/>
    <w:rsid w:val="004B57D3"/>
    <w:rsid w:val="004B6D2E"/>
    <w:rsid w:val="004B6ECA"/>
    <w:rsid w:val="004B7DBC"/>
    <w:rsid w:val="004C3186"/>
    <w:rsid w:val="004C4DB6"/>
    <w:rsid w:val="004C5042"/>
    <w:rsid w:val="004C5C2D"/>
    <w:rsid w:val="004C7B03"/>
    <w:rsid w:val="004D17BF"/>
    <w:rsid w:val="004D246D"/>
    <w:rsid w:val="004D491A"/>
    <w:rsid w:val="004D4AD0"/>
    <w:rsid w:val="004D5230"/>
    <w:rsid w:val="004D56DA"/>
    <w:rsid w:val="004D6495"/>
    <w:rsid w:val="004D6F82"/>
    <w:rsid w:val="004D7019"/>
    <w:rsid w:val="004E2859"/>
    <w:rsid w:val="004E37B8"/>
    <w:rsid w:val="004E4422"/>
    <w:rsid w:val="004E4A81"/>
    <w:rsid w:val="004E57C8"/>
    <w:rsid w:val="004E5E97"/>
    <w:rsid w:val="004F0D86"/>
    <w:rsid w:val="004F1ADC"/>
    <w:rsid w:val="004F30CD"/>
    <w:rsid w:val="004F3C95"/>
    <w:rsid w:val="004F3CC3"/>
    <w:rsid w:val="004F59CC"/>
    <w:rsid w:val="004F5FD6"/>
    <w:rsid w:val="004F7A60"/>
    <w:rsid w:val="005001F1"/>
    <w:rsid w:val="00501901"/>
    <w:rsid w:val="00502602"/>
    <w:rsid w:val="00502A76"/>
    <w:rsid w:val="00502DAE"/>
    <w:rsid w:val="00503998"/>
    <w:rsid w:val="00504B57"/>
    <w:rsid w:val="00505016"/>
    <w:rsid w:val="0050623B"/>
    <w:rsid w:val="005066AB"/>
    <w:rsid w:val="00510EFA"/>
    <w:rsid w:val="00512514"/>
    <w:rsid w:val="00513FE8"/>
    <w:rsid w:val="005141BC"/>
    <w:rsid w:val="005153A5"/>
    <w:rsid w:val="005202B6"/>
    <w:rsid w:val="00522259"/>
    <w:rsid w:val="00523181"/>
    <w:rsid w:val="0052333E"/>
    <w:rsid w:val="00524D13"/>
    <w:rsid w:val="005258B2"/>
    <w:rsid w:val="00525B4D"/>
    <w:rsid w:val="005309D6"/>
    <w:rsid w:val="00530E4F"/>
    <w:rsid w:val="00531DD2"/>
    <w:rsid w:val="00533069"/>
    <w:rsid w:val="005339F6"/>
    <w:rsid w:val="00541551"/>
    <w:rsid w:val="00541A3A"/>
    <w:rsid w:val="00543405"/>
    <w:rsid w:val="0054425C"/>
    <w:rsid w:val="00544495"/>
    <w:rsid w:val="0054583B"/>
    <w:rsid w:val="00550A83"/>
    <w:rsid w:val="00551130"/>
    <w:rsid w:val="00551577"/>
    <w:rsid w:val="00555E62"/>
    <w:rsid w:val="00556A17"/>
    <w:rsid w:val="00560754"/>
    <w:rsid w:val="0056078F"/>
    <w:rsid w:val="005634D4"/>
    <w:rsid w:val="005663C3"/>
    <w:rsid w:val="0056658B"/>
    <w:rsid w:val="00566957"/>
    <w:rsid w:val="00570D73"/>
    <w:rsid w:val="0057106F"/>
    <w:rsid w:val="00571361"/>
    <w:rsid w:val="00572D38"/>
    <w:rsid w:val="005735A6"/>
    <w:rsid w:val="00575C42"/>
    <w:rsid w:val="00576384"/>
    <w:rsid w:val="00576684"/>
    <w:rsid w:val="0057684C"/>
    <w:rsid w:val="00576B18"/>
    <w:rsid w:val="00576EB3"/>
    <w:rsid w:val="0058141C"/>
    <w:rsid w:val="005821EF"/>
    <w:rsid w:val="00583990"/>
    <w:rsid w:val="0058400F"/>
    <w:rsid w:val="00584283"/>
    <w:rsid w:val="00585431"/>
    <w:rsid w:val="00587724"/>
    <w:rsid w:val="00590CF7"/>
    <w:rsid w:val="00591512"/>
    <w:rsid w:val="00592632"/>
    <w:rsid w:val="0059793E"/>
    <w:rsid w:val="005A0B9F"/>
    <w:rsid w:val="005A0E31"/>
    <w:rsid w:val="005A6178"/>
    <w:rsid w:val="005A66C4"/>
    <w:rsid w:val="005B0654"/>
    <w:rsid w:val="005B06D9"/>
    <w:rsid w:val="005B0F8C"/>
    <w:rsid w:val="005B10B8"/>
    <w:rsid w:val="005B1F69"/>
    <w:rsid w:val="005B25A0"/>
    <w:rsid w:val="005B2936"/>
    <w:rsid w:val="005B2D27"/>
    <w:rsid w:val="005B2D91"/>
    <w:rsid w:val="005B3128"/>
    <w:rsid w:val="005B48B4"/>
    <w:rsid w:val="005B617F"/>
    <w:rsid w:val="005B732C"/>
    <w:rsid w:val="005C0085"/>
    <w:rsid w:val="005C1C3E"/>
    <w:rsid w:val="005C1DFB"/>
    <w:rsid w:val="005C2935"/>
    <w:rsid w:val="005C394C"/>
    <w:rsid w:val="005C3F9B"/>
    <w:rsid w:val="005C52B9"/>
    <w:rsid w:val="005C6661"/>
    <w:rsid w:val="005C6E3B"/>
    <w:rsid w:val="005C78F3"/>
    <w:rsid w:val="005C7B71"/>
    <w:rsid w:val="005D141E"/>
    <w:rsid w:val="005D1865"/>
    <w:rsid w:val="005D3490"/>
    <w:rsid w:val="005D3703"/>
    <w:rsid w:val="005D474B"/>
    <w:rsid w:val="005D695D"/>
    <w:rsid w:val="005D7C47"/>
    <w:rsid w:val="005E085C"/>
    <w:rsid w:val="005E09C4"/>
    <w:rsid w:val="005E0BC3"/>
    <w:rsid w:val="005E1454"/>
    <w:rsid w:val="005E147D"/>
    <w:rsid w:val="005E22C2"/>
    <w:rsid w:val="005E2B18"/>
    <w:rsid w:val="005E2E65"/>
    <w:rsid w:val="005E3C28"/>
    <w:rsid w:val="005E57BB"/>
    <w:rsid w:val="005E6045"/>
    <w:rsid w:val="005E6E3B"/>
    <w:rsid w:val="005E7AD1"/>
    <w:rsid w:val="005F0017"/>
    <w:rsid w:val="005F0A02"/>
    <w:rsid w:val="005F0A8B"/>
    <w:rsid w:val="005F6490"/>
    <w:rsid w:val="005F792F"/>
    <w:rsid w:val="005F7DDA"/>
    <w:rsid w:val="006014F1"/>
    <w:rsid w:val="00601834"/>
    <w:rsid w:val="00601F05"/>
    <w:rsid w:val="006050B3"/>
    <w:rsid w:val="00607B47"/>
    <w:rsid w:val="00607D4A"/>
    <w:rsid w:val="00607DDF"/>
    <w:rsid w:val="00610A52"/>
    <w:rsid w:val="00612455"/>
    <w:rsid w:val="0061357B"/>
    <w:rsid w:val="00613A54"/>
    <w:rsid w:val="00613C76"/>
    <w:rsid w:val="0061458F"/>
    <w:rsid w:val="00614A7D"/>
    <w:rsid w:val="00615C3A"/>
    <w:rsid w:val="00616B57"/>
    <w:rsid w:val="006170EA"/>
    <w:rsid w:val="006208F6"/>
    <w:rsid w:val="0062191F"/>
    <w:rsid w:val="00621D52"/>
    <w:rsid w:val="00622A59"/>
    <w:rsid w:val="00622AAC"/>
    <w:rsid w:val="006246C7"/>
    <w:rsid w:val="006263A7"/>
    <w:rsid w:val="006264F5"/>
    <w:rsid w:val="006301E2"/>
    <w:rsid w:val="00630B56"/>
    <w:rsid w:val="00631A16"/>
    <w:rsid w:val="00631FAA"/>
    <w:rsid w:val="006323AB"/>
    <w:rsid w:val="00634E7F"/>
    <w:rsid w:val="0063631C"/>
    <w:rsid w:val="0063694A"/>
    <w:rsid w:val="00636EDF"/>
    <w:rsid w:val="0063757B"/>
    <w:rsid w:val="006377CE"/>
    <w:rsid w:val="00637AEC"/>
    <w:rsid w:val="00642029"/>
    <w:rsid w:val="00644A6C"/>
    <w:rsid w:val="00645D61"/>
    <w:rsid w:val="00646166"/>
    <w:rsid w:val="0064702D"/>
    <w:rsid w:val="006479AB"/>
    <w:rsid w:val="006510CF"/>
    <w:rsid w:val="0065193A"/>
    <w:rsid w:val="006537D9"/>
    <w:rsid w:val="00653A25"/>
    <w:rsid w:val="0065773C"/>
    <w:rsid w:val="00657C39"/>
    <w:rsid w:val="006602D4"/>
    <w:rsid w:val="00661FF4"/>
    <w:rsid w:val="0066208F"/>
    <w:rsid w:val="00664313"/>
    <w:rsid w:val="00664A48"/>
    <w:rsid w:val="00665160"/>
    <w:rsid w:val="00665944"/>
    <w:rsid w:val="00665DEF"/>
    <w:rsid w:val="00667F96"/>
    <w:rsid w:val="006702F4"/>
    <w:rsid w:val="00670352"/>
    <w:rsid w:val="00672192"/>
    <w:rsid w:val="0067241A"/>
    <w:rsid w:val="0067269B"/>
    <w:rsid w:val="00673283"/>
    <w:rsid w:val="00675153"/>
    <w:rsid w:val="0067590D"/>
    <w:rsid w:val="00675BB1"/>
    <w:rsid w:val="00676B81"/>
    <w:rsid w:val="0067751A"/>
    <w:rsid w:val="006775F1"/>
    <w:rsid w:val="006777AE"/>
    <w:rsid w:val="00680615"/>
    <w:rsid w:val="00681B32"/>
    <w:rsid w:val="0068203C"/>
    <w:rsid w:val="00682331"/>
    <w:rsid w:val="00683A4E"/>
    <w:rsid w:val="0068479B"/>
    <w:rsid w:val="0068562C"/>
    <w:rsid w:val="00685BF9"/>
    <w:rsid w:val="0068782E"/>
    <w:rsid w:val="00687C5D"/>
    <w:rsid w:val="00690225"/>
    <w:rsid w:val="00690F9D"/>
    <w:rsid w:val="00692AA7"/>
    <w:rsid w:val="00692DC9"/>
    <w:rsid w:val="00693A02"/>
    <w:rsid w:val="00693B24"/>
    <w:rsid w:val="006944ED"/>
    <w:rsid w:val="00694F11"/>
    <w:rsid w:val="006959F3"/>
    <w:rsid w:val="00695BCB"/>
    <w:rsid w:val="00695CD6"/>
    <w:rsid w:val="00697976"/>
    <w:rsid w:val="00697F35"/>
    <w:rsid w:val="00697FEC"/>
    <w:rsid w:val="006A0F50"/>
    <w:rsid w:val="006A0F74"/>
    <w:rsid w:val="006A175F"/>
    <w:rsid w:val="006A2FFF"/>
    <w:rsid w:val="006A44F5"/>
    <w:rsid w:val="006A54C9"/>
    <w:rsid w:val="006A76F3"/>
    <w:rsid w:val="006B0CBB"/>
    <w:rsid w:val="006B0F23"/>
    <w:rsid w:val="006B3DA1"/>
    <w:rsid w:val="006B418C"/>
    <w:rsid w:val="006B434F"/>
    <w:rsid w:val="006B4537"/>
    <w:rsid w:val="006B5F85"/>
    <w:rsid w:val="006B6929"/>
    <w:rsid w:val="006B709B"/>
    <w:rsid w:val="006C020D"/>
    <w:rsid w:val="006C07D2"/>
    <w:rsid w:val="006C0BEF"/>
    <w:rsid w:val="006C274F"/>
    <w:rsid w:val="006C508B"/>
    <w:rsid w:val="006C5410"/>
    <w:rsid w:val="006C54AF"/>
    <w:rsid w:val="006D13ED"/>
    <w:rsid w:val="006D1B4B"/>
    <w:rsid w:val="006D301E"/>
    <w:rsid w:val="006D68D4"/>
    <w:rsid w:val="006D7AEA"/>
    <w:rsid w:val="006E0181"/>
    <w:rsid w:val="006E138D"/>
    <w:rsid w:val="006E2D5C"/>
    <w:rsid w:val="006E407D"/>
    <w:rsid w:val="006E4E68"/>
    <w:rsid w:val="006E6802"/>
    <w:rsid w:val="006F0734"/>
    <w:rsid w:val="006F137C"/>
    <w:rsid w:val="006F1E6C"/>
    <w:rsid w:val="006F2BD9"/>
    <w:rsid w:val="006F30DE"/>
    <w:rsid w:val="006F7B82"/>
    <w:rsid w:val="00700C0E"/>
    <w:rsid w:val="007018D0"/>
    <w:rsid w:val="00702229"/>
    <w:rsid w:val="00702E3C"/>
    <w:rsid w:val="00703985"/>
    <w:rsid w:val="00703DF6"/>
    <w:rsid w:val="00704A76"/>
    <w:rsid w:val="007055F4"/>
    <w:rsid w:val="00705DAD"/>
    <w:rsid w:val="007076C4"/>
    <w:rsid w:val="00710412"/>
    <w:rsid w:val="00710CA2"/>
    <w:rsid w:val="00712D5F"/>
    <w:rsid w:val="00714598"/>
    <w:rsid w:val="007159DD"/>
    <w:rsid w:val="007160B6"/>
    <w:rsid w:val="00716C4B"/>
    <w:rsid w:val="00716F5E"/>
    <w:rsid w:val="007170CB"/>
    <w:rsid w:val="007219EC"/>
    <w:rsid w:val="00721CFA"/>
    <w:rsid w:val="00721DE8"/>
    <w:rsid w:val="007237B0"/>
    <w:rsid w:val="007247B9"/>
    <w:rsid w:val="00725F5F"/>
    <w:rsid w:val="007268AE"/>
    <w:rsid w:val="0072749C"/>
    <w:rsid w:val="00727D85"/>
    <w:rsid w:val="00730592"/>
    <w:rsid w:val="007319E5"/>
    <w:rsid w:val="00731C95"/>
    <w:rsid w:val="007334E5"/>
    <w:rsid w:val="00733D9E"/>
    <w:rsid w:val="007346C7"/>
    <w:rsid w:val="00735964"/>
    <w:rsid w:val="00735DA3"/>
    <w:rsid w:val="00736041"/>
    <w:rsid w:val="007408C7"/>
    <w:rsid w:val="00741287"/>
    <w:rsid w:val="00743D84"/>
    <w:rsid w:val="0074437F"/>
    <w:rsid w:val="007447D2"/>
    <w:rsid w:val="007453F7"/>
    <w:rsid w:val="00745FDE"/>
    <w:rsid w:val="007465DA"/>
    <w:rsid w:val="00747A4F"/>
    <w:rsid w:val="00750A78"/>
    <w:rsid w:val="007523AB"/>
    <w:rsid w:val="00752431"/>
    <w:rsid w:val="00752C56"/>
    <w:rsid w:val="00752C7F"/>
    <w:rsid w:val="00753ED1"/>
    <w:rsid w:val="00754362"/>
    <w:rsid w:val="007559DA"/>
    <w:rsid w:val="0076044D"/>
    <w:rsid w:val="00763332"/>
    <w:rsid w:val="00764CA0"/>
    <w:rsid w:val="00766824"/>
    <w:rsid w:val="00766AB0"/>
    <w:rsid w:val="00770D5E"/>
    <w:rsid w:val="00771880"/>
    <w:rsid w:val="00771D86"/>
    <w:rsid w:val="00774962"/>
    <w:rsid w:val="00774C17"/>
    <w:rsid w:val="00775BCA"/>
    <w:rsid w:val="00776598"/>
    <w:rsid w:val="00780271"/>
    <w:rsid w:val="00780B5A"/>
    <w:rsid w:val="00780E7D"/>
    <w:rsid w:val="00783ECE"/>
    <w:rsid w:val="00785E35"/>
    <w:rsid w:val="007879B7"/>
    <w:rsid w:val="00790A55"/>
    <w:rsid w:val="0079139F"/>
    <w:rsid w:val="00792948"/>
    <w:rsid w:val="00794573"/>
    <w:rsid w:val="00795E12"/>
    <w:rsid w:val="0079621E"/>
    <w:rsid w:val="00796E84"/>
    <w:rsid w:val="007978DE"/>
    <w:rsid w:val="00797944"/>
    <w:rsid w:val="00797D93"/>
    <w:rsid w:val="00797F19"/>
    <w:rsid w:val="007A047F"/>
    <w:rsid w:val="007A0D6E"/>
    <w:rsid w:val="007A1CE0"/>
    <w:rsid w:val="007A37E3"/>
    <w:rsid w:val="007A3ADE"/>
    <w:rsid w:val="007A3C2C"/>
    <w:rsid w:val="007A523E"/>
    <w:rsid w:val="007A5733"/>
    <w:rsid w:val="007A5774"/>
    <w:rsid w:val="007A7044"/>
    <w:rsid w:val="007B03A0"/>
    <w:rsid w:val="007B090E"/>
    <w:rsid w:val="007B1E2C"/>
    <w:rsid w:val="007B228C"/>
    <w:rsid w:val="007B3834"/>
    <w:rsid w:val="007B44CF"/>
    <w:rsid w:val="007B55DA"/>
    <w:rsid w:val="007B561D"/>
    <w:rsid w:val="007B614A"/>
    <w:rsid w:val="007B7644"/>
    <w:rsid w:val="007C392D"/>
    <w:rsid w:val="007C7246"/>
    <w:rsid w:val="007C791A"/>
    <w:rsid w:val="007D010F"/>
    <w:rsid w:val="007D1E6D"/>
    <w:rsid w:val="007D22FE"/>
    <w:rsid w:val="007D2EE9"/>
    <w:rsid w:val="007D410E"/>
    <w:rsid w:val="007D48ED"/>
    <w:rsid w:val="007D6DC2"/>
    <w:rsid w:val="007D77E5"/>
    <w:rsid w:val="007D7C03"/>
    <w:rsid w:val="007E0852"/>
    <w:rsid w:val="007E283C"/>
    <w:rsid w:val="007E40DD"/>
    <w:rsid w:val="007E532E"/>
    <w:rsid w:val="007E6314"/>
    <w:rsid w:val="007E747C"/>
    <w:rsid w:val="007F0E0A"/>
    <w:rsid w:val="007F1803"/>
    <w:rsid w:val="007F239B"/>
    <w:rsid w:val="007F528A"/>
    <w:rsid w:val="007F5927"/>
    <w:rsid w:val="007F6167"/>
    <w:rsid w:val="007F6C56"/>
    <w:rsid w:val="007F7B88"/>
    <w:rsid w:val="00801E74"/>
    <w:rsid w:val="0080215E"/>
    <w:rsid w:val="008041F2"/>
    <w:rsid w:val="0080485E"/>
    <w:rsid w:val="008075AD"/>
    <w:rsid w:val="00807AB1"/>
    <w:rsid w:val="00807C2D"/>
    <w:rsid w:val="008110F6"/>
    <w:rsid w:val="008129A9"/>
    <w:rsid w:val="00812D22"/>
    <w:rsid w:val="00813AE5"/>
    <w:rsid w:val="008142B4"/>
    <w:rsid w:val="00814345"/>
    <w:rsid w:val="00814606"/>
    <w:rsid w:val="008177F5"/>
    <w:rsid w:val="00820D9D"/>
    <w:rsid w:val="008213E0"/>
    <w:rsid w:val="008219B2"/>
    <w:rsid w:val="00823679"/>
    <w:rsid w:val="0082566A"/>
    <w:rsid w:val="00826A4F"/>
    <w:rsid w:val="0082718B"/>
    <w:rsid w:val="0082771A"/>
    <w:rsid w:val="00831448"/>
    <w:rsid w:val="00831604"/>
    <w:rsid w:val="00831C95"/>
    <w:rsid w:val="0083228E"/>
    <w:rsid w:val="00832324"/>
    <w:rsid w:val="008328EE"/>
    <w:rsid w:val="00834FFF"/>
    <w:rsid w:val="00835337"/>
    <w:rsid w:val="008405A0"/>
    <w:rsid w:val="00842522"/>
    <w:rsid w:val="00842C01"/>
    <w:rsid w:val="00843F9F"/>
    <w:rsid w:val="00846DCD"/>
    <w:rsid w:val="00846F2A"/>
    <w:rsid w:val="0084756F"/>
    <w:rsid w:val="008475BB"/>
    <w:rsid w:val="00851D85"/>
    <w:rsid w:val="00853062"/>
    <w:rsid w:val="008530A4"/>
    <w:rsid w:val="00853E98"/>
    <w:rsid w:val="00860CCB"/>
    <w:rsid w:val="00861D4D"/>
    <w:rsid w:val="00864A29"/>
    <w:rsid w:val="008654F7"/>
    <w:rsid w:val="008660AC"/>
    <w:rsid w:val="00867F48"/>
    <w:rsid w:val="00870048"/>
    <w:rsid w:val="0087067F"/>
    <w:rsid w:val="008740A3"/>
    <w:rsid w:val="00875ECA"/>
    <w:rsid w:val="00876B9B"/>
    <w:rsid w:val="00876D48"/>
    <w:rsid w:val="0088252B"/>
    <w:rsid w:val="00882D92"/>
    <w:rsid w:val="00882F55"/>
    <w:rsid w:val="008850B5"/>
    <w:rsid w:val="0088751D"/>
    <w:rsid w:val="0089297B"/>
    <w:rsid w:val="00892C7C"/>
    <w:rsid w:val="00893054"/>
    <w:rsid w:val="008941DD"/>
    <w:rsid w:val="0089429C"/>
    <w:rsid w:val="008957CE"/>
    <w:rsid w:val="0089584A"/>
    <w:rsid w:val="00896D6A"/>
    <w:rsid w:val="008973EC"/>
    <w:rsid w:val="008976D5"/>
    <w:rsid w:val="008A13A1"/>
    <w:rsid w:val="008A3037"/>
    <w:rsid w:val="008A3C7A"/>
    <w:rsid w:val="008A51EB"/>
    <w:rsid w:val="008A6773"/>
    <w:rsid w:val="008A6E7E"/>
    <w:rsid w:val="008A72BF"/>
    <w:rsid w:val="008B15D8"/>
    <w:rsid w:val="008B1B6D"/>
    <w:rsid w:val="008B474A"/>
    <w:rsid w:val="008B6F01"/>
    <w:rsid w:val="008B73F7"/>
    <w:rsid w:val="008B7872"/>
    <w:rsid w:val="008C0216"/>
    <w:rsid w:val="008C03F8"/>
    <w:rsid w:val="008C14AA"/>
    <w:rsid w:val="008C2063"/>
    <w:rsid w:val="008C36CA"/>
    <w:rsid w:val="008C437B"/>
    <w:rsid w:val="008C605D"/>
    <w:rsid w:val="008C6BD0"/>
    <w:rsid w:val="008D283D"/>
    <w:rsid w:val="008D7CB5"/>
    <w:rsid w:val="008E07A3"/>
    <w:rsid w:val="008E273D"/>
    <w:rsid w:val="008E278B"/>
    <w:rsid w:val="008E2D33"/>
    <w:rsid w:val="008E34B6"/>
    <w:rsid w:val="008E3F8C"/>
    <w:rsid w:val="008E4185"/>
    <w:rsid w:val="008E4528"/>
    <w:rsid w:val="008E6B53"/>
    <w:rsid w:val="008E7356"/>
    <w:rsid w:val="008E7F72"/>
    <w:rsid w:val="008F1EEE"/>
    <w:rsid w:val="008F6C9E"/>
    <w:rsid w:val="008F6FE6"/>
    <w:rsid w:val="009004F0"/>
    <w:rsid w:val="009019C9"/>
    <w:rsid w:val="00901C50"/>
    <w:rsid w:val="00902FD0"/>
    <w:rsid w:val="009051A2"/>
    <w:rsid w:val="009053D3"/>
    <w:rsid w:val="0090691F"/>
    <w:rsid w:val="00916108"/>
    <w:rsid w:val="00920057"/>
    <w:rsid w:val="00920EB3"/>
    <w:rsid w:val="00921C47"/>
    <w:rsid w:val="00925C7D"/>
    <w:rsid w:val="00926104"/>
    <w:rsid w:val="00926163"/>
    <w:rsid w:val="00926ECD"/>
    <w:rsid w:val="00930D35"/>
    <w:rsid w:val="0093111F"/>
    <w:rsid w:val="00931616"/>
    <w:rsid w:val="009322FB"/>
    <w:rsid w:val="00932F8F"/>
    <w:rsid w:val="00935343"/>
    <w:rsid w:val="00935689"/>
    <w:rsid w:val="00935975"/>
    <w:rsid w:val="00941F8E"/>
    <w:rsid w:val="00943080"/>
    <w:rsid w:val="009436EF"/>
    <w:rsid w:val="00943DFB"/>
    <w:rsid w:val="00943F59"/>
    <w:rsid w:val="00945E49"/>
    <w:rsid w:val="00946482"/>
    <w:rsid w:val="00947CF6"/>
    <w:rsid w:val="00950640"/>
    <w:rsid w:val="00951275"/>
    <w:rsid w:val="009528EB"/>
    <w:rsid w:val="00952E56"/>
    <w:rsid w:val="0095303B"/>
    <w:rsid w:val="009531FE"/>
    <w:rsid w:val="00953729"/>
    <w:rsid w:val="00953CDB"/>
    <w:rsid w:val="00953FB6"/>
    <w:rsid w:val="009549DF"/>
    <w:rsid w:val="0095716E"/>
    <w:rsid w:val="009571A3"/>
    <w:rsid w:val="00957B90"/>
    <w:rsid w:val="0096090D"/>
    <w:rsid w:val="00964829"/>
    <w:rsid w:val="00964BB2"/>
    <w:rsid w:val="009663B6"/>
    <w:rsid w:val="00966500"/>
    <w:rsid w:val="00966986"/>
    <w:rsid w:val="0097005B"/>
    <w:rsid w:val="00970BAE"/>
    <w:rsid w:val="00970D17"/>
    <w:rsid w:val="0097271F"/>
    <w:rsid w:val="009732E5"/>
    <w:rsid w:val="00973B53"/>
    <w:rsid w:val="00973F60"/>
    <w:rsid w:val="00974A47"/>
    <w:rsid w:val="009757B7"/>
    <w:rsid w:val="009778BD"/>
    <w:rsid w:val="00980286"/>
    <w:rsid w:val="0098069B"/>
    <w:rsid w:val="00980DF8"/>
    <w:rsid w:val="009812A8"/>
    <w:rsid w:val="00981502"/>
    <w:rsid w:val="00981DD3"/>
    <w:rsid w:val="00982D73"/>
    <w:rsid w:val="0098395F"/>
    <w:rsid w:val="009842C8"/>
    <w:rsid w:val="00984C41"/>
    <w:rsid w:val="00986375"/>
    <w:rsid w:val="00990DCF"/>
    <w:rsid w:val="00990F79"/>
    <w:rsid w:val="009914E3"/>
    <w:rsid w:val="00991BFD"/>
    <w:rsid w:val="00991CAB"/>
    <w:rsid w:val="00992CF7"/>
    <w:rsid w:val="00996171"/>
    <w:rsid w:val="00997B87"/>
    <w:rsid w:val="009A0462"/>
    <w:rsid w:val="009A25A4"/>
    <w:rsid w:val="009A320E"/>
    <w:rsid w:val="009A4CD6"/>
    <w:rsid w:val="009A5099"/>
    <w:rsid w:val="009A537C"/>
    <w:rsid w:val="009A696D"/>
    <w:rsid w:val="009B11B3"/>
    <w:rsid w:val="009B1E98"/>
    <w:rsid w:val="009B4066"/>
    <w:rsid w:val="009B40AD"/>
    <w:rsid w:val="009B4CC8"/>
    <w:rsid w:val="009B5D7F"/>
    <w:rsid w:val="009B6268"/>
    <w:rsid w:val="009C0886"/>
    <w:rsid w:val="009C19EE"/>
    <w:rsid w:val="009C28D0"/>
    <w:rsid w:val="009C3442"/>
    <w:rsid w:val="009C35F2"/>
    <w:rsid w:val="009C386D"/>
    <w:rsid w:val="009C39C6"/>
    <w:rsid w:val="009C42E2"/>
    <w:rsid w:val="009C45DA"/>
    <w:rsid w:val="009C7782"/>
    <w:rsid w:val="009D1CC5"/>
    <w:rsid w:val="009D1ED5"/>
    <w:rsid w:val="009D2483"/>
    <w:rsid w:val="009D25C7"/>
    <w:rsid w:val="009D28A6"/>
    <w:rsid w:val="009D36DA"/>
    <w:rsid w:val="009D4C13"/>
    <w:rsid w:val="009E21A7"/>
    <w:rsid w:val="009E31A7"/>
    <w:rsid w:val="009E3215"/>
    <w:rsid w:val="009E4519"/>
    <w:rsid w:val="009E560E"/>
    <w:rsid w:val="009E6237"/>
    <w:rsid w:val="009E6574"/>
    <w:rsid w:val="009E779B"/>
    <w:rsid w:val="009F2ED0"/>
    <w:rsid w:val="009F34D0"/>
    <w:rsid w:val="009F5A0E"/>
    <w:rsid w:val="009F5C4E"/>
    <w:rsid w:val="009F7074"/>
    <w:rsid w:val="009F707F"/>
    <w:rsid w:val="00A00A3B"/>
    <w:rsid w:val="00A0179E"/>
    <w:rsid w:val="00A0346C"/>
    <w:rsid w:val="00A03AB2"/>
    <w:rsid w:val="00A050AD"/>
    <w:rsid w:val="00A0625A"/>
    <w:rsid w:val="00A06A88"/>
    <w:rsid w:val="00A103ED"/>
    <w:rsid w:val="00A12535"/>
    <w:rsid w:val="00A13663"/>
    <w:rsid w:val="00A13C60"/>
    <w:rsid w:val="00A15134"/>
    <w:rsid w:val="00A16147"/>
    <w:rsid w:val="00A22233"/>
    <w:rsid w:val="00A22E0A"/>
    <w:rsid w:val="00A24BC5"/>
    <w:rsid w:val="00A25178"/>
    <w:rsid w:val="00A2571A"/>
    <w:rsid w:val="00A27B69"/>
    <w:rsid w:val="00A30E9A"/>
    <w:rsid w:val="00A317A2"/>
    <w:rsid w:val="00A32A6C"/>
    <w:rsid w:val="00A341A3"/>
    <w:rsid w:val="00A3515B"/>
    <w:rsid w:val="00A35800"/>
    <w:rsid w:val="00A408FE"/>
    <w:rsid w:val="00A40EF7"/>
    <w:rsid w:val="00A4265C"/>
    <w:rsid w:val="00A428A4"/>
    <w:rsid w:val="00A43007"/>
    <w:rsid w:val="00A433CB"/>
    <w:rsid w:val="00A43ACE"/>
    <w:rsid w:val="00A4412C"/>
    <w:rsid w:val="00A44FD3"/>
    <w:rsid w:val="00A45465"/>
    <w:rsid w:val="00A52918"/>
    <w:rsid w:val="00A547B3"/>
    <w:rsid w:val="00A55737"/>
    <w:rsid w:val="00A55CD4"/>
    <w:rsid w:val="00A56EE5"/>
    <w:rsid w:val="00A57597"/>
    <w:rsid w:val="00A5767C"/>
    <w:rsid w:val="00A63D70"/>
    <w:rsid w:val="00A63E02"/>
    <w:rsid w:val="00A64D1F"/>
    <w:rsid w:val="00A652CF"/>
    <w:rsid w:val="00A65ED4"/>
    <w:rsid w:val="00A673A9"/>
    <w:rsid w:val="00A70E82"/>
    <w:rsid w:val="00A7219E"/>
    <w:rsid w:val="00A7238F"/>
    <w:rsid w:val="00A727D7"/>
    <w:rsid w:val="00A7426F"/>
    <w:rsid w:val="00A77463"/>
    <w:rsid w:val="00A812A7"/>
    <w:rsid w:val="00A815AA"/>
    <w:rsid w:val="00A817EA"/>
    <w:rsid w:val="00A81C98"/>
    <w:rsid w:val="00A83105"/>
    <w:rsid w:val="00A83160"/>
    <w:rsid w:val="00A8394F"/>
    <w:rsid w:val="00A83EDC"/>
    <w:rsid w:val="00A84B1A"/>
    <w:rsid w:val="00A84B9A"/>
    <w:rsid w:val="00A84BB3"/>
    <w:rsid w:val="00A84CAD"/>
    <w:rsid w:val="00A90D7D"/>
    <w:rsid w:val="00A90E50"/>
    <w:rsid w:val="00A93F37"/>
    <w:rsid w:val="00A95468"/>
    <w:rsid w:val="00A95FA5"/>
    <w:rsid w:val="00A96D92"/>
    <w:rsid w:val="00A96EF6"/>
    <w:rsid w:val="00AA4B2B"/>
    <w:rsid w:val="00AA4F96"/>
    <w:rsid w:val="00AA7B70"/>
    <w:rsid w:val="00AA7BC3"/>
    <w:rsid w:val="00AB199C"/>
    <w:rsid w:val="00AB21C0"/>
    <w:rsid w:val="00AB286E"/>
    <w:rsid w:val="00AB2982"/>
    <w:rsid w:val="00AB3733"/>
    <w:rsid w:val="00AB3CC2"/>
    <w:rsid w:val="00AB3FDA"/>
    <w:rsid w:val="00AB3FF2"/>
    <w:rsid w:val="00AB588C"/>
    <w:rsid w:val="00AB5EB0"/>
    <w:rsid w:val="00AB7897"/>
    <w:rsid w:val="00AC179D"/>
    <w:rsid w:val="00AC2860"/>
    <w:rsid w:val="00AC2B68"/>
    <w:rsid w:val="00AC4B02"/>
    <w:rsid w:val="00AC5054"/>
    <w:rsid w:val="00AC5642"/>
    <w:rsid w:val="00AC5947"/>
    <w:rsid w:val="00AC6A2A"/>
    <w:rsid w:val="00AC6E35"/>
    <w:rsid w:val="00AD1508"/>
    <w:rsid w:val="00AD15DE"/>
    <w:rsid w:val="00AD1A4C"/>
    <w:rsid w:val="00AD5585"/>
    <w:rsid w:val="00AD70ED"/>
    <w:rsid w:val="00AD735D"/>
    <w:rsid w:val="00AD74B3"/>
    <w:rsid w:val="00AD79EC"/>
    <w:rsid w:val="00AE00A5"/>
    <w:rsid w:val="00AE0EB9"/>
    <w:rsid w:val="00AE16EB"/>
    <w:rsid w:val="00AE1B4C"/>
    <w:rsid w:val="00AE218A"/>
    <w:rsid w:val="00AE2BCE"/>
    <w:rsid w:val="00AE333F"/>
    <w:rsid w:val="00AE499C"/>
    <w:rsid w:val="00AE4BAC"/>
    <w:rsid w:val="00AE77A8"/>
    <w:rsid w:val="00AF11A1"/>
    <w:rsid w:val="00AF2D0E"/>
    <w:rsid w:val="00AF3014"/>
    <w:rsid w:val="00AF32F2"/>
    <w:rsid w:val="00AF37CD"/>
    <w:rsid w:val="00AF3988"/>
    <w:rsid w:val="00AF3D12"/>
    <w:rsid w:val="00AF5909"/>
    <w:rsid w:val="00AF6113"/>
    <w:rsid w:val="00B00442"/>
    <w:rsid w:val="00B02515"/>
    <w:rsid w:val="00B034FC"/>
    <w:rsid w:val="00B05310"/>
    <w:rsid w:val="00B072D7"/>
    <w:rsid w:val="00B073B9"/>
    <w:rsid w:val="00B0754A"/>
    <w:rsid w:val="00B07828"/>
    <w:rsid w:val="00B07963"/>
    <w:rsid w:val="00B07B55"/>
    <w:rsid w:val="00B100AE"/>
    <w:rsid w:val="00B10A0B"/>
    <w:rsid w:val="00B1127C"/>
    <w:rsid w:val="00B133AC"/>
    <w:rsid w:val="00B15312"/>
    <w:rsid w:val="00B165F2"/>
    <w:rsid w:val="00B16CE6"/>
    <w:rsid w:val="00B20D46"/>
    <w:rsid w:val="00B25D46"/>
    <w:rsid w:val="00B2749D"/>
    <w:rsid w:val="00B304A8"/>
    <w:rsid w:val="00B307F9"/>
    <w:rsid w:val="00B30874"/>
    <w:rsid w:val="00B30D85"/>
    <w:rsid w:val="00B32AA8"/>
    <w:rsid w:val="00B334B6"/>
    <w:rsid w:val="00B343F5"/>
    <w:rsid w:val="00B357C1"/>
    <w:rsid w:val="00B35A4A"/>
    <w:rsid w:val="00B414D7"/>
    <w:rsid w:val="00B41772"/>
    <w:rsid w:val="00B41DA1"/>
    <w:rsid w:val="00B42015"/>
    <w:rsid w:val="00B453CF"/>
    <w:rsid w:val="00B50995"/>
    <w:rsid w:val="00B53B53"/>
    <w:rsid w:val="00B53C5D"/>
    <w:rsid w:val="00B560BC"/>
    <w:rsid w:val="00B60951"/>
    <w:rsid w:val="00B60FAB"/>
    <w:rsid w:val="00B62127"/>
    <w:rsid w:val="00B621F8"/>
    <w:rsid w:val="00B6306D"/>
    <w:rsid w:val="00B63FD7"/>
    <w:rsid w:val="00B7176C"/>
    <w:rsid w:val="00B719CD"/>
    <w:rsid w:val="00B71A91"/>
    <w:rsid w:val="00B74F08"/>
    <w:rsid w:val="00B7507E"/>
    <w:rsid w:val="00B77ADD"/>
    <w:rsid w:val="00B803FE"/>
    <w:rsid w:val="00B8099A"/>
    <w:rsid w:val="00B80CD7"/>
    <w:rsid w:val="00B80D25"/>
    <w:rsid w:val="00B816D9"/>
    <w:rsid w:val="00B81887"/>
    <w:rsid w:val="00B81B46"/>
    <w:rsid w:val="00B822CF"/>
    <w:rsid w:val="00B8396B"/>
    <w:rsid w:val="00B852C9"/>
    <w:rsid w:val="00B86562"/>
    <w:rsid w:val="00B8780D"/>
    <w:rsid w:val="00B90106"/>
    <w:rsid w:val="00B91092"/>
    <w:rsid w:val="00B9120F"/>
    <w:rsid w:val="00B91B6F"/>
    <w:rsid w:val="00B91DDE"/>
    <w:rsid w:val="00B9216C"/>
    <w:rsid w:val="00B924A4"/>
    <w:rsid w:val="00B93998"/>
    <w:rsid w:val="00B94780"/>
    <w:rsid w:val="00B94806"/>
    <w:rsid w:val="00BA0088"/>
    <w:rsid w:val="00BA1870"/>
    <w:rsid w:val="00BA26BF"/>
    <w:rsid w:val="00BA28C8"/>
    <w:rsid w:val="00BA4637"/>
    <w:rsid w:val="00BA6353"/>
    <w:rsid w:val="00BA6935"/>
    <w:rsid w:val="00BA6B3F"/>
    <w:rsid w:val="00BA7358"/>
    <w:rsid w:val="00BA7449"/>
    <w:rsid w:val="00BB012F"/>
    <w:rsid w:val="00BB0D1A"/>
    <w:rsid w:val="00BB0ED5"/>
    <w:rsid w:val="00BB1D3B"/>
    <w:rsid w:val="00BB2322"/>
    <w:rsid w:val="00BB3F4A"/>
    <w:rsid w:val="00BB5971"/>
    <w:rsid w:val="00BB6130"/>
    <w:rsid w:val="00BB6796"/>
    <w:rsid w:val="00BB6A1B"/>
    <w:rsid w:val="00BB7953"/>
    <w:rsid w:val="00BC0275"/>
    <w:rsid w:val="00BC02DC"/>
    <w:rsid w:val="00BC10A8"/>
    <w:rsid w:val="00BC355E"/>
    <w:rsid w:val="00BC35ED"/>
    <w:rsid w:val="00BD08D8"/>
    <w:rsid w:val="00BD0AA4"/>
    <w:rsid w:val="00BD1190"/>
    <w:rsid w:val="00BD2BEA"/>
    <w:rsid w:val="00BD583A"/>
    <w:rsid w:val="00BD613C"/>
    <w:rsid w:val="00BE0429"/>
    <w:rsid w:val="00BE205A"/>
    <w:rsid w:val="00BE3802"/>
    <w:rsid w:val="00BE7DCA"/>
    <w:rsid w:val="00BF0155"/>
    <w:rsid w:val="00BF0857"/>
    <w:rsid w:val="00BF12BE"/>
    <w:rsid w:val="00BF238E"/>
    <w:rsid w:val="00BF2F4A"/>
    <w:rsid w:val="00BF45D4"/>
    <w:rsid w:val="00BF544D"/>
    <w:rsid w:val="00BF54E3"/>
    <w:rsid w:val="00BF5ED3"/>
    <w:rsid w:val="00BF719F"/>
    <w:rsid w:val="00C0076F"/>
    <w:rsid w:val="00C02F80"/>
    <w:rsid w:val="00C0301C"/>
    <w:rsid w:val="00C0443A"/>
    <w:rsid w:val="00C050B6"/>
    <w:rsid w:val="00C10F12"/>
    <w:rsid w:val="00C113D7"/>
    <w:rsid w:val="00C12F5A"/>
    <w:rsid w:val="00C1394E"/>
    <w:rsid w:val="00C14DC4"/>
    <w:rsid w:val="00C21E02"/>
    <w:rsid w:val="00C239C3"/>
    <w:rsid w:val="00C245EA"/>
    <w:rsid w:val="00C2475F"/>
    <w:rsid w:val="00C256F6"/>
    <w:rsid w:val="00C2653E"/>
    <w:rsid w:val="00C26909"/>
    <w:rsid w:val="00C27F1D"/>
    <w:rsid w:val="00C3097E"/>
    <w:rsid w:val="00C31B65"/>
    <w:rsid w:val="00C34420"/>
    <w:rsid w:val="00C3534B"/>
    <w:rsid w:val="00C35ECC"/>
    <w:rsid w:val="00C36130"/>
    <w:rsid w:val="00C361A8"/>
    <w:rsid w:val="00C37AA1"/>
    <w:rsid w:val="00C40368"/>
    <w:rsid w:val="00C41246"/>
    <w:rsid w:val="00C41326"/>
    <w:rsid w:val="00C42208"/>
    <w:rsid w:val="00C42C2E"/>
    <w:rsid w:val="00C44236"/>
    <w:rsid w:val="00C44DD1"/>
    <w:rsid w:val="00C45195"/>
    <w:rsid w:val="00C45E5F"/>
    <w:rsid w:val="00C4601A"/>
    <w:rsid w:val="00C46291"/>
    <w:rsid w:val="00C466D2"/>
    <w:rsid w:val="00C46782"/>
    <w:rsid w:val="00C528B2"/>
    <w:rsid w:val="00C53BDD"/>
    <w:rsid w:val="00C56E8D"/>
    <w:rsid w:val="00C572BD"/>
    <w:rsid w:val="00C620FD"/>
    <w:rsid w:val="00C63412"/>
    <w:rsid w:val="00C713F0"/>
    <w:rsid w:val="00C714D0"/>
    <w:rsid w:val="00C726C2"/>
    <w:rsid w:val="00C758FD"/>
    <w:rsid w:val="00C763BA"/>
    <w:rsid w:val="00C77143"/>
    <w:rsid w:val="00C800D8"/>
    <w:rsid w:val="00C804E3"/>
    <w:rsid w:val="00C83A97"/>
    <w:rsid w:val="00C8451E"/>
    <w:rsid w:val="00C851C8"/>
    <w:rsid w:val="00C858F5"/>
    <w:rsid w:val="00C86373"/>
    <w:rsid w:val="00C869BF"/>
    <w:rsid w:val="00C870A6"/>
    <w:rsid w:val="00C90ABA"/>
    <w:rsid w:val="00C90EF4"/>
    <w:rsid w:val="00C914E6"/>
    <w:rsid w:val="00C92D44"/>
    <w:rsid w:val="00C933FE"/>
    <w:rsid w:val="00C97665"/>
    <w:rsid w:val="00CA015A"/>
    <w:rsid w:val="00CA10B6"/>
    <w:rsid w:val="00CA2B92"/>
    <w:rsid w:val="00CA31BD"/>
    <w:rsid w:val="00CA3767"/>
    <w:rsid w:val="00CA4A6B"/>
    <w:rsid w:val="00CA4AF3"/>
    <w:rsid w:val="00CA4DD2"/>
    <w:rsid w:val="00CA4F76"/>
    <w:rsid w:val="00CA54E9"/>
    <w:rsid w:val="00CA5919"/>
    <w:rsid w:val="00CA5DA9"/>
    <w:rsid w:val="00CA5E8E"/>
    <w:rsid w:val="00CA6283"/>
    <w:rsid w:val="00CB3DB4"/>
    <w:rsid w:val="00CB5985"/>
    <w:rsid w:val="00CB6C2A"/>
    <w:rsid w:val="00CB72DE"/>
    <w:rsid w:val="00CC116B"/>
    <w:rsid w:val="00CC126D"/>
    <w:rsid w:val="00CC1AA3"/>
    <w:rsid w:val="00CC27DA"/>
    <w:rsid w:val="00CC5590"/>
    <w:rsid w:val="00CC6398"/>
    <w:rsid w:val="00CC769F"/>
    <w:rsid w:val="00CC76BD"/>
    <w:rsid w:val="00CC7DBE"/>
    <w:rsid w:val="00CD0709"/>
    <w:rsid w:val="00CD16C7"/>
    <w:rsid w:val="00CD17FB"/>
    <w:rsid w:val="00CD1B9E"/>
    <w:rsid w:val="00CD2DBB"/>
    <w:rsid w:val="00CD2E52"/>
    <w:rsid w:val="00CD3C79"/>
    <w:rsid w:val="00CD4486"/>
    <w:rsid w:val="00CD4A12"/>
    <w:rsid w:val="00CD643C"/>
    <w:rsid w:val="00CD7BDD"/>
    <w:rsid w:val="00CE0163"/>
    <w:rsid w:val="00CE0B10"/>
    <w:rsid w:val="00CE115E"/>
    <w:rsid w:val="00CE1992"/>
    <w:rsid w:val="00CE3A09"/>
    <w:rsid w:val="00CE4EF8"/>
    <w:rsid w:val="00CE619D"/>
    <w:rsid w:val="00CE7BA0"/>
    <w:rsid w:val="00CF0BA6"/>
    <w:rsid w:val="00CF0CFB"/>
    <w:rsid w:val="00CF2C84"/>
    <w:rsid w:val="00CF5A9C"/>
    <w:rsid w:val="00CF5E22"/>
    <w:rsid w:val="00CF63FE"/>
    <w:rsid w:val="00D00F1E"/>
    <w:rsid w:val="00D02943"/>
    <w:rsid w:val="00D04C34"/>
    <w:rsid w:val="00D06A44"/>
    <w:rsid w:val="00D07755"/>
    <w:rsid w:val="00D11155"/>
    <w:rsid w:val="00D1364B"/>
    <w:rsid w:val="00D151EB"/>
    <w:rsid w:val="00D1588F"/>
    <w:rsid w:val="00D2226B"/>
    <w:rsid w:val="00D22529"/>
    <w:rsid w:val="00D22B8A"/>
    <w:rsid w:val="00D267CE"/>
    <w:rsid w:val="00D2693B"/>
    <w:rsid w:val="00D26969"/>
    <w:rsid w:val="00D300E0"/>
    <w:rsid w:val="00D3144E"/>
    <w:rsid w:val="00D31574"/>
    <w:rsid w:val="00D31E8E"/>
    <w:rsid w:val="00D3268A"/>
    <w:rsid w:val="00D3295D"/>
    <w:rsid w:val="00D33660"/>
    <w:rsid w:val="00D349FE"/>
    <w:rsid w:val="00D35B43"/>
    <w:rsid w:val="00D36279"/>
    <w:rsid w:val="00D374CD"/>
    <w:rsid w:val="00D4005C"/>
    <w:rsid w:val="00D4013E"/>
    <w:rsid w:val="00D406A6"/>
    <w:rsid w:val="00D40862"/>
    <w:rsid w:val="00D4112D"/>
    <w:rsid w:val="00D4179E"/>
    <w:rsid w:val="00D41C70"/>
    <w:rsid w:val="00D42394"/>
    <w:rsid w:val="00D43E24"/>
    <w:rsid w:val="00D4546D"/>
    <w:rsid w:val="00D475B6"/>
    <w:rsid w:val="00D53146"/>
    <w:rsid w:val="00D54DE4"/>
    <w:rsid w:val="00D55F2A"/>
    <w:rsid w:val="00D56D19"/>
    <w:rsid w:val="00D61298"/>
    <w:rsid w:val="00D61DFC"/>
    <w:rsid w:val="00D62DC0"/>
    <w:rsid w:val="00D64DE1"/>
    <w:rsid w:val="00D650CE"/>
    <w:rsid w:val="00D65AEA"/>
    <w:rsid w:val="00D67B27"/>
    <w:rsid w:val="00D71035"/>
    <w:rsid w:val="00D71719"/>
    <w:rsid w:val="00D73C93"/>
    <w:rsid w:val="00D73E34"/>
    <w:rsid w:val="00D74FE3"/>
    <w:rsid w:val="00D76600"/>
    <w:rsid w:val="00D76D8D"/>
    <w:rsid w:val="00D7702B"/>
    <w:rsid w:val="00D776DA"/>
    <w:rsid w:val="00D8345D"/>
    <w:rsid w:val="00D844F5"/>
    <w:rsid w:val="00D8659E"/>
    <w:rsid w:val="00D86858"/>
    <w:rsid w:val="00D8758B"/>
    <w:rsid w:val="00D87D41"/>
    <w:rsid w:val="00D90FF3"/>
    <w:rsid w:val="00D91489"/>
    <w:rsid w:val="00D92E00"/>
    <w:rsid w:val="00D942B3"/>
    <w:rsid w:val="00D94863"/>
    <w:rsid w:val="00D95EFB"/>
    <w:rsid w:val="00DA0981"/>
    <w:rsid w:val="00DA1407"/>
    <w:rsid w:val="00DA2499"/>
    <w:rsid w:val="00DA2A43"/>
    <w:rsid w:val="00DA361B"/>
    <w:rsid w:val="00DA69FA"/>
    <w:rsid w:val="00DA6B39"/>
    <w:rsid w:val="00DA7D09"/>
    <w:rsid w:val="00DB0063"/>
    <w:rsid w:val="00DB0F37"/>
    <w:rsid w:val="00DB10FE"/>
    <w:rsid w:val="00DB3414"/>
    <w:rsid w:val="00DB56D0"/>
    <w:rsid w:val="00DB6058"/>
    <w:rsid w:val="00DB62AB"/>
    <w:rsid w:val="00DB77CC"/>
    <w:rsid w:val="00DC106D"/>
    <w:rsid w:val="00DC1A70"/>
    <w:rsid w:val="00DC2630"/>
    <w:rsid w:val="00DC49E9"/>
    <w:rsid w:val="00DC4B9C"/>
    <w:rsid w:val="00DC4BEF"/>
    <w:rsid w:val="00DC55E4"/>
    <w:rsid w:val="00DC6B36"/>
    <w:rsid w:val="00DC7D71"/>
    <w:rsid w:val="00DD15AC"/>
    <w:rsid w:val="00DD188C"/>
    <w:rsid w:val="00DD29A3"/>
    <w:rsid w:val="00DD48EE"/>
    <w:rsid w:val="00DD6689"/>
    <w:rsid w:val="00DD75FD"/>
    <w:rsid w:val="00DD7B40"/>
    <w:rsid w:val="00DE071C"/>
    <w:rsid w:val="00DE0B96"/>
    <w:rsid w:val="00DE10B9"/>
    <w:rsid w:val="00DE2B9A"/>
    <w:rsid w:val="00DE35ED"/>
    <w:rsid w:val="00DE3BE5"/>
    <w:rsid w:val="00DE5E41"/>
    <w:rsid w:val="00DF0B13"/>
    <w:rsid w:val="00DF1391"/>
    <w:rsid w:val="00DF1792"/>
    <w:rsid w:val="00DF2456"/>
    <w:rsid w:val="00DF265A"/>
    <w:rsid w:val="00DF2EB8"/>
    <w:rsid w:val="00DF3016"/>
    <w:rsid w:val="00DF44C1"/>
    <w:rsid w:val="00DF4A94"/>
    <w:rsid w:val="00DF520F"/>
    <w:rsid w:val="00DF552D"/>
    <w:rsid w:val="00DF6003"/>
    <w:rsid w:val="00DF7CA0"/>
    <w:rsid w:val="00E00095"/>
    <w:rsid w:val="00E00190"/>
    <w:rsid w:val="00E00CD8"/>
    <w:rsid w:val="00E01472"/>
    <w:rsid w:val="00E01856"/>
    <w:rsid w:val="00E04083"/>
    <w:rsid w:val="00E04EB9"/>
    <w:rsid w:val="00E066C3"/>
    <w:rsid w:val="00E10D8C"/>
    <w:rsid w:val="00E11221"/>
    <w:rsid w:val="00E1353A"/>
    <w:rsid w:val="00E138FF"/>
    <w:rsid w:val="00E146AC"/>
    <w:rsid w:val="00E1564B"/>
    <w:rsid w:val="00E15E00"/>
    <w:rsid w:val="00E16FE3"/>
    <w:rsid w:val="00E208A0"/>
    <w:rsid w:val="00E220C0"/>
    <w:rsid w:val="00E22695"/>
    <w:rsid w:val="00E227C4"/>
    <w:rsid w:val="00E234CA"/>
    <w:rsid w:val="00E23A14"/>
    <w:rsid w:val="00E24A99"/>
    <w:rsid w:val="00E25B49"/>
    <w:rsid w:val="00E26DC0"/>
    <w:rsid w:val="00E278A6"/>
    <w:rsid w:val="00E301DC"/>
    <w:rsid w:val="00E3410B"/>
    <w:rsid w:val="00E35DBA"/>
    <w:rsid w:val="00E371EA"/>
    <w:rsid w:val="00E373FE"/>
    <w:rsid w:val="00E42F8B"/>
    <w:rsid w:val="00E44C7A"/>
    <w:rsid w:val="00E44D70"/>
    <w:rsid w:val="00E457A5"/>
    <w:rsid w:val="00E45C15"/>
    <w:rsid w:val="00E46A0B"/>
    <w:rsid w:val="00E47723"/>
    <w:rsid w:val="00E479F9"/>
    <w:rsid w:val="00E47F51"/>
    <w:rsid w:val="00E51529"/>
    <w:rsid w:val="00E51B93"/>
    <w:rsid w:val="00E52EA7"/>
    <w:rsid w:val="00E64429"/>
    <w:rsid w:val="00E6495A"/>
    <w:rsid w:val="00E6497B"/>
    <w:rsid w:val="00E6585D"/>
    <w:rsid w:val="00E65DE9"/>
    <w:rsid w:val="00E66147"/>
    <w:rsid w:val="00E669BE"/>
    <w:rsid w:val="00E677DD"/>
    <w:rsid w:val="00E70733"/>
    <w:rsid w:val="00E7095A"/>
    <w:rsid w:val="00E70DCC"/>
    <w:rsid w:val="00E72389"/>
    <w:rsid w:val="00E72DE3"/>
    <w:rsid w:val="00E730E1"/>
    <w:rsid w:val="00E73D0A"/>
    <w:rsid w:val="00E749B0"/>
    <w:rsid w:val="00E7594B"/>
    <w:rsid w:val="00E802FD"/>
    <w:rsid w:val="00E803A7"/>
    <w:rsid w:val="00E81242"/>
    <w:rsid w:val="00E8146F"/>
    <w:rsid w:val="00E81C9C"/>
    <w:rsid w:val="00E82267"/>
    <w:rsid w:val="00E83B9A"/>
    <w:rsid w:val="00E855C0"/>
    <w:rsid w:val="00E8595C"/>
    <w:rsid w:val="00E87F90"/>
    <w:rsid w:val="00E90ABA"/>
    <w:rsid w:val="00E9156A"/>
    <w:rsid w:val="00E93B3A"/>
    <w:rsid w:val="00E93DD0"/>
    <w:rsid w:val="00E93EB2"/>
    <w:rsid w:val="00E95195"/>
    <w:rsid w:val="00E95299"/>
    <w:rsid w:val="00E95489"/>
    <w:rsid w:val="00EA0400"/>
    <w:rsid w:val="00EA1C4A"/>
    <w:rsid w:val="00EA29FC"/>
    <w:rsid w:val="00EA2B0B"/>
    <w:rsid w:val="00EA315F"/>
    <w:rsid w:val="00EA3322"/>
    <w:rsid w:val="00EA3572"/>
    <w:rsid w:val="00EA5D72"/>
    <w:rsid w:val="00EA74FB"/>
    <w:rsid w:val="00EA7678"/>
    <w:rsid w:val="00EB326D"/>
    <w:rsid w:val="00EB4688"/>
    <w:rsid w:val="00EB6C07"/>
    <w:rsid w:val="00EB7F20"/>
    <w:rsid w:val="00EC028D"/>
    <w:rsid w:val="00EC176C"/>
    <w:rsid w:val="00EC710C"/>
    <w:rsid w:val="00EC7DA8"/>
    <w:rsid w:val="00ED404B"/>
    <w:rsid w:val="00ED476D"/>
    <w:rsid w:val="00ED5B5C"/>
    <w:rsid w:val="00ED61DB"/>
    <w:rsid w:val="00ED633B"/>
    <w:rsid w:val="00ED6C00"/>
    <w:rsid w:val="00ED7CD2"/>
    <w:rsid w:val="00EE02FA"/>
    <w:rsid w:val="00EE2BBB"/>
    <w:rsid w:val="00EE39D4"/>
    <w:rsid w:val="00EE46A5"/>
    <w:rsid w:val="00EE478C"/>
    <w:rsid w:val="00EE47E5"/>
    <w:rsid w:val="00EE67A7"/>
    <w:rsid w:val="00EE68BE"/>
    <w:rsid w:val="00EF27BE"/>
    <w:rsid w:val="00EF46A9"/>
    <w:rsid w:val="00EF6440"/>
    <w:rsid w:val="00EF7AE3"/>
    <w:rsid w:val="00F0072F"/>
    <w:rsid w:val="00F01890"/>
    <w:rsid w:val="00F02132"/>
    <w:rsid w:val="00F02990"/>
    <w:rsid w:val="00F0335C"/>
    <w:rsid w:val="00F03F2F"/>
    <w:rsid w:val="00F0411C"/>
    <w:rsid w:val="00F04349"/>
    <w:rsid w:val="00F04786"/>
    <w:rsid w:val="00F061A4"/>
    <w:rsid w:val="00F1132C"/>
    <w:rsid w:val="00F1167E"/>
    <w:rsid w:val="00F14048"/>
    <w:rsid w:val="00F14434"/>
    <w:rsid w:val="00F15DD5"/>
    <w:rsid w:val="00F16F09"/>
    <w:rsid w:val="00F1722A"/>
    <w:rsid w:val="00F17B72"/>
    <w:rsid w:val="00F17D4B"/>
    <w:rsid w:val="00F2066B"/>
    <w:rsid w:val="00F21897"/>
    <w:rsid w:val="00F23139"/>
    <w:rsid w:val="00F2548B"/>
    <w:rsid w:val="00F25C19"/>
    <w:rsid w:val="00F26E6E"/>
    <w:rsid w:val="00F304A0"/>
    <w:rsid w:val="00F322A6"/>
    <w:rsid w:val="00F348C1"/>
    <w:rsid w:val="00F35BB4"/>
    <w:rsid w:val="00F36D9A"/>
    <w:rsid w:val="00F36DC5"/>
    <w:rsid w:val="00F36E18"/>
    <w:rsid w:val="00F37F83"/>
    <w:rsid w:val="00F410F6"/>
    <w:rsid w:val="00F417B8"/>
    <w:rsid w:val="00F41FFC"/>
    <w:rsid w:val="00F43470"/>
    <w:rsid w:val="00F437BB"/>
    <w:rsid w:val="00F46EEC"/>
    <w:rsid w:val="00F51879"/>
    <w:rsid w:val="00F53491"/>
    <w:rsid w:val="00F549C1"/>
    <w:rsid w:val="00F54BA0"/>
    <w:rsid w:val="00F551FB"/>
    <w:rsid w:val="00F56DA6"/>
    <w:rsid w:val="00F61967"/>
    <w:rsid w:val="00F65704"/>
    <w:rsid w:val="00F65776"/>
    <w:rsid w:val="00F66548"/>
    <w:rsid w:val="00F66CD5"/>
    <w:rsid w:val="00F67A9A"/>
    <w:rsid w:val="00F67C2B"/>
    <w:rsid w:val="00F70F4E"/>
    <w:rsid w:val="00F73084"/>
    <w:rsid w:val="00F73113"/>
    <w:rsid w:val="00F73743"/>
    <w:rsid w:val="00F748B8"/>
    <w:rsid w:val="00F75349"/>
    <w:rsid w:val="00F75F1D"/>
    <w:rsid w:val="00F75FC4"/>
    <w:rsid w:val="00F7622C"/>
    <w:rsid w:val="00F81863"/>
    <w:rsid w:val="00F81A41"/>
    <w:rsid w:val="00F82B9D"/>
    <w:rsid w:val="00F84F75"/>
    <w:rsid w:val="00F85981"/>
    <w:rsid w:val="00F860C9"/>
    <w:rsid w:val="00F87263"/>
    <w:rsid w:val="00F87599"/>
    <w:rsid w:val="00F9337C"/>
    <w:rsid w:val="00F93725"/>
    <w:rsid w:val="00F9457D"/>
    <w:rsid w:val="00F946D8"/>
    <w:rsid w:val="00F94976"/>
    <w:rsid w:val="00FA08E8"/>
    <w:rsid w:val="00FA1842"/>
    <w:rsid w:val="00FA1BA3"/>
    <w:rsid w:val="00FA267E"/>
    <w:rsid w:val="00FA2EF2"/>
    <w:rsid w:val="00FA3922"/>
    <w:rsid w:val="00FA4414"/>
    <w:rsid w:val="00FA4890"/>
    <w:rsid w:val="00FA5C1C"/>
    <w:rsid w:val="00FA7853"/>
    <w:rsid w:val="00FA7C40"/>
    <w:rsid w:val="00FB202B"/>
    <w:rsid w:val="00FB262F"/>
    <w:rsid w:val="00FB2FD5"/>
    <w:rsid w:val="00FB4381"/>
    <w:rsid w:val="00FB705A"/>
    <w:rsid w:val="00FB77FA"/>
    <w:rsid w:val="00FB7800"/>
    <w:rsid w:val="00FB7F6D"/>
    <w:rsid w:val="00FC09CC"/>
    <w:rsid w:val="00FC24B7"/>
    <w:rsid w:val="00FC3C70"/>
    <w:rsid w:val="00FC4037"/>
    <w:rsid w:val="00FC4455"/>
    <w:rsid w:val="00FC4A73"/>
    <w:rsid w:val="00FC4BA8"/>
    <w:rsid w:val="00FC559C"/>
    <w:rsid w:val="00FC5A88"/>
    <w:rsid w:val="00FC7F0D"/>
    <w:rsid w:val="00FD3321"/>
    <w:rsid w:val="00FD3577"/>
    <w:rsid w:val="00FD3605"/>
    <w:rsid w:val="00FD4745"/>
    <w:rsid w:val="00FD6385"/>
    <w:rsid w:val="00FD7CAD"/>
    <w:rsid w:val="00FD7D39"/>
    <w:rsid w:val="00FE645A"/>
    <w:rsid w:val="00FE7864"/>
    <w:rsid w:val="00FF02E0"/>
    <w:rsid w:val="00FF09DE"/>
    <w:rsid w:val="00FF182E"/>
    <w:rsid w:val="00FF1A2B"/>
    <w:rsid w:val="00FF201E"/>
    <w:rsid w:val="00FF3268"/>
    <w:rsid w:val="00FF4542"/>
    <w:rsid w:val="00FF4F59"/>
    <w:rsid w:val="00FF6102"/>
    <w:rsid w:val="00FF7744"/>
    <w:rsid w:val="0179083A"/>
    <w:rsid w:val="03D58AFE"/>
    <w:rsid w:val="06E7DCF0"/>
    <w:rsid w:val="07D12C91"/>
    <w:rsid w:val="0AD8F870"/>
    <w:rsid w:val="123F650B"/>
    <w:rsid w:val="162CC4F4"/>
    <w:rsid w:val="1F8E262D"/>
    <w:rsid w:val="1FF5DBD8"/>
    <w:rsid w:val="2263BC97"/>
    <w:rsid w:val="229DD85B"/>
    <w:rsid w:val="290FD5AE"/>
    <w:rsid w:val="2B80D052"/>
    <w:rsid w:val="4130F412"/>
    <w:rsid w:val="4751B86E"/>
    <w:rsid w:val="49679C9C"/>
    <w:rsid w:val="4EBB6570"/>
    <w:rsid w:val="57596AAF"/>
    <w:rsid w:val="57735137"/>
    <w:rsid w:val="5D85A25F"/>
    <w:rsid w:val="6450E2F4"/>
    <w:rsid w:val="6F2A8871"/>
    <w:rsid w:val="73A33AC5"/>
    <w:rsid w:val="76DE42BD"/>
    <w:rsid w:val="7AE52959"/>
    <w:rsid w:val="7D44D92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79B"/>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09545E"/>
    <w:pPr>
      <w:spacing w:after="0" w:line="240" w:lineRule="auto"/>
    </w:pPr>
    <w:rPr>
      <w:sz w:val="24"/>
      <w:szCs w:val="24"/>
    </w:rPr>
  </w:style>
  <w:style w:type="character" w:styleId="UnresolvedMention">
    <w:name w:val="Unresolved Mention"/>
    <w:basedOn w:val="DefaultParagraphFont"/>
    <w:uiPriority w:val="99"/>
    <w:semiHidden/>
    <w:unhideWhenUsed/>
    <w:rsid w:val="00C42208"/>
    <w:rPr>
      <w:color w:val="605E5C"/>
      <w:shd w:val="clear" w:color="auto" w:fill="E1DFDD"/>
    </w:rPr>
  </w:style>
  <w:style w:type="character" w:styleId="FollowedHyperlink">
    <w:name w:val="FollowedHyperlink"/>
    <w:basedOn w:val="DefaultParagraphFont"/>
    <w:uiPriority w:val="99"/>
    <w:semiHidden/>
    <w:unhideWhenUsed/>
    <w:rsid w:val="00CE3A09"/>
    <w:rPr>
      <w:color w:val="800080" w:themeColor="followedHyperlink"/>
      <w:u w:val="single"/>
    </w:rPr>
  </w:style>
  <w:style w:type="paragraph" w:styleId="NormalWeb">
    <w:name w:val="Normal (Web)"/>
    <w:basedOn w:val="Normal"/>
    <w:uiPriority w:val="99"/>
    <w:unhideWhenUsed/>
    <w:rsid w:val="00FF182E"/>
    <w:pPr>
      <w:spacing w:before="100" w:beforeAutospacing="1" w:after="100" w:afterAutospacing="1"/>
    </w:pPr>
    <w:rPr>
      <w:rFonts w:ascii="Times New Roman" w:eastAsia="Times New Roman" w:hAnsi="Times New Roman" w:cs="Times New Roman"/>
    </w:rPr>
  </w:style>
  <w:style w:type="table" w:styleId="TableGridLight">
    <w:name w:val="Grid Table Light"/>
    <w:basedOn w:val="TableNormal"/>
    <w:uiPriority w:val="40"/>
    <w:rsid w:val="008E2D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8E2D3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862923">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703286952">
      <w:bodyDiv w:val="1"/>
      <w:marLeft w:val="0"/>
      <w:marRight w:val="0"/>
      <w:marTop w:val="0"/>
      <w:marBottom w:val="0"/>
      <w:divBdr>
        <w:top w:val="none" w:sz="0" w:space="0" w:color="auto"/>
        <w:left w:val="none" w:sz="0" w:space="0" w:color="auto"/>
        <w:bottom w:val="none" w:sz="0" w:space="0" w:color="auto"/>
        <w:right w:val="none" w:sz="0" w:space="0" w:color="auto"/>
      </w:divBdr>
    </w:div>
    <w:div w:id="884366511">
      <w:bodyDiv w:val="1"/>
      <w:marLeft w:val="0"/>
      <w:marRight w:val="0"/>
      <w:marTop w:val="0"/>
      <w:marBottom w:val="0"/>
      <w:divBdr>
        <w:top w:val="none" w:sz="0" w:space="0" w:color="auto"/>
        <w:left w:val="none" w:sz="0" w:space="0" w:color="auto"/>
        <w:bottom w:val="none" w:sz="0" w:space="0" w:color="auto"/>
        <w:right w:val="none" w:sz="0" w:space="0" w:color="auto"/>
      </w:divBdr>
    </w:div>
    <w:div w:id="948928396">
      <w:bodyDiv w:val="1"/>
      <w:marLeft w:val="0"/>
      <w:marRight w:val="0"/>
      <w:marTop w:val="0"/>
      <w:marBottom w:val="0"/>
      <w:divBdr>
        <w:top w:val="none" w:sz="0" w:space="0" w:color="auto"/>
        <w:left w:val="none" w:sz="0" w:space="0" w:color="auto"/>
        <w:bottom w:val="none" w:sz="0" w:space="0" w:color="auto"/>
        <w:right w:val="none" w:sz="0" w:space="0" w:color="auto"/>
      </w:divBdr>
    </w:div>
    <w:div w:id="1047952167">
      <w:bodyDiv w:val="1"/>
      <w:marLeft w:val="0"/>
      <w:marRight w:val="0"/>
      <w:marTop w:val="0"/>
      <w:marBottom w:val="0"/>
      <w:divBdr>
        <w:top w:val="none" w:sz="0" w:space="0" w:color="auto"/>
        <w:left w:val="none" w:sz="0" w:space="0" w:color="auto"/>
        <w:bottom w:val="none" w:sz="0" w:space="0" w:color="auto"/>
        <w:right w:val="none" w:sz="0" w:space="0" w:color="auto"/>
      </w:divBdr>
    </w:div>
    <w:div w:id="1089741125">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640306127">
      <w:bodyDiv w:val="1"/>
      <w:marLeft w:val="0"/>
      <w:marRight w:val="0"/>
      <w:marTop w:val="0"/>
      <w:marBottom w:val="0"/>
      <w:divBdr>
        <w:top w:val="none" w:sz="0" w:space="0" w:color="auto"/>
        <w:left w:val="none" w:sz="0" w:space="0" w:color="auto"/>
        <w:bottom w:val="none" w:sz="0" w:space="0" w:color="auto"/>
        <w:right w:val="none" w:sz="0" w:space="0" w:color="auto"/>
      </w:divBdr>
    </w:div>
    <w:div w:id="1855224319">
      <w:bodyDiv w:val="1"/>
      <w:marLeft w:val="0"/>
      <w:marRight w:val="0"/>
      <w:marTop w:val="0"/>
      <w:marBottom w:val="0"/>
      <w:divBdr>
        <w:top w:val="none" w:sz="0" w:space="0" w:color="auto"/>
        <w:left w:val="none" w:sz="0" w:space="0" w:color="auto"/>
        <w:bottom w:val="none" w:sz="0" w:space="0" w:color="auto"/>
        <w:right w:val="none" w:sz="0" w:space="0" w:color="auto"/>
      </w:divBdr>
    </w:div>
    <w:div w:id="188732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gldcdp.tg.org.au/viewTopic?etgAccess=true&amp;guidelinePage=Neurology&amp;topicfile=migraine&amp;guidelinename=Neurology&amp;sectionId=toc_d1e728" TargetMode="External"/><Relationship Id="rId13" Type="http://schemas.openxmlformats.org/officeDocument/2006/relationships/hyperlink" Target="https://www.ebs.tga.gov.au/ebs/picmi/picmirepository.nsf/pdf?OpenAgent=&amp;id=CP-2019-PI-01545-1&amp;d=20240222172310101" TargetMode="External"/><Relationship Id="rId18" Type="http://schemas.openxmlformats.org/officeDocument/2006/relationships/hyperlink" Target="http://www.pbs.gov.au/pbs/home" TargetMode="External"/><Relationship Id="rId26" Type="http://schemas.openxmlformats.org/officeDocument/2006/relationships/image" Target="media/image2.png"/><Relationship Id="rId39" Type="http://schemas.openxmlformats.org/officeDocument/2006/relationships/hyperlink" Target="https://doi.org/10.18773/austprescr.2020.047" TargetMode="External"/><Relationship Id="rId3" Type="http://schemas.openxmlformats.org/officeDocument/2006/relationships/styles" Target="styles.xml"/><Relationship Id="rId21" Type="http://schemas.openxmlformats.org/officeDocument/2006/relationships/hyperlink" Target="https://www.pbs.gov.au/info/industry/listing/elements/pbac-meetings/psd/2022-03/galcanezumab-injection-120-mg-in-1-ml-pre-filled-pen-emgality" TargetMode="External"/><Relationship Id="rId34" Type="http://schemas.openxmlformats.org/officeDocument/2006/relationships/image" Target="media/image5.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tga.gov.au/safety/shortages/medicine-shortage-reports-database" TargetMode="External"/><Relationship Id="rId17" Type="http://schemas.openxmlformats.org/officeDocument/2006/relationships/hyperlink" Target="http://www.pbs.gov.au/pbs/home" TargetMode="External"/><Relationship Id="rId25" Type="http://schemas.openxmlformats.org/officeDocument/2006/relationships/image" Target="media/image1.png"/><Relationship Id="rId33" Type="http://schemas.openxmlformats.org/officeDocument/2006/relationships/image" Target="media/image4.png"/><Relationship Id="rId38" Type="http://schemas.openxmlformats.org/officeDocument/2006/relationships/hyperlink" Target="https://www.ebs.tga.gov.au/ebs/picmi/picmirepository.nsf/pdf?OpenAgent=&amp;id=CP-2019-PI-01962-1" TargetMode="External"/><Relationship Id="rId2" Type="http://schemas.openxmlformats.org/officeDocument/2006/relationships/numbering" Target="numbering.xml"/><Relationship Id="rId16" Type="http://schemas.openxmlformats.org/officeDocument/2006/relationships/hyperlink" Target="http://www.tga.gov.au/consumers/information-medicines-cmi.htm" TargetMode="External"/><Relationship Id="rId20" Type="http://schemas.openxmlformats.org/officeDocument/2006/relationships/hyperlink" Target="file:///\\central.health\DFSGroupData\Sites\CO1\CO\PBD\PEB\EVAL\DUSC\DUSC%20Documents\Predicted%20vs%20actual%20usage\pbs.gov.au" TargetMode="External"/><Relationship Id="rId29" Type="http://schemas.openxmlformats.org/officeDocument/2006/relationships/chart" Target="charts/chart4.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browse/publications" TargetMode="External"/><Relationship Id="rId24" Type="http://schemas.openxmlformats.org/officeDocument/2006/relationships/chart" Target="charts/chart1.xml"/><Relationship Id="rId32" Type="http://schemas.openxmlformats.org/officeDocument/2006/relationships/image" Target="media/image3.png"/><Relationship Id="rId37" Type="http://schemas.openxmlformats.org/officeDocument/2006/relationships/hyperlink" Target="https://www.ebs.tga.gov.au/ebs/picmi/picmirepository.nsf/pdf?OpenAgent=&amp;id=CP-2019-PI-01545-1&amp;d=20240222172310101" TargetMode="External"/><Relationship Id="rId40" Type="http://schemas.openxmlformats.org/officeDocument/2006/relationships/hyperlink" Target="https://www.deloitte.com/au/en/services/economics/perspectives/migraine-australia-whitepaper.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ga.gov.au/hp/information-medicines-pi.htm" TargetMode="External"/><Relationship Id="rId23" Type="http://schemas.openxmlformats.org/officeDocument/2006/relationships/hyperlink" Target="https://www.pbs.gov.au/info/industry/listing/participants/public-release-docs/2017-06/botulinum-toxin-chronic-migraine-june-2017-meeting" TargetMode="External"/><Relationship Id="rId28" Type="http://schemas.openxmlformats.org/officeDocument/2006/relationships/chart" Target="charts/chart3.xml"/><Relationship Id="rId36" Type="http://schemas.openxmlformats.org/officeDocument/2006/relationships/hyperlink" Target="https://headacheaustralia.org.au/doctor-directory/" TargetMode="External"/><Relationship Id="rId10" Type="http://schemas.openxmlformats.org/officeDocument/2006/relationships/hyperlink" Target="https://tgldcdp.tg.org.au/viewTopic?etgAccess=true&amp;guidelinePage=Neurology&amp;topicfile=migraine&amp;guidelinename=Neurology&amp;sectionId=toc_d1e728" TargetMode="External"/><Relationship Id="rId19" Type="http://schemas.openxmlformats.org/officeDocument/2006/relationships/hyperlink" Target="file:///\\central.health\DFSGroupData\Sites\CO1\CO\PBD\PEB\EVAL\DUSC\DUSC%20Documents\Predicted%20vs%20actual%20usage\pbs.gov.au" TargetMode="External"/><Relationship Id="rId31" Type="http://schemas.openxmlformats.org/officeDocument/2006/relationships/chart" Target="charts/chart6.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bs.gov.au/browse/publications" TargetMode="External"/><Relationship Id="rId14" Type="http://schemas.openxmlformats.org/officeDocument/2006/relationships/hyperlink" Target="https://www.ebs.tga.gov.au/ebs/picmi/picmirepository.nsf/pdf?OpenAgent=&amp;id=CP-2019-PI-01962-1" TargetMode="External"/><Relationship Id="rId22" Type="http://schemas.openxmlformats.org/officeDocument/2006/relationships/hyperlink" Target="https://www.pbs.gov.au/info/industry/listing/elements/pbac-meetings/psd/2022-11/fremanezumab-Ajovy-PSD-November-2022"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image" Target="media/image6.jpg"/><Relationship Id="rId43"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74%20-%20Galcanezumab%20and%20fremanezumab%20for%20chronic%20migraine\D1574%20-%20Prophylaxis%20Pateints%20and%20scrip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24\D1574%20-%20Galcanezumab%20and%20fremanezumab%20for%20chronic%20migraine\D1574%20-%20Age%20-gender%20FEM%20and%20G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24\D1574%20-%20Galcanezumab%20and%20fremanezumab%20for%20chronic%20migraine\D1574%20-%20Age%20-gender%20FEM%20and%20GAL.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74%20-%20Galcanezumab%20and%20fremanezumab%20for%20chronic%20migraine\D1574%20-%20Age%20-gender%20FEM%20and%20GAL.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74%20-%20Galcanezumab%20and%20fremanezumab%20for%20chronic%20migraine\D1574%20-%20Age%20-gender%20FEM%20and%20GAL.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74%20-%20Galcanezumab%20and%20fremanezumab%20for%20chronic%20migraine\D1574%20-%20Prophylaxis%20Pateints%20and%20script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kern="1200" spc="0" baseline="0">
                <a:solidFill>
                  <a:sysClr val="windowText" lastClr="000000">
                    <a:lumMod val="65000"/>
                    <a:lumOff val="35000"/>
                  </a:sysClr>
                </a:solidFill>
              </a:rPr>
              <a:t>Galcanezumab and </a:t>
            </a:r>
            <a:r>
              <a:rPr lang="en-AU" sz="1400"/>
              <a:t>Fremanezumab </a:t>
            </a:r>
            <a:r>
              <a:rPr lang="en-AU"/>
              <a:t>prevalent patients and scripts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Sheet3!$C$1:$C$2</c:f>
              <c:strCache>
                <c:ptCount val="2"/>
                <c:pt idx="0">
                  <c:v>Galcanezumab</c:v>
                </c:pt>
                <c:pt idx="1">
                  <c:v>prevelant patients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Sheet3!$A$3:$A$14</c:f>
              <c:strCache>
                <c:ptCount val="12"/>
                <c:pt idx="0">
                  <c:v>2021Q2</c:v>
                </c:pt>
                <c:pt idx="1">
                  <c:v>2021Q3</c:v>
                </c:pt>
                <c:pt idx="2">
                  <c:v>2021Q4</c:v>
                </c:pt>
                <c:pt idx="3">
                  <c:v>2022Q1</c:v>
                </c:pt>
                <c:pt idx="4">
                  <c:v>2022Q2</c:v>
                </c:pt>
                <c:pt idx="5">
                  <c:v>2022Q3</c:v>
                </c:pt>
                <c:pt idx="6">
                  <c:v>2022Q4</c:v>
                </c:pt>
                <c:pt idx="7">
                  <c:v>2023Q1</c:v>
                </c:pt>
                <c:pt idx="8">
                  <c:v>2023Q2</c:v>
                </c:pt>
                <c:pt idx="9">
                  <c:v>2023Q3</c:v>
                </c:pt>
                <c:pt idx="10">
                  <c:v>2023Q4</c:v>
                </c:pt>
                <c:pt idx="11">
                  <c:v>2024Q1</c:v>
                </c:pt>
              </c:strCache>
            </c:strRef>
          </c:cat>
          <c:val>
            <c:numRef>
              <c:f>Sheet3!$C$3:$C$14</c:f>
              <c:numCache>
                <c:formatCode>General</c:formatCode>
                <c:ptCount val="12"/>
                <c:pt idx="0">
                  <c:v>2235</c:v>
                </c:pt>
                <c:pt idx="1">
                  <c:v>5520</c:v>
                </c:pt>
                <c:pt idx="2">
                  <c:v>6374</c:v>
                </c:pt>
                <c:pt idx="3">
                  <c:v>6762</c:v>
                </c:pt>
                <c:pt idx="4">
                  <c:v>7163</c:v>
                </c:pt>
                <c:pt idx="5">
                  <c:v>7519</c:v>
                </c:pt>
                <c:pt idx="6">
                  <c:v>7627</c:v>
                </c:pt>
                <c:pt idx="7">
                  <c:v>7555</c:v>
                </c:pt>
                <c:pt idx="8">
                  <c:v>7619</c:v>
                </c:pt>
                <c:pt idx="9">
                  <c:v>7912</c:v>
                </c:pt>
                <c:pt idx="10">
                  <c:v>7590</c:v>
                </c:pt>
                <c:pt idx="11">
                  <c:v>2592</c:v>
                </c:pt>
              </c:numCache>
            </c:numRef>
          </c:val>
          <c:smooth val="0"/>
          <c:extLst>
            <c:ext xmlns:c16="http://schemas.microsoft.com/office/drawing/2014/chart" uri="{C3380CC4-5D6E-409C-BE32-E72D297353CC}">
              <c16:uniqueId val="{00000000-95CD-4EFD-828D-5B439CBD533C}"/>
            </c:ext>
          </c:extLst>
        </c:ser>
        <c:ser>
          <c:idx val="4"/>
          <c:order val="2"/>
          <c:tx>
            <c:strRef>
              <c:f>Sheet3!$F$1:$F$2</c:f>
              <c:strCache>
                <c:ptCount val="2"/>
                <c:pt idx="0">
                  <c:v>Fremanezumab</c:v>
                </c:pt>
                <c:pt idx="1">
                  <c:v>prevelant patients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Sheet3!$A$3:$A$14</c:f>
              <c:strCache>
                <c:ptCount val="12"/>
                <c:pt idx="0">
                  <c:v>2021Q2</c:v>
                </c:pt>
                <c:pt idx="1">
                  <c:v>2021Q3</c:v>
                </c:pt>
                <c:pt idx="2">
                  <c:v>2021Q4</c:v>
                </c:pt>
                <c:pt idx="3">
                  <c:v>2022Q1</c:v>
                </c:pt>
                <c:pt idx="4">
                  <c:v>2022Q2</c:v>
                </c:pt>
                <c:pt idx="5">
                  <c:v>2022Q3</c:v>
                </c:pt>
                <c:pt idx="6">
                  <c:v>2022Q4</c:v>
                </c:pt>
                <c:pt idx="7">
                  <c:v>2023Q1</c:v>
                </c:pt>
                <c:pt idx="8">
                  <c:v>2023Q2</c:v>
                </c:pt>
                <c:pt idx="9">
                  <c:v>2023Q3</c:v>
                </c:pt>
                <c:pt idx="10">
                  <c:v>2023Q4</c:v>
                </c:pt>
                <c:pt idx="11">
                  <c:v>2024Q1</c:v>
                </c:pt>
              </c:strCache>
            </c:strRef>
          </c:cat>
          <c:val>
            <c:numRef>
              <c:f>Sheet3!$F$3:$F$14</c:f>
              <c:numCache>
                <c:formatCode>General</c:formatCode>
                <c:ptCount val="12"/>
                <c:pt idx="1">
                  <c:v>1742</c:v>
                </c:pt>
                <c:pt idx="2">
                  <c:v>3117</c:v>
                </c:pt>
                <c:pt idx="3">
                  <c:v>3826</c:v>
                </c:pt>
                <c:pt idx="4">
                  <c:v>4528</c:v>
                </c:pt>
                <c:pt idx="5">
                  <c:v>5213</c:v>
                </c:pt>
                <c:pt idx="6">
                  <c:v>6230</c:v>
                </c:pt>
                <c:pt idx="7">
                  <c:v>7150</c:v>
                </c:pt>
                <c:pt idx="8">
                  <c:v>8045</c:v>
                </c:pt>
                <c:pt idx="9">
                  <c:v>8943</c:v>
                </c:pt>
                <c:pt idx="10">
                  <c:v>11542</c:v>
                </c:pt>
                <c:pt idx="11">
                  <c:v>13243</c:v>
                </c:pt>
              </c:numCache>
            </c:numRef>
          </c:val>
          <c:smooth val="0"/>
          <c:extLst>
            <c:ext xmlns:c16="http://schemas.microsoft.com/office/drawing/2014/chart" uri="{C3380CC4-5D6E-409C-BE32-E72D297353CC}">
              <c16:uniqueId val="{00000001-95CD-4EFD-828D-5B439CBD533C}"/>
            </c:ext>
          </c:extLst>
        </c:ser>
        <c:dLbls>
          <c:showLegendKey val="0"/>
          <c:showVal val="0"/>
          <c:showCatName val="0"/>
          <c:showSerName val="0"/>
          <c:showPercent val="0"/>
          <c:showBubbleSize val="0"/>
        </c:dLbls>
        <c:marker val="1"/>
        <c:smooth val="0"/>
        <c:axId val="742756200"/>
        <c:axId val="742756560"/>
      </c:lineChart>
      <c:lineChart>
        <c:grouping val="standard"/>
        <c:varyColors val="0"/>
        <c:ser>
          <c:idx val="2"/>
          <c:order val="1"/>
          <c:tx>
            <c:strRef>
              <c:f>Sheet3!$D$1:$D$2</c:f>
              <c:strCache>
                <c:ptCount val="2"/>
                <c:pt idx="0">
                  <c:v>Galcanezumab</c:v>
                </c:pt>
                <c:pt idx="1">
                  <c:v>scripts</c:v>
                </c:pt>
              </c:strCache>
            </c:strRef>
          </c:tx>
          <c:spPr>
            <a:ln w="28575" cap="rnd">
              <a:solidFill>
                <a:schemeClr val="accent3"/>
              </a:solidFill>
              <a:prstDash val="sysDot"/>
              <a:round/>
            </a:ln>
            <a:effectLst/>
          </c:spPr>
          <c:marker>
            <c:symbol val="circle"/>
            <c:size val="5"/>
            <c:spPr>
              <a:solidFill>
                <a:schemeClr val="accent3"/>
              </a:solidFill>
              <a:ln w="9525">
                <a:solidFill>
                  <a:schemeClr val="accent3"/>
                </a:solidFill>
              </a:ln>
              <a:effectLst/>
            </c:spPr>
          </c:marker>
          <c:cat>
            <c:strRef>
              <c:f>Sheet3!$A$3:$A$14</c:f>
              <c:strCache>
                <c:ptCount val="12"/>
                <c:pt idx="0">
                  <c:v>2021Q2</c:v>
                </c:pt>
                <c:pt idx="1">
                  <c:v>2021Q3</c:v>
                </c:pt>
                <c:pt idx="2">
                  <c:v>2021Q4</c:v>
                </c:pt>
                <c:pt idx="3">
                  <c:v>2022Q1</c:v>
                </c:pt>
                <c:pt idx="4">
                  <c:v>2022Q2</c:v>
                </c:pt>
                <c:pt idx="5">
                  <c:v>2022Q3</c:v>
                </c:pt>
                <c:pt idx="6">
                  <c:v>2022Q4</c:v>
                </c:pt>
                <c:pt idx="7">
                  <c:v>2023Q1</c:v>
                </c:pt>
                <c:pt idx="8">
                  <c:v>2023Q2</c:v>
                </c:pt>
                <c:pt idx="9">
                  <c:v>2023Q3</c:v>
                </c:pt>
                <c:pt idx="10">
                  <c:v>2023Q4</c:v>
                </c:pt>
                <c:pt idx="11">
                  <c:v>2024Q1</c:v>
                </c:pt>
              </c:strCache>
            </c:strRef>
          </c:cat>
          <c:val>
            <c:numRef>
              <c:f>Sheet3!$D$3:$D$14</c:f>
              <c:numCache>
                <c:formatCode>General</c:formatCode>
                <c:ptCount val="12"/>
                <c:pt idx="0">
                  <c:v>2672</c:v>
                </c:pt>
                <c:pt idx="1">
                  <c:v>10818</c:v>
                </c:pt>
                <c:pt idx="2">
                  <c:v>14929</c:v>
                </c:pt>
                <c:pt idx="3">
                  <c:v>16160</c:v>
                </c:pt>
                <c:pt idx="4">
                  <c:v>17722</c:v>
                </c:pt>
                <c:pt idx="5">
                  <c:v>18884</c:v>
                </c:pt>
                <c:pt idx="6">
                  <c:v>19912</c:v>
                </c:pt>
                <c:pt idx="7">
                  <c:v>19323</c:v>
                </c:pt>
                <c:pt idx="8">
                  <c:v>19597</c:v>
                </c:pt>
                <c:pt idx="9">
                  <c:v>20306</c:v>
                </c:pt>
                <c:pt idx="10">
                  <c:v>19471</c:v>
                </c:pt>
                <c:pt idx="11">
                  <c:v>3978</c:v>
                </c:pt>
              </c:numCache>
            </c:numRef>
          </c:val>
          <c:smooth val="0"/>
          <c:extLst>
            <c:ext xmlns:c16="http://schemas.microsoft.com/office/drawing/2014/chart" uri="{C3380CC4-5D6E-409C-BE32-E72D297353CC}">
              <c16:uniqueId val="{00000002-95CD-4EFD-828D-5B439CBD533C}"/>
            </c:ext>
          </c:extLst>
        </c:ser>
        <c:ser>
          <c:idx val="5"/>
          <c:order val="3"/>
          <c:tx>
            <c:strRef>
              <c:f>Sheet3!$G$1:$G$2</c:f>
              <c:strCache>
                <c:ptCount val="2"/>
                <c:pt idx="0">
                  <c:v>Fremanezumab</c:v>
                </c:pt>
                <c:pt idx="1">
                  <c:v>scripts</c:v>
                </c:pt>
              </c:strCache>
            </c:strRef>
          </c:tx>
          <c:spPr>
            <a:ln w="28575" cap="rnd">
              <a:solidFill>
                <a:schemeClr val="accent6"/>
              </a:solidFill>
              <a:prstDash val="sysDot"/>
              <a:round/>
            </a:ln>
            <a:effectLst/>
          </c:spPr>
          <c:marker>
            <c:symbol val="circle"/>
            <c:size val="5"/>
            <c:spPr>
              <a:solidFill>
                <a:schemeClr val="accent6"/>
              </a:solidFill>
              <a:ln w="9525">
                <a:solidFill>
                  <a:schemeClr val="accent6"/>
                </a:solidFill>
              </a:ln>
              <a:effectLst/>
            </c:spPr>
          </c:marker>
          <c:cat>
            <c:strRef>
              <c:f>Sheet3!$A$3:$A$14</c:f>
              <c:strCache>
                <c:ptCount val="12"/>
                <c:pt idx="0">
                  <c:v>2021Q2</c:v>
                </c:pt>
                <c:pt idx="1">
                  <c:v>2021Q3</c:v>
                </c:pt>
                <c:pt idx="2">
                  <c:v>2021Q4</c:v>
                </c:pt>
                <c:pt idx="3">
                  <c:v>2022Q1</c:v>
                </c:pt>
                <c:pt idx="4">
                  <c:v>2022Q2</c:v>
                </c:pt>
                <c:pt idx="5">
                  <c:v>2022Q3</c:v>
                </c:pt>
                <c:pt idx="6">
                  <c:v>2022Q4</c:v>
                </c:pt>
                <c:pt idx="7">
                  <c:v>2023Q1</c:v>
                </c:pt>
                <c:pt idx="8">
                  <c:v>2023Q2</c:v>
                </c:pt>
                <c:pt idx="9">
                  <c:v>2023Q3</c:v>
                </c:pt>
                <c:pt idx="10">
                  <c:v>2023Q4</c:v>
                </c:pt>
                <c:pt idx="11">
                  <c:v>2024Q1</c:v>
                </c:pt>
              </c:strCache>
            </c:strRef>
          </c:cat>
          <c:val>
            <c:numRef>
              <c:f>Sheet3!$G$3:$G$14</c:f>
              <c:numCache>
                <c:formatCode>General</c:formatCode>
                <c:ptCount val="12"/>
                <c:pt idx="1">
                  <c:v>2915</c:v>
                </c:pt>
                <c:pt idx="2">
                  <c:v>7502</c:v>
                </c:pt>
                <c:pt idx="3">
                  <c:v>9103</c:v>
                </c:pt>
                <c:pt idx="4">
                  <c:v>11264</c:v>
                </c:pt>
                <c:pt idx="5">
                  <c:v>13000</c:v>
                </c:pt>
                <c:pt idx="6">
                  <c:v>15973</c:v>
                </c:pt>
                <c:pt idx="7">
                  <c:v>17823</c:v>
                </c:pt>
                <c:pt idx="8">
                  <c:v>20777</c:v>
                </c:pt>
                <c:pt idx="9">
                  <c:v>22946</c:v>
                </c:pt>
                <c:pt idx="10">
                  <c:v>28825</c:v>
                </c:pt>
                <c:pt idx="11">
                  <c:v>24502</c:v>
                </c:pt>
              </c:numCache>
            </c:numRef>
          </c:val>
          <c:smooth val="0"/>
          <c:extLst>
            <c:ext xmlns:c16="http://schemas.microsoft.com/office/drawing/2014/chart" uri="{C3380CC4-5D6E-409C-BE32-E72D297353CC}">
              <c16:uniqueId val="{00000003-95CD-4EFD-828D-5B439CBD533C}"/>
            </c:ext>
          </c:extLst>
        </c:ser>
        <c:dLbls>
          <c:showLegendKey val="0"/>
          <c:showVal val="0"/>
          <c:showCatName val="0"/>
          <c:showSerName val="0"/>
          <c:showPercent val="0"/>
          <c:showBubbleSize val="0"/>
        </c:dLbls>
        <c:marker val="1"/>
        <c:smooth val="0"/>
        <c:axId val="749713240"/>
        <c:axId val="749712880"/>
      </c:lineChart>
      <c:catAx>
        <c:axId val="742756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756560"/>
        <c:crosses val="autoZero"/>
        <c:auto val="1"/>
        <c:lblAlgn val="ctr"/>
        <c:lblOffset val="100"/>
        <c:noMultiLvlLbl val="0"/>
      </c:catAx>
      <c:valAx>
        <c:axId val="74275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756200"/>
        <c:crosses val="autoZero"/>
        <c:crossBetween val="between"/>
      </c:valAx>
      <c:valAx>
        <c:axId val="74971288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713240"/>
        <c:crosses val="max"/>
        <c:crossBetween val="between"/>
      </c:valAx>
      <c:catAx>
        <c:axId val="749713240"/>
        <c:scaling>
          <c:orientation val="minMax"/>
        </c:scaling>
        <c:delete val="1"/>
        <c:axPos val="b"/>
        <c:numFmt formatCode="General" sourceLinked="1"/>
        <c:majorTickMark val="out"/>
        <c:minorTickMark val="none"/>
        <c:tickLblPos val="nextTo"/>
        <c:crossAx val="749712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Incident Female Patients by Age and Quarter</a:t>
            </a:r>
          </a:p>
        </c:rich>
      </c:tx>
      <c:overlay val="0"/>
      <c:spPr>
        <a:noFill/>
        <a:ln>
          <a:noFill/>
        </a:ln>
        <a:effectLst/>
      </c:spPr>
    </c:title>
    <c:autoTitleDeleted val="0"/>
    <c:view3D>
      <c:rotX val="90"/>
      <c:rotY val="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Chart>
        <c:wireframe val="0"/>
        <c:ser>
          <c:idx val="0"/>
          <c:order val="0"/>
          <c:tx>
            <c:strRef>
              <c:f>Gal!$A$2</c:f>
              <c:strCache>
                <c:ptCount val="1"/>
                <c:pt idx="0">
                  <c:v>2021Q2</c:v>
                </c:pt>
              </c:strCache>
            </c:strRef>
          </c:tx>
          <c:spPr>
            <a:solidFill>
              <a:schemeClr val="accent1"/>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Gal!$B$2:$S$2</c:f>
              <c:numCache>
                <c:formatCode>General</c:formatCode>
                <c:ptCount val="18"/>
                <c:pt idx="2">
                  <c:v>27</c:v>
                </c:pt>
                <c:pt idx="3">
                  <c:v>93</c:v>
                </c:pt>
                <c:pt idx="4">
                  <c:v>122</c:v>
                </c:pt>
                <c:pt idx="5">
                  <c:v>138</c:v>
                </c:pt>
                <c:pt idx="6">
                  <c:v>179</c:v>
                </c:pt>
                <c:pt idx="7">
                  <c:v>224</c:v>
                </c:pt>
                <c:pt idx="8">
                  <c:v>259</c:v>
                </c:pt>
                <c:pt idx="9">
                  <c:v>266</c:v>
                </c:pt>
                <c:pt idx="10">
                  <c:v>172</c:v>
                </c:pt>
                <c:pt idx="11">
                  <c:v>162</c:v>
                </c:pt>
                <c:pt idx="12">
                  <c:v>98</c:v>
                </c:pt>
                <c:pt idx="13">
                  <c:v>60</c:v>
                </c:pt>
                <c:pt idx="14">
                  <c:v>24</c:v>
                </c:pt>
                <c:pt idx="15">
                  <c:v>10</c:v>
                </c:pt>
                <c:pt idx="16">
                  <c:v>3</c:v>
                </c:pt>
              </c:numCache>
            </c:numRef>
          </c:val>
          <c:extLst>
            <c:ext xmlns:c16="http://schemas.microsoft.com/office/drawing/2014/chart" uri="{C3380CC4-5D6E-409C-BE32-E72D297353CC}">
              <c16:uniqueId val="{00000000-C54C-4F14-8CD9-C306C1A9195B}"/>
            </c:ext>
          </c:extLst>
        </c:ser>
        <c:ser>
          <c:idx val="1"/>
          <c:order val="1"/>
          <c:tx>
            <c:strRef>
              <c:f>Gal!$A$3</c:f>
              <c:strCache>
                <c:ptCount val="1"/>
                <c:pt idx="0">
                  <c:v>2021Q3</c:v>
                </c:pt>
              </c:strCache>
            </c:strRef>
          </c:tx>
          <c:spPr>
            <a:solidFill>
              <a:schemeClr val="accent2"/>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Gal!$B$3:$S$3</c:f>
              <c:numCache>
                <c:formatCode>General</c:formatCode>
                <c:ptCount val="18"/>
                <c:pt idx="2">
                  <c:v>50</c:v>
                </c:pt>
                <c:pt idx="3">
                  <c:v>184</c:v>
                </c:pt>
                <c:pt idx="4">
                  <c:v>188</c:v>
                </c:pt>
                <c:pt idx="5">
                  <c:v>230</c:v>
                </c:pt>
                <c:pt idx="6">
                  <c:v>281</c:v>
                </c:pt>
                <c:pt idx="7">
                  <c:v>361</c:v>
                </c:pt>
                <c:pt idx="8">
                  <c:v>407</c:v>
                </c:pt>
                <c:pt idx="9">
                  <c:v>354</c:v>
                </c:pt>
                <c:pt idx="10">
                  <c:v>261</c:v>
                </c:pt>
                <c:pt idx="11">
                  <c:v>210</c:v>
                </c:pt>
                <c:pt idx="12">
                  <c:v>153</c:v>
                </c:pt>
                <c:pt idx="13">
                  <c:v>90</c:v>
                </c:pt>
                <c:pt idx="14">
                  <c:v>35</c:v>
                </c:pt>
                <c:pt idx="15">
                  <c:v>9</c:v>
                </c:pt>
                <c:pt idx="16">
                  <c:v>4</c:v>
                </c:pt>
                <c:pt idx="17">
                  <c:v>1</c:v>
                </c:pt>
              </c:numCache>
            </c:numRef>
          </c:val>
          <c:extLst>
            <c:ext xmlns:c16="http://schemas.microsoft.com/office/drawing/2014/chart" uri="{C3380CC4-5D6E-409C-BE32-E72D297353CC}">
              <c16:uniqueId val="{00000001-C54C-4F14-8CD9-C306C1A9195B}"/>
            </c:ext>
          </c:extLst>
        </c:ser>
        <c:ser>
          <c:idx val="2"/>
          <c:order val="2"/>
          <c:tx>
            <c:strRef>
              <c:f>Gal!$A$4</c:f>
              <c:strCache>
                <c:ptCount val="1"/>
                <c:pt idx="0">
                  <c:v>2021Q4</c:v>
                </c:pt>
              </c:strCache>
            </c:strRef>
          </c:tx>
          <c:spPr>
            <a:solidFill>
              <a:schemeClr val="accent3"/>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Gal!$B$4:$S$4</c:f>
              <c:numCache>
                <c:formatCode>General</c:formatCode>
                <c:ptCount val="18"/>
                <c:pt idx="1">
                  <c:v>2</c:v>
                </c:pt>
                <c:pt idx="2">
                  <c:v>32</c:v>
                </c:pt>
                <c:pt idx="3">
                  <c:v>92</c:v>
                </c:pt>
                <c:pt idx="4">
                  <c:v>132</c:v>
                </c:pt>
                <c:pt idx="5">
                  <c:v>131</c:v>
                </c:pt>
                <c:pt idx="6">
                  <c:v>151</c:v>
                </c:pt>
                <c:pt idx="7">
                  <c:v>187</c:v>
                </c:pt>
                <c:pt idx="8">
                  <c:v>188</c:v>
                </c:pt>
                <c:pt idx="9">
                  <c:v>203</c:v>
                </c:pt>
                <c:pt idx="10">
                  <c:v>114</c:v>
                </c:pt>
                <c:pt idx="11">
                  <c:v>117</c:v>
                </c:pt>
                <c:pt idx="12">
                  <c:v>87</c:v>
                </c:pt>
                <c:pt idx="13">
                  <c:v>37</c:v>
                </c:pt>
                <c:pt idx="14">
                  <c:v>19</c:v>
                </c:pt>
                <c:pt idx="15">
                  <c:v>7</c:v>
                </c:pt>
                <c:pt idx="16">
                  <c:v>4</c:v>
                </c:pt>
                <c:pt idx="17">
                  <c:v>0</c:v>
                </c:pt>
              </c:numCache>
            </c:numRef>
          </c:val>
          <c:extLst>
            <c:ext xmlns:c16="http://schemas.microsoft.com/office/drawing/2014/chart" uri="{C3380CC4-5D6E-409C-BE32-E72D297353CC}">
              <c16:uniqueId val="{00000002-C54C-4F14-8CD9-C306C1A9195B}"/>
            </c:ext>
          </c:extLst>
        </c:ser>
        <c:ser>
          <c:idx val="3"/>
          <c:order val="3"/>
          <c:tx>
            <c:strRef>
              <c:f>Gal!$A$5</c:f>
              <c:strCache>
                <c:ptCount val="1"/>
                <c:pt idx="0">
                  <c:v>2022Q1</c:v>
                </c:pt>
              </c:strCache>
            </c:strRef>
          </c:tx>
          <c:spPr>
            <a:solidFill>
              <a:schemeClr val="accent4"/>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Gal!$B$5:$S$5</c:f>
              <c:numCache>
                <c:formatCode>General</c:formatCode>
                <c:ptCount val="18"/>
                <c:pt idx="2">
                  <c:v>31</c:v>
                </c:pt>
                <c:pt idx="3">
                  <c:v>80</c:v>
                </c:pt>
                <c:pt idx="4">
                  <c:v>95</c:v>
                </c:pt>
                <c:pt idx="5">
                  <c:v>82</c:v>
                </c:pt>
                <c:pt idx="6">
                  <c:v>111</c:v>
                </c:pt>
                <c:pt idx="7">
                  <c:v>133</c:v>
                </c:pt>
                <c:pt idx="8">
                  <c:v>149</c:v>
                </c:pt>
                <c:pt idx="9">
                  <c:v>110</c:v>
                </c:pt>
                <c:pt idx="10">
                  <c:v>98</c:v>
                </c:pt>
                <c:pt idx="11">
                  <c:v>76</c:v>
                </c:pt>
                <c:pt idx="12">
                  <c:v>54</c:v>
                </c:pt>
                <c:pt idx="13">
                  <c:v>31</c:v>
                </c:pt>
                <c:pt idx="14">
                  <c:v>15</c:v>
                </c:pt>
                <c:pt idx="15">
                  <c:v>8</c:v>
                </c:pt>
                <c:pt idx="16">
                  <c:v>2</c:v>
                </c:pt>
                <c:pt idx="17">
                  <c:v>0</c:v>
                </c:pt>
              </c:numCache>
            </c:numRef>
          </c:val>
          <c:extLst>
            <c:ext xmlns:c16="http://schemas.microsoft.com/office/drawing/2014/chart" uri="{C3380CC4-5D6E-409C-BE32-E72D297353CC}">
              <c16:uniqueId val="{00000003-C54C-4F14-8CD9-C306C1A9195B}"/>
            </c:ext>
          </c:extLst>
        </c:ser>
        <c:ser>
          <c:idx val="4"/>
          <c:order val="4"/>
          <c:tx>
            <c:strRef>
              <c:f>Gal!$A$6</c:f>
              <c:strCache>
                <c:ptCount val="1"/>
                <c:pt idx="0">
                  <c:v>2022Q2</c:v>
                </c:pt>
              </c:strCache>
            </c:strRef>
          </c:tx>
          <c:spPr>
            <a:solidFill>
              <a:schemeClr val="accent5"/>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Gal!$B$6:$S$6</c:f>
              <c:numCache>
                <c:formatCode>General</c:formatCode>
                <c:ptCount val="18"/>
                <c:pt idx="2">
                  <c:v>33</c:v>
                </c:pt>
                <c:pt idx="3">
                  <c:v>74</c:v>
                </c:pt>
                <c:pt idx="4">
                  <c:v>102</c:v>
                </c:pt>
                <c:pt idx="5">
                  <c:v>78</c:v>
                </c:pt>
                <c:pt idx="6">
                  <c:v>106</c:v>
                </c:pt>
                <c:pt idx="7">
                  <c:v>146</c:v>
                </c:pt>
                <c:pt idx="8">
                  <c:v>127</c:v>
                </c:pt>
                <c:pt idx="9">
                  <c:v>139</c:v>
                </c:pt>
                <c:pt idx="10">
                  <c:v>81</c:v>
                </c:pt>
                <c:pt idx="11">
                  <c:v>69</c:v>
                </c:pt>
                <c:pt idx="12">
                  <c:v>40</c:v>
                </c:pt>
                <c:pt idx="13">
                  <c:v>38</c:v>
                </c:pt>
                <c:pt idx="14">
                  <c:v>15</c:v>
                </c:pt>
                <c:pt idx="15">
                  <c:v>9</c:v>
                </c:pt>
                <c:pt idx="16">
                  <c:v>2</c:v>
                </c:pt>
              </c:numCache>
            </c:numRef>
          </c:val>
          <c:extLst>
            <c:ext xmlns:c16="http://schemas.microsoft.com/office/drawing/2014/chart" uri="{C3380CC4-5D6E-409C-BE32-E72D297353CC}">
              <c16:uniqueId val="{00000004-C54C-4F14-8CD9-C306C1A9195B}"/>
            </c:ext>
          </c:extLst>
        </c:ser>
        <c:ser>
          <c:idx val="5"/>
          <c:order val="5"/>
          <c:tx>
            <c:strRef>
              <c:f>Gal!$A$7</c:f>
              <c:strCache>
                <c:ptCount val="1"/>
                <c:pt idx="0">
                  <c:v>2022Q3</c:v>
                </c:pt>
              </c:strCache>
            </c:strRef>
          </c:tx>
          <c:spPr>
            <a:solidFill>
              <a:schemeClr val="accent6"/>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Gal!$B$7:$S$7</c:f>
              <c:numCache>
                <c:formatCode>General</c:formatCode>
                <c:ptCount val="18"/>
                <c:pt idx="2">
                  <c:v>39</c:v>
                </c:pt>
                <c:pt idx="3">
                  <c:v>89</c:v>
                </c:pt>
                <c:pt idx="4">
                  <c:v>85</c:v>
                </c:pt>
                <c:pt idx="5">
                  <c:v>102</c:v>
                </c:pt>
                <c:pt idx="6">
                  <c:v>94</c:v>
                </c:pt>
                <c:pt idx="7">
                  <c:v>133</c:v>
                </c:pt>
                <c:pt idx="8">
                  <c:v>119</c:v>
                </c:pt>
                <c:pt idx="9">
                  <c:v>116</c:v>
                </c:pt>
                <c:pt idx="10">
                  <c:v>79</c:v>
                </c:pt>
                <c:pt idx="11">
                  <c:v>73</c:v>
                </c:pt>
                <c:pt idx="12">
                  <c:v>42</c:v>
                </c:pt>
                <c:pt idx="13">
                  <c:v>23</c:v>
                </c:pt>
                <c:pt idx="14">
                  <c:v>12</c:v>
                </c:pt>
                <c:pt idx="15">
                  <c:v>2</c:v>
                </c:pt>
                <c:pt idx="16">
                  <c:v>0</c:v>
                </c:pt>
              </c:numCache>
            </c:numRef>
          </c:val>
          <c:extLst>
            <c:ext xmlns:c16="http://schemas.microsoft.com/office/drawing/2014/chart" uri="{C3380CC4-5D6E-409C-BE32-E72D297353CC}">
              <c16:uniqueId val="{00000005-C54C-4F14-8CD9-C306C1A9195B}"/>
            </c:ext>
          </c:extLst>
        </c:ser>
        <c:ser>
          <c:idx val="6"/>
          <c:order val="6"/>
          <c:tx>
            <c:strRef>
              <c:f>Gal!$A$8</c:f>
              <c:strCache>
                <c:ptCount val="1"/>
                <c:pt idx="0">
                  <c:v>2022Q4</c:v>
                </c:pt>
              </c:strCache>
            </c:strRef>
          </c:tx>
          <c:spPr>
            <a:solidFill>
              <a:schemeClr val="accent1">
                <a:lumMod val="60000"/>
              </a:schemeClr>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Gal!$B$8:$S$8</c:f>
              <c:numCache>
                <c:formatCode>General</c:formatCode>
                <c:ptCount val="18"/>
                <c:pt idx="2">
                  <c:v>29</c:v>
                </c:pt>
                <c:pt idx="3">
                  <c:v>44</c:v>
                </c:pt>
                <c:pt idx="4">
                  <c:v>59</c:v>
                </c:pt>
                <c:pt idx="5">
                  <c:v>75</c:v>
                </c:pt>
                <c:pt idx="6">
                  <c:v>89</c:v>
                </c:pt>
                <c:pt idx="7">
                  <c:v>89</c:v>
                </c:pt>
                <c:pt idx="8">
                  <c:v>99</c:v>
                </c:pt>
                <c:pt idx="9">
                  <c:v>95</c:v>
                </c:pt>
                <c:pt idx="10">
                  <c:v>60</c:v>
                </c:pt>
                <c:pt idx="11">
                  <c:v>53</c:v>
                </c:pt>
                <c:pt idx="12">
                  <c:v>42</c:v>
                </c:pt>
                <c:pt idx="13">
                  <c:v>26</c:v>
                </c:pt>
                <c:pt idx="14">
                  <c:v>8</c:v>
                </c:pt>
                <c:pt idx="15">
                  <c:v>1</c:v>
                </c:pt>
                <c:pt idx="16">
                  <c:v>2</c:v>
                </c:pt>
              </c:numCache>
            </c:numRef>
          </c:val>
          <c:extLst>
            <c:ext xmlns:c16="http://schemas.microsoft.com/office/drawing/2014/chart" uri="{C3380CC4-5D6E-409C-BE32-E72D297353CC}">
              <c16:uniqueId val="{00000006-C54C-4F14-8CD9-C306C1A9195B}"/>
            </c:ext>
          </c:extLst>
        </c:ser>
        <c:ser>
          <c:idx val="7"/>
          <c:order val="7"/>
          <c:tx>
            <c:strRef>
              <c:f>Gal!$A$9</c:f>
              <c:strCache>
                <c:ptCount val="1"/>
                <c:pt idx="0">
                  <c:v>2023Q1</c:v>
                </c:pt>
              </c:strCache>
            </c:strRef>
          </c:tx>
          <c:spPr>
            <a:solidFill>
              <a:schemeClr val="accent2">
                <a:lumMod val="60000"/>
              </a:schemeClr>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Gal!$B$9:$S$9</c:f>
              <c:numCache>
                <c:formatCode>General</c:formatCode>
                <c:ptCount val="18"/>
                <c:pt idx="0">
                  <c:v>1</c:v>
                </c:pt>
                <c:pt idx="2">
                  <c:v>14</c:v>
                </c:pt>
                <c:pt idx="3">
                  <c:v>46</c:v>
                </c:pt>
                <c:pt idx="4">
                  <c:v>63</c:v>
                </c:pt>
                <c:pt idx="5">
                  <c:v>58</c:v>
                </c:pt>
                <c:pt idx="6">
                  <c:v>84</c:v>
                </c:pt>
                <c:pt idx="7">
                  <c:v>93</c:v>
                </c:pt>
                <c:pt idx="8">
                  <c:v>91</c:v>
                </c:pt>
                <c:pt idx="9">
                  <c:v>91</c:v>
                </c:pt>
                <c:pt idx="10">
                  <c:v>47</c:v>
                </c:pt>
                <c:pt idx="11">
                  <c:v>42</c:v>
                </c:pt>
                <c:pt idx="12">
                  <c:v>29</c:v>
                </c:pt>
                <c:pt idx="13">
                  <c:v>20</c:v>
                </c:pt>
                <c:pt idx="14">
                  <c:v>9</c:v>
                </c:pt>
                <c:pt idx="15">
                  <c:v>1</c:v>
                </c:pt>
                <c:pt idx="16">
                  <c:v>0</c:v>
                </c:pt>
              </c:numCache>
            </c:numRef>
          </c:val>
          <c:extLst>
            <c:ext xmlns:c16="http://schemas.microsoft.com/office/drawing/2014/chart" uri="{C3380CC4-5D6E-409C-BE32-E72D297353CC}">
              <c16:uniqueId val="{00000007-C54C-4F14-8CD9-C306C1A9195B}"/>
            </c:ext>
          </c:extLst>
        </c:ser>
        <c:ser>
          <c:idx val="8"/>
          <c:order val="8"/>
          <c:tx>
            <c:strRef>
              <c:f>Gal!$A$10</c:f>
              <c:strCache>
                <c:ptCount val="1"/>
                <c:pt idx="0">
                  <c:v>2023Q2</c:v>
                </c:pt>
              </c:strCache>
            </c:strRef>
          </c:tx>
          <c:spPr>
            <a:solidFill>
              <a:schemeClr val="accent3">
                <a:lumMod val="60000"/>
              </a:schemeClr>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Gal!$B$10:$S$10</c:f>
              <c:numCache>
                <c:formatCode>General</c:formatCode>
                <c:ptCount val="18"/>
                <c:pt idx="2">
                  <c:v>24</c:v>
                </c:pt>
                <c:pt idx="3">
                  <c:v>50</c:v>
                </c:pt>
                <c:pt idx="4">
                  <c:v>65</c:v>
                </c:pt>
                <c:pt idx="5">
                  <c:v>61</c:v>
                </c:pt>
                <c:pt idx="6">
                  <c:v>71</c:v>
                </c:pt>
                <c:pt idx="7">
                  <c:v>80</c:v>
                </c:pt>
                <c:pt idx="8">
                  <c:v>106</c:v>
                </c:pt>
                <c:pt idx="9">
                  <c:v>80</c:v>
                </c:pt>
                <c:pt idx="10">
                  <c:v>64</c:v>
                </c:pt>
                <c:pt idx="11">
                  <c:v>49</c:v>
                </c:pt>
                <c:pt idx="12">
                  <c:v>26</c:v>
                </c:pt>
                <c:pt idx="13">
                  <c:v>24</c:v>
                </c:pt>
                <c:pt idx="14">
                  <c:v>5</c:v>
                </c:pt>
                <c:pt idx="15">
                  <c:v>3</c:v>
                </c:pt>
                <c:pt idx="16">
                  <c:v>0</c:v>
                </c:pt>
                <c:pt idx="17">
                  <c:v>1</c:v>
                </c:pt>
              </c:numCache>
            </c:numRef>
          </c:val>
          <c:extLst>
            <c:ext xmlns:c16="http://schemas.microsoft.com/office/drawing/2014/chart" uri="{C3380CC4-5D6E-409C-BE32-E72D297353CC}">
              <c16:uniqueId val="{00000008-C54C-4F14-8CD9-C306C1A9195B}"/>
            </c:ext>
          </c:extLst>
        </c:ser>
        <c:ser>
          <c:idx val="9"/>
          <c:order val="9"/>
          <c:tx>
            <c:strRef>
              <c:f>Gal!$A$11</c:f>
              <c:strCache>
                <c:ptCount val="1"/>
                <c:pt idx="0">
                  <c:v>2023Q3</c:v>
                </c:pt>
              </c:strCache>
            </c:strRef>
          </c:tx>
          <c:spPr>
            <a:solidFill>
              <a:schemeClr val="accent4">
                <a:lumMod val="60000"/>
              </a:schemeClr>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Gal!$B$11:$S$11</c:f>
              <c:numCache>
                <c:formatCode>General</c:formatCode>
                <c:ptCount val="18"/>
                <c:pt idx="2">
                  <c:v>21</c:v>
                </c:pt>
                <c:pt idx="3">
                  <c:v>53</c:v>
                </c:pt>
                <c:pt idx="4">
                  <c:v>72</c:v>
                </c:pt>
                <c:pt idx="5">
                  <c:v>62</c:v>
                </c:pt>
                <c:pt idx="6">
                  <c:v>85</c:v>
                </c:pt>
                <c:pt idx="7">
                  <c:v>93</c:v>
                </c:pt>
                <c:pt idx="8">
                  <c:v>128</c:v>
                </c:pt>
                <c:pt idx="9">
                  <c:v>98</c:v>
                </c:pt>
                <c:pt idx="10">
                  <c:v>70</c:v>
                </c:pt>
                <c:pt idx="11">
                  <c:v>48</c:v>
                </c:pt>
                <c:pt idx="12">
                  <c:v>33</c:v>
                </c:pt>
                <c:pt idx="13">
                  <c:v>20</c:v>
                </c:pt>
                <c:pt idx="14">
                  <c:v>11</c:v>
                </c:pt>
                <c:pt idx="15">
                  <c:v>6</c:v>
                </c:pt>
                <c:pt idx="16">
                  <c:v>1</c:v>
                </c:pt>
              </c:numCache>
            </c:numRef>
          </c:val>
          <c:extLst>
            <c:ext xmlns:c16="http://schemas.microsoft.com/office/drawing/2014/chart" uri="{C3380CC4-5D6E-409C-BE32-E72D297353CC}">
              <c16:uniqueId val="{00000009-C54C-4F14-8CD9-C306C1A9195B}"/>
            </c:ext>
          </c:extLst>
        </c:ser>
        <c:ser>
          <c:idx val="10"/>
          <c:order val="10"/>
          <c:tx>
            <c:strRef>
              <c:f>Gal!$A$12</c:f>
              <c:strCache>
                <c:ptCount val="1"/>
                <c:pt idx="0">
                  <c:v>2023Q4</c:v>
                </c:pt>
              </c:strCache>
            </c:strRef>
          </c:tx>
          <c:spPr>
            <a:solidFill>
              <a:schemeClr val="accent5">
                <a:lumMod val="60000"/>
              </a:schemeClr>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Gal!$B$12:$S$12</c:f>
              <c:numCache>
                <c:formatCode>General</c:formatCode>
                <c:ptCount val="18"/>
                <c:pt idx="2">
                  <c:v>14</c:v>
                </c:pt>
                <c:pt idx="3">
                  <c:v>37</c:v>
                </c:pt>
                <c:pt idx="4">
                  <c:v>41</c:v>
                </c:pt>
                <c:pt idx="5">
                  <c:v>41</c:v>
                </c:pt>
                <c:pt idx="6">
                  <c:v>53</c:v>
                </c:pt>
                <c:pt idx="7">
                  <c:v>71</c:v>
                </c:pt>
                <c:pt idx="8">
                  <c:v>52</c:v>
                </c:pt>
                <c:pt idx="9">
                  <c:v>68</c:v>
                </c:pt>
                <c:pt idx="10">
                  <c:v>33</c:v>
                </c:pt>
                <c:pt idx="11">
                  <c:v>26</c:v>
                </c:pt>
                <c:pt idx="12">
                  <c:v>31</c:v>
                </c:pt>
                <c:pt idx="13">
                  <c:v>15</c:v>
                </c:pt>
                <c:pt idx="14">
                  <c:v>12</c:v>
                </c:pt>
                <c:pt idx="15">
                  <c:v>1</c:v>
                </c:pt>
                <c:pt idx="16">
                  <c:v>2</c:v>
                </c:pt>
                <c:pt idx="17">
                  <c:v>0</c:v>
                </c:pt>
              </c:numCache>
            </c:numRef>
          </c:val>
          <c:extLst>
            <c:ext xmlns:c16="http://schemas.microsoft.com/office/drawing/2014/chart" uri="{C3380CC4-5D6E-409C-BE32-E72D297353CC}">
              <c16:uniqueId val="{0000000A-C54C-4F14-8CD9-C306C1A9195B}"/>
            </c:ext>
          </c:extLst>
        </c:ser>
        <c:ser>
          <c:idx val="11"/>
          <c:order val="11"/>
          <c:tx>
            <c:strRef>
              <c:f>Gal!$A$13</c:f>
              <c:strCache>
                <c:ptCount val="1"/>
                <c:pt idx="0">
                  <c:v>2024Q1</c:v>
                </c:pt>
              </c:strCache>
            </c:strRef>
          </c:tx>
          <c:spPr>
            <a:solidFill>
              <a:schemeClr val="accent6">
                <a:lumMod val="60000"/>
              </a:schemeClr>
            </a:solidFill>
            <a:ln/>
            <a:effectLst/>
            <a:sp3d/>
          </c:spPr>
          <c:cat>
            <c:strRef>
              <c:f>Gal!$B$1:$S$1</c:f>
              <c:strCache>
                <c:ptCount val="18"/>
                <c:pt idx="0">
                  <c:v> 5-9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strCache>
            </c:strRef>
          </c:cat>
          <c:val>
            <c:numRef>
              <c:f>Gal!$B$13:$S$13</c:f>
              <c:numCache>
                <c:formatCode>General</c:formatCode>
                <c:ptCount val="18"/>
                <c:pt idx="2">
                  <c:v>0</c:v>
                </c:pt>
                <c:pt idx="3">
                  <c:v>3</c:v>
                </c:pt>
                <c:pt idx="4">
                  <c:v>1</c:v>
                </c:pt>
                <c:pt idx="5">
                  <c:v>3</c:v>
                </c:pt>
                <c:pt idx="6">
                  <c:v>3</c:v>
                </c:pt>
                <c:pt idx="7">
                  <c:v>6</c:v>
                </c:pt>
                <c:pt idx="8">
                  <c:v>7</c:v>
                </c:pt>
                <c:pt idx="9">
                  <c:v>3</c:v>
                </c:pt>
                <c:pt idx="10">
                  <c:v>9</c:v>
                </c:pt>
                <c:pt idx="11">
                  <c:v>2</c:v>
                </c:pt>
                <c:pt idx="12">
                  <c:v>3</c:v>
                </c:pt>
                <c:pt idx="13">
                  <c:v>2</c:v>
                </c:pt>
                <c:pt idx="14">
                  <c:v>0</c:v>
                </c:pt>
                <c:pt idx="15">
                  <c:v>0</c:v>
                </c:pt>
                <c:pt idx="16">
                  <c:v>1</c:v>
                </c:pt>
                <c:pt idx="17">
                  <c:v>0</c:v>
                </c:pt>
              </c:numCache>
            </c:numRef>
          </c:val>
          <c:extLst>
            <c:ext xmlns:c16="http://schemas.microsoft.com/office/drawing/2014/chart" uri="{C3380CC4-5D6E-409C-BE32-E72D297353CC}">
              <c16:uniqueId val="{0000000B-C54C-4F14-8CD9-C306C1A9195B}"/>
            </c:ext>
          </c:extLst>
        </c:ser>
        <c:bandFmts>
          <c:bandFmt>
            <c:idx val="0"/>
            <c:spPr>
              <a:solidFill>
                <a:schemeClr val="accent1"/>
              </a:solidFill>
              <a:ln/>
              <a:effectLst/>
              <a:sp3d/>
            </c:spPr>
          </c:bandFmt>
          <c:bandFmt>
            <c:idx val="1"/>
            <c:spPr>
              <a:solidFill>
                <a:schemeClr val="accent2"/>
              </a:solidFill>
              <a:ln/>
              <a:effectLst/>
              <a:sp3d/>
            </c:spPr>
          </c:bandFmt>
          <c:bandFmt>
            <c:idx val="2"/>
            <c:spPr>
              <a:solidFill>
                <a:schemeClr val="accent3"/>
              </a:solidFill>
              <a:ln/>
              <a:effectLst/>
              <a:sp3d/>
            </c:spPr>
          </c:bandFmt>
          <c:bandFmt>
            <c:idx val="3"/>
            <c:spPr>
              <a:solidFill>
                <a:schemeClr val="accent4"/>
              </a:solidFill>
              <a:ln/>
              <a:effectLst/>
              <a:sp3d/>
            </c:spPr>
          </c:bandFmt>
          <c:bandFmt>
            <c:idx val="4"/>
            <c:spPr>
              <a:solidFill>
                <a:schemeClr val="accent5"/>
              </a:solidFill>
              <a:ln/>
              <a:effectLst/>
              <a:sp3d/>
            </c:spPr>
          </c:bandFmt>
          <c:bandFmt>
            <c:idx val="5"/>
            <c:spPr>
              <a:solidFill>
                <a:schemeClr val="accent6"/>
              </a:solidFill>
              <a:ln/>
              <a:effectLst/>
              <a:sp3d/>
            </c:spPr>
          </c:bandFmt>
          <c:bandFmt>
            <c:idx val="6"/>
            <c:spPr>
              <a:solidFill>
                <a:schemeClr val="accent1">
                  <a:lumMod val="60000"/>
                </a:schemeClr>
              </a:solidFill>
              <a:ln/>
              <a:effectLst/>
              <a:sp3d/>
            </c:spPr>
          </c:bandFmt>
          <c:bandFmt>
            <c:idx val="7"/>
            <c:spPr>
              <a:solidFill>
                <a:schemeClr val="accent2">
                  <a:lumMod val="60000"/>
                </a:schemeClr>
              </a:solidFill>
              <a:ln/>
              <a:effectLst/>
              <a:sp3d/>
            </c:spPr>
          </c:bandFmt>
          <c:bandFmt>
            <c:idx val="8"/>
            <c:spPr>
              <a:solidFill>
                <a:schemeClr val="accent3">
                  <a:lumMod val="60000"/>
                </a:schemeClr>
              </a:solidFill>
              <a:ln/>
              <a:effectLst/>
              <a:sp3d/>
            </c:spPr>
          </c:bandFmt>
          <c:bandFmt>
            <c:idx val="9"/>
            <c:spPr>
              <a:solidFill>
                <a:schemeClr val="accent4">
                  <a:lumMod val="60000"/>
                </a:schemeClr>
              </a:solidFill>
              <a:ln/>
              <a:effectLst/>
              <a:sp3d/>
            </c:spPr>
          </c:bandFmt>
          <c:bandFmt>
            <c:idx val="10"/>
            <c:spPr>
              <a:solidFill>
                <a:schemeClr val="accent5">
                  <a:lumMod val="60000"/>
                </a:schemeClr>
              </a:solidFill>
              <a:ln/>
              <a:effectLst/>
              <a:sp3d/>
            </c:spPr>
          </c:bandFmt>
          <c:bandFmt>
            <c:idx val="11"/>
            <c:spPr>
              <a:solidFill>
                <a:schemeClr val="accent6">
                  <a:lumMod val="60000"/>
                </a:schemeClr>
              </a:solidFill>
              <a:ln/>
              <a:effectLst/>
              <a:sp3d/>
            </c:spPr>
          </c:bandFmt>
          <c:bandFmt>
            <c:idx val="12"/>
            <c:spPr>
              <a:solidFill>
                <a:schemeClr val="accent1">
                  <a:lumMod val="80000"/>
                  <a:lumOff val="20000"/>
                </a:schemeClr>
              </a:solidFill>
              <a:ln/>
              <a:effectLst/>
              <a:sp3d/>
            </c:spPr>
          </c:bandFmt>
          <c:bandFmt>
            <c:idx val="13"/>
            <c:spPr>
              <a:solidFill>
                <a:schemeClr val="accent2">
                  <a:lumMod val="80000"/>
                  <a:lumOff val="20000"/>
                </a:schemeClr>
              </a:solidFill>
              <a:ln/>
              <a:effectLst/>
              <a:sp3d/>
            </c:spPr>
          </c:bandFmt>
          <c:bandFmt>
            <c:idx val="14"/>
            <c:spPr>
              <a:solidFill>
                <a:schemeClr val="accent3">
                  <a:lumMod val="80000"/>
                  <a:lumOff val="20000"/>
                </a:schemeClr>
              </a:solidFill>
              <a:ln/>
              <a:effectLst/>
              <a:sp3d/>
            </c:spPr>
          </c:bandFmt>
        </c:bandFmts>
        <c:axId val="525264712"/>
        <c:axId val="525266512"/>
        <c:axId val="729892816"/>
      </c:surfaceChart>
      <c:catAx>
        <c:axId val="525264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266512"/>
        <c:crosses val="autoZero"/>
        <c:auto val="1"/>
        <c:lblAlgn val="ctr"/>
        <c:lblOffset val="100"/>
        <c:noMultiLvlLbl val="0"/>
      </c:catAx>
      <c:valAx>
        <c:axId val="525266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p>
            </c:rich>
          </c:tx>
          <c:layout>
            <c:manualLayout>
              <c:xMode val="edge"/>
              <c:yMode val="edge"/>
              <c:x val="0.83210412304529502"/>
              <c:y val="0.38099269176573436"/>
            </c:manualLayout>
          </c:layout>
          <c:overlay val="0"/>
          <c:spPr>
            <a:noFill/>
            <a:ln>
              <a:noFill/>
            </a:ln>
            <a:effectLst/>
          </c:spPr>
        </c:title>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264712"/>
        <c:crosses val="autoZero"/>
        <c:crossBetween val="midCat"/>
        <c:majorUnit val="50"/>
      </c:valAx>
      <c:serAx>
        <c:axId val="7298928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266512"/>
        <c:crosses val="autoZero"/>
      </c:serAx>
    </c:plotArea>
    <c:legend>
      <c:legendPos val="r"/>
      <c:layout>
        <c:manualLayout>
          <c:xMode val="edge"/>
          <c:yMode val="edge"/>
          <c:x val="0.88220736657515608"/>
          <c:y val="0.13598490891856635"/>
          <c:w val="0.10572644174477042"/>
          <c:h val="0.66703920651158177"/>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Incident Female Patients by Age and Quarter</a:t>
            </a:r>
          </a:p>
        </c:rich>
      </c:tx>
      <c:overlay val="0"/>
      <c:spPr>
        <a:noFill/>
        <a:ln>
          <a:noFill/>
        </a:ln>
        <a:effectLst/>
      </c:spPr>
    </c:title>
    <c:autoTitleDeleted val="0"/>
    <c:view3D>
      <c:rotX val="90"/>
      <c:rotY val="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Chart>
        <c:wireframe val="0"/>
        <c:ser>
          <c:idx val="0"/>
          <c:order val="0"/>
          <c:tx>
            <c:strRef>
              <c:f>'FREM '!$A$3</c:f>
              <c:strCache>
                <c:ptCount val="1"/>
                <c:pt idx="0">
                  <c:v>2021Q3</c:v>
                </c:pt>
              </c:strCache>
            </c:strRef>
          </c:tx>
          <c:spPr>
            <a:solidFill>
              <a:schemeClr val="accent1"/>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'!$B$3:$U$3</c:f>
              <c:numCache>
                <c:formatCode>General</c:formatCode>
                <c:ptCount val="20"/>
                <c:pt idx="3">
                  <c:v>22</c:v>
                </c:pt>
                <c:pt idx="4">
                  <c:v>59</c:v>
                </c:pt>
                <c:pt idx="5">
                  <c:v>94</c:v>
                </c:pt>
                <c:pt idx="6">
                  <c:v>101</c:v>
                </c:pt>
                <c:pt idx="7">
                  <c:v>167</c:v>
                </c:pt>
                <c:pt idx="8">
                  <c:v>188</c:v>
                </c:pt>
                <c:pt idx="9">
                  <c:v>191</c:v>
                </c:pt>
                <c:pt idx="10">
                  <c:v>201</c:v>
                </c:pt>
                <c:pt idx="11">
                  <c:v>130</c:v>
                </c:pt>
                <c:pt idx="12">
                  <c:v>109</c:v>
                </c:pt>
                <c:pt idx="13">
                  <c:v>88</c:v>
                </c:pt>
                <c:pt idx="14">
                  <c:v>44</c:v>
                </c:pt>
                <c:pt idx="15">
                  <c:v>23</c:v>
                </c:pt>
                <c:pt idx="16">
                  <c:v>8</c:v>
                </c:pt>
                <c:pt idx="17">
                  <c:v>1</c:v>
                </c:pt>
              </c:numCache>
            </c:numRef>
          </c:val>
          <c:extLst>
            <c:ext xmlns:c16="http://schemas.microsoft.com/office/drawing/2014/chart" uri="{C3380CC4-5D6E-409C-BE32-E72D297353CC}">
              <c16:uniqueId val="{00000000-B9C8-4E11-9478-070FCCEFBD54}"/>
            </c:ext>
          </c:extLst>
        </c:ser>
        <c:ser>
          <c:idx val="1"/>
          <c:order val="1"/>
          <c:tx>
            <c:strRef>
              <c:f>'FREM '!$A$4</c:f>
              <c:strCache>
                <c:ptCount val="1"/>
                <c:pt idx="0">
                  <c:v>2021Q4</c:v>
                </c:pt>
              </c:strCache>
            </c:strRef>
          </c:tx>
          <c:spPr>
            <a:solidFill>
              <a:schemeClr val="accent2"/>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'!$B$4:$U$4</c:f>
              <c:numCache>
                <c:formatCode>General</c:formatCode>
                <c:ptCount val="20"/>
                <c:pt idx="3">
                  <c:v>23</c:v>
                </c:pt>
                <c:pt idx="4">
                  <c:v>86</c:v>
                </c:pt>
                <c:pt idx="5">
                  <c:v>96</c:v>
                </c:pt>
                <c:pt idx="6">
                  <c:v>101</c:v>
                </c:pt>
                <c:pt idx="7">
                  <c:v>137</c:v>
                </c:pt>
                <c:pt idx="8">
                  <c:v>152</c:v>
                </c:pt>
                <c:pt idx="9">
                  <c:v>154</c:v>
                </c:pt>
                <c:pt idx="10">
                  <c:v>153</c:v>
                </c:pt>
                <c:pt idx="11">
                  <c:v>116</c:v>
                </c:pt>
                <c:pt idx="12">
                  <c:v>99</c:v>
                </c:pt>
                <c:pt idx="13">
                  <c:v>60</c:v>
                </c:pt>
                <c:pt idx="14">
                  <c:v>38</c:v>
                </c:pt>
                <c:pt idx="15">
                  <c:v>17</c:v>
                </c:pt>
                <c:pt idx="16">
                  <c:v>4</c:v>
                </c:pt>
                <c:pt idx="17">
                  <c:v>4</c:v>
                </c:pt>
                <c:pt idx="18">
                  <c:v>1</c:v>
                </c:pt>
              </c:numCache>
            </c:numRef>
          </c:val>
          <c:extLst>
            <c:ext xmlns:c16="http://schemas.microsoft.com/office/drawing/2014/chart" uri="{C3380CC4-5D6E-409C-BE32-E72D297353CC}">
              <c16:uniqueId val="{00000001-B9C8-4E11-9478-070FCCEFBD54}"/>
            </c:ext>
          </c:extLst>
        </c:ser>
        <c:ser>
          <c:idx val="2"/>
          <c:order val="2"/>
          <c:tx>
            <c:strRef>
              <c:f>'FREM '!$A$5</c:f>
              <c:strCache>
                <c:ptCount val="1"/>
                <c:pt idx="0">
                  <c:v>2022Q1</c:v>
                </c:pt>
              </c:strCache>
            </c:strRef>
          </c:tx>
          <c:spPr>
            <a:solidFill>
              <a:schemeClr val="accent3"/>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'!$B$5:$U$5</c:f>
              <c:numCache>
                <c:formatCode>General</c:formatCode>
                <c:ptCount val="20"/>
                <c:pt idx="3">
                  <c:v>24</c:v>
                </c:pt>
                <c:pt idx="4">
                  <c:v>69</c:v>
                </c:pt>
                <c:pt idx="5">
                  <c:v>67</c:v>
                </c:pt>
                <c:pt idx="6">
                  <c:v>92</c:v>
                </c:pt>
                <c:pt idx="7">
                  <c:v>111</c:v>
                </c:pt>
                <c:pt idx="8">
                  <c:v>120</c:v>
                </c:pt>
                <c:pt idx="9">
                  <c:v>152</c:v>
                </c:pt>
                <c:pt idx="10">
                  <c:v>127</c:v>
                </c:pt>
                <c:pt idx="11">
                  <c:v>79</c:v>
                </c:pt>
                <c:pt idx="12">
                  <c:v>77</c:v>
                </c:pt>
                <c:pt idx="13">
                  <c:v>51</c:v>
                </c:pt>
                <c:pt idx="14">
                  <c:v>35</c:v>
                </c:pt>
                <c:pt idx="15">
                  <c:v>10</c:v>
                </c:pt>
                <c:pt idx="16">
                  <c:v>9</c:v>
                </c:pt>
                <c:pt idx="17">
                  <c:v>1</c:v>
                </c:pt>
                <c:pt idx="18">
                  <c:v>1</c:v>
                </c:pt>
              </c:numCache>
            </c:numRef>
          </c:val>
          <c:extLst>
            <c:ext xmlns:c16="http://schemas.microsoft.com/office/drawing/2014/chart" uri="{C3380CC4-5D6E-409C-BE32-E72D297353CC}">
              <c16:uniqueId val="{00000002-B9C8-4E11-9478-070FCCEFBD54}"/>
            </c:ext>
          </c:extLst>
        </c:ser>
        <c:ser>
          <c:idx val="3"/>
          <c:order val="3"/>
          <c:tx>
            <c:strRef>
              <c:f>'FREM '!$A$6</c:f>
              <c:strCache>
                <c:ptCount val="1"/>
                <c:pt idx="0">
                  <c:v>2022Q2</c:v>
                </c:pt>
              </c:strCache>
            </c:strRef>
          </c:tx>
          <c:spPr>
            <a:solidFill>
              <a:schemeClr val="accent4"/>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'!$B$6:$U$6</c:f>
              <c:numCache>
                <c:formatCode>General</c:formatCode>
                <c:ptCount val="20"/>
                <c:pt idx="2">
                  <c:v>2</c:v>
                </c:pt>
                <c:pt idx="3">
                  <c:v>23</c:v>
                </c:pt>
                <c:pt idx="4">
                  <c:v>79</c:v>
                </c:pt>
                <c:pt idx="5">
                  <c:v>88</c:v>
                </c:pt>
                <c:pt idx="6">
                  <c:v>90</c:v>
                </c:pt>
                <c:pt idx="7">
                  <c:v>96</c:v>
                </c:pt>
                <c:pt idx="8">
                  <c:v>109</c:v>
                </c:pt>
                <c:pt idx="9">
                  <c:v>133</c:v>
                </c:pt>
                <c:pt idx="10">
                  <c:v>134</c:v>
                </c:pt>
                <c:pt idx="11">
                  <c:v>84</c:v>
                </c:pt>
                <c:pt idx="12">
                  <c:v>68</c:v>
                </c:pt>
                <c:pt idx="13">
                  <c:v>56</c:v>
                </c:pt>
                <c:pt idx="14">
                  <c:v>31</c:v>
                </c:pt>
                <c:pt idx="15">
                  <c:v>10</c:v>
                </c:pt>
                <c:pt idx="16">
                  <c:v>6</c:v>
                </c:pt>
                <c:pt idx="17">
                  <c:v>1</c:v>
                </c:pt>
                <c:pt idx="18">
                  <c:v>0</c:v>
                </c:pt>
              </c:numCache>
            </c:numRef>
          </c:val>
          <c:extLst>
            <c:ext xmlns:c16="http://schemas.microsoft.com/office/drawing/2014/chart" uri="{C3380CC4-5D6E-409C-BE32-E72D297353CC}">
              <c16:uniqueId val="{00000003-B9C8-4E11-9478-070FCCEFBD54}"/>
            </c:ext>
          </c:extLst>
        </c:ser>
        <c:ser>
          <c:idx val="4"/>
          <c:order val="4"/>
          <c:tx>
            <c:strRef>
              <c:f>'FREM '!$A$7</c:f>
              <c:strCache>
                <c:ptCount val="1"/>
                <c:pt idx="0">
                  <c:v>2022Q3</c:v>
                </c:pt>
              </c:strCache>
            </c:strRef>
          </c:tx>
          <c:spPr>
            <a:solidFill>
              <a:schemeClr val="accent5"/>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'!$B$7:$U$7</c:f>
              <c:numCache>
                <c:formatCode>General</c:formatCode>
                <c:ptCount val="20"/>
                <c:pt idx="2">
                  <c:v>0</c:v>
                </c:pt>
                <c:pt idx="3">
                  <c:v>22</c:v>
                </c:pt>
                <c:pt idx="4">
                  <c:v>72</c:v>
                </c:pt>
                <c:pt idx="5">
                  <c:v>97</c:v>
                </c:pt>
                <c:pt idx="6">
                  <c:v>110</c:v>
                </c:pt>
                <c:pt idx="7">
                  <c:v>115</c:v>
                </c:pt>
                <c:pt idx="8">
                  <c:v>117</c:v>
                </c:pt>
                <c:pt idx="9">
                  <c:v>145</c:v>
                </c:pt>
                <c:pt idx="10">
                  <c:v>134</c:v>
                </c:pt>
                <c:pt idx="11">
                  <c:v>97</c:v>
                </c:pt>
                <c:pt idx="12">
                  <c:v>71</c:v>
                </c:pt>
                <c:pt idx="13">
                  <c:v>47</c:v>
                </c:pt>
                <c:pt idx="14">
                  <c:v>22</c:v>
                </c:pt>
                <c:pt idx="15">
                  <c:v>16</c:v>
                </c:pt>
                <c:pt idx="16">
                  <c:v>7</c:v>
                </c:pt>
                <c:pt idx="17">
                  <c:v>1</c:v>
                </c:pt>
                <c:pt idx="18">
                  <c:v>0</c:v>
                </c:pt>
              </c:numCache>
            </c:numRef>
          </c:val>
          <c:extLst>
            <c:ext xmlns:c16="http://schemas.microsoft.com/office/drawing/2014/chart" uri="{C3380CC4-5D6E-409C-BE32-E72D297353CC}">
              <c16:uniqueId val="{00000004-B9C8-4E11-9478-070FCCEFBD54}"/>
            </c:ext>
          </c:extLst>
        </c:ser>
        <c:ser>
          <c:idx val="5"/>
          <c:order val="5"/>
          <c:tx>
            <c:strRef>
              <c:f>'FREM '!$A$8</c:f>
              <c:strCache>
                <c:ptCount val="1"/>
                <c:pt idx="0">
                  <c:v>2022Q4</c:v>
                </c:pt>
              </c:strCache>
            </c:strRef>
          </c:tx>
          <c:spPr>
            <a:solidFill>
              <a:schemeClr val="accent6"/>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'!$B$8:$U$8</c:f>
              <c:numCache>
                <c:formatCode>General</c:formatCode>
                <c:ptCount val="20"/>
                <c:pt idx="2">
                  <c:v>0</c:v>
                </c:pt>
                <c:pt idx="3">
                  <c:v>25</c:v>
                </c:pt>
                <c:pt idx="4">
                  <c:v>104</c:v>
                </c:pt>
                <c:pt idx="5">
                  <c:v>105</c:v>
                </c:pt>
                <c:pt idx="6">
                  <c:v>112</c:v>
                </c:pt>
                <c:pt idx="7">
                  <c:v>140</c:v>
                </c:pt>
                <c:pt idx="8">
                  <c:v>169</c:v>
                </c:pt>
                <c:pt idx="9">
                  <c:v>184</c:v>
                </c:pt>
                <c:pt idx="10">
                  <c:v>176</c:v>
                </c:pt>
                <c:pt idx="11">
                  <c:v>125</c:v>
                </c:pt>
                <c:pt idx="12">
                  <c:v>80</c:v>
                </c:pt>
                <c:pt idx="13">
                  <c:v>59</c:v>
                </c:pt>
                <c:pt idx="14">
                  <c:v>29</c:v>
                </c:pt>
                <c:pt idx="15">
                  <c:v>22</c:v>
                </c:pt>
                <c:pt idx="16">
                  <c:v>9</c:v>
                </c:pt>
                <c:pt idx="17">
                  <c:v>4</c:v>
                </c:pt>
                <c:pt idx="18">
                  <c:v>0</c:v>
                </c:pt>
              </c:numCache>
            </c:numRef>
          </c:val>
          <c:extLst>
            <c:ext xmlns:c16="http://schemas.microsoft.com/office/drawing/2014/chart" uri="{C3380CC4-5D6E-409C-BE32-E72D297353CC}">
              <c16:uniqueId val="{00000005-B9C8-4E11-9478-070FCCEFBD54}"/>
            </c:ext>
          </c:extLst>
        </c:ser>
        <c:ser>
          <c:idx val="6"/>
          <c:order val="6"/>
          <c:tx>
            <c:strRef>
              <c:f>'FREM '!$A$9</c:f>
              <c:strCache>
                <c:ptCount val="1"/>
                <c:pt idx="0">
                  <c:v>2023Q1</c:v>
                </c:pt>
              </c:strCache>
            </c:strRef>
          </c:tx>
          <c:spPr>
            <a:solidFill>
              <a:schemeClr val="accent1">
                <a:lumMod val="60000"/>
              </a:schemeClr>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'!$B$9:$U$9</c:f>
              <c:numCache>
                <c:formatCode>General</c:formatCode>
                <c:ptCount val="20"/>
                <c:pt idx="2">
                  <c:v>0</c:v>
                </c:pt>
                <c:pt idx="3">
                  <c:v>43</c:v>
                </c:pt>
                <c:pt idx="4">
                  <c:v>94</c:v>
                </c:pt>
                <c:pt idx="5">
                  <c:v>120</c:v>
                </c:pt>
                <c:pt idx="6">
                  <c:v>148</c:v>
                </c:pt>
                <c:pt idx="7">
                  <c:v>151</c:v>
                </c:pt>
                <c:pt idx="8">
                  <c:v>184</c:v>
                </c:pt>
                <c:pt idx="9">
                  <c:v>196</c:v>
                </c:pt>
                <c:pt idx="10">
                  <c:v>153</c:v>
                </c:pt>
                <c:pt idx="11">
                  <c:v>108</c:v>
                </c:pt>
                <c:pt idx="12">
                  <c:v>104</c:v>
                </c:pt>
                <c:pt idx="13">
                  <c:v>61</c:v>
                </c:pt>
                <c:pt idx="14">
                  <c:v>34</c:v>
                </c:pt>
                <c:pt idx="15">
                  <c:v>16</c:v>
                </c:pt>
                <c:pt idx="16">
                  <c:v>17</c:v>
                </c:pt>
                <c:pt idx="17">
                  <c:v>2</c:v>
                </c:pt>
                <c:pt idx="18">
                  <c:v>0</c:v>
                </c:pt>
              </c:numCache>
            </c:numRef>
          </c:val>
          <c:extLst>
            <c:ext xmlns:c16="http://schemas.microsoft.com/office/drawing/2014/chart" uri="{C3380CC4-5D6E-409C-BE32-E72D297353CC}">
              <c16:uniqueId val="{00000006-B9C8-4E11-9478-070FCCEFBD54}"/>
            </c:ext>
          </c:extLst>
        </c:ser>
        <c:ser>
          <c:idx val="7"/>
          <c:order val="7"/>
          <c:tx>
            <c:strRef>
              <c:f>'FREM '!$A$10</c:f>
              <c:strCache>
                <c:ptCount val="1"/>
                <c:pt idx="0">
                  <c:v>2023Q2</c:v>
                </c:pt>
              </c:strCache>
            </c:strRef>
          </c:tx>
          <c:spPr>
            <a:solidFill>
              <a:schemeClr val="accent2">
                <a:lumMod val="60000"/>
              </a:schemeClr>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'!$B$10:$U$10</c:f>
              <c:numCache>
                <c:formatCode>General</c:formatCode>
                <c:ptCount val="20"/>
                <c:pt idx="2">
                  <c:v>1</c:v>
                </c:pt>
                <c:pt idx="3">
                  <c:v>40</c:v>
                </c:pt>
                <c:pt idx="4">
                  <c:v>99</c:v>
                </c:pt>
                <c:pt idx="5">
                  <c:v>134</c:v>
                </c:pt>
                <c:pt idx="6">
                  <c:v>121</c:v>
                </c:pt>
                <c:pt idx="7">
                  <c:v>143</c:v>
                </c:pt>
                <c:pt idx="8">
                  <c:v>181</c:v>
                </c:pt>
                <c:pt idx="9">
                  <c:v>197</c:v>
                </c:pt>
                <c:pt idx="10">
                  <c:v>181</c:v>
                </c:pt>
                <c:pt idx="11">
                  <c:v>120</c:v>
                </c:pt>
                <c:pt idx="12">
                  <c:v>89</c:v>
                </c:pt>
                <c:pt idx="13">
                  <c:v>54</c:v>
                </c:pt>
                <c:pt idx="14">
                  <c:v>31</c:v>
                </c:pt>
                <c:pt idx="15">
                  <c:v>23</c:v>
                </c:pt>
                <c:pt idx="16">
                  <c:v>5</c:v>
                </c:pt>
                <c:pt idx="17">
                  <c:v>1</c:v>
                </c:pt>
                <c:pt idx="18">
                  <c:v>1</c:v>
                </c:pt>
              </c:numCache>
            </c:numRef>
          </c:val>
          <c:extLst>
            <c:ext xmlns:c16="http://schemas.microsoft.com/office/drawing/2014/chart" uri="{C3380CC4-5D6E-409C-BE32-E72D297353CC}">
              <c16:uniqueId val="{00000007-B9C8-4E11-9478-070FCCEFBD54}"/>
            </c:ext>
          </c:extLst>
        </c:ser>
        <c:ser>
          <c:idx val="8"/>
          <c:order val="8"/>
          <c:tx>
            <c:strRef>
              <c:f>'FREM '!$A$11</c:f>
              <c:strCache>
                <c:ptCount val="1"/>
                <c:pt idx="0">
                  <c:v>2023Q3</c:v>
                </c:pt>
              </c:strCache>
            </c:strRef>
          </c:tx>
          <c:spPr>
            <a:solidFill>
              <a:schemeClr val="accent3">
                <a:lumMod val="60000"/>
              </a:schemeClr>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'!$B$11:$U$11</c:f>
              <c:numCache>
                <c:formatCode>General</c:formatCode>
                <c:ptCount val="20"/>
                <c:pt idx="2">
                  <c:v>1</c:v>
                </c:pt>
                <c:pt idx="3">
                  <c:v>41</c:v>
                </c:pt>
                <c:pt idx="4">
                  <c:v>109</c:v>
                </c:pt>
                <c:pt idx="5">
                  <c:v>132</c:v>
                </c:pt>
                <c:pt idx="6">
                  <c:v>121</c:v>
                </c:pt>
                <c:pt idx="7">
                  <c:v>172</c:v>
                </c:pt>
                <c:pt idx="8">
                  <c:v>201</c:v>
                </c:pt>
                <c:pt idx="9">
                  <c:v>198</c:v>
                </c:pt>
                <c:pt idx="10">
                  <c:v>177</c:v>
                </c:pt>
                <c:pt idx="11">
                  <c:v>132</c:v>
                </c:pt>
                <c:pt idx="12">
                  <c:v>96</c:v>
                </c:pt>
                <c:pt idx="13">
                  <c:v>60</c:v>
                </c:pt>
                <c:pt idx="14">
                  <c:v>47</c:v>
                </c:pt>
                <c:pt idx="15">
                  <c:v>27</c:v>
                </c:pt>
                <c:pt idx="16">
                  <c:v>10</c:v>
                </c:pt>
                <c:pt idx="17">
                  <c:v>4</c:v>
                </c:pt>
                <c:pt idx="18">
                  <c:v>0</c:v>
                </c:pt>
              </c:numCache>
            </c:numRef>
          </c:val>
          <c:extLst>
            <c:ext xmlns:c16="http://schemas.microsoft.com/office/drawing/2014/chart" uri="{C3380CC4-5D6E-409C-BE32-E72D297353CC}">
              <c16:uniqueId val="{00000008-B9C8-4E11-9478-070FCCEFBD54}"/>
            </c:ext>
          </c:extLst>
        </c:ser>
        <c:ser>
          <c:idx val="9"/>
          <c:order val="9"/>
          <c:tx>
            <c:strRef>
              <c:f>'FREM '!$A$12</c:f>
              <c:strCache>
                <c:ptCount val="1"/>
                <c:pt idx="0">
                  <c:v>2023Q4</c:v>
                </c:pt>
              </c:strCache>
            </c:strRef>
          </c:tx>
          <c:spPr>
            <a:solidFill>
              <a:schemeClr val="accent4">
                <a:lumMod val="60000"/>
              </a:schemeClr>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'!$B$12:$U$12</c:f>
              <c:numCache>
                <c:formatCode>General</c:formatCode>
                <c:ptCount val="20"/>
                <c:pt idx="2">
                  <c:v>0</c:v>
                </c:pt>
                <c:pt idx="3">
                  <c:v>53</c:v>
                </c:pt>
                <c:pt idx="4">
                  <c:v>156</c:v>
                </c:pt>
                <c:pt idx="5">
                  <c:v>234</c:v>
                </c:pt>
                <c:pt idx="6">
                  <c:v>240</c:v>
                </c:pt>
                <c:pt idx="7">
                  <c:v>274</c:v>
                </c:pt>
                <c:pt idx="8">
                  <c:v>332</c:v>
                </c:pt>
                <c:pt idx="9">
                  <c:v>403</c:v>
                </c:pt>
                <c:pt idx="10">
                  <c:v>373</c:v>
                </c:pt>
                <c:pt idx="11">
                  <c:v>283</c:v>
                </c:pt>
                <c:pt idx="12">
                  <c:v>187</c:v>
                </c:pt>
                <c:pt idx="13">
                  <c:v>170</c:v>
                </c:pt>
                <c:pt idx="14">
                  <c:v>101</c:v>
                </c:pt>
                <c:pt idx="15">
                  <c:v>48</c:v>
                </c:pt>
                <c:pt idx="16">
                  <c:v>11</c:v>
                </c:pt>
                <c:pt idx="17">
                  <c:v>4</c:v>
                </c:pt>
                <c:pt idx="18">
                  <c:v>1</c:v>
                </c:pt>
                <c:pt idx="19">
                  <c:v>1</c:v>
                </c:pt>
              </c:numCache>
            </c:numRef>
          </c:val>
          <c:extLst>
            <c:ext xmlns:c16="http://schemas.microsoft.com/office/drawing/2014/chart" uri="{C3380CC4-5D6E-409C-BE32-E72D297353CC}">
              <c16:uniqueId val="{00000009-B9C8-4E11-9478-070FCCEFBD54}"/>
            </c:ext>
          </c:extLst>
        </c:ser>
        <c:ser>
          <c:idx val="10"/>
          <c:order val="10"/>
          <c:tx>
            <c:strRef>
              <c:f>'FREM '!$A$13</c:f>
              <c:strCache>
                <c:ptCount val="1"/>
                <c:pt idx="0">
                  <c:v>2024Q1</c:v>
                </c:pt>
              </c:strCache>
            </c:strRef>
          </c:tx>
          <c:spPr>
            <a:solidFill>
              <a:schemeClr val="accent5">
                <a:lumMod val="60000"/>
              </a:schemeClr>
            </a:solidFill>
            <a:ln/>
            <a:effectLst/>
            <a:sp3d/>
          </c:spPr>
          <c:cat>
            <c:strRef>
              <c:f>'FREM '!$B$2:$U$2</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'FREM '!$B$13:$U$13</c:f>
              <c:numCache>
                <c:formatCode>General</c:formatCode>
                <c:ptCount val="20"/>
                <c:pt idx="2">
                  <c:v>0</c:v>
                </c:pt>
                <c:pt idx="3">
                  <c:v>60</c:v>
                </c:pt>
                <c:pt idx="4">
                  <c:v>150</c:v>
                </c:pt>
                <c:pt idx="5">
                  <c:v>213</c:v>
                </c:pt>
                <c:pt idx="6">
                  <c:v>208</c:v>
                </c:pt>
                <c:pt idx="7">
                  <c:v>257</c:v>
                </c:pt>
                <c:pt idx="8">
                  <c:v>352</c:v>
                </c:pt>
                <c:pt idx="9">
                  <c:v>363</c:v>
                </c:pt>
                <c:pt idx="10">
                  <c:v>387</c:v>
                </c:pt>
                <c:pt idx="11">
                  <c:v>235</c:v>
                </c:pt>
                <c:pt idx="12">
                  <c:v>200</c:v>
                </c:pt>
                <c:pt idx="13">
                  <c:v>151</c:v>
                </c:pt>
                <c:pt idx="14">
                  <c:v>77</c:v>
                </c:pt>
                <c:pt idx="15">
                  <c:v>32</c:v>
                </c:pt>
                <c:pt idx="16">
                  <c:v>21</c:v>
                </c:pt>
                <c:pt idx="17">
                  <c:v>6</c:v>
                </c:pt>
                <c:pt idx="18">
                  <c:v>2</c:v>
                </c:pt>
                <c:pt idx="19">
                  <c:v>0</c:v>
                </c:pt>
              </c:numCache>
            </c:numRef>
          </c:val>
          <c:extLst>
            <c:ext xmlns:c16="http://schemas.microsoft.com/office/drawing/2014/chart" uri="{C3380CC4-5D6E-409C-BE32-E72D297353CC}">
              <c16:uniqueId val="{0000000A-B9C8-4E11-9478-070FCCEFBD54}"/>
            </c:ext>
          </c:extLst>
        </c:ser>
        <c:bandFmts>
          <c:bandFmt>
            <c:idx val="0"/>
            <c:spPr>
              <a:solidFill>
                <a:schemeClr val="accent1"/>
              </a:solidFill>
              <a:ln/>
              <a:effectLst/>
              <a:sp3d/>
            </c:spPr>
          </c:bandFmt>
          <c:bandFmt>
            <c:idx val="1"/>
            <c:spPr>
              <a:solidFill>
                <a:schemeClr val="accent2"/>
              </a:solidFill>
              <a:ln/>
              <a:effectLst/>
              <a:sp3d/>
            </c:spPr>
          </c:bandFmt>
          <c:bandFmt>
            <c:idx val="2"/>
            <c:spPr>
              <a:solidFill>
                <a:schemeClr val="accent3"/>
              </a:solidFill>
              <a:ln/>
              <a:effectLst/>
              <a:sp3d/>
            </c:spPr>
          </c:bandFmt>
          <c:bandFmt>
            <c:idx val="3"/>
            <c:spPr>
              <a:solidFill>
                <a:schemeClr val="accent4"/>
              </a:solidFill>
              <a:ln/>
              <a:effectLst/>
              <a:sp3d/>
            </c:spPr>
          </c:bandFmt>
          <c:bandFmt>
            <c:idx val="4"/>
            <c:spPr>
              <a:solidFill>
                <a:schemeClr val="accent5"/>
              </a:solidFill>
              <a:ln/>
              <a:effectLst/>
              <a:sp3d/>
            </c:spPr>
          </c:bandFmt>
          <c:bandFmt>
            <c:idx val="5"/>
            <c:spPr>
              <a:solidFill>
                <a:schemeClr val="accent6"/>
              </a:solidFill>
              <a:ln/>
              <a:effectLst/>
              <a:sp3d/>
            </c:spPr>
          </c:bandFmt>
          <c:bandFmt>
            <c:idx val="6"/>
            <c:spPr>
              <a:solidFill>
                <a:schemeClr val="accent1">
                  <a:lumMod val="60000"/>
                </a:schemeClr>
              </a:solidFill>
              <a:ln/>
              <a:effectLst/>
              <a:sp3d/>
            </c:spPr>
          </c:bandFmt>
          <c:bandFmt>
            <c:idx val="7"/>
            <c:spPr>
              <a:solidFill>
                <a:schemeClr val="accent2">
                  <a:lumMod val="60000"/>
                </a:schemeClr>
              </a:solidFill>
              <a:ln/>
              <a:effectLst/>
              <a:sp3d/>
            </c:spPr>
          </c:bandFmt>
          <c:bandFmt>
            <c:idx val="8"/>
            <c:spPr>
              <a:solidFill>
                <a:schemeClr val="accent3">
                  <a:lumMod val="60000"/>
                </a:schemeClr>
              </a:solidFill>
              <a:ln/>
              <a:effectLst/>
              <a:sp3d/>
            </c:spPr>
          </c:bandFmt>
          <c:bandFmt>
            <c:idx val="9"/>
            <c:spPr>
              <a:solidFill>
                <a:schemeClr val="accent4">
                  <a:lumMod val="60000"/>
                </a:schemeClr>
              </a:solidFill>
              <a:ln/>
              <a:effectLst/>
              <a:sp3d/>
            </c:spPr>
          </c:bandFmt>
          <c:bandFmt>
            <c:idx val="10"/>
            <c:spPr>
              <a:solidFill>
                <a:schemeClr val="accent5">
                  <a:lumMod val="60000"/>
                </a:schemeClr>
              </a:solidFill>
              <a:ln/>
              <a:effectLst/>
              <a:sp3d/>
            </c:spPr>
          </c:bandFmt>
          <c:bandFmt>
            <c:idx val="11"/>
            <c:spPr>
              <a:solidFill>
                <a:schemeClr val="accent6">
                  <a:lumMod val="60000"/>
                </a:schemeClr>
              </a:solidFill>
              <a:ln/>
              <a:effectLst/>
              <a:sp3d/>
            </c:spPr>
          </c:bandFmt>
          <c:bandFmt>
            <c:idx val="12"/>
            <c:spPr>
              <a:solidFill>
                <a:schemeClr val="accent1">
                  <a:lumMod val="80000"/>
                  <a:lumOff val="20000"/>
                </a:schemeClr>
              </a:solidFill>
              <a:ln/>
              <a:effectLst/>
              <a:sp3d/>
            </c:spPr>
          </c:bandFmt>
          <c:bandFmt>
            <c:idx val="13"/>
            <c:spPr>
              <a:solidFill>
                <a:schemeClr val="accent2">
                  <a:lumMod val="80000"/>
                  <a:lumOff val="20000"/>
                </a:schemeClr>
              </a:solidFill>
              <a:ln/>
              <a:effectLst/>
              <a:sp3d/>
            </c:spPr>
          </c:bandFmt>
          <c:bandFmt>
            <c:idx val="14"/>
            <c:spPr>
              <a:solidFill>
                <a:schemeClr val="accent3">
                  <a:lumMod val="80000"/>
                  <a:lumOff val="20000"/>
                </a:schemeClr>
              </a:solidFill>
              <a:ln/>
              <a:effectLst/>
              <a:sp3d/>
            </c:spPr>
          </c:bandFmt>
        </c:bandFmts>
        <c:axId val="527376016"/>
        <c:axId val="527376376"/>
        <c:axId val="721459072"/>
      </c:surfaceChart>
      <c:catAx>
        <c:axId val="527376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376376"/>
        <c:crosses val="autoZero"/>
        <c:auto val="1"/>
        <c:lblAlgn val="ctr"/>
        <c:lblOffset val="100"/>
        <c:noMultiLvlLbl val="0"/>
      </c:catAx>
      <c:valAx>
        <c:axId val="527376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p>
            </c:rich>
          </c:tx>
          <c:layout>
            <c:manualLayout>
              <c:xMode val="edge"/>
              <c:yMode val="edge"/>
              <c:x val="0.8291735995562951"/>
              <c:y val="0.38713599412173122"/>
            </c:manualLayout>
          </c:layout>
          <c:overlay val="0"/>
          <c:spPr>
            <a:noFill/>
            <a:ln>
              <a:noFill/>
            </a:ln>
            <a:effectLst/>
          </c:spPr>
        </c:title>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376016"/>
        <c:crosses val="autoZero"/>
        <c:crossBetween val="midCat"/>
        <c:majorUnit val="50"/>
      </c:valAx>
      <c:serAx>
        <c:axId val="7214590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376376"/>
        <c:crosses val="autoZero"/>
      </c:serAx>
    </c:plotArea>
    <c:legend>
      <c:legendPos val="r"/>
      <c:layout>
        <c:manualLayout>
          <c:xMode val="edge"/>
          <c:yMode val="edge"/>
          <c:x val="0.88338663298487008"/>
          <c:y val="0.14566454014970565"/>
          <c:w val="0.10466797452366236"/>
          <c:h val="0.679744242062995"/>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[D1574 - Age -gender FEM and GAL.xlsx]GAL-Year!PivotTable6</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Prevalent Patients by Gender and List 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'GAL-Year'!$I$16:$I$17</c:f>
              <c:strCache>
                <c:ptCount val="1"/>
                <c:pt idx="0">
                  <c:v>F</c:v>
                </c:pt>
              </c:strCache>
            </c:strRef>
          </c:tx>
          <c:spPr>
            <a:solidFill>
              <a:schemeClr val="accent1"/>
            </a:solidFill>
            <a:ln>
              <a:noFill/>
            </a:ln>
            <a:effectLst/>
          </c:spPr>
          <c:invertIfNegative val="0"/>
          <c:cat>
            <c:strRef>
              <c:f>'GAL-Year'!$H$18:$H$21</c:f>
              <c:strCache>
                <c:ptCount val="3"/>
                <c:pt idx="0">
                  <c:v>2021-22</c:v>
                </c:pt>
                <c:pt idx="1">
                  <c:v>2022-23</c:v>
                </c:pt>
                <c:pt idx="2">
                  <c:v>2023-24</c:v>
                </c:pt>
              </c:strCache>
            </c:strRef>
          </c:cat>
          <c:val>
            <c:numRef>
              <c:f>'GAL-Year'!$I$18:$I$21</c:f>
              <c:numCache>
                <c:formatCode>General</c:formatCode>
                <c:ptCount val="3"/>
                <c:pt idx="0">
                  <c:v>8656</c:v>
                </c:pt>
                <c:pt idx="1">
                  <c:v>9528</c:v>
                </c:pt>
                <c:pt idx="2">
                  <c:v>7966</c:v>
                </c:pt>
              </c:numCache>
            </c:numRef>
          </c:val>
          <c:extLst>
            <c:ext xmlns:c16="http://schemas.microsoft.com/office/drawing/2014/chart" uri="{C3380CC4-5D6E-409C-BE32-E72D297353CC}">
              <c16:uniqueId val="{00000000-05E8-4B92-8771-27CDA307599E}"/>
            </c:ext>
          </c:extLst>
        </c:ser>
        <c:ser>
          <c:idx val="1"/>
          <c:order val="1"/>
          <c:tx>
            <c:strRef>
              <c:f>'GAL-Year'!$J$16:$J$17</c:f>
              <c:strCache>
                <c:ptCount val="1"/>
                <c:pt idx="0">
                  <c:v>M</c:v>
                </c:pt>
              </c:strCache>
            </c:strRef>
          </c:tx>
          <c:spPr>
            <a:solidFill>
              <a:schemeClr val="accent2"/>
            </a:solidFill>
            <a:ln>
              <a:noFill/>
            </a:ln>
            <a:effectLst/>
          </c:spPr>
          <c:invertIfNegative val="0"/>
          <c:cat>
            <c:strRef>
              <c:f>'GAL-Year'!$H$18:$H$21</c:f>
              <c:strCache>
                <c:ptCount val="3"/>
                <c:pt idx="0">
                  <c:v>2021-22</c:v>
                </c:pt>
                <c:pt idx="1">
                  <c:v>2022-23</c:v>
                </c:pt>
                <c:pt idx="2">
                  <c:v>2023-24</c:v>
                </c:pt>
              </c:strCache>
            </c:strRef>
          </c:cat>
          <c:val>
            <c:numRef>
              <c:f>'GAL-Year'!$J$18:$J$21</c:f>
              <c:numCache>
                <c:formatCode>General</c:formatCode>
                <c:ptCount val="3"/>
                <c:pt idx="0">
                  <c:v>1962</c:v>
                </c:pt>
                <c:pt idx="1">
                  <c:v>2154</c:v>
                </c:pt>
                <c:pt idx="2">
                  <c:v>1824</c:v>
                </c:pt>
              </c:numCache>
            </c:numRef>
          </c:val>
          <c:extLst>
            <c:ext xmlns:c16="http://schemas.microsoft.com/office/drawing/2014/chart" uri="{C3380CC4-5D6E-409C-BE32-E72D297353CC}">
              <c16:uniqueId val="{00000001-05E8-4B92-8771-27CDA307599E}"/>
            </c:ext>
          </c:extLst>
        </c:ser>
        <c:dLbls>
          <c:showLegendKey val="0"/>
          <c:showVal val="0"/>
          <c:showCatName val="0"/>
          <c:showSerName val="0"/>
          <c:showPercent val="0"/>
          <c:showBubbleSize val="0"/>
        </c:dLbls>
        <c:gapWidth val="219"/>
        <c:overlap val="-27"/>
        <c:axId val="742968968"/>
        <c:axId val="742972208"/>
      </c:barChart>
      <c:catAx>
        <c:axId val="742968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List</a:t>
                </a:r>
                <a:r>
                  <a:rPr lang="en-AU" baseline="0"/>
                  <a:t> year</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972208"/>
        <c:crosses val="autoZero"/>
        <c:auto val="1"/>
        <c:lblAlgn val="ctr"/>
        <c:lblOffset val="100"/>
        <c:noMultiLvlLbl val="0"/>
      </c:catAx>
      <c:valAx>
        <c:axId val="742972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Prevalent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9689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[D1574 - Age -gender FEM and GAL.xlsx]FEM-Year!PivotTable2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Prevalent Patients by Gender and List</a:t>
            </a:r>
            <a:r>
              <a:rPr lang="en-AU" baseline="0"/>
              <a:t> year</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'FEM-Year'!$K$3:$K$4</c:f>
              <c:strCache>
                <c:ptCount val="1"/>
                <c:pt idx="0">
                  <c:v>F</c:v>
                </c:pt>
              </c:strCache>
            </c:strRef>
          </c:tx>
          <c:spPr>
            <a:solidFill>
              <a:schemeClr val="accent1"/>
            </a:solidFill>
            <a:ln>
              <a:noFill/>
            </a:ln>
            <a:effectLst/>
          </c:spPr>
          <c:invertIfNegative val="0"/>
          <c:cat>
            <c:strRef>
              <c:f>'FEM-Year'!$J$5:$J$8</c:f>
              <c:strCache>
                <c:ptCount val="3"/>
                <c:pt idx="0">
                  <c:v>2021-22</c:v>
                </c:pt>
                <c:pt idx="1">
                  <c:v>2022-23</c:v>
                </c:pt>
                <c:pt idx="2">
                  <c:v>2023-24</c:v>
                </c:pt>
              </c:strCache>
            </c:strRef>
          </c:cat>
          <c:val>
            <c:numRef>
              <c:f>'FEM-Year'!$K$5:$K$8</c:f>
              <c:numCache>
                <c:formatCode>General</c:formatCode>
                <c:ptCount val="3"/>
                <c:pt idx="0">
                  <c:v>5409</c:v>
                </c:pt>
                <c:pt idx="1">
                  <c:v>9765</c:v>
                </c:pt>
                <c:pt idx="2">
                  <c:v>13767</c:v>
                </c:pt>
              </c:numCache>
            </c:numRef>
          </c:val>
          <c:extLst>
            <c:ext xmlns:c16="http://schemas.microsoft.com/office/drawing/2014/chart" uri="{C3380CC4-5D6E-409C-BE32-E72D297353CC}">
              <c16:uniqueId val="{00000000-883A-437A-8027-144FD23CD24C}"/>
            </c:ext>
          </c:extLst>
        </c:ser>
        <c:ser>
          <c:idx val="1"/>
          <c:order val="1"/>
          <c:tx>
            <c:strRef>
              <c:f>'FEM-Year'!$L$3:$L$4</c:f>
              <c:strCache>
                <c:ptCount val="1"/>
                <c:pt idx="0">
                  <c:v>M</c:v>
                </c:pt>
              </c:strCache>
            </c:strRef>
          </c:tx>
          <c:spPr>
            <a:solidFill>
              <a:schemeClr val="accent2"/>
            </a:solidFill>
            <a:ln>
              <a:noFill/>
            </a:ln>
            <a:effectLst/>
          </c:spPr>
          <c:invertIfNegative val="0"/>
          <c:cat>
            <c:strRef>
              <c:f>'FEM-Year'!$J$5:$J$8</c:f>
              <c:strCache>
                <c:ptCount val="3"/>
                <c:pt idx="0">
                  <c:v>2021-22</c:v>
                </c:pt>
                <c:pt idx="1">
                  <c:v>2022-23</c:v>
                </c:pt>
                <c:pt idx="2">
                  <c:v>2023-24</c:v>
                </c:pt>
              </c:strCache>
            </c:strRef>
          </c:cat>
          <c:val>
            <c:numRef>
              <c:f>'FEM-Year'!$L$5:$L$8</c:f>
              <c:numCache>
                <c:formatCode>General</c:formatCode>
                <c:ptCount val="3"/>
                <c:pt idx="0">
                  <c:v>1248</c:v>
                </c:pt>
                <c:pt idx="1">
                  <c:v>2276</c:v>
                </c:pt>
                <c:pt idx="2">
                  <c:v>3127</c:v>
                </c:pt>
              </c:numCache>
            </c:numRef>
          </c:val>
          <c:extLst>
            <c:ext xmlns:c16="http://schemas.microsoft.com/office/drawing/2014/chart" uri="{C3380CC4-5D6E-409C-BE32-E72D297353CC}">
              <c16:uniqueId val="{00000001-883A-437A-8027-144FD23CD24C}"/>
            </c:ext>
          </c:extLst>
        </c:ser>
        <c:dLbls>
          <c:showLegendKey val="0"/>
          <c:showVal val="0"/>
          <c:showCatName val="0"/>
          <c:showSerName val="0"/>
          <c:showPercent val="0"/>
          <c:showBubbleSize val="0"/>
        </c:dLbls>
        <c:gapWidth val="219"/>
        <c:overlap val="-27"/>
        <c:axId val="558724016"/>
        <c:axId val="558720416"/>
      </c:barChart>
      <c:catAx>
        <c:axId val="558724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List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720416"/>
        <c:crosses val="autoZero"/>
        <c:auto val="1"/>
        <c:lblAlgn val="ctr"/>
        <c:lblOffset val="100"/>
        <c:noMultiLvlLbl val="0"/>
      </c:catAx>
      <c:valAx>
        <c:axId val="558720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Prevalent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7240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Migraine Prophylaxis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'All treatment by quater'!$B$2</c:f>
              <c:strCache>
                <c:ptCount val="1"/>
                <c:pt idx="0">
                  <c:v>Fremanezumab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'All treatment by quater'!$A$3:$A$14</c:f>
              <c:strCache>
                <c:ptCount val="12"/>
                <c:pt idx="0">
                  <c:v>2021Q2</c:v>
                </c:pt>
                <c:pt idx="1">
                  <c:v>2021Q3</c:v>
                </c:pt>
                <c:pt idx="2">
                  <c:v>2021Q4</c:v>
                </c:pt>
                <c:pt idx="3">
                  <c:v>2022Q1</c:v>
                </c:pt>
                <c:pt idx="4">
                  <c:v>2022Q2</c:v>
                </c:pt>
                <c:pt idx="5">
                  <c:v>2022Q3</c:v>
                </c:pt>
                <c:pt idx="6">
                  <c:v>2022Q4</c:v>
                </c:pt>
                <c:pt idx="7">
                  <c:v>2023Q1</c:v>
                </c:pt>
                <c:pt idx="8">
                  <c:v>2023Q2</c:v>
                </c:pt>
                <c:pt idx="9">
                  <c:v>2023Q3</c:v>
                </c:pt>
                <c:pt idx="10">
                  <c:v>2023Q4</c:v>
                </c:pt>
                <c:pt idx="11">
                  <c:v>2024Q1</c:v>
                </c:pt>
              </c:strCache>
            </c:strRef>
          </c:cat>
          <c:val>
            <c:numRef>
              <c:f>'All treatment by quater'!$B$3:$B$14</c:f>
              <c:numCache>
                <c:formatCode>General</c:formatCode>
                <c:ptCount val="12"/>
                <c:pt idx="1">
                  <c:v>1742</c:v>
                </c:pt>
                <c:pt idx="2">
                  <c:v>1533</c:v>
                </c:pt>
                <c:pt idx="3">
                  <c:v>1257</c:v>
                </c:pt>
                <c:pt idx="4">
                  <c:v>1273</c:v>
                </c:pt>
                <c:pt idx="5">
                  <c:v>1331</c:v>
                </c:pt>
                <c:pt idx="6">
                  <c:v>1709</c:v>
                </c:pt>
                <c:pt idx="7">
                  <c:v>1796</c:v>
                </c:pt>
                <c:pt idx="8">
                  <c:v>1765</c:v>
                </c:pt>
                <c:pt idx="9">
                  <c:v>1893</c:v>
                </c:pt>
                <c:pt idx="10">
                  <c:v>3524</c:v>
                </c:pt>
                <c:pt idx="11">
                  <c:v>3338</c:v>
                </c:pt>
              </c:numCache>
            </c:numRef>
          </c:val>
          <c:smooth val="0"/>
          <c:extLst>
            <c:ext xmlns:c16="http://schemas.microsoft.com/office/drawing/2014/chart" uri="{C3380CC4-5D6E-409C-BE32-E72D297353CC}">
              <c16:uniqueId val="{00000000-4CBC-4D54-9903-8B475B6F5404}"/>
            </c:ext>
          </c:extLst>
        </c:ser>
        <c:ser>
          <c:idx val="1"/>
          <c:order val="1"/>
          <c:tx>
            <c:strRef>
              <c:f>'All treatment by quater'!$C$2</c:f>
              <c:strCache>
                <c:ptCount val="1"/>
                <c:pt idx="0">
                  <c:v>Galcanezumab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'All treatment by quater'!$A$3:$A$14</c:f>
              <c:strCache>
                <c:ptCount val="12"/>
                <c:pt idx="0">
                  <c:v>2021Q2</c:v>
                </c:pt>
                <c:pt idx="1">
                  <c:v>2021Q3</c:v>
                </c:pt>
                <c:pt idx="2">
                  <c:v>2021Q4</c:v>
                </c:pt>
                <c:pt idx="3">
                  <c:v>2022Q1</c:v>
                </c:pt>
                <c:pt idx="4">
                  <c:v>2022Q2</c:v>
                </c:pt>
                <c:pt idx="5">
                  <c:v>2022Q3</c:v>
                </c:pt>
                <c:pt idx="6">
                  <c:v>2022Q4</c:v>
                </c:pt>
                <c:pt idx="7">
                  <c:v>2023Q1</c:v>
                </c:pt>
                <c:pt idx="8">
                  <c:v>2023Q2</c:v>
                </c:pt>
                <c:pt idx="9">
                  <c:v>2023Q3</c:v>
                </c:pt>
                <c:pt idx="10">
                  <c:v>2023Q4</c:v>
                </c:pt>
                <c:pt idx="11">
                  <c:v>2024Q1</c:v>
                </c:pt>
              </c:strCache>
            </c:strRef>
          </c:cat>
          <c:val>
            <c:numRef>
              <c:f>'All treatment by quater'!$C$3:$C$14</c:f>
              <c:numCache>
                <c:formatCode>General</c:formatCode>
                <c:ptCount val="12"/>
                <c:pt idx="0">
                  <c:v>2235</c:v>
                </c:pt>
                <c:pt idx="1">
                  <c:v>3460</c:v>
                </c:pt>
                <c:pt idx="2">
                  <c:v>1860</c:v>
                </c:pt>
                <c:pt idx="3">
                  <c:v>1334</c:v>
                </c:pt>
                <c:pt idx="4">
                  <c:v>1321</c:v>
                </c:pt>
                <c:pt idx="5">
                  <c:v>1238</c:v>
                </c:pt>
                <c:pt idx="6">
                  <c:v>957</c:v>
                </c:pt>
                <c:pt idx="7">
                  <c:v>844</c:v>
                </c:pt>
                <c:pt idx="8">
                  <c:v>869</c:v>
                </c:pt>
                <c:pt idx="9">
                  <c:v>1019</c:v>
                </c:pt>
                <c:pt idx="10">
                  <c:v>655</c:v>
                </c:pt>
                <c:pt idx="11">
                  <c:v>58</c:v>
                </c:pt>
              </c:numCache>
            </c:numRef>
          </c:val>
          <c:smooth val="0"/>
          <c:extLst>
            <c:ext xmlns:c16="http://schemas.microsoft.com/office/drawing/2014/chart" uri="{C3380CC4-5D6E-409C-BE32-E72D297353CC}">
              <c16:uniqueId val="{00000001-4CBC-4D54-9903-8B475B6F5404}"/>
            </c:ext>
          </c:extLst>
        </c:ser>
        <c:ser>
          <c:idx val="2"/>
          <c:order val="2"/>
          <c:tx>
            <c:strRef>
              <c:f>'All treatment by quater'!$D$2</c:f>
              <c:strCache>
                <c:ptCount val="1"/>
                <c:pt idx="0">
                  <c:v>Epinezumab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'All treatment by quater'!$A$3:$A$14</c:f>
              <c:strCache>
                <c:ptCount val="12"/>
                <c:pt idx="0">
                  <c:v>2021Q2</c:v>
                </c:pt>
                <c:pt idx="1">
                  <c:v>2021Q3</c:v>
                </c:pt>
                <c:pt idx="2">
                  <c:v>2021Q4</c:v>
                </c:pt>
                <c:pt idx="3">
                  <c:v>2022Q1</c:v>
                </c:pt>
                <c:pt idx="4">
                  <c:v>2022Q2</c:v>
                </c:pt>
                <c:pt idx="5">
                  <c:v>2022Q3</c:v>
                </c:pt>
                <c:pt idx="6">
                  <c:v>2022Q4</c:v>
                </c:pt>
                <c:pt idx="7">
                  <c:v>2023Q1</c:v>
                </c:pt>
                <c:pt idx="8">
                  <c:v>2023Q2</c:v>
                </c:pt>
                <c:pt idx="9">
                  <c:v>2023Q3</c:v>
                </c:pt>
                <c:pt idx="10">
                  <c:v>2023Q4</c:v>
                </c:pt>
                <c:pt idx="11">
                  <c:v>2024Q1</c:v>
                </c:pt>
              </c:strCache>
            </c:strRef>
          </c:cat>
          <c:val>
            <c:numRef>
              <c:f>'All treatment by quater'!$D$3:$D$14</c:f>
              <c:numCache>
                <c:formatCode>General</c:formatCode>
                <c:ptCount val="12"/>
                <c:pt idx="9">
                  <c:v>275</c:v>
                </c:pt>
                <c:pt idx="10">
                  <c:v>476</c:v>
                </c:pt>
                <c:pt idx="11">
                  <c:v>495</c:v>
                </c:pt>
              </c:numCache>
            </c:numRef>
          </c:val>
          <c:smooth val="0"/>
          <c:extLst>
            <c:ext xmlns:c16="http://schemas.microsoft.com/office/drawing/2014/chart" uri="{C3380CC4-5D6E-409C-BE32-E72D297353CC}">
              <c16:uniqueId val="{00000002-4CBC-4D54-9903-8B475B6F5404}"/>
            </c:ext>
          </c:extLst>
        </c:ser>
        <c:ser>
          <c:idx val="3"/>
          <c:order val="3"/>
          <c:tx>
            <c:strRef>
              <c:f>'All treatment by quater'!$E$2</c:f>
              <c:strCache>
                <c:ptCount val="1"/>
                <c:pt idx="0">
                  <c:v>Botulinum toxin type A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'All treatment by quater'!$A$3:$A$14</c:f>
              <c:strCache>
                <c:ptCount val="12"/>
                <c:pt idx="0">
                  <c:v>2021Q2</c:v>
                </c:pt>
                <c:pt idx="1">
                  <c:v>2021Q3</c:v>
                </c:pt>
                <c:pt idx="2">
                  <c:v>2021Q4</c:v>
                </c:pt>
                <c:pt idx="3">
                  <c:v>2022Q1</c:v>
                </c:pt>
                <c:pt idx="4">
                  <c:v>2022Q2</c:v>
                </c:pt>
                <c:pt idx="5">
                  <c:v>2022Q3</c:v>
                </c:pt>
                <c:pt idx="6">
                  <c:v>2022Q4</c:v>
                </c:pt>
                <c:pt idx="7">
                  <c:v>2023Q1</c:v>
                </c:pt>
                <c:pt idx="8">
                  <c:v>2023Q2</c:v>
                </c:pt>
                <c:pt idx="9">
                  <c:v>2023Q3</c:v>
                </c:pt>
                <c:pt idx="10">
                  <c:v>2023Q4</c:v>
                </c:pt>
                <c:pt idx="11">
                  <c:v>2024Q1</c:v>
                </c:pt>
              </c:strCache>
            </c:strRef>
          </c:cat>
          <c:val>
            <c:numRef>
              <c:f>'All treatment by quater'!$E$3:$E$14</c:f>
              <c:numCache>
                <c:formatCode>General</c:formatCode>
                <c:ptCount val="12"/>
                <c:pt idx="0">
                  <c:v>3041</c:v>
                </c:pt>
                <c:pt idx="1">
                  <c:v>1449</c:v>
                </c:pt>
                <c:pt idx="2">
                  <c:v>1435</c:v>
                </c:pt>
                <c:pt idx="3">
                  <c:v>893</c:v>
                </c:pt>
                <c:pt idx="4">
                  <c:v>1120</c:v>
                </c:pt>
                <c:pt idx="5">
                  <c:v>1203</c:v>
                </c:pt>
                <c:pt idx="6">
                  <c:v>1428</c:v>
                </c:pt>
                <c:pt idx="7">
                  <c:v>871</c:v>
                </c:pt>
                <c:pt idx="8">
                  <c:v>966</c:v>
                </c:pt>
                <c:pt idx="9">
                  <c:v>1105</c:v>
                </c:pt>
                <c:pt idx="10">
                  <c:v>1906</c:v>
                </c:pt>
                <c:pt idx="11">
                  <c:v>717</c:v>
                </c:pt>
              </c:numCache>
            </c:numRef>
          </c:val>
          <c:smooth val="0"/>
          <c:extLst>
            <c:ext xmlns:c16="http://schemas.microsoft.com/office/drawing/2014/chart" uri="{C3380CC4-5D6E-409C-BE32-E72D297353CC}">
              <c16:uniqueId val="{00000003-4CBC-4D54-9903-8B475B6F5404}"/>
            </c:ext>
          </c:extLst>
        </c:ser>
        <c:dLbls>
          <c:showLegendKey val="0"/>
          <c:showVal val="0"/>
          <c:showCatName val="0"/>
          <c:showSerName val="0"/>
          <c:showPercent val="0"/>
          <c:showBubbleSize val="0"/>
        </c:dLbls>
        <c:marker val="1"/>
        <c:smooth val="0"/>
        <c:axId val="368867536"/>
        <c:axId val="368869696"/>
      </c:lineChart>
      <c:lineChart>
        <c:grouping val="standard"/>
        <c:varyColors val="0"/>
        <c:ser>
          <c:idx val="4"/>
          <c:order val="4"/>
          <c:tx>
            <c:strRef>
              <c:f>'All treatment by quater'!$F$2</c:f>
              <c:strCache>
                <c:ptCount val="1"/>
                <c:pt idx="0">
                  <c:v>1st Line</c:v>
                </c:pt>
              </c:strCache>
            </c:strRef>
          </c:tx>
          <c:spPr>
            <a:ln w="28575" cap="rnd">
              <a:solidFill>
                <a:schemeClr val="accent5"/>
              </a:solidFill>
              <a:prstDash val="sysDot"/>
              <a:round/>
            </a:ln>
            <a:effectLst/>
          </c:spPr>
          <c:marker>
            <c:symbol val="circle"/>
            <c:size val="5"/>
            <c:spPr>
              <a:solidFill>
                <a:schemeClr val="accent5"/>
              </a:solidFill>
              <a:ln w="9525">
                <a:solidFill>
                  <a:schemeClr val="accent5"/>
                </a:solidFill>
              </a:ln>
              <a:effectLst/>
            </c:spPr>
          </c:marker>
          <c:cat>
            <c:strRef>
              <c:f>'All treatment by quater'!$A$3:$A$14</c:f>
              <c:strCache>
                <c:ptCount val="12"/>
                <c:pt idx="0">
                  <c:v>2021Q2</c:v>
                </c:pt>
                <c:pt idx="1">
                  <c:v>2021Q3</c:v>
                </c:pt>
                <c:pt idx="2">
                  <c:v>2021Q4</c:v>
                </c:pt>
                <c:pt idx="3">
                  <c:v>2022Q1</c:v>
                </c:pt>
                <c:pt idx="4">
                  <c:v>2022Q2</c:v>
                </c:pt>
                <c:pt idx="5">
                  <c:v>2022Q3</c:v>
                </c:pt>
                <c:pt idx="6">
                  <c:v>2022Q4</c:v>
                </c:pt>
                <c:pt idx="7">
                  <c:v>2023Q1</c:v>
                </c:pt>
                <c:pt idx="8">
                  <c:v>2023Q2</c:v>
                </c:pt>
                <c:pt idx="9">
                  <c:v>2023Q3</c:v>
                </c:pt>
                <c:pt idx="10">
                  <c:v>2023Q4</c:v>
                </c:pt>
                <c:pt idx="11">
                  <c:v>2024Q1</c:v>
                </c:pt>
              </c:strCache>
            </c:strRef>
          </c:cat>
          <c:val>
            <c:numRef>
              <c:f>'All treatment by quater'!$F$3:$F$14</c:f>
              <c:numCache>
                <c:formatCode>General</c:formatCode>
                <c:ptCount val="12"/>
                <c:pt idx="0">
                  <c:v>193672</c:v>
                </c:pt>
                <c:pt idx="1">
                  <c:v>143529</c:v>
                </c:pt>
                <c:pt idx="2">
                  <c:v>122983</c:v>
                </c:pt>
                <c:pt idx="3">
                  <c:v>104258</c:v>
                </c:pt>
                <c:pt idx="4">
                  <c:v>103317</c:v>
                </c:pt>
                <c:pt idx="5">
                  <c:v>107612</c:v>
                </c:pt>
                <c:pt idx="6">
                  <c:v>104555</c:v>
                </c:pt>
                <c:pt idx="7">
                  <c:v>102591</c:v>
                </c:pt>
                <c:pt idx="8">
                  <c:v>99585</c:v>
                </c:pt>
                <c:pt idx="9">
                  <c:v>103312</c:v>
                </c:pt>
                <c:pt idx="10">
                  <c:v>95155</c:v>
                </c:pt>
                <c:pt idx="11">
                  <c:v>59300</c:v>
                </c:pt>
              </c:numCache>
            </c:numRef>
          </c:val>
          <c:smooth val="0"/>
          <c:extLst>
            <c:ext xmlns:c16="http://schemas.microsoft.com/office/drawing/2014/chart" uri="{C3380CC4-5D6E-409C-BE32-E72D297353CC}">
              <c16:uniqueId val="{00000004-4CBC-4D54-9903-8B475B6F5404}"/>
            </c:ext>
          </c:extLst>
        </c:ser>
        <c:ser>
          <c:idx val="5"/>
          <c:order val="5"/>
          <c:tx>
            <c:strRef>
              <c:f>'All treatment by quater'!$G$2</c:f>
              <c:strCache>
                <c:ptCount val="1"/>
                <c:pt idx="0">
                  <c:v>Triptans</c:v>
                </c:pt>
              </c:strCache>
            </c:strRef>
          </c:tx>
          <c:spPr>
            <a:ln w="28575" cap="rnd">
              <a:solidFill>
                <a:schemeClr val="accent6"/>
              </a:solidFill>
              <a:prstDash val="sysDot"/>
              <a:round/>
            </a:ln>
            <a:effectLst/>
          </c:spPr>
          <c:marker>
            <c:symbol val="circle"/>
            <c:size val="5"/>
            <c:spPr>
              <a:solidFill>
                <a:schemeClr val="accent6"/>
              </a:solidFill>
              <a:ln w="9525">
                <a:solidFill>
                  <a:schemeClr val="accent6"/>
                </a:solidFill>
              </a:ln>
              <a:effectLst/>
            </c:spPr>
          </c:marker>
          <c:val>
            <c:numRef>
              <c:f>'All treatment by quater'!$G$3:$G$14</c:f>
              <c:numCache>
                <c:formatCode>General</c:formatCode>
                <c:ptCount val="12"/>
                <c:pt idx="0">
                  <c:v>57434</c:v>
                </c:pt>
                <c:pt idx="1">
                  <c:v>45180</c:v>
                </c:pt>
                <c:pt idx="2">
                  <c:v>36231</c:v>
                </c:pt>
                <c:pt idx="3">
                  <c:v>30045</c:v>
                </c:pt>
                <c:pt idx="4">
                  <c:v>30031</c:v>
                </c:pt>
                <c:pt idx="5">
                  <c:v>30370</c:v>
                </c:pt>
                <c:pt idx="6">
                  <c:v>28106</c:v>
                </c:pt>
                <c:pt idx="7">
                  <c:v>27192</c:v>
                </c:pt>
                <c:pt idx="8">
                  <c:v>26470</c:v>
                </c:pt>
                <c:pt idx="9">
                  <c:v>28345</c:v>
                </c:pt>
                <c:pt idx="10">
                  <c:v>25352</c:v>
                </c:pt>
                <c:pt idx="11">
                  <c:v>16297</c:v>
                </c:pt>
              </c:numCache>
            </c:numRef>
          </c:val>
          <c:smooth val="0"/>
          <c:extLst>
            <c:ext xmlns:c16="http://schemas.microsoft.com/office/drawing/2014/chart" uri="{C3380CC4-5D6E-409C-BE32-E72D297353CC}">
              <c16:uniqueId val="{00000000-9C92-49F5-B370-B637A029460D}"/>
            </c:ext>
          </c:extLst>
        </c:ser>
        <c:dLbls>
          <c:showLegendKey val="0"/>
          <c:showVal val="0"/>
          <c:showCatName val="0"/>
          <c:showSerName val="0"/>
          <c:showPercent val="0"/>
          <c:showBubbleSize val="0"/>
        </c:dLbls>
        <c:marker val="1"/>
        <c:smooth val="0"/>
        <c:axId val="501781936"/>
        <c:axId val="1085182752"/>
      </c:lineChart>
      <c:catAx>
        <c:axId val="368867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368869696"/>
        <c:crosses val="autoZero"/>
        <c:auto val="1"/>
        <c:lblAlgn val="ctr"/>
        <c:lblOffset val="100"/>
        <c:noMultiLvlLbl val="0"/>
      </c:catAx>
      <c:valAx>
        <c:axId val="368869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Incident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867536"/>
        <c:crosses val="autoZero"/>
        <c:crossBetween val="between"/>
      </c:valAx>
      <c:valAx>
        <c:axId val="108518275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81936"/>
        <c:crosses val="max"/>
        <c:crossBetween val="between"/>
      </c:valAx>
      <c:catAx>
        <c:axId val="501781936"/>
        <c:scaling>
          <c:orientation val="minMax"/>
        </c:scaling>
        <c:delete val="1"/>
        <c:axPos val="b"/>
        <c:numFmt formatCode="General" sourceLinked="1"/>
        <c:majorTickMark val="out"/>
        <c:minorTickMark val="none"/>
        <c:tickLblPos val="nextTo"/>
        <c:crossAx val="1085182752"/>
        <c:crosses val="autoZero"/>
        <c:auto val="1"/>
        <c:lblAlgn val="ctr"/>
        <c:lblOffset val="100"/>
        <c:noMultiLvlLbl val="0"/>
      </c:catAx>
      <c:spPr>
        <a:noFill/>
        <a:ln>
          <a:noFill/>
        </a:ln>
        <a:effectLst/>
      </c:spPr>
    </c:plotArea>
    <c:legend>
      <c:legendPos val="b"/>
      <c:layout>
        <c:manualLayout>
          <c:xMode val="edge"/>
          <c:yMode val="edge"/>
          <c:x val="6.5850191241730638E-2"/>
          <c:y val="0.84558328839032104"/>
          <c:w val="0.79440506698888613"/>
          <c:h val="0.113757446985793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8689</Words>
  <Characters>49532</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2024-10-15T22:58:00Z</dcterms:created>
  <dcterms:modified xsi:type="dcterms:W3CDTF">2024-10-30T22:45:00Z</dcterms:modified>
</cp:coreProperties>
</file>