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1.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3C130" w14:textId="0AE9B296" w:rsidR="00832324" w:rsidRDefault="00C66E7E" w:rsidP="00F73113">
      <w:pPr>
        <w:pStyle w:val="Title"/>
      </w:pPr>
      <w:r w:rsidRPr="00C66E7E">
        <w:t xml:space="preserve">Analysis of dupilumab for </w:t>
      </w:r>
      <w:r w:rsidR="00ED6694">
        <w:t>u</w:t>
      </w:r>
      <w:r w:rsidR="00ED6694" w:rsidRPr="00ED6694">
        <w:t>ncontrolled severe asthma</w:t>
      </w:r>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389534B6" w:rsidR="009053D3" w:rsidRPr="00F73113" w:rsidRDefault="003F14BA" w:rsidP="00F73113">
      <w:pPr>
        <w:pStyle w:val="Meetingdate"/>
      </w:pPr>
      <w:r>
        <w:t xml:space="preserve">February </w:t>
      </w:r>
      <w:r w:rsidR="00D151EB" w:rsidRPr="00F73113">
        <w:t>20</w:t>
      </w:r>
      <w:r>
        <w:t>24</w:t>
      </w:r>
    </w:p>
    <w:p w14:paraId="1494B8AD" w14:textId="77777777" w:rsidR="005C6661" w:rsidRPr="00CF5E22" w:rsidRDefault="005C6661" w:rsidP="00CF5E22">
      <w:pPr>
        <w:pStyle w:val="Heading2"/>
      </w:pPr>
      <w:r w:rsidRPr="00CF5E22">
        <w:t>Abstract</w:t>
      </w:r>
    </w:p>
    <w:p w14:paraId="287D7939" w14:textId="77777777" w:rsidR="005C6661" w:rsidRPr="00CF5E22" w:rsidRDefault="005C6661" w:rsidP="00CF5E22">
      <w:pPr>
        <w:pStyle w:val="Heading3"/>
      </w:pPr>
      <w:r w:rsidRPr="00CF5E22">
        <w:t>Purpose</w:t>
      </w:r>
    </w:p>
    <w:p w14:paraId="70A05845" w14:textId="0AFAAB98" w:rsidR="005C6661" w:rsidRDefault="00A61040" w:rsidP="00A61040">
      <w:pPr>
        <w:pStyle w:val="NoSpacing"/>
      </w:pPr>
      <w:r w:rsidRPr="00A61040">
        <w:t xml:space="preserve">To review the utilisation of dupilumab for </w:t>
      </w:r>
      <w:r>
        <w:t>uncontrolled severe asthma</w:t>
      </w:r>
      <w:r w:rsidRPr="00A61040">
        <w:t xml:space="preserve">, as requested by DUSC at its </w:t>
      </w:r>
      <w:r>
        <w:t>September</w:t>
      </w:r>
      <w:r w:rsidRPr="00A61040">
        <w:t xml:space="preserve"> 2023 meeting.</w:t>
      </w:r>
    </w:p>
    <w:p w14:paraId="03538E7F" w14:textId="322BB850" w:rsidR="002D144A" w:rsidRDefault="002D144A" w:rsidP="00CF5E22">
      <w:pPr>
        <w:pStyle w:val="Heading3"/>
      </w:pPr>
      <w:r>
        <w:t>Date of listing on the P</w:t>
      </w:r>
      <w:r w:rsidR="00A95FA5">
        <w:t xml:space="preserve">harmaceutical </w:t>
      </w:r>
      <w:r>
        <w:t>B</w:t>
      </w:r>
      <w:r w:rsidR="00A95FA5">
        <w:t xml:space="preserve">enefits </w:t>
      </w:r>
      <w:r>
        <w:t>S</w:t>
      </w:r>
      <w:r w:rsidR="00A95FA5">
        <w:t>cheme (PBS)</w:t>
      </w:r>
    </w:p>
    <w:p w14:paraId="378E50B7" w14:textId="62877714" w:rsidR="002D144A" w:rsidRPr="002D144A" w:rsidRDefault="00760DDD" w:rsidP="002D144A">
      <w:r w:rsidRPr="00760DDD">
        <w:t xml:space="preserve">Dupilumab was PBS listed for uncontrolled severe asthma </w:t>
      </w:r>
      <w:r w:rsidR="008315ED">
        <w:t xml:space="preserve">on </w:t>
      </w:r>
      <w:r w:rsidRPr="00760DDD">
        <w:t>1 April 2021.</w:t>
      </w:r>
    </w:p>
    <w:p w14:paraId="526743BB" w14:textId="77777777" w:rsidR="005C6661" w:rsidRDefault="005C6661" w:rsidP="00CF5E22">
      <w:pPr>
        <w:pStyle w:val="Heading3"/>
      </w:pPr>
      <w:r>
        <w:t>Data Source / methodology</w:t>
      </w:r>
    </w:p>
    <w:p w14:paraId="3C74AB36" w14:textId="7F2A28AF" w:rsidR="006804E0" w:rsidRDefault="006804E0" w:rsidP="005C6661">
      <w:pPr>
        <w:pStyle w:val="NoSpacing"/>
      </w:pPr>
      <w:r w:rsidRPr="006804E0">
        <w:t>Data extracted from the PBS database maintained by Department of Health and Aged Care, processed by Services Australia were used for the analyses.</w:t>
      </w:r>
    </w:p>
    <w:p w14:paraId="7599E7C1" w14:textId="77777777" w:rsidR="005C6661" w:rsidRDefault="005C6661" w:rsidP="00CF5E22">
      <w:pPr>
        <w:pStyle w:val="Heading3"/>
      </w:pPr>
      <w:r>
        <w:t>Key Findings</w:t>
      </w:r>
    </w:p>
    <w:p w14:paraId="7F8AF48E" w14:textId="20B1FA7C" w:rsidR="00202F4A" w:rsidRDefault="00202F4A" w:rsidP="00202F4A">
      <w:pPr>
        <w:pStyle w:val="NoSpacing"/>
        <w:numPr>
          <w:ilvl w:val="0"/>
          <w:numId w:val="1"/>
        </w:numPr>
      </w:pPr>
      <w:r>
        <w:t xml:space="preserve">A total of </w:t>
      </w:r>
      <w:r w:rsidR="00D127CA" w:rsidRPr="00D127CA">
        <w:t>41</w:t>
      </w:r>
      <w:r w:rsidR="00D127CA">
        <w:t>,</w:t>
      </w:r>
      <w:r w:rsidR="00D127CA" w:rsidRPr="00D127CA">
        <w:t xml:space="preserve">557 </w:t>
      </w:r>
      <w:r>
        <w:t xml:space="preserve">prescriptions of dupilumab for </w:t>
      </w:r>
      <w:r w:rsidR="003E6F27">
        <w:t>uncontrolled severe asthma</w:t>
      </w:r>
      <w:r>
        <w:t xml:space="preserve"> have been supplied to </w:t>
      </w:r>
      <w:r w:rsidR="00CB201C">
        <w:t>4,446</w:t>
      </w:r>
      <w:r>
        <w:t xml:space="preserve"> patients since listing. In 2022, </w:t>
      </w:r>
      <w:r w:rsidR="00D127CA" w:rsidRPr="00D127CA">
        <w:t>17</w:t>
      </w:r>
      <w:r w:rsidR="00D127CA">
        <w:t>,</w:t>
      </w:r>
      <w:r w:rsidR="00D127CA" w:rsidRPr="00D127CA">
        <w:t xml:space="preserve">292 </w:t>
      </w:r>
      <w:r>
        <w:t xml:space="preserve">prescriptions were supplied to </w:t>
      </w:r>
      <w:r w:rsidR="00D127CA" w:rsidRPr="00D127CA">
        <w:t>2</w:t>
      </w:r>
      <w:r w:rsidR="00D127CA">
        <w:t>,</w:t>
      </w:r>
      <w:r w:rsidR="00D127CA" w:rsidRPr="00D127CA">
        <w:t xml:space="preserve">669 </w:t>
      </w:r>
      <w:r>
        <w:t>patients.</w:t>
      </w:r>
    </w:p>
    <w:p w14:paraId="358E008A" w14:textId="189790CD" w:rsidR="00D127CA" w:rsidRDefault="004331D7" w:rsidP="00202F4A">
      <w:pPr>
        <w:pStyle w:val="NoSpacing"/>
        <w:numPr>
          <w:ilvl w:val="0"/>
          <w:numId w:val="1"/>
        </w:numPr>
      </w:pPr>
      <w:r>
        <w:t xml:space="preserve">Of the 4,446 patients who initiated </w:t>
      </w:r>
      <w:r w:rsidR="00513259">
        <w:t xml:space="preserve">dupilumab, </w:t>
      </w:r>
      <w:r w:rsidR="000464D8">
        <w:t xml:space="preserve">dupilumab </w:t>
      </w:r>
      <w:r w:rsidR="00B7234C">
        <w:t>w</w:t>
      </w:r>
      <w:r w:rsidR="000464D8">
        <w:t>as</w:t>
      </w:r>
      <w:r w:rsidR="00513259">
        <w:t xml:space="preserve"> the first </w:t>
      </w:r>
      <w:r w:rsidR="000805A7" w:rsidRPr="000805A7">
        <w:t>biologic medicine</w:t>
      </w:r>
      <w:r w:rsidR="000805A7">
        <w:t xml:space="preserve"> </w:t>
      </w:r>
      <w:r w:rsidR="00513259">
        <w:t>supplied</w:t>
      </w:r>
      <w:r w:rsidR="000464D8">
        <w:t xml:space="preserve"> to</w:t>
      </w:r>
      <w:r w:rsidR="00513259">
        <w:t xml:space="preserve"> </w:t>
      </w:r>
      <w:r w:rsidR="000464D8">
        <w:t>2,983 (</w:t>
      </w:r>
      <w:r w:rsidR="000F69BD">
        <w:t>67%</w:t>
      </w:r>
      <w:r w:rsidR="00B7234C">
        <w:t>) patients</w:t>
      </w:r>
      <w:r w:rsidR="000805A7" w:rsidRPr="000805A7">
        <w:t xml:space="preserve"> </w:t>
      </w:r>
      <w:r w:rsidR="000805A7">
        <w:t>for severe asthma</w:t>
      </w:r>
      <w:r w:rsidR="00B7234C">
        <w:t>, and 1,463 patients were switched to dupilumab from either omalizumab, mepolizumab or benralizumab.</w:t>
      </w:r>
    </w:p>
    <w:p w14:paraId="530D5A10" w14:textId="0433783A" w:rsidR="00202F4A" w:rsidRDefault="00202F4A" w:rsidP="00202F4A">
      <w:pPr>
        <w:pStyle w:val="NoSpacing"/>
        <w:numPr>
          <w:ilvl w:val="0"/>
          <w:numId w:val="1"/>
        </w:numPr>
      </w:pPr>
      <w:r>
        <w:t xml:space="preserve">The age group with the highest proportion of initiating patients was the </w:t>
      </w:r>
      <w:r w:rsidR="00DB55F4">
        <w:t>60 to 64</w:t>
      </w:r>
      <w:r>
        <w:t xml:space="preserve"> year old group. </w:t>
      </w:r>
      <w:r w:rsidR="00074A25">
        <w:t>There were negligible cases of patient</w:t>
      </w:r>
      <w:r w:rsidR="003E2542">
        <w:t>s aged younger than 12 who</w:t>
      </w:r>
      <w:r w:rsidR="00DF04A6">
        <w:t xml:space="preserve"> initiated dupilumab</w:t>
      </w:r>
      <w:r w:rsidR="00DF04A6" w:rsidRPr="00DF04A6">
        <w:t xml:space="preserve"> for severe asthma</w:t>
      </w:r>
      <w:r w:rsidR="00DB55F4">
        <w:t>.</w:t>
      </w:r>
    </w:p>
    <w:p w14:paraId="4244FDDD" w14:textId="2487E74F" w:rsidR="00202F4A" w:rsidRDefault="0021397F" w:rsidP="00202F4A">
      <w:pPr>
        <w:pStyle w:val="NoSpacing"/>
        <w:numPr>
          <w:ilvl w:val="0"/>
          <w:numId w:val="1"/>
        </w:numPr>
      </w:pPr>
      <w:r w:rsidRPr="0021397F">
        <w:t xml:space="preserve">Respiratory and Sleep Medicine </w:t>
      </w:r>
      <w:r w:rsidR="00202F4A">
        <w:t xml:space="preserve">specialist prescribers accounted for </w:t>
      </w:r>
      <w:r w:rsidR="00880960">
        <w:t>67</w:t>
      </w:r>
      <w:r w:rsidR="00202F4A">
        <w:t>% of the supplied prescriptions</w:t>
      </w:r>
      <w:r w:rsidR="00056DA5">
        <w:t xml:space="preserve"> of dupilumab</w:t>
      </w:r>
      <w:r w:rsidR="00202F4A">
        <w:t xml:space="preserve">, and </w:t>
      </w:r>
      <w:r w:rsidR="00880960">
        <w:t xml:space="preserve">Dermatology or </w:t>
      </w:r>
      <w:r w:rsidR="00202F4A">
        <w:t xml:space="preserve">Immunology and Allergy specialist prescribers accounted for </w:t>
      </w:r>
      <w:r w:rsidR="00880960">
        <w:t>21</w:t>
      </w:r>
      <w:r w:rsidR="00202F4A">
        <w:t>% of the supplied prescriptions.</w:t>
      </w:r>
    </w:p>
    <w:p w14:paraId="6BCBF042" w14:textId="7EC79007" w:rsidR="00202F4A" w:rsidRDefault="00AE0CE7" w:rsidP="00202F4A">
      <w:pPr>
        <w:pStyle w:val="NoSpacing"/>
        <w:numPr>
          <w:ilvl w:val="0"/>
          <w:numId w:val="1"/>
        </w:numPr>
      </w:pPr>
      <w:r>
        <w:t>All of</w:t>
      </w:r>
      <w:r w:rsidR="00202F4A">
        <w:t xml:space="preserve"> the 4,446 patients supplied dupilumab under a PBS item code for severe asthma</w:t>
      </w:r>
      <w:r>
        <w:t xml:space="preserve"> were </w:t>
      </w:r>
      <w:r w:rsidR="00202F4A">
        <w:t xml:space="preserve">previously supplied inhaled </w:t>
      </w:r>
      <w:r w:rsidR="00673CEE" w:rsidRPr="00673CEE">
        <w:t>corticosteroids</w:t>
      </w:r>
      <w:r w:rsidR="00202F4A">
        <w:t xml:space="preserve"> through the PBS.</w:t>
      </w:r>
    </w:p>
    <w:p w14:paraId="013B8A7D" w14:textId="643FD2E8" w:rsidR="005C6661" w:rsidRPr="00BB0D1A" w:rsidRDefault="005C6661" w:rsidP="00202F4A">
      <w:pPr>
        <w:pStyle w:val="NoSpacing"/>
        <w:ind w:left="360"/>
        <w:rPr>
          <w:highlight w:val="yellow"/>
        </w:rPr>
      </w:pPr>
    </w:p>
    <w:p w14:paraId="38B57ECC" w14:textId="77777777" w:rsidR="00BB0D1A" w:rsidRDefault="00BB0D1A">
      <w:pPr>
        <w:spacing w:line="276" w:lineRule="auto"/>
        <w:rPr>
          <w:rFonts w:eastAsiaTheme="majorEastAsia" w:cstheme="majorBidi"/>
          <w:b/>
          <w:bCs/>
          <w:sz w:val="32"/>
          <w:szCs w:val="26"/>
        </w:rPr>
      </w:pPr>
      <w:r>
        <w:br w:type="page"/>
      </w:r>
    </w:p>
    <w:p w14:paraId="5B262047" w14:textId="525241DC" w:rsidR="00E677DD" w:rsidRDefault="00E677DD" w:rsidP="00CF5E22">
      <w:pPr>
        <w:pStyle w:val="Heading1"/>
      </w:pPr>
      <w:r w:rsidRPr="00CF5E22">
        <w:lastRenderedPageBreak/>
        <w:t xml:space="preserve">Purpose of </w:t>
      </w:r>
      <w:r w:rsidR="00D151EB" w:rsidRPr="00CF5E22">
        <w:t>analysis</w:t>
      </w:r>
    </w:p>
    <w:p w14:paraId="0B499798" w14:textId="180F0655" w:rsidR="004F3A52" w:rsidRPr="004F3A52" w:rsidRDefault="004F3A52" w:rsidP="004F3A52">
      <w:r w:rsidRPr="004F3A52">
        <w:t>To review the utilisation of dupilumab for uncontrolled severe asthma, as requested by DUSC at its September 2023 meeting.</w:t>
      </w:r>
    </w:p>
    <w:p w14:paraId="0A7F0B57" w14:textId="034D22D5" w:rsidR="006537D9" w:rsidRPr="005E22C2" w:rsidRDefault="00736041" w:rsidP="00CF5E22">
      <w:pPr>
        <w:pStyle w:val="Heading1"/>
      </w:pPr>
      <w:r w:rsidRPr="005E22C2">
        <w:t>Background</w:t>
      </w:r>
    </w:p>
    <w:p w14:paraId="2C748275" w14:textId="77777777" w:rsidR="00EE2BBB" w:rsidRPr="007247B9" w:rsidRDefault="00EE2BBB" w:rsidP="00EE2BBB">
      <w:pPr>
        <w:pStyle w:val="Heading2"/>
      </w:pPr>
      <w:r w:rsidRPr="007247B9">
        <w:t>Clinical situation</w:t>
      </w:r>
    </w:p>
    <w:p w14:paraId="181C28E0" w14:textId="469AB6C5" w:rsidR="00A76D61" w:rsidRDefault="004D2C09" w:rsidP="004D2C09">
      <w:r>
        <w:t>Asthma is a heterogeneous disease characterised by chronic airway inflammation, which can lead to obstruction. The disease is characterised by respiratory wheeze, shortness of breath, chest tightness and cough that vary over time in intensity,</w:t>
      </w:r>
      <w:r w:rsidR="00A76D61">
        <w:t xml:space="preserve"> </w:t>
      </w:r>
      <w:r>
        <w:t>together with variable airflow limitation which may become persistent.</w:t>
      </w:r>
      <w:bookmarkStart w:id="0" w:name="_Ref152947480"/>
      <w:r w:rsidR="00505756">
        <w:rPr>
          <w:rStyle w:val="FootnoteReference"/>
        </w:rPr>
        <w:footnoteReference w:id="1"/>
      </w:r>
      <w:bookmarkEnd w:id="0"/>
      <w:r>
        <w:t xml:space="preserve"> </w:t>
      </w:r>
    </w:p>
    <w:p w14:paraId="3880C4B5" w14:textId="3CBF13ED" w:rsidR="00A76D61" w:rsidRDefault="00A76D61" w:rsidP="00A76D61">
      <w:r>
        <w:t xml:space="preserve">The target population for dupilumab </w:t>
      </w:r>
      <w:r w:rsidR="00ED3B28">
        <w:t>i</w:t>
      </w:r>
      <w:r>
        <w:t xml:space="preserve">s ‘severe refractory’ asthma, where the disease </w:t>
      </w:r>
      <w:r w:rsidR="00ED3B28">
        <w:t xml:space="preserve">remains </w:t>
      </w:r>
      <w:r>
        <w:t>uncontrolled despite adherence to high-dose inhaled corticosteroids (ICS) in combination with a second controller such as a long-acting beta agonist, and/or systemic corticosteroids, or whose asthma control deteriorates when these treatments are stepped down.</w:t>
      </w:r>
      <w:r w:rsidR="00505756" w:rsidRPr="00505756">
        <w:rPr>
          <w:vertAlign w:val="superscript"/>
        </w:rPr>
        <w:fldChar w:fldCharType="begin"/>
      </w:r>
      <w:r w:rsidR="00505756" w:rsidRPr="00505756">
        <w:rPr>
          <w:vertAlign w:val="superscript"/>
        </w:rPr>
        <w:instrText xml:space="preserve"> NOTEREF _Ref152947480 \h </w:instrText>
      </w:r>
      <w:r w:rsidR="00505756">
        <w:rPr>
          <w:vertAlign w:val="superscript"/>
        </w:rPr>
        <w:instrText xml:space="preserve"> \* MERGEFORMAT </w:instrText>
      </w:r>
      <w:r w:rsidR="00505756" w:rsidRPr="00505756">
        <w:rPr>
          <w:vertAlign w:val="superscript"/>
        </w:rPr>
      </w:r>
      <w:r w:rsidR="00505756" w:rsidRPr="00505756">
        <w:rPr>
          <w:vertAlign w:val="superscript"/>
        </w:rPr>
        <w:fldChar w:fldCharType="separate"/>
      </w:r>
      <w:r w:rsidR="00505756" w:rsidRPr="00505756">
        <w:rPr>
          <w:vertAlign w:val="superscript"/>
        </w:rPr>
        <w:t>1</w:t>
      </w:r>
      <w:r w:rsidR="00505756" w:rsidRPr="00505756">
        <w:rPr>
          <w:vertAlign w:val="superscript"/>
        </w:rPr>
        <w:fldChar w:fldCharType="end"/>
      </w:r>
    </w:p>
    <w:p w14:paraId="10DE80C7" w14:textId="5489A449" w:rsidR="00C76F12" w:rsidRDefault="00D77D2F" w:rsidP="004D2C09">
      <w:r>
        <w:t xml:space="preserve">There are four biologic medicines listed on the PBS for the treatment of severe asthma. Omalizumab was the first biologic medicine listed on the PBS for uncontrolled severe allergic asthma. PBS eligibility criteria were developed based predominantly on relevant omalizumab clinical trials presented to the PBAC and stakeholder consultation. The PBS restrictions for mepolizumab and benralizumab for the treatment of eosinophilic asthma were developed for consistency with the omalizumab PBS listing. </w:t>
      </w:r>
    </w:p>
    <w:p w14:paraId="0183A567" w14:textId="413DF87B" w:rsidR="007247B9" w:rsidRDefault="007247B9" w:rsidP="00CF5E22">
      <w:pPr>
        <w:pStyle w:val="Heading2"/>
      </w:pPr>
      <w:r>
        <w:t>Pharmacology</w:t>
      </w:r>
    </w:p>
    <w:p w14:paraId="06821C4B" w14:textId="56BD54BF" w:rsidR="00AE4BAC" w:rsidRPr="007247B9" w:rsidRDefault="00526998" w:rsidP="00AE4BAC">
      <w:r w:rsidRPr="00526998">
        <w:t>Dupilumab is a fully human monoclonal antibody directed against the interleukin (IL)-4 receptor α subunit (IL-4Rα) of IL-4 heterodimeric type I and type II receptors that mediate IL-4/IL-13 signalling through this pathway. Blockade of these receptors broadly suppresses type 2 inflammation associated with atopic/allergic diseases, including atopic dermatitis and asthma.</w:t>
      </w:r>
      <w:r w:rsidR="00884C29">
        <w:rPr>
          <w:rStyle w:val="FootnoteReference"/>
        </w:rPr>
        <w:footnoteReference w:id="2"/>
      </w:r>
    </w:p>
    <w:p w14:paraId="6AC18C88" w14:textId="7A398934" w:rsidR="001420B3" w:rsidRPr="005E22C2" w:rsidRDefault="00A52918" w:rsidP="00542BBC">
      <w:pPr>
        <w:pStyle w:val="Heading2"/>
        <w:keepNext/>
      </w:pPr>
      <w:r w:rsidRPr="00A52918">
        <w:lastRenderedPageBreak/>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14:paraId="064CAC5F" w14:textId="77777777" w:rsidR="007A7581" w:rsidRPr="00E55236" w:rsidRDefault="007A7581" w:rsidP="00542BBC">
      <w:pPr>
        <w:keepNext/>
        <w:rPr>
          <w:b/>
        </w:rPr>
      </w:pPr>
      <w:r w:rsidRPr="00E55236">
        <w:t>Asthma</w:t>
      </w:r>
    </w:p>
    <w:p w14:paraId="467D75F4" w14:textId="77777777" w:rsidR="007A7581" w:rsidRPr="00760DDD" w:rsidRDefault="007A7581" w:rsidP="00760DDD">
      <w:pPr>
        <w:pStyle w:val="ListParagraph"/>
        <w:numPr>
          <w:ilvl w:val="0"/>
          <w:numId w:val="9"/>
        </w:numPr>
        <w:rPr>
          <w:b/>
        </w:rPr>
      </w:pPr>
      <w:r w:rsidRPr="00E55236">
        <w:t>Dupilumab is indicated as add on maintenance treatment in patients aged 6 years and older with moderate to severe asthma with type 2 inflammation that is inadequately controlled despite therapy with other medicinal products for maintenance treatment.</w:t>
      </w:r>
    </w:p>
    <w:p w14:paraId="12E93DC7" w14:textId="77777777" w:rsidR="00E55236" w:rsidRPr="00E55236" w:rsidRDefault="00E55236" w:rsidP="00760DDD">
      <w:pPr>
        <w:rPr>
          <w:b/>
        </w:rPr>
      </w:pPr>
      <w:r w:rsidRPr="00E55236">
        <w:t>Atopic dermatitis</w:t>
      </w:r>
    </w:p>
    <w:p w14:paraId="18F3C510" w14:textId="1A2ECFC3" w:rsidR="00E55236" w:rsidRPr="00BA3387" w:rsidRDefault="00E55236" w:rsidP="00300543">
      <w:pPr>
        <w:pStyle w:val="ListParagraph"/>
        <w:numPr>
          <w:ilvl w:val="0"/>
          <w:numId w:val="9"/>
        </w:numPr>
      </w:pPr>
      <w:r w:rsidRPr="00E55236">
        <w:t>Dupilumab is TGA approved for the treatment of moderate to severe atopic dermatitis in patients aged 6 months and older who are candidates for chronic systemic therapy.</w:t>
      </w:r>
    </w:p>
    <w:p w14:paraId="1107C1D0" w14:textId="77777777" w:rsidR="00E55236" w:rsidRPr="00E55236" w:rsidRDefault="00E55236" w:rsidP="00760DDD">
      <w:pPr>
        <w:rPr>
          <w:b/>
        </w:rPr>
      </w:pPr>
      <w:r w:rsidRPr="00E55236">
        <w:t xml:space="preserve">Chronic rhinosinusitis with nasal polyposis </w:t>
      </w:r>
    </w:p>
    <w:p w14:paraId="7EBAFADD" w14:textId="1CE835A2" w:rsidR="00E55236" w:rsidRPr="00300543" w:rsidRDefault="00E55236" w:rsidP="00300543">
      <w:pPr>
        <w:pStyle w:val="ListParagraph"/>
        <w:numPr>
          <w:ilvl w:val="0"/>
          <w:numId w:val="9"/>
        </w:numPr>
      </w:pPr>
      <w:r w:rsidRPr="00E55236">
        <w:t xml:space="preserve">Dupilumab is indicated as an add-on maintenance treatment in adult patients with inadequately controlled chronic rhinosinusitis with nasal polyposis.  </w:t>
      </w:r>
    </w:p>
    <w:p w14:paraId="7E78C145" w14:textId="58155111" w:rsidR="0038717D" w:rsidRPr="00300543" w:rsidRDefault="00D200DC" w:rsidP="0038717D">
      <w:pPr>
        <w:rPr>
          <w:bCs/>
        </w:rPr>
      </w:pPr>
      <w:r w:rsidRPr="00300543">
        <w:rPr>
          <w:bCs/>
        </w:rPr>
        <w:t>Prurigo Nodularis</w:t>
      </w:r>
    </w:p>
    <w:p w14:paraId="1019122F" w14:textId="1CD9C17C" w:rsidR="00D200DC" w:rsidRPr="00300543" w:rsidRDefault="00300543" w:rsidP="00300543">
      <w:pPr>
        <w:pStyle w:val="ListParagraph"/>
        <w:numPr>
          <w:ilvl w:val="0"/>
          <w:numId w:val="9"/>
        </w:numPr>
      </w:pPr>
      <w:r w:rsidRPr="00300543">
        <w:t>Dupilumab is indicated for the treatment of moderate-to-severe prurigo nodularis (PN) in adults who are candidates for systemic therapy.</w:t>
      </w:r>
    </w:p>
    <w:p w14:paraId="15E919C1" w14:textId="166368DF" w:rsidR="006B709B" w:rsidRDefault="006B709B" w:rsidP="005714A7">
      <w:pPr>
        <w:pStyle w:val="Heading2"/>
        <w:keepNext/>
      </w:pPr>
      <w:r>
        <w:t>Dosage and administration</w:t>
      </w:r>
    </w:p>
    <w:p w14:paraId="1851DC41" w14:textId="138B4E1A" w:rsidR="00B3084B" w:rsidRDefault="00B3084B" w:rsidP="00B3084B">
      <w:r>
        <w:t xml:space="preserve">The recommended dose of </w:t>
      </w:r>
      <w:r w:rsidR="009B63E6">
        <w:t>dupilumab</w:t>
      </w:r>
      <w:r>
        <w:t xml:space="preserve"> for adults and adolescents (12 years of age and older) </w:t>
      </w:r>
      <w:r w:rsidR="00094C09">
        <w:t xml:space="preserve">with </w:t>
      </w:r>
      <w:r w:rsidR="00094C09" w:rsidRPr="00094C09">
        <w:t>moderate to severe asthma with type 2 inflammation</w:t>
      </w:r>
      <w:r w:rsidR="00094C09">
        <w:t xml:space="preserve"> </w:t>
      </w:r>
      <w:r>
        <w:t>is:</w:t>
      </w:r>
    </w:p>
    <w:p w14:paraId="741EFC79" w14:textId="18B6B7A1" w:rsidR="00B3084B" w:rsidRDefault="00B3084B" w:rsidP="0044525F">
      <w:pPr>
        <w:pStyle w:val="ListParagraph"/>
        <w:numPr>
          <w:ilvl w:val="0"/>
          <w:numId w:val="9"/>
        </w:numPr>
      </w:pPr>
      <w:r>
        <w:t>Initial dose of 400 mg by subcutaneous injection (two 200 mg injections</w:t>
      </w:r>
      <w:r w:rsidR="009B63E6">
        <w:t xml:space="preserve"> </w:t>
      </w:r>
      <w:r>
        <w:t>consecutively in different injection sites) followed by 200 mg given every other week.</w:t>
      </w:r>
    </w:p>
    <w:p w14:paraId="154E1E95" w14:textId="77699B57" w:rsidR="00B3084B" w:rsidRDefault="00B3084B" w:rsidP="00B3084B">
      <w:r>
        <w:t>Patients with oral corticosteroids-dependent asthma or with co-morbid moderate-to-severe</w:t>
      </w:r>
      <w:r w:rsidR="009B63E6">
        <w:t xml:space="preserve"> </w:t>
      </w:r>
      <w:r>
        <w:t>atopic dermatitis or adults with co-morbid severe chronic rhinosinusitis with nasal polyposis</w:t>
      </w:r>
      <w:r w:rsidR="009B63E6">
        <w:t xml:space="preserve"> </w:t>
      </w:r>
      <w:r>
        <w:t xml:space="preserve">for which </w:t>
      </w:r>
      <w:r w:rsidR="009B63E6" w:rsidRPr="009B63E6">
        <w:t xml:space="preserve">dupilumab </w:t>
      </w:r>
      <w:r>
        <w:t>is indicated;</w:t>
      </w:r>
    </w:p>
    <w:p w14:paraId="34F7FE30" w14:textId="782CE28B" w:rsidR="00FB15B5" w:rsidRDefault="00B3084B" w:rsidP="009E111D">
      <w:pPr>
        <w:pStyle w:val="ListParagraph"/>
        <w:numPr>
          <w:ilvl w:val="0"/>
          <w:numId w:val="9"/>
        </w:numPr>
      </w:pPr>
      <w:r>
        <w:t>Initial dose of 600 mg by subcutaneous injection (two 300 mg injections</w:t>
      </w:r>
      <w:r w:rsidR="005030F3">
        <w:t xml:space="preserve"> </w:t>
      </w:r>
      <w:r>
        <w:t>consecutively in different injection sites) followed by 300 mg given every other week</w:t>
      </w:r>
      <w:r w:rsidR="005030F3">
        <w:t>.</w:t>
      </w:r>
    </w:p>
    <w:p w14:paraId="6682A05C" w14:textId="56BEAF1E" w:rsidR="00F17D4B" w:rsidRPr="002F61CA" w:rsidRDefault="00F17D4B" w:rsidP="00F17D4B">
      <w:r w:rsidRPr="002F61CA">
        <w:t xml:space="preserve">The current Product Information (PI) and Consumer Medicine Information (CMI) are available from </w:t>
      </w:r>
      <w:hyperlink r:id="rId11" w:history="1">
        <w:r>
          <w:rPr>
            <w:rStyle w:val="Hyperlink"/>
          </w:rPr>
          <w:t>the TGA (Product Information)</w:t>
        </w:r>
      </w:hyperlink>
      <w:r>
        <w:t xml:space="preserve"> and </w:t>
      </w:r>
      <w:hyperlink r:id="rId12" w:history="1">
        <w:r>
          <w:rPr>
            <w:rStyle w:val="Hyperlink"/>
          </w:rPr>
          <w:t>the TGA (Consumer Medicines Information)</w:t>
        </w:r>
      </w:hyperlink>
      <w:r>
        <w:t>.</w:t>
      </w:r>
    </w:p>
    <w:p w14:paraId="46E2BB42" w14:textId="4CDC7275" w:rsidR="00DF0B13" w:rsidRPr="007247B9" w:rsidDel="00EE2BBB" w:rsidRDefault="00DF0B13" w:rsidP="00542BBC">
      <w:pPr>
        <w:pStyle w:val="Heading2"/>
        <w:keepNext/>
      </w:pPr>
      <w:r w:rsidRPr="007247B9" w:rsidDel="00EE2BBB">
        <w:lastRenderedPageBreak/>
        <w:t>PBS listing details</w:t>
      </w:r>
      <w:r w:rsidR="00D151EB" w:rsidDel="00EE2BBB">
        <w:t xml:space="preserve"> (as at </w:t>
      </w:r>
      <w:r w:rsidR="00DA1980">
        <w:t>1 November 2023</w:t>
      </w:r>
      <w:r w:rsidR="00903DEF">
        <w:t>)</w:t>
      </w:r>
    </w:p>
    <w:p w14:paraId="353AECF0" w14:textId="3F521330" w:rsidR="0009750A" w:rsidRPr="001420B3" w:rsidDel="00EE2BBB" w:rsidRDefault="0009750A" w:rsidP="0009750A">
      <w:pPr>
        <w:pStyle w:val="Tabletitle"/>
        <w:keepNext/>
      </w:pPr>
      <w:r w:rsidRPr="001420B3" w:rsidDel="00EE2BBB">
        <w:t xml:space="preserve">Table </w:t>
      </w:r>
      <w:r w:rsidR="00516AC5">
        <w:t>1</w:t>
      </w:r>
      <w:r w:rsidRPr="001420B3" w:rsidDel="00EE2BBB">
        <w:t xml:space="preserve">: </w:t>
      </w:r>
      <w:r w:rsidDel="00EE2BBB">
        <w:t xml:space="preserve">PBS listing of </w:t>
      </w:r>
      <w:r>
        <w:t>dupilumab for atopic dermatitis</w:t>
      </w:r>
    </w:p>
    <w:tbl>
      <w:tblPr>
        <w:tblStyle w:val="TableGrid"/>
        <w:tblW w:w="9064" w:type="dxa"/>
        <w:tblLayout w:type="fixed"/>
        <w:tblLook w:val="04A0" w:firstRow="1" w:lastRow="0" w:firstColumn="1" w:lastColumn="0" w:noHBand="0" w:noVBand="1"/>
      </w:tblPr>
      <w:tblGrid>
        <w:gridCol w:w="969"/>
        <w:gridCol w:w="2967"/>
        <w:gridCol w:w="1134"/>
        <w:gridCol w:w="850"/>
        <w:gridCol w:w="1040"/>
        <w:gridCol w:w="2104"/>
      </w:tblGrid>
      <w:tr w:rsidR="0009750A" w:rsidRPr="00A35800" w:rsidDel="00EE2BBB" w14:paraId="1F56EBBC" w14:textId="77777777" w:rsidTr="0003147E">
        <w:trPr>
          <w:trHeight w:val="694"/>
          <w:tblHeader/>
        </w:trPr>
        <w:tc>
          <w:tcPr>
            <w:tcW w:w="969" w:type="dxa"/>
            <w:shd w:val="clear" w:color="auto" w:fill="BFBFBF" w:themeFill="background1" w:themeFillShade="BF"/>
          </w:tcPr>
          <w:p w14:paraId="30A07F77" w14:textId="77777777" w:rsidR="0009750A" w:rsidRPr="00A35800" w:rsidDel="00EE2BBB" w:rsidRDefault="0009750A" w:rsidP="00EF5645">
            <w:pPr>
              <w:pStyle w:val="Tableheading"/>
              <w:rPr>
                <w:sz w:val="20"/>
                <w:szCs w:val="20"/>
              </w:rPr>
            </w:pPr>
            <w:r w:rsidRPr="00A35800" w:rsidDel="00EE2BBB">
              <w:rPr>
                <w:sz w:val="20"/>
                <w:szCs w:val="20"/>
              </w:rPr>
              <w:t>Item</w:t>
            </w:r>
          </w:p>
        </w:tc>
        <w:tc>
          <w:tcPr>
            <w:tcW w:w="2967" w:type="dxa"/>
            <w:shd w:val="clear" w:color="auto" w:fill="BFBFBF" w:themeFill="background1" w:themeFillShade="BF"/>
          </w:tcPr>
          <w:p w14:paraId="1846CEA0" w14:textId="77777777" w:rsidR="0009750A" w:rsidRPr="00A35800" w:rsidDel="00EE2BBB" w:rsidRDefault="0009750A" w:rsidP="00EF5645">
            <w:pPr>
              <w:pStyle w:val="Tableheading"/>
              <w:rPr>
                <w:sz w:val="20"/>
                <w:szCs w:val="20"/>
              </w:rPr>
            </w:pPr>
            <w:r w:rsidRPr="00A35800" w:rsidDel="00EE2BBB">
              <w:rPr>
                <w:sz w:val="20"/>
                <w:szCs w:val="20"/>
              </w:rPr>
              <w:t>Name, form &amp; strength, pack size</w:t>
            </w:r>
          </w:p>
        </w:tc>
        <w:tc>
          <w:tcPr>
            <w:tcW w:w="1134" w:type="dxa"/>
            <w:shd w:val="clear" w:color="auto" w:fill="BFBFBF" w:themeFill="background1" w:themeFillShade="BF"/>
          </w:tcPr>
          <w:p w14:paraId="6F719428" w14:textId="77777777" w:rsidR="0009750A" w:rsidRPr="00A35800" w:rsidDel="00EE2BBB" w:rsidRDefault="0009750A" w:rsidP="00EF5645">
            <w:pPr>
              <w:pStyle w:val="Tableheading"/>
              <w:rPr>
                <w:sz w:val="20"/>
                <w:szCs w:val="20"/>
              </w:rPr>
            </w:pPr>
            <w:r w:rsidRPr="00A35800" w:rsidDel="00EE2BBB">
              <w:rPr>
                <w:sz w:val="20"/>
                <w:szCs w:val="20"/>
              </w:rPr>
              <w:t xml:space="preserve">Max. quant. </w:t>
            </w:r>
          </w:p>
        </w:tc>
        <w:tc>
          <w:tcPr>
            <w:tcW w:w="850" w:type="dxa"/>
            <w:shd w:val="clear" w:color="auto" w:fill="BFBFBF" w:themeFill="background1" w:themeFillShade="BF"/>
          </w:tcPr>
          <w:p w14:paraId="734DC009" w14:textId="77777777" w:rsidR="0009750A" w:rsidRPr="00A35800" w:rsidDel="00EE2BBB" w:rsidRDefault="0009750A" w:rsidP="00EF5645">
            <w:pPr>
              <w:pStyle w:val="Tableheading"/>
              <w:rPr>
                <w:sz w:val="20"/>
                <w:szCs w:val="20"/>
              </w:rPr>
            </w:pPr>
            <w:proofErr w:type="spellStart"/>
            <w:r w:rsidRPr="00A35800" w:rsidDel="00EE2BBB">
              <w:rPr>
                <w:sz w:val="20"/>
                <w:szCs w:val="20"/>
              </w:rPr>
              <w:t>Rpts</w:t>
            </w:r>
            <w:proofErr w:type="spellEnd"/>
            <w:r w:rsidRPr="00A35800" w:rsidDel="00EE2BBB">
              <w:rPr>
                <w:sz w:val="20"/>
                <w:szCs w:val="20"/>
              </w:rPr>
              <w:t xml:space="preserve"> </w:t>
            </w:r>
          </w:p>
        </w:tc>
        <w:tc>
          <w:tcPr>
            <w:tcW w:w="1040" w:type="dxa"/>
            <w:shd w:val="clear" w:color="auto" w:fill="BFBFBF" w:themeFill="background1" w:themeFillShade="BF"/>
          </w:tcPr>
          <w:p w14:paraId="08CCFCB4" w14:textId="77777777" w:rsidR="0009750A" w:rsidRPr="00A35800" w:rsidDel="00EE2BBB" w:rsidRDefault="0009750A" w:rsidP="00EF5645">
            <w:pPr>
              <w:pStyle w:val="Tableheading"/>
              <w:rPr>
                <w:sz w:val="20"/>
                <w:szCs w:val="20"/>
              </w:rPr>
            </w:pPr>
            <w:r w:rsidRPr="00A35800" w:rsidDel="00EE2BBB">
              <w:rPr>
                <w:sz w:val="20"/>
                <w:szCs w:val="20"/>
              </w:rPr>
              <w:t>DPMQ</w:t>
            </w:r>
          </w:p>
        </w:tc>
        <w:tc>
          <w:tcPr>
            <w:tcW w:w="2104" w:type="dxa"/>
            <w:shd w:val="clear" w:color="auto" w:fill="BFBFBF" w:themeFill="background1" w:themeFillShade="BF"/>
          </w:tcPr>
          <w:p w14:paraId="3B073A5E" w14:textId="77777777" w:rsidR="0009750A" w:rsidRPr="00A35800" w:rsidDel="00EE2BBB" w:rsidRDefault="0009750A" w:rsidP="00EF5645">
            <w:pPr>
              <w:pStyle w:val="Tableheading"/>
              <w:rPr>
                <w:sz w:val="20"/>
                <w:szCs w:val="20"/>
              </w:rPr>
            </w:pPr>
            <w:r w:rsidRPr="00A35800" w:rsidDel="00EE2BBB">
              <w:rPr>
                <w:sz w:val="20"/>
                <w:szCs w:val="20"/>
              </w:rPr>
              <w:t>Brand name and manufacturer</w:t>
            </w:r>
          </w:p>
        </w:tc>
      </w:tr>
      <w:tr w:rsidR="008171FE" w:rsidRPr="00A35800" w:rsidDel="00EE2BBB" w14:paraId="0941D14E" w14:textId="77777777" w:rsidTr="008171FE">
        <w:trPr>
          <w:trHeight w:val="694"/>
          <w:tblHeader/>
        </w:trPr>
        <w:tc>
          <w:tcPr>
            <w:tcW w:w="9064" w:type="dxa"/>
            <w:gridSpan w:val="6"/>
            <w:shd w:val="clear" w:color="auto" w:fill="auto"/>
            <w:vAlign w:val="center"/>
          </w:tcPr>
          <w:p w14:paraId="18E7A215" w14:textId="4DD35BE2" w:rsidR="008171FE" w:rsidRPr="000676D1" w:rsidDel="00EE2BBB" w:rsidRDefault="008171FE" w:rsidP="008171FE">
            <w:pPr>
              <w:pStyle w:val="Tableheading"/>
              <w:jc w:val="left"/>
              <w:rPr>
                <w:b w:val="0"/>
                <w:bCs/>
                <w:sz w:val="20"/>
                <w:szCs w:val="20"/>
              </w:rPr>
            </w:pPr>
            <w:r w:rsidRPr="000676D1">
              <w:rPr>
                <w:b w:val="0"/>
                <w:bCs/>
                <w:sz w:val="20"/>
                <w:szCs w:val="20"/>
              </w:rPr>
              <w:t xml:space="preserve">Listings </w:t>
            </w:r>
            <w:r w:rsidR="000676D1" w:rsidRPr="000676D1">
              <w:rPr>
                <w:b w:val="0"/>
                <w:bCs/>
                <w:sz w:val="20"/>
                <w:szCs w:val="20"/>
              </w:rPr>
              <w:t>under s100 HSD Public</w:t>
            </w:r>
          </w:p>
        </w:tc>
      </w:tr>
      <w:tr w:rsidR="0009750A" w:rsidRPr="00A35800" w:rsidDel="00EE2BBB" w14:paraId="3403ABDF" w14:textId="77777777" w:rsidTr="0003147E">
        <w:trPr>
          <w:trHeight w:val="552"/>
          <w:tblHeader/>
        </w:trPr>
        <w:tc>
          <w:tcPr>
            <w:tcW w:w="969" w:type="dxa"/>
            <w:shd w:val="clear" w:color="auto" w:fill="auto"/>
          </w:tcPr>
          <w:p w14:paraId="649E5EFD" w14:textId="7E31D101" w:rsidR="0009750A" w:rsidRPr="00A35800" w:rsidDel="00EE2BBB" w:rsidRDefault="00A806BC" w:rsidP="00EF5645">
            <w:pPr>
              <w:pStyle w:val="Tablewriting"/>
            </w:pPr>
            <w:r w:rsidRPr="00A806BC">
              <w:t>12293B</w:t>
            </w:r>
          </w:p>
        </w:tc>
        <w:tc>
          <w:tcPr>
            <w:tcW w:w="2967" w:type="dxa"/>
            <w:shd w:val="clear" w:color="auto" w:fill="auto"/>
          </w:tcPr>
          <w:p w14:paraId="2AAF0BFE" w14:textId="507FC77D" w:rsidR="0009750A" w:rsidRPr="00A35800" w:rsidDel="00EE2BBB" w:rsidRDefault="00DF1716" w:rsidP="00EF5645">
            <w:pPr>
              <w:pStyle w:val="Tablewriting"/>
            </w:pPr>
            <w:r w:rsidRPr="00DF1716">
              <w:t>dupilumab 300 mg/2 mL injection, 2 x 2 mL syringes</w:t>
            </w:r>
          </w:p>
        </w:tc>
        <w:tc>
          <w:tcPr>
            <w:tcW w:w="1134" w:type="dxa"/>
            <w:shd w:val="clear" w:color="auto" w:fill="auto"/>
          </w:tcPr>
          <w:p w14:paraId="186BE153" w14:textId="77777777" w:rsidR="0009750A" w:rsidRPr="00A35800" w:rsidDel="00EE2BBB" w:rsidRDefault="0009750A" w:rsidP="00EF5645">
            <w:pPr>
              <w:pStyle w:val="Tablewriting"/>
            </w:pPr>
            <w:r>
              <w:t>2</w:t>
            </w:r>
          </w:p>
        </w:tc>
        <w:tc>
          <w:tcPr>
            <w:tcW w:w="850" w:type="dxa"/>
            <w:shd w:val="clear" w:color="auto" w:fill="auto"/>
          </w:tcPr>
          <w:p w14:paraId="7DAFDCA7" w14:textId="46F65248" w:rsidR="0009750A" w:rsidRPr="00A35800" w:rsidDel="00EE2BBB" w:rsidRDefault="00A806BC" w:rsidP="00EF5645">
            <w:pPr>
              <w:pStyle w:val="Tablewriting"/>
            </w:pPr>
            <w:r>
              <w:t>8</w:t>
            </w:r>
          </w:p>
        </w:tc>
        <w:tc>
          <w:tcPr>
            <w:tcW w:w="1040" w:type="dxa"/>
            <w:shd w:val="clear" w:color="auto" w:fill="auto"/>
          </w:tcPr>
          <w:p w14:paraId="5EB0F903" w14:textId="05E5A040" w:rsidR="0009750A" w:rsidRPr="00A35800" w:rsidDel="00EE2BBB" w:rsidRDefault="00A806BC" w:rsidP="00EF5645">
            <w:pPr>
              <w:pStyle w:val="Tablewriting"/>
            </w:pPr>
            <w:r w:rsidRPr="00A806BC">
              <w:t>$1609.86</w:t>
            </w:r>
          </w:p>
        </w:tc>
        <w:tc>
          <w:tcPr>
            <w:tcW w:w="2104" w:type="dxa"/>
            <w:vMerge w:val="restart"/>
            <w:shd w:val="clear" w:color="auto" w:fill="auto"/>
          </w:tcPr>
          <w:p w14:paraId="464DDC27" w14:textId="77777777" w:rsidR="0009750A" w:rsidRPr="00A35800" w:rsidDel="00EE2BBB" w:rsidRDefault="0009750A" w:rsidP="00EF5645">
            <w:pPr>
              <w:pStyle w:val="Tablewriting"/>
            </w:pPr>
            <w:r w:rsidRPr="004E348D">
              <w:t>Dupixent</w:t>
            </w:r>
            <w:r>
              <w:t xml:space="preserve">, </w:t>
            </w:r>
            <w:proofErr w:type="spellStart"/>
            <w:r w:rsidRPr="004E348D">
              <w:t>sanofi-aventis</w:t>
            </w:r>
            <w:proofErr w:type="spellEnd"/>
            <w:r w:rsidRPr="004E348D">
              <w:t xml:space="preserve"> Australia Pty Ltd</w:t>
            </w:r>
          </w:p>
        </w:tc>
      </w:tr>
      <w:tr w:rsidR="00FF5ED4" w:rsidRPr="00A35800" w:rsidDel="00EE2BBB" w14:paraId="7B2651EF" w14:textId="77777777" w:rsidTr="0003147E">
        <w:trPr>
          <w:trHeight w:val="552"/>
          <w:tblHeader/>
        </w:trPr>
        <w:tc>
          <w:tcPr>
            <w:tcW w:w="969" w:type="dxa"/>
            <w:shd w:val="clear" w:color="auto" w:fill="auto"/>
          </w:tcPr>
          <w:p w14:paraId="57C268BF" w14:textId="47271D50" w:rsidR="00FF5ED4" w:rsidRPr="00A806BC" w:rsidRDefault="00FF5ED4" w:rsidP="00FF5ED4">
            <w:pPr>
              <w:pStyle w:val="Tablewriting"/>
            </w:pPr>
            <w:r w:rsidRPr="00DF1716">
              <w:t>12302L</w:t>
            </w:r>
          </w:p>
        </w:tc>
        <w:tc>
          <w:tcPr>
            <w:tcW w:w="2967" w:type="dxa"/>
            <w:shd w:val="clear" w:color="auto" w:fill="auto"/>
          </w:tcPr>
          <w:p w14:paraId="58395442" w14:textId="429C6E83" w:rsidR="00FF5ED4" w:rsidRPr="00DF1716" w:rsidRDefault="00FF5ED4" w:rsidP="00FF5ED4">
            <w:pPr>
              <w:pStyle w:val="Tablewriting"/>
            </w:pPr>
            <w:r w:rsidRPr="00DF1716">
              <w:t>dupilumab 300 mg/2 mL injection, 2 x 2 mL syringes</w:t>
            </w:r>
          </w:p>
        </w:tc>
        <w:tc>
          <w:tcPr>
            <w:tcW w:w="1134" w:type="dxa"/>
            <w:shd w:val="clear" w:color="auto" w:fill="auto"/>
          </w:tcPr>
          <w:p w14:paraId="2A623EE5" w14:textId="06487960" w:rsidR="00FF5ED4" w:rsidRDefault="00FF5ED4" w:rsidP="00FF5ED4">
            <w:pPr>
              <w:pStyle w:val="Tablewriting"/>
            </w:pPr>
            <w:r>
              <w:t>2</w:t>
            </w:r>
          </w:p>
        </w:tc>
        <w:tc>
          <w:tcPr>
            <w:tcW w:w="850" w:type="dxa"/>
            <w:shd w:val="clear" w:color="auto" w:fill="auto"/>
          </w:tcPr>
          <w:p w14:paraId="1613A5A5" w14:textId="25650CED" w:rsidR="00FF5ED4" w:rsidRDefault="00FF5ED4" w:rsidP="00FF5ED4">
            <w:pPr>
              <w:pStyle w:val="Tablewriting"/>
            </w:pPr>
            <w:r>
              <w:t>5</w:t>
            </w:r>
          </w:p>
        </w:tc>
        <w:tc>
          <w:tcPr>
            <w:tcW w:w="1040" w:type="dxa"/>
            <w:shd w:val="clear" w:color="auto" w:fill="auto"/>
          </w:tcPr>
          <w:p w14:paraId="0AC6653D" w14:textId="30ADAAA7" w:rsidR="00FF5ED4" w:rsidRPr="00A806BC" w:rsidRDefault="00FF5ED4" w:rsidP="00FF5ED4">
            <w:pPr>
              <w:pStyle w:val="Tablewriting"/>
            </w:pPr>
            <w:r w:rsidRPr="00650E9A">
              <w:t>$1609.86</w:t>
            </w:r>
          </w:p>
        </w:tc>
        <w:tc>
          <w:tcPr>
            <w:tcW w:w="2104" w:type="dxa"/>
            <w:vMerge/>
            <w:shd w:val="clear" w:color="auto" w:fill="auto"/>
          </w:tcPr>
          <w:p w14:paraId="782694C5" w14:textId="77777777" w:rsidR="00FF5ED4" w:rsidRPr="004E348D" w:rsidRDefault="00FF5ED4" w:rsidP="00FF5ED4">
            <w:pPr>
              <w:pStyle w:val="Tablewriting"/>
            </w:pPr>
          </w:p>
        </w:tc>
      </w:tr>
      <w:tr w:rsidR="00FB6A43" w:rsidRPr="00A35800" w:rsidDel="00EE2BBB" w14:paraId="10C78356" w14:textId="77777777" w:rsidTr="0003147E">
        <w:trPr>
          <w:trHeight w:val="552"/>
          <w:tblHeader/>
        </w:trPr>
        <w:tc>
          <w:tcPr>
            <w:tcW w:w="969" w:type="dxa"/>
            <w:shd w:val="clear" w:color="auto" w:fill="auto"/>
          </w:tcPr>
          <w:p w14:paraId="141864DB" w14:textId="6C6FDAA2" w:rsidR="00FB6A43" w:rsidRPr="00A806BC" w:rsidRDefault="00FB6A43" w:rsidP="00FB6A43">
            <w:pPr>
              <w:pStyle w:val="Tablewriting"/>
            </w:pPr>
            <w:r w:rsidRPr="00650E9A">
              <w:t>12309W</w:t>
            </w:r>
          </w:p>
        </w:tc>
        <w:tc>
          <w:tcPr>
            <w:tcW w:w="2967" w:type="dxa"/>
            <w:shd w:val="clear" w:color="auto" w:fill="auto"/>
          </w:tcPr>
          <w:p w14:paraId="06E1F044" w14:textId="1A235A1C" w:rsidR="00FB6A43" w:rsidRPr="00DF1716" w:rsidRDefault="00FB6A43" w:rsidP="00FB6A43">
            <w:pPr>
              <w:pStyle w:val="Tablewriting"/>
            </w:pPr>
            <w:r w:rsidRPr="00694A42">
              <w:t>dupilumab 200 mg/1.14 mL injection, 2 x 1.14 mL syringes</w:t>
            </w:r>
          </w:p>
        </w:tc>
        <w:tc>
          <w:tcPr>
            <w:tcW w:w="1134" w:type="dxa"/>
            <w:shd w:val="clear" w:color="auto" w:fill="auto"/>
          </w:tcPr>
          <w:p w14:paraId="24CB17DA" w14:textId="5944B551" w:rsidR="00FB6A43" w:rsidRDefault="00FB6A43" w:rsidP="00FB6A43">
            <w:pPr>
              <w:pStyle w:val="Tablewriting"/>
            </w:pPr>
            <w:r>
              <w:t>2</w:t>
            </w:r>
          </w:p>
        </w:tc>
        <w:tc>
          <w:tcPr>
            <w:tcW w:w="850" w:type="dxa"/>
            <w:shd w:val="clear" w:color="auto" w:fill="auto"/>
          </w:tcPr>
          <w:p w14:paraId="1E5ED40C" w14:textId="3BECD9C4" w:rsidR="00FB6A43" w:rsidRDefault="00FB6A43" w:rsidP="00FB6A43">
            <w:pPr>
              <w:pStyle w:val="Tablewriting"/>
            </w:pPr>
            <w:r>
              <w:t>8</w:t>
            </w:r>
          </w:p>
        </w:tc>
        <w:tc>
          <w:tcPr>
            <w:tcW w:w="1040" w:type="dxa"/>
            <w:shd w:val="clear" w:color="auto" w:fill="auto"/>
          </w:tcPr>
          <w:p w14:paraId="36F99FA2" w14:textId="086AF8EB" w:rsidR="00FB6A43" w:rsidRPr="00A806BC" w:rsidRDefault="00FB6A43" w:rsidP="00FB6A43">
            <w:pPr>
              <w:pStyle w:val="Tablewriting"/>
            </w:pPr>
            <w:r w:rsidRPr="00694A42">
              <w:t>$1609.86</w:t>
            </w:r>
          </w:p>
        </w:tc>
        <w:tc>
          <w:tcPr>
            <w:tcW w:w="2104" w:type="dxa"/>
            <w:vMerge/>
            <w:shd w:val="clear" w:color="auto" w:fill="auto"/>
          </w:tcPr>
          <w:p w14:paraId="216DEA70" w14:textId="77777777" w:rsidR="00FB6A43" w:rsidRPr="004E348D" w:rsidRDefault="00FB6A43" w:rsidP="00FB6A43">
            <w:pPr>
              <w:pStyle w:val="Tablewriting"/>
            </w:pPr>
          </w:p>
        </w:tc>
      </w:tr>
      <w:tr w:rsidR="00153A4F" w:rsidRPr="00A35800" w:rsidDel="00EE2BBB" w14:paraId="509F088C" w14:textId="77777777" w:rsidTr="0003147E">
        <w:trPr>
          <w:trHeight w:val="552"/>
          <w:tblHeader/>
        </w:trPr>
        <w:tc>
          <w:tcPr>
            <w:tcW w:w="969" w:type="dxa"/>
            <w:shd w:val="clear" w:color="auto" w:fill="auto"/>
          </w:tcPr>
          <w:p w14:paraId="0BE54C7A" w14:textId="6AB7D725" w:rsidR="00153A4F" w:rsidRPr="00A35800" w:rsidDel="00EE2BBB" w:rsidRDefault="00153A4F" w:rsidP="00153A4F">
            <w:pPr>
              <w:pStyle w:val="Tablewriting"/>
            </w:pPr>
            <w:r>
              <w:t>12318H</w:t>
            </w:r>
          </w:p>
        </w:tc>
        <w:tc>
          <w:tcPr>
            <w:tcW w:w="2967" w:type="dxa"/>
            <w:shd w:val="clear" w:color="auto" w:fill="auto"/>
          </w:tcPr>
          <w:p w14:paraId="76B39C37" w14:textId="3426BB72" w:rsidR="00153A4F" w:rsidRPr="00A35800" w:rsidDel="00EE2BBB" w:rsidRDefault="00153A4F" w:rsidP="00153A4F">
            <w:pPr>
              <w:pStyle w:val="Tablewriting"/>
            </w:pPr>
            <w:r w:rsidRPr="00694A42">
              <w:t>dupilumab 200 mg/1.14 mL injection, 2 x 1.14 mL syringes</w:t>
            </w:r>
          </w:p>
        </w:tc>
        <w:tc>
          <w:tcPr>
            <w:tcW w:w="1134" w:type="dxa"/>
            <w:shd w:val="clear" w:color="auto" w:fill="auto"/>
          </w:tcPr>
          <w:p w14:paraId="637CD726" w14:textId="4CF1D988" w:rsidR="00153A4F" w:rsidRPr="00A35800" w:rsidDel="00EE2BBB" w:rsidRDefault="00153A4F" w:rsidP="00153A4F">
            <w:pPr>
              <w:pStyle w:val="Tablewriting"/>
            </w:pPr>
            <w:r>
              <w:t>2</w:t>
            </w:r>
          </w:p>
        </w:tc>
        <w:tc>
          <w:tcPr>
            <w:tcW w:w="850" w:type="dxa"/>
            <w:shd w:val="clear" w:color="auto" w:fill="auto"/>
          </w:tcPr>
          <w:p w14:paraId="4756BFAB" w14:textId="49ED8FBA" w:rsidR="00153A4F" w:rsidRPr="00A35800" w:rsidDel="00EE2BBB" w:rsidRDefault="00153A4F" w:rsidP="00153A4F">
            <w:pPr>
              <w:pStyle w:val="Tablewriting"/>
            </w:pPr>
            <w:r>
              <w:t>5</w:t>
            </w:r>
          </w:p>
        </w:tc>
        <w:tc>
          <w:tcPr>
            <w:tcW w:w="1040" w:type="dxa"/>
            <w:shd w:val="clear" w:color="auto" w:fill="auto"/>
          </w:tcPr>
          <w:p w14:paraId="6603EE6B" w14:textId="39AFB806" w:rsidR="00153A4F" w:rsidRPr="00A35800" w:rsidDel="00EE2BBB" w:rsidRDefault="00153A4F" w:rsidP="00153A4F">
            <w:pPr>
              <w:pStyle w:val="Tablewriting"/>
            </w:pPr>
            <w:r w:rsidRPr="00650E9A">
              <w:t>$1609.86</w:t>
            </w:r>
          </w:p>
        </w:tc>
        <w:tc>
          <w:tcPr>
            <w:tcW w:w="2104" w:type="dxa"/>
            <w:vMerge/>
            <w:shd w:val="clear" w:color="auto" w:fill="auto"/>
          </w:tcPr>
          <w:p w14:paraId="3FDE5CE8" w14:textId="77777777" w:rsidR="00153A4F" w:rsidRPr="00A35800" w:rsidDel="00EE2BBB" w:rsidRDefault="00153A4F" w:rsidP="00153A4F">
            <w:pPr>
              <w:pStyle w:val="Tablewriting"/>
            </w:pPr>
          </w:p>
        </w:tc>
      </w:tr>
      <w:tr w:rsidR="000676D1" w:rsidRPr="00A35800" w:rsidDel="00EE2BBB" w14:paraId="768C551C" w14:textId="77777777" w:rsidTr="00D319E4">
        <w:trPr>
          <w:trHeight w:val="552"/>
          <w:tblHeader/>
        </w:trPr>
        <w:tc>
          <w:tcPr>
            <w:tcW w:w="9064" w:type="dxa"/>
            <w:gridSpan w:val="6"/>
            <w:shd w:val="clear" w:color="auto" w:fill="auto"/>
          </w:tcPr>
          <w:p w14:paraId="23405868" w14:textId="52A82B0D" w:rsidR="000676D1" w:rsidRPr="00A35800" w:rsidDel="00EE2BBB" w:rsidRDefault="000676D1" w:rsidP="00EF5645">
            <w:pPr>
              <w:pStyle w:val="Tablewriting"/>
            </w:pPr>
            <w:r w:rsidRPr="000676D1">
              <w:t xml:space="preserve">Listings under s100 HSD </w:t>
            </w:r>
            <w:r>
              <w:t>Private</w:t>
            </w:r>
          </w:p>
        </w:tc>
      </w:tr>
      <w:tr w:rsidR="0088729E" w:rsidRPr="00A35800" w:rsidDel="00EE2BBB" w14:paraId="4D1F0C39" w14:textId="77777777" w:rsidTr="0003147E">
        <w:trPr>
          <w:trHeight w:val="552"/>
          <w:tblHeader/>
        </w:trPr>
        <w:tc>
          <w:tcPr>
            <w:tcW w:w="969" w:type="dxa"/>
            <w:shd w:val="clear" w:color="auto" w:fill="auto"/>
          </w:tcPr>
          <w:p w14:paraId="21BB4884" w14:textId="26765ED5" w:rsidR="0088729E" w:rsidRPr="00650E9A" w:rsidRDefault="0088729E" w:rsidP="0088729E">
            <w:pPr>
              <w:pStyle w:val="Tablewriting"/>
            </w:pPr>
            <w:r w:rsidRPr="002F0DC4">
              <w:t>12310X</w:t>
            </w:r>
          </w:p>
        </w:tc>
        <w:tc>
          <w:tcPr>
            <w:tcW w:w="2967" w:type="dxa"/>
            <w:shd w:val="clear" w:color="auto" w:fill="auto"/>
          </w:tcPr>
          <w:p w14:paraId="28D9B257" w14:textId="2620CFA5" w:rsidR="0088729E" w:rsidRPr="00694A42" w:rsidRDefault="0088729E" w:rsidP="0088729E">
            <w:pPr>
              <w:pStyle w:val="Tablewriting"/>
            </w:pPr>
            <w:r w:rsidRPr="00334A88">
              <w:t>dupilumab 300 mg/2 mL injection, 2 x 2 mL syringes</w:t>
            </w:r>
          </w:p>
        </w:tc>
        <w:tc>
          <w:tcPr>
            <w:tcW w:w="1134" w:type="dxa"/>
            <w:shd w:val="clear" w:color="auto" w:fill="auto"/>
          </w:tcPr>
          <w:p w14:paraId="429B8AE6" w14:textId="53CAC49B" w:rsidR="0088729E" w:rsidRDefault="0088729E" w:rsidP="0088729E">
            <w:pPr>
              <w:pStyle w:val="Tablewriting"/>
            </w:pPr>
            <w:r>
              <w:t>2</w:t>
            </w:r>
          </w:p>
        </w:tc>
        <w:tc>
          <w:tcPr>
            <w:tcW w:w="850" w:type="dxa"/>
            <w:shd w:val="clear" w:color="auto" w:fill="auto"/>
          </w:tcPr>
          <w:p w14:paraId="642C647B" w14:textId="24E55C15" w:rsidR="0088729E" w:rsidRDefault="0088729E" w:rsidP="0088729E">
            <w:pPr>
              <w:pStyle w:val="Tablewriting"/>
            </w:pPr>
            <w:r>
              <w:t>8</w:t>
            </w:r>
          </w:p>
        </w:tc>
        <w:tc>
          <w:tcPr>
            <w:tcW w:w="1040" w:type="dxa"/>
            <w:shd w:val="clear" w:color="auto" w:fill="auto"/>
          </w:tcPr>
          <w:p w14:paraId="1617B51A" w14:textId="0E0A4914" w:rsidR="0088729E" w:rsidRPr="00694A42" w:rsidRDefault="0088729E" w:rsidP="0088729E">
            <w:pPr>
              <w:pStyle w:val="Tablewriting"/>
            </w:pPr>
            <w:r w:rsidRPr="00334A88">
              <w:t>$1658.23</w:t>
            </w:r>
          </w:p>
        </w:tc>
        <w:tc>
          <w:tcPr>
            <w:tcW w:w="2104" w:type="dxa"/>
            <w:vMerge w:val="restart"/>
            <w:shd w:val="clear" w:color="auto" w:fill="auto"/>
          </w:tcPr>
          <w:p w14:paraId="268B67EF" w14:textId="31F95D99" w:rsidR="0088729E" w:rsidRPr="00A35800" w:rsidDel="00EE2BBB" w:rsidRDefault="0088729E" w:rsidP="0088729E">
            <w:pPr>
              <w:pStyle w:val="Tablewriting"/>
            </w:pPr>
            <w:r w:rsidRPr="0003147E">
              <w:t xml:space="preserve">Dupixent, </w:t>
            </w:r>
            <w:proofErr w:type="spellStart"/>
            <w:r w:rsidRPr="0003147E">
              <w:t>sanofi-aventis</w:t>
            </w:r>
            <w:proofErr w:type="spellEnd"/>
            <w:r w:rsidRPr="0003147E">
              <w:t xml:space="preserve"> Australia Pty Ltd</w:t>
            </w:r>
          </w:p>
        </w:tc>
      </w:tr>
      <w:tr w:rsidR="0088729E" w:rsidRPr="00A35800" w:rsidDel="00EE2BBB" w14:paraId="357D3AD4" w14:textId="77777777" w:rsidTr="0003147E">
        <w:trPr>
          <w:trHeight w:val="552"/>
          <w:tblHeader/>
        </w:trPr>
        <w:tc>
          <w:tcPr>
            <w:tcW w:w="969" w:type="dxa"/>
            <w:shd w:val="clear" w:color="auto" w:fill="auto"/>
          </w:tcPr>
          <w:p w14:paraId="05769296" w14:textId="3BA247A0" w:rsidR="0088729E" w:rsidRPr="00CA1358" w:rsidRDefault="0088729E" w:rsidP="0088729E">
            <w:pPr>
              <w:pStyle w:val="Tablewriting"/>
            </w:pPr>
            <w:r w:rsidRPr="00CA1358">
              <w:t>12294C</w:t>
            </w:r>
          </w:p>
        </w:tc>
        <w:tc>
          <w:tcPr>
            <w:tcW w:w="2967" w:type="dxa"/>
            <w:shd w:val="clear" w:color="auto" w:fill="auto"/>
          </w:tcPr>
          <w:p w14:paraId="30E23EDD" w14:textId="5BA2AA47" w:rsidR="0088729E" w:rsidRPr="004E348D" w:rsidRDefault="0088729E" w:rsidP="0088729E">
            <w:pPr>
              <w:pStyle w:val="Tablewriting"/>
            </w:pPr>
            <w:r w:rsidRPr="004E348D">
              <w:t>dupilumab 300 mg/2 mL injection, 2 x 2 mL syringes</w:t>
            </w:r>
          </w:p>
        </w:tc>
        <w:tc>
          <w:tcPr>
            <w:tcW w:w="1134" w:type="dxa"/>
            <w:shd w:val="clear" w:color="auto" w:fill="auto"/>
          </w:tcPr>
          <w:p w14:paraId="72926ADD" w14:textId="0A6B47E1" w:rsidR="0088729E" w:rsidRDefault="0088729E" w:rsidP="0088729E">
            <w:pPr>
              <w:pStyle w:val="Tablewriting"/>
            </w:pPr>
            <w:r>
              <w:t>2</w:t>
            </w:r>
          </w:p>
        </w:tc>
        <w:tc>
          <w:tcPr>
            <w:tcW w:w="850" w:type="dxa"/>
            <w:shd w:val="clear" w:color="auto" w:fill="auto"/>
          </w:tcPr>
          <w:p w14:paraId="761AA488" w14:textId="50B12D4C" w:rsidR="0088729E" w:rsidRDefault="0088729E" w:rsidP="0088729E">
            <w:pPr>
              <w:pStyle w:val="Tablewriting"/>
            </w:pPr>
            <w:r>
              <w:t>5</w:t>
            </w:r>
          </w:p>
        </w:tc>
        <w:tc>
          <w:tcPr>
            <w:tcW w:w="1040" w:type="dxa"/>
            <w:shd w:val="clear" w:color="auto" w:fill="auto"/>
          </w:tcPr>
          <w:p w14:paraId="7726E62C" w14:textId="38239D0B" w:rsidR="0088729E" w:rsidRPr="00CA1358" w:rsidRDefault="0088729E" w:rsidP="0088729E">
            <w:pPr>
              <w:pStyle w:val="Tablewriting"/>
            </w:pPr>
            <w:r w:rsidRPr="00CA1358">
              <w:t>$1658.23</w:t>
            </w:r>
          </w:p>
        </w:tc>
        <w:tc>
          <w:tcPr>
            <w:tcW w:w="2104" w:type="dxa"/>
            <w:vMerge/>
            <w:shd w:val="clear" w:color="auto" w:fill="auto"/>
          </w:tcPr>
          <w:p w14:paraId="2A590E10" w14:textId="77777777" w:rsidR="0088729E" w:rsidRPr="0003147E" w:rsidRDefault="0088729E" w:rsidP="0088729E">
            <w:pPr>
              <w:pStyle w:val="Tablewriting"/>
            </w:pPr>
          </w:p>
        </w:tc>
      </w:tr>
      <w:tr w:rsidR="0088729E" w:rsidRPr="00A35800" w:rsidDel="00EE2BBB" w14:paraId="5CE9BE03" w14:textId="77777777" w:rsidTr="0003147E">
        <w:trPr>
          <w:trHeight w:val="552"/>
          <w:tblHeader/>
        </w:trPr>
        <w:tc>
          <w:tcPr>
            <w:tcW w:w="969" w:type="dxa"/>
            <w:shd w:val="clear" w:color="auto" w:fill="auto"/>
          </w:tcPr>
          <w:p w14:paraId="25371426" w14:textId="494C8011" w:rsidR="0088729E" w:rsidRPr="00650E9A" w:rsidRDefault="0088729E" w:rsidP="0088729E">
            <w:pPr>
              <w:pStyle w:val="Tablewriting"/>
            </w:pPr>
            <w:r w:rsidRPr="00C244CD">
              <w:t>12313C</w:t>
            </w:r>
          </w:p>
        </w:tc>
        <w:tc>
          <w:tcPr>
            <w:tcW w:w="2967" w:type="dxa"/>
            <w:shd w:val="clear" w:color="auto" w:fill="auto"/>
          </w:tcPr>
          <w:p w14:paraId="4D0CAC34" w14:textId="16D9FA8C" w:rsidR="0088729E" w:rsidRPr="00694A42" w:rsidRDefault="0088729E" w:rsidP="0088729E">
            <w:pPr>
              <w:pStyle w:val="Tablewriting"/>
            </w:pPr>
            <w:r w:rsidRPr="00694A42">
              <w:t>dupilumab 200 mg/1.14 mL injection, 2 x 1.14 mL syringes</w:t>
            </w:r>
          </w:p>
        </w:tc>
        <w:tc>
          <w:tcPr>
            <w:tcW w:w="1134" w:type="dxa"/>
            <w:shd w:val="clear" w:color="auto" w:fill="auto"/>
          </w:tcPr>
          <w:p w14:paraId="7A371BC8" w14:textId="436D95B1" w:rsidR="0088729E" w:rsidRDefault="0088729E" w:rsidP="0088729E">
            <w:pPr>
              <w:pStyle w:val="Tablewriting"/>
            </w:pPr>
            <w:r>
              <w:t>2</w:t>
            </w:r>
          </w:p>
        </w:tc>
        <w:tc>
          <w:tcPr>
            <w:tcW w:w="850" w:type="dxa"/>
            <w:shd w:val="clear" w:color="auto" w:fill="auto"/>
          </w:tcPr>
          <w:p w14:paraId="2F31C024" w14:textId="5E14700E" w:rsidR="0088729E" w:rsidRDefault="0088729E" w:rsidP="0088729E">
            <w:pPr>
              <w:pStyle w:val="Tablewriting"/>
            </w:pPr>
            <w:r>
              <w:t>8</w:t>
            </w:r>
          </w:p>
        </w:tc>
        <w:tc>
          <w:tcPr>
            <w:tcW w:w="1040" w:type="dxa"/>
            <w:shd w:val="clear" w:color="auto" w:fill="auto"/>
          </w:tcPr>
          <w:p w14:paraId="22A501EB" w14:textId="511BB13C" w:rsidR="0088729E" w:rsidRPr="00694A42" w:rsidRDefault="0088729E" w:rsidP="0088729E">
            <w:pPr>
              <w:pStyle w:val="Tablewriting"/>
            </w:pPr>
            <w:r w:rsidRPr="00C244CD">
              <w:t>$1658.23</w:t>
            </w:r>
          </w:p>
        </w:tc>
        <w:tc>
          <w:tcPr>
            <w:tcW w:w="2104" w:type="dxa"/>
            <w:vMerge/>
            <w:shd w:val="clear" w:color="auto" w:fill="auto"/>
          </w:tcPr>
          <w:p w14:paraId="2F4749DF" w14:textId="77777777" w:rsidR="0088729E" w:rsidRPr="00A35800" w:rsidDel="00EE2BBB" w:rsidRDefault="0088729E" w:rsidP="0088729E">
            <w:pPr>
              <w:pStyle w:val="Tablewriting"/>
            </w:pPr>
          </w:p>
        </w:tc>
      </w:tr>
      <w:tr w:rsidR="0088729E" w:rsidRPr="00A35800" w:rsidDel="00EE2BBB" w14:paraId="5366D6C4" w14:textId="77777777" w:rsidTr="0003147E">
        <w:trPr>
          <w:trHeight w:val="552"/>
          <w:tblHeader/>
        </w:trPr>
        <w:tc>
          <w:tcPr>
            <w:tcW w:w="969" w:type="dxa"/>
            <w:shd w:val="clear" w:color="auto" w:fill="auto"/>
          </w:tcPr>
          <w:p w14:paraId="49533F6A" w14:textId="2E6B3712" w:rsidR="0088729E" w:rsidRPr="00650E9A" w:rsidRDefault="0088729E" w:rsidP="0088729E">
            <w:pPr>
              <w:pStyle w:val="Tablewriting"/>
            </w:pPr>
            <w:r w:rsidRPr="00EF7099">
              <w:t>12316F</w:t>
            </w:r>
          </w:p>
        </w:tc>
        <w:tc>
          <w:tcPr>
            <w:tcW w:w="2967" w:type="dxa"/>
            <w:shd w:val="clear" w:color="auto" w:fill="auto"/>
          </w:tcPr>
          <w:p w14:paraId="19B49157" w14:textId="622C7312" w:rsidR="0088729E" w:rsidRPr="00694A42" w:rsidRDefault="0088729E" w:rsidP="0088729E">
            <w:pPr>
              <w:pStyle w:val="Tablewriting"/>
            </w:pPr>
            <w:r w:rsidRPr="00EF7099">
              <w:t>dupilumab 200 mg/1.14 mL injection, 2 x 1.14 mL syringes</w:t>
            </w:r>
          </w:p>
        </w:tc>
        <w:tc>
          <w:tcPr>
            <w:tcW w:w="1134" w:type="dxa"/>
            <w:shd w:val="clear" w:color="auto" w:fill="auto"/>
          </w:tcPr>
          <w:p w14:paraId="3F386330" w14:textId="5E4768F5" w:rsidR="0088729E" w:rsidRDefault="0088729E" w:rsidP="0088729E">
            <w:pPr>
              <w:pStyle w:val="Tablewriting"/>
            </w:pPr>
            <w:r>
              <w:t>2</w:t>
            </w:r>
          </w:p>
        </w:tc>
        <w:tc>
          <w:tcPr>
            <w:tcW w:w="850" w:type="dxa"/>
            <w:shd w:val="clear" w:color="auto" w:fill="auto"/>
          </w:tcPr>
          <w:p w14:paraId="71420532" w14:textId="74925CA9" w:rsidR="0088729E" w:rsidRDefault="0088729E" w:rsidP="0088729E">
            <w:pPr>
              <w:pStyle w:val="Tablewriting"/>
            </w:pPr>
            <w:r>
              <w:t>5</w:t>
            </w:r>
          </w:p>
        </w:tc>
        <w:tc>
          <w:tcPr>
            <w:tcW w:w="1040" w:type="dxa"/>
            <w:shd w:val="clear" w:color="auto" w:fill="auto"/>
          </w:tcPr>
          <w:p w14:paraId="0CCE4A6D" w14:textId="2DF9C18C" w:rsidR="0088729E" w:rsidRPr="00694A42" w:rsidRDefault="0088729E" w:rsidP="0088729E">
            <w:pPr>
              <w:pStyle w:val="Tablewriting"/>
            </w:pPr>
            <w:r w:rsidRPr="00EF7099">
              <w:t>$1658.23</w:t>
            </w:r>
          </w:p>
        </w:tc>
        <w:tc>
          <w:tcPr>
            <w:tcW w:w="2104" w:type="dxa"/>
            <w:vMerge/>
            <w:shd w:val="clear" w:color="auto" w:fill="auto"/>
          </w:tcPr>
          <w:p w14:paraId="6109E36E" w14:textId="77777777" w:rsidR="0088729E" w:rsidRPr="00A35800" w:rsidDel="00EE2BBB" w:rsidRDefault="0088729E" w:rsidP="0088729E">
            <w:pPr>
              <w:pStyle w:val="Tablewriting"/>
            </w:pPr>
          </w:p>
        </w:tc>
      </w:tr>
    </w:tbl>
    <w:p w14:paraId="0017BBA7" w14:textId="77777777" w:rsidR="0009750A" w:rsidRPr="00A35800" w:rsidDel="00EE2BBB" w:rsidRDefault="0009750A" w:rsidP="0009750A">
      <w:pPr>
        <w:pStyle w:val="Notes"/>
      </w:pPr>
      <w:r w:rsidRPr="00A35800" w:rsidDel="00EE2BBB">
        <w:t xml:space="preserve">Source: </w:t>
      </w:r>
      <w:r w:rsidDel="00EE2BBB">
        <w:t xml:space="preserve">the </w:t>
      </w:r>
      <w:hyperlink r:id="rId13" w:history="1">
        <w:r w:rsidRPr="001624D7" w:rsidDel="00EE2BBB">
          <w:rPr>
            <w:rStyle w:val="Hyperlink"/>
          </w:rPr>
          <w:t>PBS website</w:t>
        </w:r>
      </w:hyperlink>
      <w:r w:rsidDel="00EE2BBB">
        <w:t xml:space="preserve">. </w:t>
      </w:r>
      <w:r>
        <w:t>A</w:t>
      </w:r>
      <w:r w:rsidDel="00EE2BBB">
        <w:t xml:space="preserve"> </w:t>
      </w:r>
      <w:r w:rsidRPr="0080485E" w:rsidDel="00EE2BBB">
        <w:t xml:space="preserve">Special Pricing Arrangement </w:t>
      </w:r>
      <w:r>
        <w:t>applies</w:t>
      </w:r>
      <w:r w:rsidRPr="0080485E" w:rsidDel="00EE2BBB">
        <w:t>.</w:t>
      </w:r>
    </w:p>
    <w:p w14:paraId="1AFA1485" w14:textId="3186A599" w:rsidR="004C3186" w:rsidDel="00EE2BBB" w:rsidRDefault="004C3186" w:rsidP="00CF5E22">
      <w:pPr>
        <w:pStyle w:val="Heading3"/>
      </w:pPr>
      <w:r w:rsidDel="00EE2BBB">
        <w:t>Restriction</w:t>
      </w:r>
    </w:p>
    <w:p w14:paraId="06F1F6BB" w14:textId="468208A2" w:rsidR="004C3186" w:rsidRDefault="004F3623" w:rsidP="00A35800">
      <w:r w:rsidRPr="007C40BA">
        <w:t xml:space="preserve">Dupilumab is PBS listed for </w:t>
      </w:r>
      <w:r w:rsidR="008C732B" w:rsidRPr="007C40BA">
        <w:t>uncontrolled severe asthma.</w:t>
      </w:r>
    </w:p>
    <w:p w14:paraId="4864C914" w14:textId="77777777" w:rsidR="00C24879" w:rsidRDefault="00C24879" w:rsidP="00C24879">
      <w:r>
        <w:t>Treatment criteria:</w:t>
      </w:r>
    </w:p>
    <w:p w14:paraId="032A657B" w14:textId="77777777" w:rsidR="00C24879" w:rsidRDefault="00C24879" w:rsidP="00C24879">
      <w:r>
        <w:t>Must be treated by a respiratory physician, clinical immunologist, allergist or general physician experienced in the management of patients with severe asthma.</w:t>
      </w:r>
    </w:p>
    <w:p w14:paraId="38AA592C" w14:textId="77777777" w:rsidR="00C24879" w:rsidRDefault="00C24879" w:rsidP="00C24879">
      <w:r>
        <w:t>Clinical criteria:</w:t>
      </w:r>
    </w:p>
    <w:p w14:paraId="7C182694" w14:textId="77777777" w:rsidR="00C24879" w:rsidRDefault="00C24879" w:rsidP="00C24879">
      <w:r>
        <w:t>Patient must be under the care of the same physician for at least 6 months; OR</w:t>
      </w:r>
    </w:p>
    <w:p w14:paraId="252AFB67" w14:textId="3E01CFB9" w:rsidR="00C24879" w:rsidRDefault="00C24879" w:rsidP="00C24879">
      <w:r>
        <w:t>Patient must have been diagnosed by a multidisciplinary severe asthma clinic team,</w:t>
      </w:r>
      <w:r w:rsidR="002801F9">
        <w:t xml:space="preserve"> </w:t>
      </w:r>
      <w:r>
        <w:t>AND</w:t>
      </w:r>
    </w:p>
    <w:p w14:paraId="50DAABDA" w14:textId="77777777" w:rsidR="00C24879" w:rsidRDefault="00C24879" w:rsidP="00C24879">
      <w:r>
        <w:t>Patient must not have received PBS-subsidised treatment with a biological medicine for severe asthma; OR</w:t>
      </w:r>
    </w:p>
    <w:p w14:paraId="387F5C50" w14:textId="061F3E44" w:rsidR="00C24879" w:rsidRDefault="00C24879" w:rsidP="00C24879">
      <w:r>
        <w:t>Patient must have had a break in treatment from the most recently approved PBS-subsidised biological medicine for severe asthma,</w:t>
      </w:r>
      <w:r w:rsidR="00AC293F">
        <w:t xml:space="preserve"> </w:t>
      </w:r>
      <w:r>
        <w:t>AND</w:t>
      </w:r>
    </w:p>
    <w:p w14:paraId="279FC3B7" w14:textId="77777777" w:rsidR="00C24879" w:rsidRDefault="00C24879" w:rsidP="00C24879">
      <w:r>
        <w:lastRenderedPageBreak/>
        <w:t>Patient must have a diagnosis of asthma confirmed and documented by a respiratory physician, clinical immunologist, allergist or general physician experienced in the management of patients with severe asthma, defined by the following standard clinical features: (</w:t>
      </w:r>
      <w:proofErr w:type="spellStart"/>
      <w:r>
        <w:t>i</w:t>
      </w:r>
      <w:proofErr w:type="spellEnd"/>
      <w:r>
        <w:t>) forced expiratory volume (FEV1) reversibility greater than or equal to 12% and greater than or equal to 200 mL at baseline within 30 minutes after administration of salbutamol (200 to 400 micrograms), or (ii) airway hyperresponsiveness defined as a greater than 20% decline in FEV1 during a direct bronchial provocation test or greater than 15% decline during an indirect bronchial provocation test, or (iii) peak expiratory flow (PEF) variability of greater than 15% between the two highest and two lowest peak expiratory flow rates during 14 days; OR</w:t>
      </w:r>
    </w:p>
    <w:p w14:paraId="13ADBDD6" w14:textId="27D5F8DB" w:rsidR="00C24879" w:rsidRDefault="00C24879" w:rsidP="00C24879">
      <w:r>
        <w:t>Patient must have a diagnosis of asthma from at least two physicians experienced in the management of patients with severe asthma, AND</w:t>
      </w:r>
    </w:p>
    <w:p w14:paraId="6CC7A6CD" w14:textId="05C4BCF3" w:rsidR="00C24879" w:rsidRDefault="00C24879" w:rsidP="00C24879">
      <w:r>
        <w:t>Patient must have a duration of asthma of at least 1 year, AND</w:t>
      </w:r>
    </w:p>
    <w:p w14:paraId="0B11F5CE" w14:textId="376623C8" w:rsidR="004205CF" w:rsidRDefault="004205CF" w:rsidP="00C24879">
      <w:r>
        <w:t>200 mg</w:t>
      </w:r>
      <w:r w:rsidR="00E74091" w:rsidRPr="00E74091">
        <w:t>/1.14 mL injection</w:t>
      </w:r>
      <w:r>
        <w:t>:</w:t>
      </w:r>
    </w:p>
    <w:p w14:paraId="075AAE5E" w14:textId="7576849E" w:rsidR="00835B53" w:rsidRDefault="00835B53" w:rsidP="00835B53">
      <w:pPr>
        <w:pStyle w:val="ListParagraph"/>
        <w:numPr>
          <w:ilvl w:val="0"/>
          <w:numId w:val="14"/>
        </w:numPr>
      </w:pPr>
      <w:r>
        <w:t>Patient must have blood eosinophil count greater than or equal to 300 cells per microlitre in the last 12 months; OR</w:t>
      </w:r>
    </w:p>
    <w:p w14:paraId="780272EF" w14:textId="77A750CD" w:rsidR="00835B53" w:rsidRDefault="00835B53" w:rsidP="00835B53">
      <w:pPr>
        <w:pStyle w:val="ListParagraph"/>
        <w:numPr>
          <w:ilvl w:val="0"/>
          <w:numId w:val="14"/>
        </w:numPr>
      </w:pPr>
      <w:r>
        <w:t>Patient must have blood eosinophil count greater than or equal to 150 cells per microlitre while receiving treatment with oral corticosteroids in the last 12 months; OR</w:t>
      </w:r>
    </w:p>
    <w:p w14:paraId="41B64717" w14:textId="11002500" w:rsidR="00835B53" w:rsidRDefault="00835B53" w:rsidP="00835B53">
      <w:pPr>
        <w:pStyle w:val="ListParagraph"/>
        <w:numPr>
          <w:ilvl w:val="0"/>
          <w:numId w:val="14"/>
        </w:numPr>
      </w:pPr>
      <w:r>
        <w:t xml:space="preserve">Patient must have total serum human immunoglobulin E greater than or equal to 30 IU/mL with past or current evidence of atopy, documented by skin prick testing or an in vitro measure of specific </w:t>
      </w:r>
      <w:proofErr w:type="spellStart"/>
      <w:r>
        <w:t>IgE</w:t>
      </w:r>
      <w:proofErr w:type="spellEnd"/>
      <w:r>
        <w:t xml:space="preserve"> in the last 12 months,</w:t>
      </w:r>
    </w:p>
    <w:p w14:paraId="7F48A037" w14:textId="77777777" w:rsidR="00835B53" w:rsidRDefault="00835B53" w:rsidP="00835B53">
      <w:pPr>
        <w:pStyle w:val="ListParagraph"/>
      </w:pPr>
    </w:p>
    <w:p w14:paraId="325EF0CC" w14:textId="15209514" w:rsidR="00835B53" w:rsidRDefault="00835B53" w:rsidP="00835B53">
      <w:r>
        <w:t>300 mg</w:t>
      </w:r>
      <w:r w:rsidR="005757F6" w:rsidRPr="005757F6">
        <w:t>/2 mL injection</w:t>
      </w:r>
      <w:r>
        <w:t>:</w:t>
      </w:r>
    </w:p>
    <w:p w14:paraId="00F1193E" w14:textId="4644351C" w:rsidR="00C24879" w:rsidRDefault="00C24879" w:rsidP="00033D26">
      <w:pPr>
        <w:pStyle w:val="ListParagraph"/>
        <w:numPr>
          <w:ilvl w:val="0"/>
          <w:numId w:val="15"/>
        </w:numPr>
      </w:pPr>
      <w:r>
        <w:t>Patient must have been receiving regular maintenance oral corticosteroids (OCS) in the last 6 months with a stable daily OCS dose of 5 to 35 mg/day of prednisolone or equivalent over the 4 weeks prior to treatment initiation, AND</w:t>
      </w:r>
    </w:p>
    <w:p w14:paraId="17CDAC34" w14:textId="77777777" w:rsidR="00C24879" w:rsidRDefault="00C24879" w:rsidP="00033D26">
      <w:pPr>
        <w:pStyle w:val="ListParagraph"/>
        <w:numPr>
          <w:ilvl w:val="0"/>
          <w:numId w:val="15"/>
        </w:numPr>
      </w:pPr>
      <w:r>
        <w:t>Patient must have blood eosinophil count greater than or equal to 150 cells per microlitre while receiving treatment with oral corticosteroids in the last 12 months; OR</w:t>
      </w:r>
    </w:p>
    <w:p w14:paraId="78660427" w14:textId="24EE5088" w:rsidR="00C24879" w:rsidRDefault="00C24879" w:rsidP="00033D26">
      <w:pPr>
        <w:pStyle w:val="ListParagraph"/>
        <w:numPr>
          <w:ilvl w:val="0"/>
          <w:numId w:val="15"/>
        </w:numPr>
      </w:pPr>
      <w:r>
        <w:t>Patient must have total serum human immunoglobulin E</w:t>
      </w:r>
      <w:r w:rsidR="00ED3B28">
        <w:t xml:space="preserve"> (</w:t>
      </w:r>
      <w:proofErr w:type="spellStart"/>
      <w:r w:rsidR="00ED3B28">
        <w:t>IgE</w:t>
      </w:r>
      <w:proofErr w:type="spellEnd"/>
      <w:r w:rsidR="00ED3B28">
        <w:t>)</w:t>
      </w:r>
      <w:r>
        <w:t xml:space="preserve"> greater than or equal to 30 IU/mL with past or current evidence of atopy, documented by skin prick testing or an in vitro measure of specific </w:t>
      </w:r>
      <w:proofErr w:type="spellStart"/>
      <w:r>
        <w:t>IgE</w:t>
      </w:r>
      <w:proofErr w:type="spellEnd"/>
      <w:r>
        <w:t>, that is no more than 1 year old, AND</w:t>
      </w:r>
    </w:p>
    <w:p w14:paraId="1A4BA2E3" w14:textId="4FA5B467" w:rsidR="00C24879" w:rsidRDefault="00C24879" w:rsidP="00C24879">
      <w:r>
        <w:t>Patient must have failed to achieve adequate control with optimised asthma therapy, despite formal assessment of and adherence to correct inhaler technique, which has been documented,</w:t>
      </w:r>
      <w:r w:rsidR="00AC293F">
        <w:t xml:space="preserve"> </w:t>
      </w:r>
      <w:r>
        <w:t>AND</w:t>
      </w:r>
    </w:p>
    <w:p w14:paraId="140456E5" w14:textId="76181FAD" w:rsidR="00C24879" w:rsidRDefault="00C24879" w:rsidP="00C24879">
      <w:r>
        <w:t>Patient must not receive more than 32 weeks of treatment under this restriction,</w:t>
      </w:r>
      <w:r w:rsidR="00F44DBE">
        <w:t xml:space="preserve"> </w:t>
      </w:r>
      <w:r>
        <w:t>AND</w:t>
      </w:r>
    </w:p>
    <w:p w14:paraId="0DF4468D" w14:textId="77777777" w:rsidR="00C24879" w:rsidRDefault="00C24879" w:rsidP="00C24879">
      <w:r>
        <w:t>The treatment must not be used in combination with and within 4 weeks of another PBS-subsidised biological medicine prescribed for severe asthma.</w:t>
      </w:r>
    </w:p>
    <w:p w14:paraId="02AD5B57" w14:textId="77777777" w:rsidR="00C24879" w:rsidRDefault="00C24879" w:rsidP="00BC7B39">
      <w:pPr>
        <w:spacing w:after="120"/>
      </w:pPr>
      <w:r>
        <w:lastRenderedPageBreak/>
        <w:t>Population criteria:</w:t>
      </w:r>
    </w:p>
    <w:p w14:paraId="41E2865F" w14:textId="77777777" w:rsidR="00C24879" w:rsidRDefault="00C24879" w:rsidP="00BC7B39">
      <w:pPr>
        <w:spacing w:after="120"/>
      </w:pPr>
      <w:r>
        <w:t>Patient must be aged 12 years or older.</w:t>
      </w:r>
    </w:p>
    <w:p w14:paraId="6A1B6C95" w14:textId="77777777" w:rsidR="00C24879" w:rsidRDefault="00C24879" w:rsidP="00BC7B39">
      <w:pPr>
        <w:spacing w:after="120"/>
      </w:pPr>
      <w:r>
        <w:t>Optimised asthma therapy includes:</w:t>
      </w:r>
    </w:p>
    <w:p w14:paraId="27762EB8" w14:textId="7A9D0FEC" w:rsidR="00C24879" w:rsidRDefault="00C24879" w:rsidP="00BC7B39">
      <w:pPr>
        <w:spacing w:after="120"/>
      </w:pPr>
      <w:r>
        <w:t>(</w:t>
      </w:r>
      <w:proofErr w:type="spellStart"/>
      <w:r>
        <w:t>i</w:t>
      </w:r>
      <w:proofErr w:type="spellEnd"/>
      <w:r>
        <w:t>) Adherence to maximal inhaled therapy, including high dose inhaled corticosteroid (ICS) plus long-acting beta-2 agonist (LABA) therapy for at least 12 months, unless contraindicated or not tolerated;</w:t>
      </w:r>
      <w:r w:rsidR="00F44DBE">
        <w:t xml:space="preserve"> </w:t>
      </w:r>
      <w:r>
        <w:t>AND</w:t>
      </w:r>
    </w:p>
    <w:p w14:paraId="4BD4DD75" w14:textId="02C191BD" w:rsidR="008C732B" w:rsidDel="00EE2BBB" w:rsidRDefault="00C24879" w:rsidP="00BC7B39">
      <w:pPr>
        <w:spacing w:after="120"/>
        <w:rPr>
          <w:highlight w:val="yellow"/>
        </w:rPr>
      </w:pPr>
      <w:r>
        <w:t>(ii) treatment with oral corticosteroids as outlined in the clinical criteria.</w:t>
      </w:r>
    </w:p>
    <w:p w14:paraId="509866D2" w14:textId="5D1A155B" w:rsidR="004A13C8" w:rsidRPr="00E92AA8" w:rsidRDefault="004A13C8" w:rsidP="00DC2EA7">
      <w:pPr>
        <w:keepNext/>
        <w:rPr>
          <w:b/>
          <w:bCs/>
        </w:rPr>
      </w:pPr>
      <w:r w:rsidRPr="00E92AA8">
        <w:rPr>
          <w:b/>
          <w:bCs/>
        </w:rPr>
        <w:t>Recommencement of treatment in a new treatment cycle following a break in PBS subsidised biological medicine therapy</w:t>
      </w:r>
    </w:p>
    <w:p w14:paraId="0FD57DEA" w14:textId="586A1FE1" w:rsidR="00E92AA8" w:rsidRDefault="00E92AA8" w:rsidP="00E92AA8">
      <w:r>
        <w:t>Patient must not have received PBS-subsidised treatment with a biological medicine for severe asthma; OR</w:t>
      </w:r>
    </w:p>
    <w:p w14:paraId="6BE9476B" w14:textId="4930AA4B" w:rsidR="004A13C8" w:rsidRDefault="00E92AA8" w:rsidP="00E92AA8">
      <w:r>
        <w:t>Patient must have had a break in treatment from the most recently approved PBS-subsidised biological medicine for severe asthma.</w:t>
      </w:r>
    </w:p>
    <w:p w14:paraId="59D9FB2F" w14:textId="1F81C612" w:rsidR="002B212F" w:rsidRDefault="002B212F" w:rsidP="002B212F">
      <w:r>
        <w:t>A treatment break in PBS-subsidised biological medicine therapy of at least 12 months must be observed in a patient who has either failed to achieve or sustain a response to treatment with 4 biological medicines within the same treatment cycle.</w:t>
      </w:r>
    </w:p>
    <w:p w14:paraId="6EA600E6" w14:textId="1A862C91" w:rsidR="002B212F" w:rsidRDefault="002B212F" w:rsidP="002B212F">
      <w:r>
        <w:t>The length of the break in therapy is measured from the date the most recent treatment with a PBS-subsidised biological medicine was administered until the date of the first application for recommencement of treatment with a biological medicine under the new treatment cycle.</w:t>
      </w:r>
    </w:p>
    <w:p w14:paraId="22433632" w14:textId="0C71353F" w:rsidR="006775F1" w:rsidRPr="006775F1" w:rsidDel="00EE2BBB" w:rsidRDefault="006775F1" w:rsidP="00A35800">
      <w:r w:rsidRPr="006775F1" w:rsidDel="00EE2BBB">
        <w:t xml:space="preserve">For </w:t>
      </w:r>
      <w:r w:rsidR="00835337" w:rsidDel="00EE2BBB">
        <w:t xml:space="preserve">details of the current PBS listing refer to the </w:t>
      </w:r>
      <w:hyperlink r:id="rId14" w:history="1">
        <w:r w:rsidR="00835337" w:rsidRPr="00645D51" w:rsidDel="00EE2BBB">
          <w:rPr>
            <w:rStyle w:val="Hyperlink"/>
          </w:rPr>
          <w:t>PBS website</w:t>
        </w:r>
      </w:hyperlink>
      <w:r w:rsidR="00835337" w:rsidRPr="009443D2" w:rsidDel="00EE2BBB">
        <w:rPr>
          <w:rStyle w:val="Hyperlink"/>
          <w:color w:val="auto"/>
          <w:u w:val="none"/>
        </w:rPr>
        <w:t>.</w:t>
      </w:r>
    </w:p>
    <w:p w14:paraId="509ADFEB" w14:textId="201634E9" w:rsidR="009C35F2" w:rsidRDefault="009C35F2" w:rsidP="00CF5E22">
      <w:pPr>
        <w:pStyle w:val="Heading3"/>
      </w:pPr>
      <w:r w:rsidRPr="00675BB1" w:rsidDel="00EE2BBB">
        <w:t>Date of listing on PBS</w:t>
      </w:r>
    </w:p>
    <w:p w14:paraId="1BDC5042" w14:textId="57363693" w:rsidR="00DE0FE6" w:rsidRDefault="00DE0FE6" w:rsidP="00F52C14">
      <w:pPr>
        <w:rPr>
          <w:highlight w:val="yellow"/>
        </w:rPr>
      </w:pPr>
      <w:r w:rsidRPr="00DE0FE6">
        <w:t xml:space="preserve">Dupilumab was PBS listed for </w:t>
      </w:r>
      <w:r w:rsidR="00902A11">
        <w:t xml:space="preserve">uncontrolled severe </w:t>
      </w:r>
      <w:r w:rsidR="00902A11" w:rsidRPr="00DE0FE6">
        <w:t>asthma 1 April 2021</w:t>
      </w:r>
      <w:r w:rsidR="008331A0">
        <w:t xml:space="preserve">. </w:t>
      </w:r>
    </w:p>
    <w:p w14:paraId="39EF75ED" w14:textId="73256AB5" w:rsidR="00675BB1" w:rsidRPr="00675BB1" w:rsidDel="00EE2BBB" w:rsidRDefault="00675BB1" w:rsidP="00CF5E22">
      <w:pPr>
        <w:pStyle w:val="Heading3"/>
      </w:pPr>
      <w:r w:rsidRPr="00675BB1" w:rsidDel="00EE2BBB">
        <w:t>Changes to listing</w:t>
      </w:r>
    </w:p>
    <w:p w14:paraId="232720EF" w14:textId="674881A9" w:rsidR="009C35F2" w:rsidRDefault="00601667" w:rsidP="00601667">
      <w:pPr>
        <w:pStyle w:val="Tabletitle"/>
      </w:pPr>
      <w:r w:rsidRPr="00601667">
        <w:t xml:space="preserve">Table </w:t>
      </w:r>
      <w:r w:rsidR="00516AC5">
        <w:t>2</w:t>
      </w:r>
      <w:r w:rsidRPr="00601667">
        <w:t>:</w:t>
      </w:r>
      <w:r w:rsidR="009C35F2" w:rsidRPr="00601667" w:rsidDel="00EE2BBB">
        <w:t xml:space="preserve"> </w:t>
      </w:r>
      <w:r w:rsidRPr="00601667">
        <w:t>C</w:t>
      </w:r>
      <w:r w:rsidR="009C35F2" w:rsidRPr="00601667" w:rsidDel="00EE2BBB">
        <w:t xml:space="preserve">hanges to the </w:t>
      </w:r>
      <w:r w:rsidRPr="00601667">
        <w:t xml:space="preserve">PBS </w:t>
      </w:r>
      <w:r w:rsidR="009C35F2" w:rsidRPr="00601667" w:rsidDel="00EE2BBB">
        <w:t>listing</w:t>
      </w:r>
      <w:r w:rsidR="002D3410">
        <w:t>s</w:t>
      </w:r>
      <w:r w:rsidR="007247B9" w:rsidRPr="00601667" w:rsidDel="00EE2BBB">
        <w:t xml:space="preserve"> </w:t>
      </w:r>
      <w:r w:rsidRPr="00601667">
        <w:t>for severe asthma</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7513"/>
      </w:tblGrid>
      <w:tr w:rsidR="00AC0F43" w:rsidRPr="00AC0F43" w14:paraId="2B3915E3" w14:textId="77777777" w:rsidTr="00E2790A">
        <w:trPr>
          <w:trHeight w:val="300"/>
        </w:trPr>
        <w:tc>
          <w:tcPr>
            <w:tcW w:w="1588" w:type="dxa"/>
            <w:shd w:val="clear" w:color="auto" w:fill="BFBFBF" w:themeFill="background1" w:themeFillShade="BF"/>
            <w:noWrap/>
            <w:vAlign w:val="bottom"/>
            <w:hideMark/>
          </w:tcPr>
          <w:p w14:paraId="39210B3D" w14:textId="77777777" w:rsidR="00AC0F43" w:rsidRPr="00AC0F43" w:rsidRDefault="00AC0F43" w:rsidP="00AC0F43">
            <w:pPr>
              <w:spacing w:after="0"/>
              <w:rPr>
                <w:rFonts w:ascii="Calibri" w:eastAsia="Times New Roman" w:hAnsi="Calibri" w:cs="Calibri"/>
                <w:b/>
                <w:bCs/>
                <w:color w:val="000000"/>
                <w:sz w:val="20"/>
                <w:szCs w:val="20"/>
              </w:rPr>
            </w:pPr>
            <w:r w:rsidRPr="00AC0F43">
              <w:rPr>
                <w:rFonts w:ascii="Calibri" w:eastAsia="Times New Roman" w:hAnsi="Calibri" w:cs="Calibri"/>
                <w:b/>
                <w:bCs/>
                <w:color w:val="000000"/>
                <w:sz w:val="20"/>
                <w:szCs w:val="20"/>
              </w:rPr>
              <w:t>Date</w:t>
            </w:r>
          </w:p>
        </w:tc>
        <w:tc>
          <w:tcPr>
            <w:tcW w:w="7513" w:type="dxa"/>
            <w:shd w:val="clear" w:color="auto" w:fill="BFBFBF" w:themeFill="background1" w:themeFillShade="BF"/>
            <w:noWrap/>
            <w:vAlign w:val="bottom"/>
            <w:hideMark/>
          </w:tcPr>
          <w:p w14:paraId="43B8FFC6" w14:textId="5C4D602C" w:rsidR="00AC0F43" w:rsidRPr="00AC0F43" w:rsidRDefault="00AC0F43" w:rsidP="00AC0F43">
            <w:pPr>
              <w:spacing w:after="0"/>
              <w:rPr>
                <w:rFonts w:ascii="Calibri" w:eastAsia="Times New Roman" w:hAnsi="Calibri" w:cs="Calibri"/>
                <w:b/>
                <w:bCs/>
                <w:color w:val="000000"/>
                <w:sz w:val="20"/>
                <w:szCs w:val="20"/>
              </w:rPr>
            </w:pPr>
            <w:r w:rsidRPr="00AC0F43">
              <w:rPr>
                <w:rFonts w:ascii="Calibri" w:eastAsia="Times New Roman" w:hAnsi="Calibri" w:cs="Calibri"/>
                <w:b/>
                <w:bCs/>
                <w:color w:val="000000"/>
                <w:sz w:val="20"/>
                <w:szCs w:val="20"/>
              </w:rPr>
              <w:t>Change to the PBS</w:t>
            </w:r>
          </w:p>
        </w:tc>
      </w:tr>
      <w:tr w:rsidR="00AC0F43" w:rsidRPr="00AC0F43" w14:paraId="6D64FC59" w14:textId="77777777" w:rsidTr="00E2790A">
        <w:trPr>
          <w:trHeight w:val="300"/>
        </w:trPr>
        <w:tc>
          <w:tcPr>
            <w:tcW w:w="1588" w:type="dxa"/>
            <w:shd w:val="clear" w:color="auto" w:fill="auto"/>
            <w:noWrap/>
            <w:vAlign w:val="bottom"/>
            <w:hideMark/>
          </w:tcPr>
          <w:p w14:paraId="48097FD4" w14:textId="77777777" w:rsidR="00AC0F43" w:rsidRPr="00AC0F43" w:rsidRDefault="00AC0F43" w:rsidP="00AC0F43">
            <w:pPr>
              <w:spacing w:after="0"/>
              <w:rPr>
                <w:rFonts w:ascii="Calibri" w:eastAsia="Times New Roman" w:hAnsi="Calibri" w:cs="Calibri"/>
                <w:color w:val="000000"/>
                <w:sz w:val="20"/>
                <w:szCs w:val="20"/>
              </w:rPr>
            </w:pPr>
            <w:r w:rsidRPr="00AC0F43">
              <w:rPr>
                <w:rFonts w:ascii="Calibri" w:eastAsia="Times New Roman" w:hAnsi="Calibri" w:cs="Calibri"/>
                <w:color w:val="000000"/>
                <w:sz w:val="20"/>
                <w:szCs w:val="20"/>
              </w:rPr>
              <w:t>July 2011</w:t>
            </w:r>
          </w:p>
        </w:tc>
        <w:tc>
          <w:tcPr>
            <w:tcW w:w="7513" w:type="dxa"/>
            <w:shd w:val="clear" w:color="auto" w:fill="auto"/>
            <w:noWrap/>
            <w:vAlign w:val="bottom"/>
            <w:hideMark/>
          </w:tcPr>
          <w:p w14:paraId="2F79C41B" w14:textId="22E752B2" w:rsidR="00AC0F43" w:rsidRPr="00AC0F43" w:rsidRDefault="00AC0F43" w:rsidP="00AC0F43">
            <w:pPr>
              <w:spacing w:after="0"/>
              <w:rPr>
                <w:rFonts w:ascii="Calibri" w:eastAsia="Times New Roman" w:hAnsi="Calibri" w:cs="Calibri"/>
                <w:color w:val="000000"/>
                <w:sz w:val="20"/>
                <w:szCs w:val="20"/>
              </w:rPr>
            </w:pPr>
            <w:r w:rsidRPr="00AC0F43">
              <w:rPr>
                <w:rFonts w:ascii="Calibri" w:eastAsia="Times New Roman" w:hAnsi="Calibri" w:cs="Calibri"/>
                <w:color w:val="000000"/>
                <w:sz w:val="20"/>
                <w:szCs w:val="20"/>
              </w:rPr>
              <w:t>Omalizumab listed</w:t>
            </w:r>
            <w:r w:rsidR="0045556D">
              <w:rPr>
                <w:rFonts w:ascii="Calibri" w:eastAsia="Times New Roman" w:hAnsi="Calibri" w:cs="Calibri"/>
                <w:color w:val="000000"/>
                <w:sz w:val="20"/>
                <w:szCs w:val="20"/>
              </w:rPr>
              <w:t xml:space="preserve"> for </w:t>
            </w:r>
            <w:r w:rsidR="0045556D" w:rsidRPr="0045556D">
              <w:rPr>
                <w:rFonts w:ascii="Calibri" w:eastAsia="Times New Roman" w:hAnsi="Calibri" w:cs="Calibri"/>
                <w:color w:val="000000"/>
                <w:sz w:val="20"/>
                <w:szCs w:val="20"/>
              </w:rPr>
              <w:t>severe allergic asthma</w:t>
            </w:r>
          </w:p>
        </w:tc>
      </w:tr>
      <w:tr w:rsidR="004D7203" w:rsidRPr="00AC0F43" w14:paraId="0E8B7B67" w14:textId="77777777" w:rsidTr="00E2790A">
        <w:trPr>
          <w:trHeight w:val="300"/>
        </w:trPr>
        <w:tc>
          <w:tcPr>
            <w:tcW w:w="1588" w:type="dxa"/>
            <w:shd w:val="clear" w:color="auto" w:fill="auto"/>
            <w:noWrap/>
            <w:vAlign w:val="bottom"/>
          </w:tcPr>
          <w:p w14:paraId="7159F3B2" w14:textId="4FEE4C20" w:rsidR="004D7203" w:rsidRPr="00AC0F43" w:rsidRDefault="002D4094" w:rsidP="00AC0F43">
            <w:pPr>
              <w:spacing w:after="0"/>
              <w:rPr>
                <w:rFonts w:ascii="Calibri" w:eastAsia="Times New Roman" w:hAnsi="Calibri" w:cs="Calibri"/>
                <w:color w:val="000000"/>
                <w:sz w:val="20"/>
                <w:szCs w:val="20"/>
              </w:rPr>
            </w:pPr>
            <w:r w:rsidRPr="002D4094">
              <w:rPr>
                <w:rFonts w:ascii="Calibri" w:eastAsia="Times New Roman" w:hAnsi="Calibri" w:cs="Calibri"/>
                <w:color w:val="000000"/>
                <w:sz w:val="20"/>
                <w:szCs w:val="20"/>
              </w:rPr>
              <w:t xml:space="preserve">August 2014 </w:t>
            </w:r>
          </w:p>
        </w:tc>
        <w:tc>
          <w:tcPr>
            <w:tcW w:w="7513" w:type="dxa"/>
            <w:shd w:val="clear" w:color="auto" w:fill="auto"/>
            <w:noWrap/>
            <w:vAlign w:val="bottom"/>
          </w:tcPr>
          <w:p w14:paraId="22E6E27C" w14:textId="03EB3C13" w:rsidR="004D7203" w:rsidRPr="00AC0F43" w:rsidRDefault="002D4094" w:rsidP="00AC0F43">
            <w:pPr>
              <w:spacing w:after="0"/>
              <w:rPr>
                <w:rFonts w:ascii="Calibri" w:eastAsia="Times New Roman" w:hAnsi="Calibri" w:cs="Calibri"/>
                <w:color w:val="000000"/>
                <w:sz w:val="20"/>
                <w:szCs w:val="20"/>
              </w:rPr>
            </w:pPr>
            <w:r w:rsidRPr="002D4094">
              <w:rPr>
                <w:rFonts w:ascii="Calibri" w:eastAsia="Times New Roman" w:hAnsi="Calibri" w:cs="Calibri"/>
                <w:color w:val="000000"/>
                <w:sz w:val="20"/>
                <w:szCs w:val="20"/>
              </w:rPr>
              <w:t>Omalizumab pre-filled syringe added</w:t>
            </w:r>
          </w:p>
        </w:tc>
      </w:tr>
      <w:tr w:rsidR="00492FC6" w:rsidRPr="00AC0F43" w14:paraId="0FE9E0BD" w14:textId="77777777" w:rsidTr="00E2790A">
        <w:trPr>
          <w:trHeight w:val="300"/>
        </w:trPr>
        <w:tc>
          <w:tcPr>
            <w:tcW w:w="1588" w:type="dxa"/>
            <w:shd w:val="clear" w:color="auto" w:fill="auto"/>
            <w:noWrap/>
            <w:vAlign w:val="bottom"/>
          </w:tcPr>
          <w:p w14:paraId="71BCE1E3" w14:textId="77777777" w:rsidR="00492FC6" w:rsidRPr="00AC0F43" w:rsidRDefault="00492FC6" w:rsidP="00665EF4">
            <w:pPr>
              <w:spacing w:after="0"/>
              <w:rPr>
                <w:rFonts w:ascii="Calibri" w:eastAsia="Times New Roman" w:hAnsi="Calibri" w:cs="Calibri"/>
                <w:color w:val="000000"/>
                <w:sz w:val="20"/>
                <w:szCs w:val="20"/>
              </w:rPr>
            </w:pPr>
            <w:r>
              <w:rPr>
                <w:rFonts w:ascii="Calibri" w:eastAsia="Times New Roman" w:hAnsi="Calibri" w:cs="Calibri"/>
                <w:color w:val="000000"/>
                <w:sz w:val="20"/>
                <w:szCs w:val="20"/>
              </w:rPr>
              <w:t>December 2016</w:t>
            </w:r>
          </w:p>
        </w:tc>
        <w:tc>
          <w:tcPr>
            <w:tcW w:w="7513" w:type="dxa"/>
            <w:shd w:val="clear" w:color="auto" w:fill="auto"/>
            <w:noWrap/>
            <w:vAlign w:val="bottom"/>
          </w:tcPr>
          <w:p w14:paraId="7632A4D1" w14:textId="77777777" w:rsidR="00492FC6" w:rsidRPr="00AC0F43" w:rsidRDefault="00492FC6" w:rsidP="00665EF4">
            <w:pPr>
              <w:spacing w:after="0"/>
              <w:rPr>
                <w:rFonts w:ascii="Calibri" w:eastAsia="Times New Roman" w:hAnsi="Calibri" w:cs="Calibri"/>
                <w:color w:val="000000"/>
                <w:sz w:val="20"/>
                <w:szCs w:val="20"/>
              </w:rPr>
            </w:pPr>
            <w:r>
              <w:rPr>
                <w:rFonts w:ascii="Calibri" w:eastAsia="Times New Roman" w:hAnsi="Calibri" w:cs="Calibri"/>
                <w:color w:val="000000"/>
                <w:sz w:val="20"/>
                <w:szCs w:val="20"/>
              </w:rPr>
              <w:t>Omalizumab listing for u</w:t>
            </w:r>
            <w:r w:rsidRPr="002838CD">
              <w:rPr>
                <w:rFonts w:ascii="Calibri" w:eastAsia="Times New Roman" w:hAnsi="Calibri" w:cs="Calibri"/>
                <w:color w:val="000000"/>
                <w:sz w:val="20"/>
                <w:szCs w:val="20"/>
              </w:rPr>
              <w:t>ncontrolled severe allergic asthma</w:t>
            </w:r>
            <w:r>
              <w:rPr>
                <w:rFonts w:ascii="Calibri" w:eastAsia="Times New Roman" w:hAnsi="Calibri" w:cs="Calibri"/>
                <w:color w:val="000000"/>
                <w:sz w:val="20"/>
                <w:szCs w:val="20"/>
              </w:rPr>
              <w:t xml:space="preserve"> extended to patients aged 6 to 12 years old</w:t>
            </w:r>
          </w:p>
        </w:tc>
      </w:tr>
      <w:tr w:rsidR="00AC0F43" w:rsidRPr="00AC0F43" w14:paraId="5776CC6E" w14:textId="77777777" w:rsidTr="00E2790A">
        <w:trPr>
          <w:trHeight w:val="300"/>
        </w:trPr>
        <w:tc>
          <w:tcPr>
            <w:tcW w:w="1588" w:type="dxa"/>
            <w:shd w:val="clear" w:color="auto" w:fill="auto"/>
            <w:noWrap/>
            <w:vAlign w:val="bottom"/>
            <w:hideMark/>
          </w:tcPr>
          <w:p w14:paraId="5631D98B" w14:textId="77777777" w:rsidR="00AC0F43" w:rsidRPr="00AC0F43" w:rsidRDefault="00AC0F43" w:rsidP="00AC0F43">
            <w:pPr>
              <w:spacing w:after="0"/>
              <w:rPr>
                <w:rFonts w:ascii="Calibri" w:eastAsia="Times New Roman" w:hAnsi="Calibri" w:cs="Calibri"/>
                <w:color w:val="000000"/>
                <w:sz w:val="20"/>
                <w:szCs w:val="20"/>
              </w:rPr>
            </w:pPr>
            <w:r w:rsidRPr="00AC0F43">
              <w:rPr>
                <w:rFonts w:ascii="Calibri" w:eastAsia="Times New Roman" w:hAnsi="Calibri" w:cs="Calibri"/>
                <w:color w:val="000000"/>
                <w:sz w:val="20"/>
                <w:szCs w:val="20"/>
              </w:rPr>
              <w:t>January 2017</w:t>
            </w:r>
          </w:p>
        </w:tc>
        <w:tc>
          <w:tcPr>
            <w:tcW w:w="7513" w:type="dxa"/>
            <w:shd w:val="clear" w:color="auto" w:fill="auto"/>
            <w:noWrap/>
            <w:vAlign w:val="bottom"/>
            <w:hideMark/>
          </w:tcPr>
          <w:p w14:paraId="51738309" w14:textId="64A5DD4C" w:rsidR="00AC0F43" w:rsidRPr="00AC0F43" w:rsidRDefault="00AC0F43" w:rsidP="00AC0F43">
            <w:pPr>
              <w:spacing w:after="0"/>
              <w:rPr>
                <w:rFonts w:ascii="Calibri" w:eastAsia="Times New Roman" w:hAnsi="Calibri" w:cs="Calibri"/>
                <w:color w:val="000000"/>
                <w:sz w:val="20"/>
                <w:szCs w:val="20"/>
              </w:rPr>
            </w:pPr>
            <w:r w:rsidRPr="00AC0F43">
              <w:rPr>
                <w:rFonts w:ascii="Calibri" w:eastAsia="Times New Roman" w:hAnsi="Calibri" w:cs="Calibri"/>
                <w:color w:val="000000"/>
                <w:sz w:val="20"/>
                <w:szCs w:val="20"/>
              </w:rPr>
              <w:t>Mepolizumab listed</w:t>
            </w:r>
            <w:r w:rsidR="002F13D3">
              <w:rPr>
                <w:rFonts w:ascii="Calibri" w:eastAsia="Times New Roman" w:hAnsi="Calibri" w:cs="Calibri"/>
                <w:color w:val="000000"/>
                <w:sz w:val="20"/>
                <w:szCs w:val="20"/>
              </w:rPr>
              <w:t xml:space="preserve"> for u</w:t>
            </w:r>
            <w:r w:rsidR="002F13D3" w:rsidRPr="002F13D3">
              <w:rPr>
                <w:rFonts w:ascii="Calibri" w:eastAsia="Times New Roman" w:hAnsi="Calibri" w:cs="Calibri"/>
                <w:color w:val="000000"/>
                <w:sz w:val="20"/>
                <w:szCs w:val="20"/>
              </w:rPr>
              <w:t>ncontrolled severe eosinophilic asthm</w:t>
            </w:r>
            <w:r w:rsidR="002F13D3">
              <w:rPr>
                <w:rFonts w:ascii="Calibri" w:eastAsia="Times New Roman" w:hAnsi="Calibri" w:cs="Calibri"/>
                <w:color w:val="000000"/>
                <w:sz w:val="20"/>
                <w:szCs w:val="20"/>
              </w:rPr>
              <w:t>a</w:t>
            </w:r>
          </w:p>
        </w:tc>
      </w:tr>
      <w:tr w:rsidR="00AC0F43" w:rsidRPr="00AC0F43" w14:paraId="24B6C46F" w14:textId="77777777" w:rsidTr="00E2790A">
        <w:trPr>
          <w:trHeight w:val="300"/>
        </w:trPr>
        <w:tc>
          <w:tcPr>
            <w:tcW w:w="1588" w:type="dxa"/>
            <w:shd w:val="clear" w:color="auto" w:fill="auto"/>
            <w:noWrap/>
            <w:vAlign w:val="bottom"/>
            <w:hideMark/>
          </w:tcPr>
          <w:p w14:paraId="038D81D7" w14:textId="77777777" w:rsidR="00AC0F43" w:rsidRPr="00AC0F43" w:rsidRDefault="00AC0F43" w:rsidP="00AC0F43">
            <w:pPr>
              <w:spacing w:after="0"/>
              <w:rPr>
                <w:rFonts w:ascii="Calibri" w:eastAsia="Times New Roman" w:hAnsi="Calibri" w:cs="Calibri"/>
                <w:color w:val="000000"/>
                <w:sz w:val="20"/>
                <w:szCs w:val="20"/>
              </w:rPr>
            </w:pPr>
            <w:r w:rsidRPr="00AC0F43">
              <w:rPr>
                <w:rFonts w:ascii="Calibri" w:eastAsia="Times New Roman" w:hAnsi="Calibri" w:cs="Calibri"/>
                <w:color w:val="000000"/>
                <w:sz w:val="20"/>
                <w:szCs w:val="20"/>
              </w:rPr>
              <w:t>December 2018</w:t>
            </w:r>
          </w:p>
        </w:tc>
        <w:tc>
          <w:tcPr>
            <w:tcW w:w="7513" w:type="dxa"/>
            <w:shd w:val="clear" w:color="auto" w:fill="auto"/>
            <w:noWrap/>
            <w:vAlign w:val="bottom"/>
            <w:hideMark/>
          </w:tcPr>
          <w:p w14:paraId="66BABB77" w14:textId="65207533" w:rsidR="00AC0F43" w:rsidRPr="00AC0F43" w:rsidRDefault="00AC0F43" w:rsidP="00AC0F43">
            <w:pPr>
              <w:spacing w:after="0"/>
              <w:rPr>
                <w:rFonts w:ascii="Calibri" w:eastAsia="Times New Roman" w:hAnsi="Calibri" w:cs="Calibri"/>
                <w:color w:val="000000"/>
                <w:sz w:val="20"/>
                <w:szCs w:val="20"/>
              </w:rPr>
            </w:pPr>
            <w:r w:rsidRPr="00AC0F43">
              <w:rPr>
                <w:rFonts w:ascii="Calibri" w:eastAsia="Times New Roman" w:hAnsi="Calibri" w:cs="Calibri"/>
                <w:color w:val="000000"/>
                <w:sz w:val="20"/>
                <w:szCs w:val="20"/>
              </w:rPr>
              <w:t>Benralizumab listed</w:t>
            </w:r>
            <w:r w:rsidR="00F911CA">
              <w:rPr>
                <w:rFonts w:ascii="Calibri" w:eastAsia="Times New Roman" w:hAnsi="Calibri" w:cs="Calibri"/>
                <w:color w:val="000000"/>
                <w:sz w:val="20"/>
                <w:szCs w:val="20"/>
              </w:rPr>
              <w:t xml:space="preserve"> </w:t>
            </w:r>
            <w:r w:rsidR="00F911CA" w:rsidRPr="00F911CA">
              <w:rPr>
                <w:rFonts w:ascii="Calibri" w:eastAsia="Times New Roman" w:hAnsi="Calibri" w:cs="Calibri"/>
                <w:color w:val="000000"/>
                <w:sz w:val="20"/>
                <w:szCs w:val="20"/>
              </w:rPr>
              <w:t xml:space="preserve">for uncontrolled </w:t>
            </w:r>
            <w:r w:rsidR="00837E82" w:rsidRPr="00837E82">
              <w:rPr>
                <w:rFonts w:ascii="Calibri" w:eastAsia="Times New Roman" w:hAnsi="Calibri" w:cs="Calibri"/>
                <w:color w:val="000000"/>
                <w:sz w:val="20"/>
                <w:szCs w:val="20"/>
              </w:rPr>
              <w:t>severe eosinophilic asthma</w:t>
            </w:r>
          </w:p>
        </w:tc>
      </w:tr>
      <w:tr w:rsidR="00AC0F43" w:rsidRPr="00AC0F43" w14:paraId="42F446F5" w14:textId="77777777" w:rsidTr="00E2790A">
        <w:trPr>
          <w:trHeight w:val="300"/>
        </w:trPr>
        <w:tc>
          <w:tcPr>
            <w:tcW w:w="1588" w:type="dxa"/>
            <w:shd w:val="clear" w:color="auto" w:fill="auto"/>
            <w:noWrap/>
            <w:vAlign w:val="bottom"/>
            <w:hideMark/>
          </w:tcPr>
          <w:p w14:paraId="4FF35651" w14:textId="77777777" w:rsidR="00AC0F43" w:rsidRPr="00AC0F43" w:rsidRDefault="00AC0F43" w:rsidP="00AC0F43">
            <w:pPr>
              <w:spacing w:after="0"/>
              <w:rPr>
                <w:rFonts w:eastAsia="Times New Roman" w:cstheme="minorHAnsi"/>
                <w:color w:val="000000"/>
                <w:sz w:val="20"/>
                <w:szCs w:val="20"/>
              </w:rPr>
            </w:pPr>
            <w:r w:rsidRPr="00AC0F43">
              <w:rPr>
                <w:rFonts w:eastAsia="Times New Roman" w:cstheme="minorHAnsi"/>
                <w:color w:val="000000"/>
                <w:sz w:val="20"/>
                <w:szCs w:val="20"/>
              </w:rPr>
              <w:t xml:space="preserve">April 2021 </w:t>
            </w:r>
          </w:p>
        </w:tc>
        <w:tc>
          <w:tcPr>
            <w:tcW w:w="7513" w:type="dxa"/>
            <w:shd w:val="clear" w:color="auto" w:fill="auto"/>
            <w:noWrap/>
            <w:vAlign w:val="bottom"/>
            <w:hideMark/>
          </w:tcPr>
          <w:p w14:paraId="454353D7" w14:textId="62B4E368" w:rsidR="00AC0F43" w:rsidRPr="00AC0F43" w:rsidRDefault="00AC0F43" w:rsidP="00AC0F43">
            <w:pPr>
              <w:spacing w:after="0"/>
              <w:rPr>
                <w:rFonts w:eastAsia="Times New Roman" w:cstheme="minorHAnsi"/>
                <w:color w:val="000000"/>
                <w:sz w:val="20"/>
                <w:szCs w:val="20"/>
              </w:rPr>
            </w:pPr>
            <w:r w:rsidRPr="00AC0F43">
              <w:rPr>
                <w:rFonts w:eastAsia="Times New Roman" w:cstheme="minorHAnsi"/>
                <w:color w:val="000000"/>
                <w:sz w:val="20"/>
                <w:szCs w:val="20"/>
              </w:rPr>
              <w:t xml:space="preserve">Dupilumab listed for </w:t>
            </w:r>
            <w:r w:rsidR="00AB7FEF">
              <w:rPr>
                <w:rFonts w:eastAsia="Times New Roman" w:cstheme="minorHAnsi"/>
                <w:color w:val="000000"/>
                <w:sz w:val="20"/>
                <w:szCs w:val="20"/>
              </w:rPr>
              <w:t>u</w:t>
            </w:r>
            <w:r w:rsidR="00AB7FEF" w:rsidRPr="00AB7FEF">
              <w:rPr>
                <w:rFonts w:eastAsia="Times New Roman" w:cstheme="minorHAnsi"/>
                <w:color w:val="000000"/>
                <w:sz w:val="20"/>
                <w:szCs w:val="20"/>
              </w:rPr>
              <w:t>ncontrolled severe eosinophilic or allergic asthma</w:t>
            </w:r>
          </w:p>
        </w:tc>
      </w:tr>
      <w:tr w:rsidR="00AC0F43" w:rsidRPr="00AC0F43" w14:paraId="21A3FE3F" w14:textId="77777777" w:rsidTr="00E2790A">
        <w:trPr>
          <w:trHeight w:val="300"/>
        </w:trPr>
        <w:tc>
          <w:tcPr>
            <w:tcW w:w="1588" w:type="dxa"/>
            <w:shd w:val="clear" w:color="auto" w:fill="auto"/>
            <w:noWrap/>
            <w:vAlign w:val="bottom"/>
            <w:hideMark/>
          </w:tcPr>
          <w:p w14:paraId="3052F567" w14:textId="7DDE29AE" w:rsidR="00AC0F43" w:rsidRPr="00AC0F43" w:rsidRDefault="00AB7FEF" w:rsidP="00AC0F43">
            <w:pPr>
              <w:spacing w:after="0"/>
              <w:rPr>
                <w:rFonts w:eastAsia="Times New Roman" w:cstheme="minorHAnsi"/>
                <w:color w:val="000000"/>
                <w:sz w:val="20"/>
                <w:szCs w:val="20"/>
              </w:rPr>
            </w:pPr>
            <w:r>
              <w:rPr>
                <w:rFonts w:eastAsia="Times New Roman" w:cstheme="minorHAnsi"/>
                <w:color w:val="000000"/>
                <w:sz w:val="20"/>
                <w:szCs w:val="20"/>
              </w:rPr>
              <w:t>July 2021</w:t>
            </w:r>
          </w:p>
        </w:tc>
        <w:tc>
          <w:tcPr>
            <w:tcW w:w="7513" w:type="dxa"/>
            <w:shd w:val="clear" w:color="auto" w:fill="auto"/>
            <w:noWrap/>
            <w:vAlign w:val="bottom"/>
            <w:hideMark/>
          </w:tcPr>
          <w:p w14:paraId="799D466F" w14:textId="2017D49C" w:rsidR="00AC0F43" w:rsidRPr="00AC0F43" w:rsidRDefault="00AB7FEF" w:rsidP="00AC0F43">
            <w:pPr>
              <w:spacing w:after="0"/>
              <w:rPr>
                <w:rFonts w:eastAsia="Times New Roman" w:cstheme="minorHAnsi"/>
                <w:sz w:val="20"/>
                <w:szCs w:val="20"/>
              </w:rPr>
            </w:pPr>
            <w:r>
              <w:rPr>
                <w:rFonts w:eastAsia="Times New Roman" w:cstheme="minorHAnsi"/>
                <w:sz w:val="20"/>
                <w:szCs w:val="20"/>
              </w:rPr>
              <w:t xml:space="preserve">Listing for </w:t>
            </w:r>
            <w:r w:rsidR="000E56EF">
              <w:rPr>
                <w:rFonts w:eastAsia="Times New Roman" w:cstheme="minorHAnsi"/>
                <w:sz w:val="20"/>
                <w:szCs w:val="20"/>
              </w:rPr>
              <w:t>the four asthma biologics changed to be listed for</w:t>
            </w:r>
            <w:r>
              <w:rPr>
                <w:rFonts w:eastAsia="Times New Roman" w:cstheme="minorHAnsi"/>
                <w:sz w:val="20"/>
                <w:szCs w:val="20"/>
              </w:rPr>
              <w:t xml:space="preserve"> </w:t>
            </w:r>
            <w:r w:rsidR="005E7352">
              <w:rPr>
                <w:rFonts w:eastAsia="Times New Roman" w:cstheme="minorHAnsi"/>
                <w:sz w:val="20"/>
                <w:szCs w:val="20"/>
              </w:rPr>
              <w:t>u</w:t>
            </w:r>
            <w:r w:rsidR="005E7352" w:rsidRPr="005E7352">
              <w:rPr>
                <w:rFonts w:eastAsia="Times New Roman" w:cstheme="minorHAnsi"/>
                <w:sz w:val="20"/>
                <w:szCs w:val="20"/>
              </w:rPr>
              <w:t>ncontrolled severe asthma</w:t>
            </w:r>
          </w:p>
        </w:tc>
      </w:tr>
    </w:tbl>
    <w:p w14:paraId="0B0E240B" w14:textId="77777777" w:rsidR="00F6338F" w:rsidDel="00EE2BBB" w:rsidRDefault="00F6338F" w:rsidP="00A35800"/>
    <w:p w14:paraId="64C94A85" w14:textId="7AC6B8D3" w:rsidR="00BF544D" w:rsidRPr="002F61CA" w:rsidDel="00EE2BBB" w:rsidRDefault="00BF544D" w:rsidP="00BF544D">
      <w:r w:rsidRPr="002F61CA" w:rsidDel="00EE2BBB">
        <w:t xml:space="preserve">Current PBS listing details are available from </w:t>
      </w:r>
      <w:r w:rsidDel="00EE2BBB">
        <w:t xml:space="preserve">the </w:t>
      </w:r>
      <w:hyperlink r:id="rId15" w:history="1">
        <w:r w:rsidRPr="00645D51" w:rsidDel="00EE2BBB">
          <w:rPr>
            <w:rStyle w:val="Hyperlink"/>
          </w:rPr>
          <w:t>PBS website</w:t>
        </w:r>
      </w:hyperlink>
      <w:r w:rsidDel="00EE2BBB">
        <w:t>.</w:t>
      </w:r>
    </w:p>
    <w:p w14:paraId="383E312E" w14:textId="724CF700" w:rsidR="00736041" w:rsidRPr="005E22C2" w:rsidRDefault="00394AEE" w:rsidP="00CF5E22">
      <w:pPr>
        <w:pStyle w:val="Heading2"/>
      </w:pPr>
      <w:r>
        <w:lastRenderedPageBreak/>
        <w:t>Relevant aspects of</w:t>
      </w:r>
      <w:r w:rsidR="00736041" w:rsidRPr="005E22C2">
        <w:t xml:space="preserve"> consideration</w:t>
      </w:r>
      <w:r>
        <w:t xml:space="preserve"> by the Pharmaceutical Benefits Advisory Committee (PBAC)</w:t>
      </w:r>
    </w:p>
    <w:p w14:paraId="7E5DFD42" w14:textId="6201CD70" w:rsidR="005D3491" w:rsidRDefault="005D3491" w:rsidP="00A92F51">
      <w:r w:rsidRPr="003605EE">
        <w:t xml:space="preserve">At the November 2020 meeting the PBAC recommended dupilumab for uncontrolled severe asthma. The submission requested </w:t>
      </w:r>
      <w:r w:rsidR="001C7178" w:rsidRPr="003605EE">
        <w:t>listing on the basis of a cost-minimisation analysis versus three comparators: benralizumab, mepolizumab and omalizumab.</w:t>
      </w:r>
      <w:r w:rsidR="00B3486A" w:rsidRPr="003605EE">
        <w:t xml:space="preserve"> The submission took a market share approach to estimate the extent of use and financial implications associated with the listing of dupilumab.</w:t>
      </w:r>
      <w:r w:rsidR="00A92F51">
        <w:t xml:space="preserve"> </w:t>
      </w:r>
    </w:p>
    <w:p w14:paraId="7A333DA7" w14:textId="42AB7C24" w:rsidR="00A92F51" w:rsidRDefault="00A92F51" w:rsidP="00A92F51">
      <w:r>
        <w:t xml:space="preserve">The submission assumed that the growth of the asthma biologic market from April 2020 until the end of Year 6 of dupilumab listing (2026) would not be affected by the availability of dupilumab, as the proposed restriction criteria ensured that patients eligible for treatment with dupilumab would also currently qualify for treatment with benralizumab, mepolizumab or omalizumab. The 10% PBS sample data indicated that, despite the similar PBS restrictions of benralizumab to those of mepolizumab, the reimbursement of benralizumab accelerated the growth of the asthma biologic market, which meant that the availability of additional treatment option attracted new patients who otherwise would not receive asthma biologics. The PBAC considered this might also occur following the listing of dupilumab, especially in the allergic asthma population, for whom only one treatment (omalizumab) was available, and dupilumab therapy was associated with a more straightforward posology with no need for post-injection monitoring of anaphylaxis events. </w:t>
      </w:r>
      <w:r w:rsidR="000B2330">
        <w:t>In its Pre-Sub-Committee Response, the sponsor</w:t>
      </w:r>
      <w:r>
        <w:t xml:space="preserve"> argued that at the time of listing dupilumab, benralizumab will have been listed for 2 years, and claimed that it reasonably expected that all biologic naïve patients suitable for IL-5 therapy would have initiated therapy.</w:t>
      </w:r>
    </w:p>
    <w:p w14:paraId="70539E18" w14:textId="682150BE" w:rsidR="00D94863" w:rsidRPr="00F65F0D" w:rsidRDefault="00D94863" w:rsidP="00D94863">
      <w:r>
        <w:t xml:space="preserve">For further details refer to </w:t>
      </w:r>
      <w:r w:rsidRPr="00F65F0D">
        <w:t xml:space="preserve">the </w:t>
      </w:r>
      <w:hyperlink r:id="rId16" w:history="1">
        <w:r w:rsidRPr="00115440">
          <w:rPr>
            <w:rStyle w:val="Hyperlink"/>
          </w:rPr>
          <w:t>Public Summary Document</w:t>
        </w:r>
      </w:hyperlink>
      <w:r>
        <w:t xml:space="preserve"> </w:t>
      </w:r>
      <w:r w:rsidRPr="00F65F0D">
        <w:t xml:space="preserve">from the </w:t>
      </w:r>
      <w:r w:rsidR="00115440">
        <w:t>November 2020</w:t>
      </w:r>
      <w:r>
        <w:t xml:space="preserve"> PBAC meeting.</w:t>
      </w:r>
    </w:p>
    <w:p w14:paraId="0DEBD50F" w14:textId="69B931E7" w:rsidR="00094DCF" w:rsidRDefault="00ED633B" w:rsidP="00155339">
      <w:pPr>
        <w:pStyle w:val="Heading2"/>
        <w:keepNext/>
      </w:pPr>
      <w:r>
        <w:t xml:space="preserve">Previous reviews by </w:t>
      </w:r>
      <w:r w:rsidR="00177B86">
        <w:t xml:space="preserve">the </w:t>
      </w:r>
      <w:r>
        <w:t>DUSC</w:t>
      </w:r>
    </w:p>
    <w:p w14:paraId="0C12F665" w14:textId="77777777" w:rsidR="003605EE" w:rsidRPr="003605EE" w:rsidRDefault="003605EE" w:rsidP="00A35800">
      <w:r w:rsidRPr="003605EE">
        <w:t xml:space="preserve">DUSC previously reviewed omalizumab for the treatment of uncontrolled severe allergic asthma at its June 2014 meeting. The review found that the utilisation of omalizumab over the first 24 months of listing was </w:t>
      </w:r>
      <w:r w:rsidRPr="00CA1280">
        <w:t>lower</w:t>
      </w:r>
      <w:r w:rsidRPr="003605EE">
        <w:t xml:space="preserve"> than estimated. </w:t>
      </w:r>
    </w:p>
    <w:p w14:paraId="519595F2" w14:textId="77777777" w:rsidR="003605EE" w:rsidRPr="003605EE" w:rsidRDefault="003605EE" w:rsidP="003605EE">
      <w:pPr>
        <w:pStyle w:val="ListParagraph"/>
        <w:numPr>
          <w:ilvl w:val="0"/>
          <w:numId w:val="8"/>
        </w:numPr>
      </w:pPr>
      <w:r w:rsidRPr="003605EE">
        <w:t xml:space="preserve">258 patients received an authority approval for omalizumab in the second year of listing, including 156 new patients. This is </w:t>
      </w:r>
      <w:r w:rsidRPr="00CA1280">
        <w:t>fewer</w:t>
      </w:r>
      <w:r w:rsidRPr="003605EE">
        <w:t xml:space="preserve"> total and new patients than predicted. </w:t>
      </w:r>
    </w:p>
    <w:p w14:paraId="369267C5" w14:textId="77777777" w:rsidR="003605EE" w:rsidRPr="003605EE" w:rsidRDefault="003605EE" w:rsidP="003605EE">
      <w:pPr>
        <w:pStyle w:val="ListParagraph"/>
        <w:numPr>
          <w:ilvl w:val="0"/>
          <w:numId w:val="8"/>
        </w:numPr>
      </w:pPr>
      <w:r w:rsidRPr="003605EE">
        <w:t xml:space="preserve">Over 80% of patients who received an initial authority approval received a continuing authority approval. </w:t>
      </w:r>
    </w:p>
    <w:p w14:paraId="3FCB5470" w14:textId="08E43A04" w:rsidR="003605EE" w:rsidRPr="003605EE" w:rsidRDefault="003605EE" w:rsidP="003605EE">
      <w:pPr>
        <w:pStyle w:val="ListParagraph"/>
        <w:numPr>
          <w:ilvl w:val="0"/>
          <w:numId w:val="8"/>
        </w:numPr>
      </w:pPr>
      <w:r w:rsidRPr="003605EE">
        <w:t xml:space="preserve">An average 3.76 vials was approved per prescription over the first two years of listing, which was approximately </w:t>
      </w:r>
      <w:r w:rsidRPr="00CA1280">
        <w:t>20% more</w:t>
      </w:r>
      <w:r w:rsidRPr="003605EE">
        <w:t xml:space="preserve"> than predicted.</w:t>
      </w:r>
    </w:p>
    <w:p w14:paraId="5C143877" w14:textId="201736EB" w:rsidR="00E371EA" w:rsidRPr="00ED633B" w:rsidRDefault="009D1ED5" w:rsidP="00A35800">
      <w:r>
        <w:t xml:space="preserve">For details of the DUSC consideration of </w:t>
      </w:r>
      <w:r w:rsidR="003605EE">
        <w:t xml:space="preserve">omalizumab for </w:t>
      </w:r>
      <w:r w:rsidR="003605EE" w:rsidRPr="003605EE">
        <w:t>the treatment of uncontrolled severe allergic asthma</w:t>
      </w:r>
      <w:r>
        <w:t xml:space="preserve"> refer to the </w:t>
      </w:r>
      <w:hyperlink r:id="rId17" w:history="1">
        <w:r w:rsidRPr="003605EE">
          <w:rPr>
            <w:rStyle w:val="Hyperlink"/>
          </w:rPr>
          <w:t>Public Release Document</w:t>
        </w:r>
      </w:hyperlink>
      <w:r>
        <w:t xml:space="preserve"> from the </w:t>
      </w:r>
      <w:r w:rsidR="003605EE">
        <w:t>June 2014</w:t>
      </w:r>
      <w:r>
        <w:t xml:space="preserve"> DUSC meeting.</w:t>
      </w:r>
    </w:p>
    <w:p w14:paraId="03638EA6" w14:textId="77777777" w:rsidR="00020B10" w:rsidRDefault="00020B10">
      <w:pPr>
        <w:spacing w:line="276" w:lineRule="auto"/>
        <w:rPr>
          <w:rFonts w:eastAsiaTheme="majorEastAsia" w:cstheme="majorBidi"/>
          <w:b/>
          <w:bCs/>
          <w:sz w:val="32"/>
          <w:szCs w:val="32"/>
        </w:rPr>
      </w:pPr>
      <w:r>
        <w:br w:type="page"/>
      </w:r>
    </w:p>
    <w:p w14:paraId="0312FFEC" w14:textId="17F093D2" w:rsidR="00E677DD" w:rsidRPr="005E22C2" w:rsidRDefault="00E677DD" w:rsidP="00CF5E22">
      <w:pPr>
        <w:pStyle w:val="Heading1"/>
      </w:pPr>
      <w:r w:rsidRPr="005E22C2">
        <w:lastRenderedPageBreak/>
        <w:t>Method</w:t>
      </w:r>
      <w:r w:rsidR="001B5D37" w:rsidRPr="005E22C2">
        <w:t>s</w:t>
      </w:r>
    </w:p>
    <w:p w14:paraId="6D8C9BF9" w14:textId="3CDD70D1" w:rsidR="006804E0" w:rsidRDefault="006804E0" w:rsidP="00524D13">
      <w:r w:rsidRPr="006804E0">
        <w:t xml:space="preserve">Data extracted from the PBS claims database maintained by the Department of Health and Aged Care and processed by Services Australia were used for the analyses. Prescription data were extracted </w:t>
      </w:r>
      <w:r w:rsidR="004E1CCA">
        <w:t xml:space="preserve">for biologic medicines </w:t>
      </w:r>
      <w:r w:rsidR="00060A5A">
        <w:t xml:space="preserve">(dupilumab, </w:t>
      </w:r>
      <w:r w:rsidR="00883DFB" w:rsidRPr="00883DFB">
        <w:t>omalizumab, benralizumab and mepolizumab</w:t>
      </w:r>
      <w:r w:rsidR="00883DFB">
        <w:t>)</w:t>
      </w:r>
      <w:r w:rsidR="00883DFB" w:rsidRPr="00883DFB">
        <w:t xml:space="preserve"> </w:t>
      </w:r>
      <w:r w:rsidRPr="006804E0">
        <w:t xml:space="preserve">from </w:t>
      </w:r>
      <w:r w:rsidR="00302650">
        <w:t xml:space="preserve">1 January 2017 </w:t>
      </w:r>
      <w:r w:rsidRPr="006804E0">
        <w:t xml:space="preserve">up to and including </w:t>
      </w:r>
      <w:r w:rsidR="00302650">
        <w:t xml:space="preserve">30 September 2023. </w:t>
      </w:r>
      <w:r w:rsidR="0066073F" w:rsidRPr="0066073F">
        <w:t xml:space="preserve">Prescription data were extracted for </w:t>
      </w:r>
      <w:r w:rsidR="0066073F">
        <w:t>inhaled corticosteroids</w:t>
      </w:r>
      <w:r w:rsidR="0066073F" w:rsidRPr="0066073F">
        <w:t xml:space="preserve"> from 1 January </w:t>
      </w:r>
      <w:r w:rsidR="0066073F" w:rsidRPr="000111B2">
        <w:t>201</w:t>
      </w:r>
      <w:r w:rsidR="000111B2">
        <w:t>6</w:t>
      </w:r>
      <w:r w:rsidR="0066073F" w:rsidRPr="0066073F">
        <w:t xml:space="preserve"> up to and including 30</w:t>
      </w:r>
      <w:r w:rsidR="00814A16">
        <w:t> </w:t>
      </w:r>
      <w:r w:rsidR="0066073F" w:rsidRPr="0066073F">
        <w:t xml:space="preserve">September 2023. </w:t>
      </w:r>
      <w:r w:rsidR="00840124">
        <w:t>These data were extracted on 27 November 2023</w:t>
      </w:r>
      <w:r w:rsidR="00603BAD">
        <w:t>.</w:t>
      </w:r>
      <w:r w:rsidR="0066073F" w:rsidRPr="0066073F">
        <w:t xml:space="preserve"> </w:t>
      </w:r>
    </w:p>
    <w:p w14:paraId="3485C820" w14:textId="456F9F32" w:rsidR="00E45A28" w:rsidRDefault="001E777B" w:rsidP="00524D13">
      <w:r w:rsidRPr="001E777B">
        <w:t xml:space="preserve">Authorities data were extracted from the Authorities database, and matched to the prescription data to determine whether a prescription was supplied for </w:t>
      </w:r>
      <w:r>
        <w:t>severe uncontrolled asthma or another indication.</w:t>
      </w:r>
      <w:r w:rsidRPr="001E777B">
        <w:t xml:space="preserve"> These matched data were used to analyse the consistency of utilisation by indication, and to analyse the data quality of PBS item codes the prescription was intended to treat.</w:t>
      </w:r>
    </w:p>
    <w:p w14:paraId="68BB91F8" w14:textId="463D6D9F" w:rsidR="00BC4810" w:rsidRDefault="00BC4810" w:rsidP="00524D13">
      <w:r w:rsidRPr="00BC4810">
        <w:t xml:space="preserve">Treatment duration was analysed using the Kaplan-Meier method. A patient was </w:t>
      </w:r>
      <w:r w:rsidR="006D023A">
        <w:t xml:space="preserve">assumed to be continuing on treatment and </w:t>
      </w:r>
      <w:r w:rsidRPr="00BC4810">
        <w:t xml:space="preserve">censored if they were supplied a prescription within three times the median time to resupply prior to 30 </w:t>
      </w:r>
      <w:r w:rsidR="003B3D24">
        <w:t>September</w:t>
      </w:r>
      <w:r w:rsidRPr="00BC4810">
        <w:t xml:space="preserve"> 2023 (i.e. 3×28 days). Three times the median time to resupply was used to test for breaks between supplies of dupilumab.</w:t>
      </w:r>
    </w:p>
    <w:p w14:paraId="0712D9D5" w14:textId="21A678F5" w:rsidR="00524D13" w:rsidRDefault="006804E0" w:rsidP="00524D13">
      <w:r w:rsidRPr="006804E0">
        <w:t>As this analysis uses date of supply prescription data, there may be small differences compared with publicly available Services Australia Medicare date of processing data.</w:t>
      </w:r>
      <w:r w:rsidR="00576B18">
        <w:rPr>
          <w:rStyle w:val="FootnoteReference"/>
        </w:rPr>
        <w:footnoteReference w:id="3"/>
      </w:r>
      <w:r w:rsidR="00576B18">
        <w:t xml:space="preserve"> </w:t>
      </w:r>
    </w:p>
    <w:p w14:paraId="10FEC04F" w14:textId="718C8C26" w:rsidR="00EF740B" w:rsidRDefault="00EF740B" w:rsidP="00524D13">
      <w:r w:rsidRPr="00EF740B">
        <w:t>Analyses were completed using SAS.</w:t>
      </w:r>
    </w:p>
    <w:p w14:paraId="2578BCC8" w14:textId="77777777" w:rsidR="00020B10" w:rsidRDefault="00020B10">
      <w:pPr>
        <w:spacing w:line="276" w:lineRule="auto"/>
        <w:rPr>
          <w:rFonts w:eastAsiaTheme="majorEastAsia" w:cstheme="majorBidi"/>
          <w:b/>
          <w:bCs/>
          <w:sz w:val="32"/>
          <w:szCs w:val="32"/>
        </w:rPr>
      </w:pPr>
      <w:r>
        <w:br w:type="page"/>
      </w:r>
    </w:p>
    <w:p w14:paraId="4F91A98A" w14:textId="1D6421FE" w:rsidR="00C714D0" w:rsidRPr="005E22C2" w:rsidRDefault="00C714D0" w:rsidP="00CF5E22">
      <w:pPr>
        <w:pStyle w:val="Heading1"/>
      </w:pPr>
      <w:r w:rsidRPr="005E22C2">
        <w:lastRenderedPageBreak/>
        <w:t>Results</w:t>
      </w:r>
    </w:p>
    <w:p w14:paraId="2221FF19" w14:textId="336CE8B2" w:rsidR="00736041" w:rsidRPr="005E22C2" w:rsidRDefault="001B5D37" w:rsidP="00CF5E22">
      <w:pPr>
        <w:pStyle w:val="Heading2"/>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7EDE784D" w14:textId="1724AB76" w:rsidR="0000274D" w:rsidRDefault="0000274D" w:rsidP="0000274D">
      <w:pPr>
        <w:pStyle w:val="Heading3"/>
      </w:pPr>
      <w:r>
        <w:t>Data quality</w:t>
      </w:r>
    </w:p>
    <w:p w14:paraId="00874A61" w14:textId="057B1B8B" w:rsidR="00BC1423" w:rsidRDefault="00BC1423" w:rsidP="00BC1423">
      <w:r w:rsidRPr="00BC1423">
        <w:t xml:space="preserve">Table </w:t>
      </w:r>
      <w:r w:rsidR="00516AC5">
        <w:t>3</w:t>
      </w:r>
      <w:r w:rsidRPr="00BC1423">
        <w:t xml:space="preserve"> show</w:t>
      </w:r>
      <w:r w:rsidR="00DC0CCE">
        <w:t>s</w:t>
      </w:r>
      <w:r w:rsidRPr="00BC1423">
        <w:t xml:space="preserve"> prescriptions for </w:t>
      </w:r>
      <w:r w:rsidR="00DC0CCE">
        <w:t>medicines for severe asthma</w:t>
      </w:r>
      <w:r w:rsidRPr="00BC1423">
        <w:t xml:space="preserve"> by the restriction determined from the PBS item code, and the </w:t>
      </w:r>
      <w:r w:rsidR="006266E8">
        <w:t>indication</w:t>
      </w:r>
      <w:r w:rsidRPr="00BC1423">
        <w:t xml:space="preserve"> determined from the authority code.</w:t>
      </w:r>
    </w:p>
    <w:p w14:paraId="01CA38E8" w14:textId="471DF353" w:rsidR="00BC1423" w:rsidRPr="00BC1423" w:rsidRDefault="00AE5ED7" w:rsidP="002232D0">
      <w:pPr>
        <w:pStyle w:val="Tabletitle"/>
      </w:pPr>
      <w:r w:rsidRPr="00AE5ED7">
        <w:t xml:space="preserve">Table </w:t>
      </w:r>
      <w:r w:rsidR="00516AC5">
        <w:t>3</w:t>
      </w:r>
      <w:r w:rsidRPr="00AE5ED7">
        <w:t xml:space="preserve">: Use of </w:t>
      </w:r>
      <w:r w:rsidR="002232D0">
        <w:t>medicines for severe asthma</w:t>
      </w:r>
      <w:r w:rsidRPr="00AE5ED7">
        <w:t xml:space="preserve"> by item code restriction and authority code restriction</w:t>
      </w:r>
    </w:p>
    <w:tbl>
      <w:tblPr>
        <w:tblW w:w="7069" w:type="dxa"/>
        <w:tblInd w:w="113" w:type="dxa"/>
        <w:tblLook w:val="04A0" w:firstRow="1" w:lastRow="0" w:firstColumn="1" w:lastColumn="0" w:noHBand="0" w:noVBand="1"/>
      </w:tblPr>
      <w:tblGrid>
        <w:gridCol w:w="2960"/>
        <w:gridCol w:w="1116"/>
        <w:gridCol w:w="1049"/>
        <w:gridCol w:w="1299"/>
        <w:gridCol w:w="960"/>
      </w:tblGrid>
      <w:tr w:rsidR="00217A39" w:rsidRPr="00217A39" w14:paraId="12F8A189" w14:textId="77777777" w:rsidTr="00217A39">
        <w:trPr>
          <w:trHeight w:val="300"/>
        </w:trPr>
        <w:tc>
          <w:tcPr>
            <w:tcW w:w="29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0351D587" w14:textId="77777777" w:rsidR="00217A39" w:rsidRPr="00217A39" w:rsidRDefault="00217A39" w:rsidP="00217A39">
            <w:pPr>
              <w:spacing w:after="0"/>
              <w:rPr>
                <w:rFonts w:ascii="Calibri" w:eastAsia="Times New Roman" w:hAnsi="Calibri" w:cs="Calibri"/>
                <w:b/>
                <w:bCs/>
                <w:color w:val="000000"/>
                <w:sz w:val="20"/>
                <w:szCs w:val="20"/>
              </w:rPr>
            </w:pPr>
            <w:r w:rsidRPr="00217A39">
              <w:rPr>
                <w:rFonts w:ascii="Calibri" w:eastAsia="Times New Roman" w:hAnsi="Calibri" w:cs="Calibri"/>
                <w:b/>
                <w:bCs/>
                <w:color w:val="000000"/>
                <w:sz w:val="20"/>
                <w:szCs w:val="20"/>
              </w:rPr>
              <w:t>Drug name</w:t>
            </w:r>
          </w:p>
        </w:tc>
        <w:tc>
          <w:tcPr>
            <w:tcW w:w="995"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5795356" w14:textId="77777777" w:rsidR="00217A39" w:rsidRPr="00217A39" w:rsidRDefault="00217A39" w:rsidP="00217A39">
            <w:pPr>
              <w:spacing w:after="0"/>
              <w:rPr>
                <w:rFonts w:ascii="Calibri" w:eastAsia="Times New Roman" w:hAnsi="Calibri" w:cs="Calibri"/>
                <w:b/>
                <w:bCs/>
                <w:color w:val="000000"/>
                <w:sz w:val="20"/>
                <w:szCs w:val="20"/>
              </w:rPr>
            </w:pPr>
            <w:r w:rsidRPr="00217A39">
              <w:rPr>
                <w:rFonts w:ascii="Calibri" w:eastAsia="Times New Roman" w:hAnsi="Calibri" w:cs="Calibri"/>
                <w:b/>
                <w:bCs/>
                <w:color w:val="000000"/>
                <w:sz w:val="20"/>
                <w:szCs w:val="20"/>
              </w:rPr>
              <w:t>Restriction from item code</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4A7F0C65" w14:textId="77777777" w:rsidR="00217A39" w:rsidRPr="00217A39" w:rsidRDefault="00217A39" w:rsidP="00217A39">
            <w:pPr>
              <w:spacing w:after="0"/>
              <w:rPr>
                <w:rFonts w:ascii="Calibri" w:eastAsia="Times New Roman" w:hAnsi="Calibri" w:cs="Calibri"/>
                <w:b/>
                <w:bCs/>
                <w:color w:val="000000"/>
                <w:sz w:val="20"/>
                <w:szCs w:val="20"/>
              </w:rPr>
            </w:pPr>
            <w:r w:rsidRPr="00217A39">
              <w:rPr>
                <w:rFonts w:ascii="Calibri" w:eastAsia="Times New Roman" w:hAnsi="Calibri" w:cs="Calibri"/>
                <w:b/>
                <w:bCs/>
                <w:color w:val="000000"/>
                <w:sz w:val="20"/>
                <w:szCs w:val="20"/>
              </w:rPr>
              <w:t>Indication from authority code</w:t>
            </w:r>
          </w:p>
        </w:tc>
        <w:tc>
          <w:tcPr>
            <w:tcW w:w="1194"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70B5CBB" w14:textId="77777777" w:rsidR="00217A39" w:rsidRPr="00217A39" w:rsidRDefault="00217A39" w:rsidP="00217A39">
            <w:pPr>
              <w:spacing w:after="0"/>
              <w:rPr>
                <w:rFonts w:ascii="Calibri" w:eastAsia="Times New Roman" w:hAnsi="Calibri" w:cs="Calibri"/>
                <w:b/>
                <w:bCs/>
                <w:color w:val="000000"/>
                <w:sz w:val="20"/>
                <w:szCs w:val="20"/>
              </w:rPr>
            </w:pPr>
            <w:r w:rsidRPr="00217A39">
              <w:rPr>
                <w:rFonts w:ascii="Calibri" w:eastAsia="Times New Roman" w:hAnsi="Calibri" w:cs="Calibri"/>
                <w:b/>
                <w:bCs/>
                <w:color w:val="000000"/>
                <w:sz w:val="20"/>
                <w:szCs w:val="20"/>
              </w:rPr>
              <w:t>Prescriptions</w:t>
            </w:r>
          </w:p>
        </w:tc>
        <w:tc>
          <w:tcPr>
            <w:tcW w:w="96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59F123D6" w14:textId="77777777" w:rsidR="00217A39" w:rsidRPr="00217A39" w:rsidRDefault="00217A39" w:rsidP="00217A39">
            <w:pPr>
              <w:spacing w:after="0"/>
              <w:rPr>
                <w:rFonts w:ascii="Calibri" w:eastAsia="Times New Roman" w:hAnsi="Calibri" w:cs="Calibri"/>
                <w:b/>
                <w:bCs/>
                <w:color w:val="000000"/>
                <w:sz w:val="20"/>
                <w:szCs w:val="20"/>
              </w:rPr>
            </w:pPr>
            <w:r w:rsidRPr="00217A39">
              <w:rPr>
                <w:rFonts w:ascii="Calibri" w:eastAsia="Times New Roman" w:hAnsi="Calibri" w:cs="Calibri"/>
                <w:b/>
                <w:bCs/>
                <w:color w:val="000000"/>
                <w:sz w:val="20"/>
                <w:szCs w:val="20"/>
              </w:rPr>
              <w:t>Percent of total</w:t>
            </w:r>
          </w:p>
        </w:tc>
      </w:tr>
      <w:tr w:rsidR="00217A39" w:rsidRPr="00217A39" w14:paraId="5F074A6A" w14:textId="77777777" w:rsidTr="00217A39">
        <w:trPr>
          <w:trHeight w:val="300"/>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14:paraId="6759C19C"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BENRALIZUMAB</w:t>
            </w:r>
          </w:p>
        </w:tc>
        <w:tc>
          <w:tcPr>
            <w:tcW w:w="995" w:type="dxa"/>
            <w:tcBorders>
              <w:top w:val="nil"/>
              <w:left w:val="nil"/>
              <w:bottom w:val="single" w:sz="4" w:space="0" w:color="auto"/>
              <w:right w:val="single" w:sz="4" w:space="0" w:color="auto"/>
            </w:tcBorders>
            <w:shd w:val="clear" w:color="auto" w:fill="auto"/>
            <w:noWrap/>
            <w:vAlign w:val="bottom"/>
            <w:hideMark/>
          </w:tcPr>
          <w:p w14:paraId="79656A64"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Asthma</w:t>
            </w:r>
          </w:p>
        </w:tc>
        <w:tc>
          <w:tcPr>
            <w:tcW w:w="960" w:type="dxa"/>
            <w:tcBorders>
              <w:top w:val="nil"/>
              <w:left w:val="nil"/>
              <w:bottom w:val="single" w:sz="4" w:space="0" w:color="auto"/>
              <w:right w:val="single" w:sz="4" w:space="0" w:color="auto"/>
            </w:tcBorders>
            <w:shd w:val="clear" w:color="auto" w:fill="auto"/>
            <w:noWrap/>
            <w:vAlign w:val="bottom"/>
            <w:hideMark/>
          </w:tcPr>
          <w:p w14:paraId="42AF6DAC"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Asthma</w:t>
            </w:r>
          </w:p>
        </w:tc>
        <w:tc>
          <w:tcPr>
            <w:tcW w:w="1194" w:type="dxa"/>
            <w:tcBorders>
              <w:top w:val="nil"/>
              <w:left w:val="nil"/>
              <w:bottom w:val="single" w:sz="4" w:space="0" w:color="auto"/>
              <w:right w:val="single" w:sz="4" w:space="0" w:color="auto"/>
            </w:tcBorders>
            <w:shd w:val="clear" w:color="auto" w:fill="auto"/>
            <w:noWrap/>
            <w:vAlign w:val="bottom"/>
            <w:hideMark/>
          </w:tcPr>
          <w:p w14:paraId="5F0F3653" w14:textId="0628E7ED" w:rsidR="00217A39" w:rsidRPr="00217A39" w:rsidRDefault="00217A39" w:rsidP="00217A39">
            <w:pPr>
              <w:spacing w:after="0"/>
              <w:jc w:val="right"/>
              <w:rPr>
                <w:rFonts w:ascii="Calibri" w:eastAsia="Times New Roman" w:hAnsi="Calibri" w:cs="Calibri"/>
                <w:color w:val="000000"/>
                <w:sz w:val="20"/>
                <w:szCs w:val="20"/>
              </w:rPr>
            </w:pPr>
            <w:r w:rsidRPr="00217A39">
              <w:rPr>
                <w:rFonts w:ascii="Calibri" w:eastAsia="Times New Roman" w:hAnsi="Calibri" w:cs="Calibri"/>
                <w:color w:val="000000"/>
                <w:sz w:val="20"/>
                <w:szCs w:val="20"/>
              </w:rPr>
              <w:t>63</w:t>
            </w:r>
            <w:r w:rsidR="00F71C15">
              <w:rPr>
                <w:rFonts w:ascii="Calibri" w:eastAsia="Times New Roman" w:hAnsi="Calibri" w:cs="Calibri"/>
                <w:color w:val="000000"/>
                <w:sz w:val="20"/>
                <w:szCs w:val="20"/>
              </w:rPr>
              <w:t>,</w:t>
            </w:r>
            <w:r w:rsidRPr="00217A39">
              <w:rPr>
                <w:rFonts w:ascii="Calibri" w:eastAsia="Times New Roman" w:hAnsi="Calibri" w:cs="Calibri"/>
                <w:color w:val="000000"/>
                <w:sz w:val="20"/>
                <w:szCs w:val="20"/>
              </w:rPr>
              <w:t>359</w:t>
            </w:r>
          </w:p>
        </w:tc>
        <w:tc>
          <w:tcPr>
            <w:tcW w:w="960" w:type="dxa"/>
            <w:tcBorders>
              <w:top w:val="nil"/>
              <w:left w:val="nil"/>
              <w:bottom w:val="single" w:sz="4" w:space="0" w:color="auto"/>
              <w:right w:val="single" w:sz="4" w:space="0" w:color="auto"/>
            </w:tcBorders>
            <w:shd w:val="clear" w:color="auto" w:fill="auto"/>
            <w:noWrap/>
            <w:vAlign w:val="bottom"/>
            <w:hideMark/>
          </w:tcPr>
          <w:p w14:paraId="65A3FBFF" w14:textId="77777777" w:rsidR="00217A39" w:rsidRPr="00217A39" w:rsidRDefault="00217A39" w:rsidP="00217A39">
            <w:pPr>
              <w:spacing w:after="0"/>
              <w:jc w:val="right"/>
              <w:rPr>
                <w:rFonts w:ascii="Calibri" w:eastAsia="Times New Roman" w:hAnsi="Calibri" w:cs="Calibri"/>
                <w:color w:val="000000"/>
                <w:sz w:val="20"/>
                <w:szCs w:val="20"/>
              </w:rPr>
            </w:pPr>
            <w:r w:rsidRPr="00217A39">
              <w:rPr>
                <w:rFonts w:ascii="Calibri" w:eastAsia="Times New Roman" w:hAnsi="Calibri" w:cs="Calibri"/>
                <w:color w:val="000000"/>
                <w:sz w:val="20"/>
                <w:szCs w:val="20"/>
              </w:rPr>
              <w:t>99%</w:t>
            </w:r>
          </w:p>
        </w:tc>
      </w:tr>
      <w:tr w:rsidR="00217A39" w:rsidRPr="00217A39" w14:paraId="17DFC57F" w14:textId="77777777" w:rsidTr="00217A39">
        <w:trPr>
          <w:trHeight w:val="300"/>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14:paraId="35BEAA1D"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BENRALIZUMAB</w:t>
            </w:r>
          </w:p>
        </w:tc>
        <w:tc>
          <w:tcPr>
            <w:tcW w:w="995" w:type="dxa"/>
            <w:tcBorders>
              <w:top w:val="nil"/>
              <w:left w:val="nil"/>
              <w:bottom w:val="single" w:sz="4" w:space="0" w:color="auto"/>
              <w:right w:val="single" w:sz="4" w:space="0" w:color="auto"/>
            </w:tcBorders>
            <w:shd w:val="clear" w:color="auto" w:fill="auto"/>
            <w:noWrap/>
            <w:vAlign w:val="bottom"/>
            <w:hideMark/>
          </w:tcPr>
          <w:p w14:paraId="6E90D9B2"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Asthma</w:t>
            </w:r>
          </w:p>
        </w:tc>
        <w:tc>
          <w:tcPr>
            <w:tcW w:w="960" w:type="dxa"/>
            <w:tcBorders>
              <w:top w:val="nil"/>
              <w:left w:val="nil"/>
              <w:bottom w:val="single" w:sz="4" w:space="0" w:color="auto"/>
              <w:right w:val="single" w:sz="4" w:space="0" w:color="auto"/>
            </w:tcBorders>
            <w:shd w:val="clear" w:color="auto" w:fill="auto"/>
            <w:noWrap/>
            <w:vAlign w:val="bottom"/>
            <w:hideMark/>
          </w:tcPr>
          <w:p w14:paraId="45FC8696"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Other</w:t>
            </w:r>
          </w:p>
        </w:tc>
        <w:tc>
          <w:tcPr>
            <w:tcW w:w="1194" w:type="dxa"/>
            <w:tcBorders>
              <w:top w:val="nil"/>
              <w:left w:val="nil"/>
              <w:bottom w:val="single" w:sz="4" w:space="0" w:color="auto"/>
              <w:right w:val="single" w:sz="4" w:space="0" w:color="auto"/>
            </w:tcBorders>
            <w:shd w:val="clear" w:color="auto" w:fill="auto"/>
            <w:noWrap/>
            <w:vAlign w:val="bottom"/>
            <w:hideMark/>
          </w:tcPr>
          <w:p w14:paraId="03C40B54" w14:textId="77777777" w:rsidR="00217A39" w:rsidRPr="00217A39" w:rsidRDefault="00217A39" w:rsidP="00217A39">
            <w:pPr>
              <w:spacing w:after="0"/>
              <w:jc w:val="right"/>
              <w:rPr>
                <w:rFonts w:ascii="Calibri" w:eastAsia="Times New Roman" w:hAnsi="Calibri" w:cs="Calibri"/>
                <w:color w:val="000000"/>
                <w:sz w:val="20"/>
                <w:szCs w:val="20"/>
              </w:rPr>
            </w:pPr>
            <w:r w:rsidRPr="00217A39">
              <w:rPr>
                <w:rFonts w:ascii="Calibri" w:eastAsia="Times New Roman" w:hAnsi="Calibri" w:cs="Calibri"/>
                <w:color w:val="000000"/>
                <w:sz w:val="20"/>
                <w:szCs w:val="20"/>
              </w:rPr>
              <w:t>522</w:t>
            </w:r>
          </w:p>
        </w:tc>
        <w:tc>
          <w:tcPr>
            <w:tcW w:w="960" w:type="dxa"/>
            <w:tcBorders>
              <w:top w:val="nil"/>
              <w:left w:val="nil"/>
              <w:bottom w:val="single" w:sz="4" w:space="0" w:color="auto"/>
              <w:right w:val="single" w:sz="4" w:space="0" w:color="auto"/>
            </w:tcBorders>
            <w:shd w:val="clear" w:color="auto" w:fill="auto"/>
            <w:noWrap/>
            <w:vAlign w:val="bottom"/>
            <w:hideMark/>
          </w:tcPr>
          <w:p w14:paraId="12F33909" w14:textId="77777777" w:rsidR="00217A39" w:rsidRPr="00217A39" w:rsidRDefault="00217A39" w:rsidP="00217A39">
            <w:pPr>
              <w:spacing w:after="0"/>
              <w:jc w:val="right"/>
              <w:rPr>
                <w:rFonts w:ascii="Calibri" w:eastAsia="Times New Roman" w:hAnsi="Calibri" w:cs="Calibri"/>
                <w:color w:val="000000"/>
                <w:sz w:val="20"/>
                <w:szCs w:val="20"/>
              </w:rPr>
            </w:pPr>
            <w:r w:rsidRPr="00217A39">
              <w:rPr>
                <w:rFonts w:ascii="Calibri" w:eastAsia="Times New Roman" w:hAnsi="Calibri" w:cs="Calibri"/>
                <w:color w:val="000000"/>
                <w:sz w:val="20"/>
                <w:szCs w:val="20"/>
              </w:rPr>
              <w:t>1%</w:t>
            </w:r>
          </w:p>
        </w:tc>
      </w:tr>
      <w:tr w:rsidR="00217A39" w:rsidRPr="00217A39" w14:paraId="37ACFBE6" w14:textId="77777777" w:rsidTr="00217A39">
        <w:trPr>
          <w:trHeight w:val="300"/>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14:paraId="7EA84797"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BENRALIZUMAB</w:t>
            </w:r>
          </w:p>
        </w:tc>
        <w:tc>
          <w:tcPr>
            <w:tcW w:w="995" w:type="dxa"/>
            <w:tcBorders>
              <w:top w:val="nil"/>
              <w:left w:val="nil"/>
              <w:bottom w:val="single" w:sz="4" w:space="0" w:color="auto"/>
              <w:right w:val="single" w:sz="4" w:space="0" w:color="auto"/>
            </w:tcBorders>
            <w:shd w:val="clear" w:color="auto" w:fill="auto"/>
            <w:noWrap/>
            <w:vAlign w:val="bottom"/>
            <w:hideMark/>
          </w:tcPr>
          <w:p w14:paraId="18CF5D60"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Asthma</w:t>
            </w:r>
          </w:p>
        </w:tc>
        <w:tc>
          <w:tcPr>
            <w:tcW w:w="960" w:type="dxa"/>
            <w:tcBorders>
              <w:top w:val="nil"/>
              <w:left w:val="nil"/>
              <w:bottom w:val="single" w:sz="4" w:space="0" w:color="auto"/>
              <w:right w:val="single" w:sz="4" w:space="0" w:color="auto"/>
            </w:tcBorders>
            <w:shd w:val="clear" w:color="auto" w:fill="auto"/>
            <w:noWrap/>
            <w:vAlign w:val="bottom"/>
            <w:hideMark/>
          </w:tcPr>
          <w:p w14:paraId="663DE68B"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Total</w:t>
            </w:r>
          </w:p>
        </w:tc>
        <w:tc>
          <w:tcPr>
            <w:tcW w:w="1194" w:type="dxa"/>
            <w:tcBorders>
              <w:top w:val="nil"/>
              <w:left w:val="nil"/>
              <w:bottom w:val="single" w:sz="4" w:space="0" w:color="auto"/>
              <w:right w:val="single" w:sz="4" w:space="0" w:color="auto"/>
            </w:tcBorders>
            <w:shd w:val="clear" w:color="auto" w:fill="auto"/>
            <w:noWrap/>
            <w:vAlign w:val="bottom"/>
            <w:hideMark/>
          </w:tcPr>
          <w:p w14:paraId="6FC244F3" w14:textId="6A561B9A" w:rsidR="00217A39" w:rsidRPr="00217A39" w:rsidRDefault="00217A39" w:rsidP="00217A39">
            <w:pPr>
              <w:spacing w:after="0"/>
              <w:jc w:val="right"/>
              <w:rPr>
                <w:rFonts w:ascii="Calibri" w:eastAsia="Times New Roman" w:hAnsi="Calibri" w:cs="Calibri"/>
                <w:color w:val="000000"/>
                <w:sz w:val="20"/>
                <w:szCs w:val="20"/>
              </w:rPr>
            </w:pPr>
            <w:r w:rsidRPr="00217A39">
              <w:rPr>
                <w:rFonts w:ascii="Calibri" w:eastAsia="Times New Roman" w:hAnsi="Calibri" w:cs="Calibri"/>
                <w:color w:val="000000"/>
                <w:sz w:val="20"/>
                <w:szCs w:val="20"/>
              </w:rPr>
              <w:t>63</w:t>
            </w:r>
            <w:r w:rsidR="00F71C15">
              <w:rPr>
                <w:rFonts w:ascii="Calibri" w:eastAsia="Times New Roman" w:hAnsi="Calibri" w:cs="Calibri"/>
                <w:color w:val="000000"/>
                <w:sz w:val="20"/>
                <w:szCs w:val="20"/>
              </w:rPr>
              <w:t>,</w:t>
            </w:r>
            <w:r w:rsidRPr="00217A39">
              <w:rPr>
                <w:rFonts w:ascii="Calibri" w:eastAsia="Times New Roman" w:hAnsi="Calibri" w:cs="Calibri"/>
                <w:color w:val="000000"/>
                <w:sz w:val="20"/>
                <w:szCs w:val="20"/>
              </w:rPr>
              <w:t>881</w:t>
            </w:r>
          </w:p>
        </w:tc>
        <w:tc>
          <w:tcPr>
            <w:tcW w:w="960" w:type="dxa"/>
            <w:tcBorders>
              <w:top w:val="nil"/>
              <w:left w:val="nil"/>
              <w:bottom w:val="single" w:sz="4" w:space="0" w:color="auto"/>
              <w:right w:val="single" w:sz="4" w:space="0" w:color="auto"/>
            </w:tcBorders>
            <w:shd w:val="clear" w:color="auto" w:fill="auto"/>
            <w:noWrap/>
            <w:vAlign w:val="bottom"/>
            <w:hideMark/>
          </w:tcPr>
          <w:p w14:paraId="0ADC120C"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 </w:t>
            </w:r>
          </w:p>
        </w:tc>
      </w:tr>
      <w:tr w:rsidR="00217A39" w:rsidRPr="00217A39" w14:paraId="29423DDA" w14:textId="77777777" w:rsidTr="00217A39">
        <w:trPr>
          <w:trHeight w:val="300"/>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14:paraId="02488079"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DUPILUMAB</w:t>
            </w:r>
          </w:p>
        </w:tc>
        <w:tc>
          <w:tcPr>
            <w:tcW w:w="995" w:type="dxa"/>
            <w:tcBorders>
              <w:top w:val="nil"/>
              <w:left w:val="nil"/>
              <w:bottom w:val="single" w:sz="4" w:space="0" w:color="auto"/>
              <w:right w:val="single" w:sz="4" w:space="0" w:color="auto"/>
            </w:tcBorders>
            <w:shd w:val="clear" w:color="auto" w:fill="auto"/>
            <w:noWrap/>
            <w:vAlign w:val="bottom"/>
            <w:hideMark/>
          </w:tcPr>
          <w:p w14:paraId="3275543C"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Asthma</w:t>
            </w:r>
          </w:p>
        </w:tc>
        <w:tc>
          <w:tcPr>
            <w:tcW w:w="960" w:type="dxa"/>
            <w:tcBorders>
              <w:top w:val="nil"/>
              <w:left w:val="nil"/>
              <w:bottom w:val="single" w:sz="4" w:space="0" w:color="auto"/>
              <w:right w:val="single" w:sz="4" w:space="0" w:color="auto"/>
            </w:tcBorders>
            <w:shd w:val="clear" w:color="auto" w:fill="auto"/>
            <w:noWrap/>
            <w:vAlign w:val="bottom"/>
            <w:hideMark/>
          </w:tcPr>
          <w:p w14:paraId="5A2D5711"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Asthma</w:t>
            </w:r>
          </w:p>
        </w:tc>
        <w:tc>
          <w:tcPr>
            <w:tcW w:w="1194" w:type="dxa"/>
            <w:tcBorders>
              <w:top w:val="nil"/>
              <w:left w:val="nil"/>
              <w:bottom w:val="single" w:sz="4" w:space="0" w:color="auto"/>
              <w:right w:val="single" w:sz="4" w:space="0" w:color="auto"/>
            </w:tcBorders>
            <w:shd w:val="clear" w:color="auto" w:fill="auto"/>
            <w:noWrap/>
            <w:vAlign w:val="bottom"/>
            <w:hideMark/>
          </w:tcPr>
          <w:p w14:paraId="18720CC8" w14:textId="046DDF1B" w:rsidR="00217A39" w:rsidRPr="00217A39" w:rsidRDefault="00217A39" w:rsidP="00217A39">
            <w:pPr>
              <w:spacing w:after="0"/>
              <w:jc w:val="right"/>
              <w:rPr>
                <w:rFonts w:ascii="Calibri" w:eastAsia="Times New Roman" w:hAnsi="Calibri" w:cs="Calibri"/>
                <w:color w:val="000000"/>
                <w:sz w:val="20"/>
                <w:szCs w:val="20"/>
              </w:rPr>
            </w:pPr>
            <w:r w:rsidRPr="00217A39">
              <w:rPr>
                <w:rFonts w:ascii="Calibri" w:eastAsia="Times New Roman" w:hAnsi="Calibri" w:cs="Calibri"/>
                <w:color w:val="000000"/>
                <w:sz w:val="20"/>
                <w:szCs w:val="20"/>
              </w:rPr>
              <w:t>33</w:t>
            </w:r>
            <w:r w:rsidR="00F71C15">
              <w:rPr>
                <w:rFonts w:ascii="Calibri" w:eastAsia="Times New Roman" w:hAnsi="Calibri" w:cs="Calibri"/>
                <w:color w:val="000000"/>
                <w:sz w:val="20"/>
                <w:szCs w:val="20"/>
              </w:rPr>
              <w:t>,</w:t>
            </w:r>
            <w:r w:rsidRPr="00217A39">
              <w:rPr>
                <w:rFonts w:ascii="Calibri" w:eastAsia="Times New Roman" w:hAnsi="Calibri" w:cs="Calibri"/>
                <w:color w:val="000000"/>
                <w:sz w:val="20"/>
                <w:szCs w:val="20"/>
              </w:rPr>
              <w:t>535</w:t>
            </w:r>
          </w:p>
        </w:tc>
        <w:tc>
          <w:tcPr>
            <w:tcW w:w="960" w:type="dxa"/>
            <w:tcBorders>
              <w:top w:val="nil"/>
              <w:left w:val="nil"/>
              <w:bottom w:val="single" w:sz="4" w:space="0" w:color="auto"/>
              <w:right w:val="single" w:sz="4" w:space="0" w:color="auto"/>
            </w:tcBorders>
            <w:shd w:val="clear" w:color="auto" w:fill="auto"/>
            <w:noWrap/>
            <w:vAlign w:val="bottom"/>
            <w:hideMark/>
          </w:tcPr>
          <w:p w14:paraId="6A6113D2" w14:textId="77777777" w:rsidR="00217A39" w:rsidRPr="00217A39" w:rsidRDefault="00217A39" w:rsidP="00217A39">
            <w:pPr>
              <w:spacing w:after="0"/>
              <w:jc w:val="right"/>
              <w:rPr>
                <w:rFonts w:ascii="Calibri" w:eastAsia="Times New Roman" w:hAnsi="Calibri" w:cs="Calibri"/>
                <w:color w:val="000000"/>
                <w:sz w:val="20"/>
                <w:szCs w:val="20"/>
              </w:rPr>
            </w:pPr>
            <w:r w:rsidRPr="00217A39">
              <w:rPr>
                <w:rFonts w:ascii="Calibri" w:eastAsia="Times New Roman" w:hAnsi="Calibri" w:cs="Calibri"/>
                <w:color w:val="000000"/>
                <w:sz w:val="20"/>
                <w:szCs w:val="20"/>
              </w:rPr>
              <w:t>81%</w:t>
            </w:r>
          </w:p>
        </w:tc>
      </w:tr>
      <w:tr w:rsidR="00217A39" w:rsidRPr="00217A39" w14:paraId="45F5B633" w14:textId="77777777" w:rsidTr="00217A39">
        <w:trPr>
          <w:trHeight w:val="300"/>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14:paraId="6D4B9083"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DUPILUMAB</w:t>
            </w:r>
          </w:p>
        </w:tc>
        <w:tc>
          <w:tcPr>
            <w:tcW w:w="995" w:type="dxa"/>
            <w:tcBorders>
              <w:top w:val="nil"/>
              <w:left w:val="nil"/>
              <w:bottom w:val="single" w:sz="4" w:space="0" w:color="auto"/>
              <w:right w:val="single" w:sz="4" w:space="0" w:color="auto"/>
            </w:tcBorders>
            <w:shd w:val="clear" w:color="auto" w:fill="auto"/>
            <w:noWrap/>
            <w:vAlign w:val="bottom"/>
            <w:hideMark/>
          </w:tcPr>
          <w:p w14:paraId="06F3D3E6"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Asthma</w:t>
            </w:r>
          </w:p>
        </w:tc>
        <w:tc>
          <w:tcPr>
            <w:tcW w:w="960" w:type="dxa"/>
            <w:tcBorders>
              <w:top w:val="nil"/>
              <w:left w:val="nil"/>
              <w:bottom w:val="single" w:sz="4" w:space="0" w:color="auto"/>
              <w:right w:val="single" w:sz="4" w:space="0" w:color="auto"/>
            </w:tcBorders>
            <w:shd w:val="clear" w:color="auto" w:fill="auto"/>
            <w:noWrap/>
            <w:vAlign w:val="bottom"/>
            <w:hideMark/>
          </w:tcPr>
          <w:p w14:paraId="5314DE05"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Other</w:t>
            </w:r>
          </w:p>
        </w:tc>
        <w:tc>
          <w:tcPr>
            <w:tcW w:w="1194" w:type="dxa"/>
            <w:tcBorders>
              <w:top w:val="nil"/>
              <w:left w:val="nil"/>
              <w:bottom w:val="single" w:sz="4" w:space="0" w:color="auto"/>
              <w:right w:val="single" w:sz="4" w:space="0" w:color="auto"/>
            </w:tcBorders>
            <w:shd w:val="clear" w:color="auto" w:fill="auto"/>
            <w:noWrap/>
            <w:vAlign w:val="bottom"/>
            <w:hideMark/>
          </w:tcPr>
          <w:p w14:paraId="629639E2" w14:textId="0614C177" w:rsidR="00217A39" w:rsidRPr="00217A39" w:rsidRDefault="00217A39" w:rsidP="00217A39">
            <w:pPr>
              <w:spacing w:after="0"/>
              <w:jc w:val="right"/>
              <w:rPr>
                <w:rFonts w:ascii="Calibri" w:eastAsia="Times New Roman" w:hAnsi="Calibri" w:cs="Calibri"/>
                <w:color w:val="000000"/>
                <w:sz w:val="20"/>
                <w:szCs w:val="20"/>
              </w:rPr>
            </w:pPr>
            <w:r w:rsidRPr="00217A39">
              <w:rPr>
                <w:rFonts w:ascii="Calibri" w:eastAsia="Times New Roman" w:hAnsi="Calibri" w:cs="Calibri"/>
                <w:color w:val="000000"/>
                <w:sz w:val="20"/>
                <w:szCs w:val="20"/>
              </w:rPr>
              <w:t>8</w:t>
            </w:r>
            <w:r w:rsidR="00F71C15">
              <w:rPr>
                <w:rFonts w:ascii="Calibri" w:eastAsia="Times New Roman" w:hAnsi="Calibri" w:cs="Calibri"/>
                <w:color w:val="000000"/>
                <w:sz w:val="20"/>
                <w:szCs w:val="20"/>
              </w:rPr>
              <w:t>,</w:t>
            </w:r>
            <w:r w:rsidRPr="00217A39">
              <w:rPr>
                <w:rFonts w:ascii="Calibri" w:eastAsia="Times New Roman" w:hAnsi="Calibri" w:cs="Calibri"/>
                <w:color w:val="000000"/>
                <w:sz w:val="20"/>
                <w:szCs w:val="20"/>
              </w:rPr>
              <w:t>022</w:t>
            </w:r>
          </w:p>
        </w:tc>
        <w:tc>
          <w:tcPr>
            <w:tcW w:w="960" w:type="dxa"/>
            <w:tcBorders>
              <w:top w:val="nil"/>
              <w:left w:val="nil"/>
              <w:bottom w:val="single" w:sz="4" w:space="0" w:color="auto"/>
              <w:right w:val="single" w:sz="4" w:space="0" w:color="auto"/>
            </w:tcBorders>
            <w:shd w:val="clear" w:color="auto" w:fill="auto"/>
            <w:noWrap/>
            <w:vAlign w:val="bottom"/>
            <w:hideMark/>
          </w:tcPr>
          <w:p w14:paraId="38378BA9" w14:textId="77777777" w:rsidR="00217A39" w:rsidRPr="00217A39" w:rsidRDefault="00217A39" w:rsidP="00217A39">
            <w:pPr>
              <w:spacing w:after="0"/>
              <w:jc w:val="right"/>
              <w:rPr>
                <w:rFonts w:ascii="Calibri" w:eastAsia="Times New Roman" w:hAnsi="Calibri" w:cs="Calibri"/>
                <w:color w:val="000000"/>
                <w:sz w:val="20"/>
                <w:szCs w:val="20"/>
              </w:rPr>
            </w:pPr>
            <w:r w:rsidRPr="00217A39">
              <w:rPr>
                <w:rFonts w:ascii="Calibri" w:eastAsia="Times New Roman" w:hAnsi="Calibri" w:cs="Calibri"/>
                <w:color w:val="000000"/>
                <w:sz w:val="20"/>
                <w:szCs w:val="20"/>
              </w:rPr>
              <w:t>19%</w:t>
            </w:r>
          </w:p>
        </w:tc>
      </w:tr>
      <w:tr w:rsidR="00217A39" w:rsidRPr="00217A39" w14:paraId="604E0F0D" w14:textId="77777777" w:rsidTr="00217A39">
        <w:trPr>
          <w:trHeight w:val="300"/>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14:paraId="7E5B9A44"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DUPILUMAB</w:t>
            </w:r>
          </w:p>
        </w:tc>
        <w:tc>
          <w:tcPr>
            <w:tcW w:w="995" w:type="dxa"/>
            <w:tcBorders>
              <w:top w:val="nil"/>
              <w:left w:val="nil"/>
              <w:bottom w:val="single" w:sz="4" w:space="0" w:color="auto"/>
              <w:right w:val="single" w:sz="4" w:space="0" w:color="auto"/>
            </w:tcBorders>
            <w:shd w:val="clear" w:color="auto" w:fill="auto"/>
            <w:noWrap/>
            <w:vAlign w:val="bottom"/>
            <w:hideMark/>
          </w:tcPr>
          <w:p w14:paraId="1B3A1772"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Asthma</w:t>
            </w:r>
          </w:p>
        </w:tc>
        <w:tc>
          <w:tcPr>
            <w:tcW w:w="960" w:type="dxa"/>
            <w:tcBorders>
              <w:top w:val="nil"/>
              <w:left w:val="nil"/>
              <w:bottom w:val="single" w:sz="4" w:space="0" w:color="auto"/>
              <w:right w:val="single" w:sz="4" w:space="0" w:color="auto"/>
            </w:tcBorders>
            <w:shd w:val="clear" w:color="auto" w:fill="auto"/>
            <w:noWrap/>
            <w:vAlign w:val="bottom"/>
            <w:hideMark/>
          </w:tcPr>
          <w:p w14:paraId="1EA223E4"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Total</w:t>
            </w:r>
          </w:p>
        </w:tc>
        <w:tc>
          <w:tcPr>
            <w:tcW w:w="1194" w:type="dxa"/>
            <w:tcBorders>
              <w:top w:val="nil"/>
              <w:left w:val="nil"/>
              <w:bottom w:val="single" w:sz="4" w:space="0" w:color="auto"/>
              <w:right w:val="single" w:sz="4" w:space="0" w:color="auto"/>
            </w:tcBorders>
            <w:shd w:val="clear" w:color="auto" w:fill="auto"/>
            <w:noWrap/>
            <w:vAlign w:val="bottom"/>
            <w:hideMark/>
          </w:tcPr>
          <w:p w14:paraId="4D47B380" w14:textId="654E9D9D" w:rsidR="00217A39" w:rsidRPr="00217A39" w:rsidRDefault="00217A39" w:rsidP="00217A39">
            <w:pPr>
              <w:spacing w:after="0"/>
              <w:jc w:val="right"/>
              <w:rPr>
                <w:rFonts w:ascii="Calibri" w:eastAsia="Times New Roman" w:hAnsi="Calibri" w:cs="Calibri"/>
                <w:color w:val="000000"/>
                <w:sz w:val="20"/>
                <w:szCs w:val="20"/>
              </w:rPr>
            </w:pPr>
            <w:r w:rsidRPr="00217A39">
              <w:rPr>
                <w:rFonts w:ascii="Calibri" w:eastAsia="Times New Roman" w:hAnsi="Calibri" w:cs="Calibri"/>
                <w:color w:val="000000"/>
                <w:sz w:val="20"/>
                <w:szCs w:val="20"/>
              </w:rPr>
              <w:t>41</w:t>
            </w:r>
            <w:r w:rsidR="00F71C15">
              <w:rPr>
                <w:rFonts w:ascii="Calibri" w:eastAsia="Times New Roman" w:hAnsi="Calibri" w:cs="Calibri"/>
                <w:color w:val="000000"/>
                <w:sz w:val="20"/>
                <w:szCs w:val="20"/>
              </w:rPr>
              <w:t>,</w:t>
            </w:r>
            <w:r w:rsidRPr="00217A39">
              <w:rPr>
                <w:rFonts w:ascii="Calibri" w:eastAsia="Times New Roman" w:hAnsi="Calibri" w:cs="Calibri"/>
                <w:color w:val="000000"/>
                <w:sz w:val="20"/>
                <w:szCs w:val="20"/>
              </w:rPr>
              <w:t>557</w:t>
            </w:r>
          </w:p>
        </w:tc>
        <w:tc>
          <w:tcPr>
            <w:tcW w:w="960" w:type="dxa"/>
            <w:tcBorders>
              <w:top w:val="nil"/>
              <w:left w:val="nil"/>
              <w:bottom w:val="single" w:sz="4" w:space="0" w:color="auto"/>
              <w:right w:val="single" w:sz="4" w:space="0" w:color="auto"/>
            </w:tcBorders>
            <w:shd w:val="clear" w:color="auto" w:fill="auto"/>
            <w:noWrap/>
            <w:vAlign w:val="bottom"/>
            <w:hideMark/>
          </w:tcPr>
          <w:p w14:paraId="52BE0EE3"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 </w:t>
            </w:r>
          </w:p>
        </w:tc>
      </w:tr>
      <w:tr w:rsidR="00217A39" w:rsidRPr="00217A39" w14:paraId="22653B02" w14:textId="77777777" w:rsidTr="00217A39">
        <w:trPr>
          <w:trHeight w:val="300"/>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14:paraId="2DA457D7"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DUPILUMAB</w:t>
            </w:r>
          </w:p>
        </w:tc>
        <w:tc>
          <w:tcPr>
            <w:tcW w:w="995" w:type="dxa"/>
            <w:tcBorders>
              <w:top w:val="nil"/>
              <w:left w:val="nil"/>
              <w:bottom w:val="single" w:sz="4" w:space="0" w:color="auto"/>
              <w:right w:val="single" w:sz="4" w:space="0" w:color="auto"/>
            </w:tcBorders>
            <w:shd w:val="clear" w:color="auto" w:fill="auto"/>
            <w:noWrap/>
            <w:vAlign w:val="bottom"/>
            <w:hideMark/>
          </w:tcPr>
          <w:p w14:paraId="14CA9F16"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Other</w:t>
            </w:r>
          </w:p>
        </w:tc>
        <w:tc>
          <w:tcPr>
            <w:tcW w:w="960" w:type="dxa"/>
            <w:tcBorders>
              <w:top w:val="nil"/>
              <w:left w:val="nil"/>
              <w:bottom w:val="single" w:sz="4" w:space="0" w:color="auto"/>
              <w:right w:val="single" w:sz="4" w:space="0" w:color="auto"/>
            </w:tcBorders>
            <w:shd w:val="clear" w:color="auto" w:fill="auto"/>
            <w:noWrap/>
            <w:vAlign w:val="bottom"/>
            <w:hideMark/>
          </w:tcPr>
          <w:p w14:paraId="3C45C983"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Asthma</w:t>
            </w:r>
          </w:p>
        </w:tc>
        <w:tc>
          <w:tcPr>
            <w:tcW w:w="1194" w:type="dxa"/>
            <w:tcBorders>
              <w:top w:val="nil"/>
              <w:left w:val="nil"/>
              <w:bottom w:val="single" w:sz="4" w:space="0" w:color="auto"/>
              <w:right w:val="single" w:sz="4" w:space="0" w:color="auto"/>
            </w:tcBorders>
            <w:shd w:val="clear" w:color="auto" w:fill="auto"/>
            <w:noWrap/>
            <w:vAlign w:val="bottom"/>
            <w:hideMark/>
          </w:tcPr>
          <w:p w14:paraId="5C507B1C" w14:textId="14017065" w:rsidR="00217A39" w:rsidRPr="00217A39" w:rsidRDefault="00217A39" w:rsidP="00217A39">
            <w:pPr>
              <w:spacing w:after="0"/>
              <w:jc w:val="right"/>
              <w:rPr>
                <w:rFonts w:ascii="Calibri" w:eastAsia="Times New Roman" w:hAnsi="Calibri" w:cs="Calibri"/>
                <w:color w:val="000000"/>
                <w:sz w:val="20"/>
                <w:szCs w:val="20"/>
              </w:rPr>
            </w:pPr>
            <w:r w:rsidRPr="00217A39">
              <w:rPr>
                <w:rFonts w:ascii="Calibri" w:eastAsia="Times New Roman" w:hAnsi="Calibri" w:cs="Calibri"/>
                <w:color w:val="000000"/>
                <w:sz w:val="20"/>
                <w:szCs w:val="20"/>
              </w:rPr>
              <w:t>4</w:t>
            </w:r>
            <w:r w:rsidR="00F71C15">
              <w:rPr>
                <w:rFonts w:ascii="Calibri" w:eastAsia="Times New Roman" w:hAnsi="Calibri" w:cs="Calibri"/>
                <w:color w:val="000000"/>
                <w:sz w:val="20"/>
                <w:szCs w:val="20"/>
              </w:rPr>
              <w:t>,</w:t>
            </w:r>
            <w:r w:rsidRPr="00217A39">
              <w:rPr>
                <w:rFonts w:ascii="Calibri" w:eastAsia="Times New Roman" w:hAnsi="Calibri" w:cs="Calibri"/>
                <w:color w:val="000000"/>
                <w:sz w:val="20"/>
                <w:szCs w:val="20"/>
              </w:rPr>
              <w:t>600</w:t>
            </w:r>
          </w:p>
        </w:tc>
        <w:tc>
          <w:tcPr>
            <w:tcW w:w="960" w:type="dxa"/>
            <w:tcBorders>
              <w:top w:val="nil"/>
              <w:left w:val="nil"/>
              <w:bottom w:val="single" w:sz="4" w:space="0" w:color="auto"/>
              <w:right w:val="single" w:sz="4" w:space="0" w:color="auto"/>
            </w:tcBorders>
            <w:shd w:val="clear" w:color="auto" w:fill="auto"/>
            <w:noWrap/>
            <w:vAlign w:val="bottom"/>
            <w:hideMark/>
          </w:tcPr>
          <w:p w14:paraId="168FB6D1" w14:textId="77777777" w:rsidR="00217A39" w:rsidRPr="00217A39" w:rsidRDefault="00217A39" w:rsidP="00217A39">
            <w:pPr>
              <w:spacing w:after="0"/>
              <w:jc w:val="right"/>
              <w:rPr>
                <w:rFonts w:ascii="Calibri" w:eastAsia="Times New Roman" w:hAnsi="Calibri" w:cs="Calibri"/>
                <w:color w:val="000000"/>
                <w:sz w:val="20"/>
                <w:szCs w:val="20"/>
              </w:rPr>
            </w:pPr>
            <w:r w:rsidRPr="00217A39">
              <w:rPr>
                <w:rFonts w:ascii="Calibri" w:eastAsia="Times New Roman" w:hAnsi="Calibri" w:cs="Calibri"/>
                <w:color w:val="000000"/>
                <w:sz w:val="20"/>
                <w:szCs w:val="20"/>
              </w:rPr>
              <w:t>2%</w:t>
            </w:r>
          </w:p>
        </w:tc>
      </w:tr>
      <w:tr w:rsidR="00217A39" w:rsidRPr="00217A39" w14:paraId="1F829DF6" w14:textId="77777777" w:rsidTr="00217A39">
        <w:trPr>
          <w:trHeight w:val="300"/>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14:paraId="20956F5B"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DUPILUMAB</w:t>
            </w:r>
          </w:p>
        </w:tc>
        <w:tc>
          <w:tcPr>
            <w:tcW w:w="995" w:type="dxa"/>
            <w:tcBorders>
              <w:top w:val="nil"/>
              <w:left w:val="nil"/>
              <w:bottom w:val="single" w:sz="4" w:space="0" w:color="auto"/>
              <w:right w:val="single" w:sz="4" w:space="0" w:color="auto"/>
            </w:tcBorders>
            <w:shd w:val="clear" w:color="auto" w:fill="auto"/>
            <w:noWrap/>
            <w:vAlign w:val="bottom"/>
            <w:hideMark/>
          </w:tcPr>
          <w:p w14:paraId="1FDDAF4E"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Other</w:t>
            </w:r>
          </w:p>
        </w:tc>
        <w:tc>
          <w:tcPr>
            <w:tcW w:w="960" w:type="dxa"/>
            <w:tcBorders>
              <w:top w:val="nil"/>
              <w:left w:val="nil"/>
              <w:bottom w:val="single" w:sz="4" w:space="0" w:color="auto"/>
              <w:right w:val="single" w:sz="4" w:space="0" w:color="auto"/>
            </w:tcBorders>
            <w:shd w:val="clear" w:color="auto" w:fill="auto"/>
            <w:noWrap/>
            <w:vAlign w:val="bottom"/>
            <w:hideMark/>
          </w:tcPr>
          <w:p w14:paraId="169B147C"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Other</w:t>
            </w:r>
          </w:p>
        </w:tc>
        <w:tc>
          <w:tcPr>
            <w:tcW w:w="1194" w:type="dxa"/>
            <w:tcBorders>
              <w:top w:val="nil"/>
              <w:left w:val="nil"/>
              <w:bottom w:val="single" w:sz="4" w:space="0" w:color="auto"/>
              <w:right w:val="single" w:sz="4" w:space="0" w:color="auto"/>
            </w:tcBorders>
            <w:shd w:val="clear" w:color="auto" w:fill="auto"/>
            <w:noWrap/>
            <w:vAlign w:val="bottom"/>
            <w:hideMark/>
          </w:tcPr>
          <w:p w14:paraId="566DA805" w14:textId="16419CCC" w:rsidR="00217A39" w:rsidRPr="00217A39" w:rsidRDefault="00217A39" w:rsidP="00217A39">
            <w:pPr>
              <w:spacing w:after="0"/>
              <w:jc w:val="right"/>
              <w:rPr>
                <w:rFonts w:ascii="Calibri" w:eastAsia="Times New Roman" w:hAnsi="Calibri" w:cs="Calibri"/>
                <w:color w:val="000000"/>
                <w:sz w:val="20"/>
                <w:szCs w:val="20"/>
              </w:rPr>
            </w:pPr>
            <w:r w:rsidRPr="00217A39">
              <w:rPr>
                <w:rFonts w:ascii="Calibri" w:eastAsia="Times New Roman" w:hAnsi="Calibri" w:cs="Calibri"/>
                <w:color w:val="000000"/>
                <w:sz w:val="20"/>
                <w:szCs w:val="20"/>
              </w:rPr>
              <w:t>258</w:t>
            </w:r>
            <w:r w:rsidR="00F71C15">
              <w:rPr>
                <w:rFonts w:ascii="Calibri" w:eastAsia="Times New Roman" w:hAnsi="Calibri" w:cs="Calibri"/>
                <w:color w:val="000000"/>
                <w:sz w:val="20"/>
                <w:szCs w:val="20"/>
              </w:rPr>
              <w:t>,</w:t>
            </w:r>
            <w:r w:rsidRPr="00217A39">
              <w:rPr>
                <w:rFonts w:ascii="Calibri" w:eastAsia="Times New Roman" w:hAnsi="Calibri" w:cs="Calibri"/>
                <w:color w:val="000000"/>
                <w:sz w:val="20"/>
                <w:szCs w:val="20"/>
              </w:rPr>
              <w:t>834</w:t>
            </w:r>
          </w:p>
        </w:tc>
        <w:tc>
          <w:tcPr>
            <w:tcW w:w="960" w:type="dxa"/>
            <w:tcBorders>
              <w:top w:val="nil"/>
              <w:left w:val="nil"/>
              <w:bottom w:val="single" w:sz="4" w:space="0" w:color="auto"/>
              <w:right w:val="single" w:sz="4" w:space="0" w:color="auto"/>
            </w:tcBorders>
            <w:shd w:val="clear" w:color="auto" w:fill="auto"/>
            <w:noWrap/>
            <w:vAlign w:val="bottom"/>
            <w:hideMark/>
          </w:tcPr>
          <w:p w14:paraId="47D3B2E4" w14:textId="77777777" w:rsidR="00217A39" w:rsidRPr="00217A39" w:rsidRDefault="00217A39" w:rsidP="00217A39">
            <w:pPr>
              <w:spacing w:after="0"/>
              <w:jc w:val="right"/>
              <w:rPr>
                <w:rFonts w:ascii="Calibri" w:eastAsia="Times New Roman" w:hAnsi="Calibri" w:cs="Calibri"/>
                <w:color w:val="000000"/>
                <w:sz w:val="20"/>
                <w:szCs w:val="20"/>
              </w:rPr>
            </w:pPr>
            <w:r w:rsidRPr="00217A39">
              <w:rPr>
                <w:rFonts w:ascii="Calibri" w:eastAsia="Times New Roman" w:hAnsi="Calibri" w:cs="Calibri"/>
                <w:color w:val="000000"/>
                <w:sz w:val="20"/>
                <w:szCs w:val="20"/>
              </w:rPr>
              <w:t>98%</w:t>
            </w:r>
          </w:p>
        </w:tc>
      </w:tr>
      <w:tr w:rsidR="00217A39" w:rsidRPr="00217A39" w14:paraId="3FDD44E8" w14:textId="77777777" w:rsidTr="00217A39">
        <w:trPr>
          <w:trHeight w:val="300"/>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14:paraId="70F2A4A1"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DUPILUMAB</w:t>
            </w:r>
          </w:p>
        </w:tc>
        <w:tc>
          <w:tcPr>
            <w:tcW w:w="995" w:type="dxa"/>
            <w:tcBorders>
              <w:top w:val="nil"/>
              <w:left w:val="nil"/>
              <w:bottom w:val="single" w:sz="4" w:space="0" w:color="auto"/>
              <w:right w:val="single" w:sz="4" w:space="0" w:color="auto"/>
            </w:tcBorders>
            <w:shd w:val="clear" w:color="auto" w:fill="auto"/>
            <w:noWrap/>
            <w:vAlign w:val="bottom"/>
            <w:hideMark/>
          </w:tcPr>
          <w:p w14:paraId="27A2B285"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Other</w:t>
            </w:r>
          </w:p>
        </w:tc>
        <w:tc>
          <w:tcPr>
            <w:tcW w:w="960" w:type="dxa"/>
            <w:tcBorders>
              <w:top w:val="nil"/>
              <w:left w:val="nil"/>
              <w:bottom w:val="single" w:sz="4" w:space="0" w:color="auto"/>
              <w:right w:val="single" w:sz="4" w:space="0" w:color="auto"/>
            </w:tcBorders>
            <w:shd w:val="clear" w:color="auto" w:fill="auto"/>
            <w:noWrap/>
            <w:vAlign w:val="bottom"/>
            <w:hideMark/>
          </w:tcPr>
          <w:p w14:paraId="27A75FE0"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Total</w:t>
            </w:r>
          </w:p>
        </w:tc>
        <w:tc>
          <w:tcPr>
            <w:tcW w:w="1194" w:type="dxa"/>
            <w:tcBorders>
              <w:top w:val="nil"/>
              <w:left w:val="nil"/>
              <w:bottom w:val="single" w:sz="4" w:space="0" w:color="auto"/>
              <w:right w:val="single" w:sz="4" w:space="0" w:color="auto"/>
            </w:tcBorders>
            <w:shd w:val="clear" w:color="auto" w:fill="auto"/>
            <w:noWrap/>
            <w:vAlign w:val="bottom"/>
            <w:hideMark/>
          </w:tcPr>
          <w:p w14:paraId="5B15D9C2" w14:textId="6E290A3C" w:rsidR="00217A39" w:rsidRPr="00217A39" w:rsidRDefault="00217A39" w:rsidP="00217A39">
            <w:pPr>
              <w:spacing w:after="0"/>
              <w:jc w:val="right"/>
              <w:rPr>
                <w:rFonts w:ascii="Calibri" w:eastAsia="Times New Roman" w:hAnsi="Calibri" w:cs="Calibri"/>
                <w:color w:val="000000"/>
                <w:sz w:val="20"/>
                <w:szCs w:val="20"/>
              </w:rPr>
            </w:pPr>
            <w:r w:rsidRPr="00217A39">
              <w:rPr>
                <w:rFonts w:ascii="Calibri" w:eastAsia="Times New Roman" w:hAnsi="Calibri" w:cs="Calibri"/>
                <w:color w:val="000000"/>
                <w:sz w:val="20"/>
                <w:szCs w:val="20"/>
              </w:rPr>
              <w:t>263</w:t>
            </w:r>
            <w:r w:rsidR="00F71C15">
              <w:rPr>
                <w:rFonts w:ascii="Calibri" w:eastAsia="Times New Roman" w:hAnsi="Calibri" w:cs="Calibri"/>
                <w:color w:val="000000"/>
                <w:sz w:val="20"/>
                <w:szCs w:val="20"/>
              </w:rPr>
              <w:t>,</w:t>
            </w:r>
            <w:r w:rsidRPr="00217A39">
              <w:rPr>
                <w:rFonts w:ascii="Calibri" w:eastAsia="Times New Roman" w:hAnsi="Calibri" w:cs="Calibri"/>
                <w:color w:val="000000"/>
                <w:sz w:val="20"/>
                <w:szCs w:val="20"/>
              </w:rPr>
              <w:t>434</w:t>
            </w:r>
          </w:p>
        </w:tc>
        <w:tc>
          <w:tcPr>
            <w:tcW w:w="960" w:type="dxa"/>
            <w:tcBorders>
              <w:top w:val="nil"/>
              <w:left w:val="nil"/>
              <w:bottom w:val="single" w:sz="4" w:space="0" w:color="auto"/>
              <w:right w:val="single" w:sz="4" w:space="0" w:color="auto"/>
            </w:tcBorders>
            <w:shd w:val="clear" w:color="auto" w:fill="auto"/>
            <w:noWrap/>
            <w:vAlign w:val="bottom"/>
            <w:hideMark/>
          </w:tcPr>
          <w:p w14:paraId="704FC8F5"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 </w:t>
            </w:r>
          </w:p>
        </w:tc>
      </w:tr>
      <w:tr w:rsidR="00217A39" w:rsidRPr="00217A39" w14:paraId="36E1EE35" w14:textId="77777777" w:rsidTr="00217A39">
        <w:trPr>
          <w:trHeight w:val="300"/>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14:paraId="26A95352"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MEPOLIZUMAB</w:t>
            </w:r>
          </w:p>
        </w:tc>
        <w:tc>
          <w:tcPr>
            <w:tcW w:w="995" w:type="dxa"/>
            <w:tcBorders>
              <w:top w:val="nil"/>
              <w:left w:val="nil"/>
              <w:bottom w:val="single" w:sz="4" w:space="0" w:color="auto"/>
              <w:right w:val="single" w:sz="4" w:space="0" w:color="auto"/>
            </w:tcBorders>
            <w:shd w:val="clear" w:color="auto" w:fill="auto"/>
            <w:noWrap/>
            <w:vAlign w:val="bottom"/>
            <w:hideMark/>
          </w:tcPr>
          <w:p w14:paraId="48EE3EDD"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Asthma</w:t>
            </w:r>
          </w:p>
        </w:tc>
        <w:tc>
          <w:tcPr>
            <w:tcW w:w="960" w:type="dxa"/>
            <w:tcBorders>
              <w:top w:val="nil"/>
              <w:left w:val="nil"/>
              <w:bottom w:val="single" w:sz="4" w:space="0" w:color="auto"/>
              <w:right w:val="single" w:sz="4" w:space="0" w:color="auto"/>
            </w:tcBorders>
            <w:shd w:val="clear" w:color="auto" w:fill="auto"/>
            <w:noWrap/>
            <w:vAlign w:val="bottom"/>
            <w:hideMark/>
          </w:tcPr>
          <w:p w14:paraId="76EE8876"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Asthma</w:t>
            </w:r>
          </w:p>
        </w:tc>
        <w:tc>
          <w:tcPr>
            <w:tcW w:w="1194" w:type="dxa"/>
            <w:tcBorders>
              <w:top w:val="nil"/>
              <w:left w:val="nil"/>
              <w:bottom w:val="single" w:sz="4" w:space="0" w:color="auto"/>
              <w:right w:val="single" w:sz="4" w:space="0" w:color="auto"/>
            </w:tcBorders>
            <w:shd w:val="clear" w:color="auto" w:fill="auto"/>
            <w:noWrap/>
            <w:vAlign w:val="bottom"/>
            <w:hideMark/>
          </w:tcPr>
          <w:p w14:paraId="37F61173" w14:textId="377A8E9E" w:rsidR="00217A39" w:rsidRPr="00217A39" w:rsidRDefault="00217A39" w:rsidP="00217A39">
            <w:pPr>
              <w:spacing w:after="0"/>
              <w:jc w:val="right"/>
              <w:rPr>
                <w:rFonts w:ascii="Calibri" w:eastAsia="Times New Roman" w:hAnsi="Calibri" w:cs="Calibri"/>
                <w:color w:val="000000"/>
                <w:sz w:val="20"/>
                <w:szCs w:val="20"/>
              </w:rPr>
            </w:pPr>
            <w:r w:rsidRPr="00217A39">
              <w:rPr>
                <w:rFonts w:ascii="Calibri" w:eastAsia="Times New Roman" w:hAnsi="Calibri" w:cs="Calibri"/>
                <w:color w:val="000000"/>
                <w:sz w:val="20"/>
                <w:szCs w:val="20"/>
              </w:rPr>
              <w:t>113</w:t>
            </w:r>
            <w:r w:rsidR="00F71C15">
              <w:rPr>
                <w:rFonts w:ascii="Calibri" w:eastAsia="Times New Roman" w:hAnsi="Calibri" w:cs="Calibri"/>
                <w:color w:val="000000"/>
                <w:sz w:val="20"/>
                <w:szCs w:val="20"/>
              </w:rPr>
              <w:t>,</w:t>
            </w:r>
            <w:r w:rsidRPr="00217A39">
              <w:rPr>
                <w:rFonts w:ascii="Calibri" w:eastAsia="Times New Roman" w:hAnsi="Calibri" w:cs="Calibri"/>
                <w:color w:val="000000"/>
                <w:sz w:val="20"/>
                <w:szCs w:val="20"/>
              </w:rPr>
              <w:t>995</w:t>
            </w:r>
          </w:p>
        </w:tc>
        <w:tc>
          <w:tcPr>
            <w:tcW w:w="960" w:type="dxa"/>
            <w:tcBorders>
              <w:top w:val="nil"/>
              <w:left w:val="nil"/>
              <w:bottom w:val="single" w:sz="4" w:space="0" w:color="auto"/>
              <w:right w:val="single" w:sz="4" w:space="0" w:color="auto"/>
            </w:tcBorders>
            <w:shd w:val="clear" w:color="auto" w:fill="auto"/>
            <w:noWrap/>
            <w:vAlign w:val="bottom"/>
            <w:hideMark/>
          </w:tcPr>
          <w:p w14:paraId="760848E8" w14:textId="77777777" w:rsidR="00217A39" w:rsidRPr="00217A39" w:rsidRDefault="00217A39" w:rsidP="00217A39">
            <w:pPr>
              <w:spacing w:after="0"/>
              <w:jc w:val="right"/>
              <w:rPr>
                <w:rFonts w:ascii="Calibri" w:eastAsia="Times New Roman" w:hAnsi="Calibri" w:cs="Calibri"/>
                <w:color w:val="000000"/>
                <w:sz w:val="20"/>
                <w:szCs w:val="20"/>
              </w:rPr>
            </w:pPr>
            <w:r w:rsidRPr="00217A39">
              <w:rPr>
                <w:rFonts w:ascii="Calibri" w:eastAsia="Times New Roman" w:hAnsi="Calibri" w:cs="Calibri"/>
                <w:color w:val="000000"/>
                <w:sz w:val="20"/>
                <w:szCs w:val="20"/>
              </w:rPr>
              <w:t>99%</w:t>
            </w:r>
          </w:p>
        </w:tc>
      </w:tr>
      <w:tr w:rsidR="00217A39" w:rsidRPr="00217A39" w14:paraId="5264139C" w14:textId="77777777" w:rsidTr="00217A39">
        <w:trPr>
          <w:trHeight w:val="300"/>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14:paraId="147C3FE6"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MEPOLIZUMAB</w:t>
            </w:r>
          </w:p>
        </w:tc>
        <w:tc>
          <w:tcPr>
            <w:tcW w:w="995" w:type="dxa"/>
            <w:tcBorders>
              <w:top w:val="nil"/>
              <w:left w:val="nil"/>
              <w:bottom w:val="single" w:sz="4" w:space="0" w:color="auto"/>
              <w:right w:val="single" w:sz="4" w:space="0" w:color="auto"/>
            </w:tcBorders>
            <w:shd w:val="clear" w:color="auto" w:fill="auto"/>
            <w:noWrap/>
            <w:vAlign w:val="bottom"/>
            <w:hideMark/>
          </w:tcPr>
          <w:p w14:paraId="7DAC0975"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Asthma</w:t>
            </w:r>
          </w:p>
        </w:tc>
        <w:tc>
          <w:tcPr>
            <w:tcW w:w="960" w:type="dxa"/>
            <w:tcBorders>
              <w:top w:val="nil"/>
              <w:left w:val="nil"/>
              <w:bottom w:val="single" w:sz="4" w:space="0" w:color="auto"/>
              <w:right w:val="single" w:sz="4" w:space="0" w:color="auto"/>
            </w:tcBorders>
            <w:shd w:val="clear" w:color="auto" w:fill="auto"/>
            <w:noWrap/>
            <w:vAlign w:val="bottom"/>
            <w:hideMark/>
          </w:tcPr>
          <w:p w14:paraId="4BF3C277"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Other</w:t>
            </w:r>
          </w:p>
        </w:tc>
        <w:tc>
          <w:tcPr>
            <w:tcW w:w="1194" w:type="dxa"/>
            <w:tcBorders>
              <w:top w:val="nil"/>
              <w:left w:val="nil"/>
              <w:bottom w:val="single" w:sz="4" w:space="0" w:color="auto"/>
              <w:right w:val="single" w:sz="4" w:space="0" w:color="auto"/>
            </w:tcBorders>
            <w:shd w:val="clear" w:color="auto" w:fill="auto"/>
            <w:noWrap/>
            <w:vAlign w:val="bottom"/>
            <w:hideMark/>
          </w:tcPr>
          <w:p w14:paraId="61783DE6" w14:textId="77777777" w:rsidR="00217A39" w:rsidRPr="00217A39" w:rsidRDefault="00217A39" w:rsidP="00217A39">
            <w:pPr>
              <w:spacing w:after="0"/>
              <w:jc w:val="right"/>
              <w:rPr>
                <w:rFonts w:ascii="Calibri" w:eastAsia="Times New Roman" w:hAnsi="Calibri" w:cs="Calibri"/>
                <w:color w:val="000000"/>
                <w:sz w:val="20"/>
                <w:szCs w:val="20"/>
              </w:rPr>
            </w:pPr>
            <w:r w:rsidRPr="00217A39">
              <w:rPr>
                <w:rFonts w:ascii="Calibri" w:eastAsia="Times New Roman" w:hAnsi="Calibri" w:cs="Calibri"/>
                <w:color w:val="000000"/>
                <w:sz w:val="20"/>
                <w:szCs w:val="20"/>
              </w:rPr>
              <w:t>702</w:t>
            </w:r>
          </w:p>
        </w:tc>
        <w:tc>
          <w:tcPr>
            <w:tcW w:w="960" w:type="dxa"/>
            <w:tcBorders>
              <w:top w:val="nil"/>
              <w:left w:val="nil"/>
              <w:bottom w:val="single" w:sz="4" w:space="0" w:color="auto"/>
              <w:right w:val="single" w:sz="4" w:space="0" w:color="auto"/>
            </w:tcBorders>
            <w:shd w:val="clear" w:color="auto" w:fill="auto"/>
            <w:noWrap/>
            <w:vAlign w:val="bottom"/>
            <w:hideMark/>
          </w:tcPr>
          <w:p w14:paraId="5CEB8542" w14:textId="77777777" w:rsidR="00217A39" w:rsidRPr="00217A39" w:rsidRDefault="00217A39" w:rsidP="00217A39">
            <w:pPr>
              <w:spacing w:after="0"/>
              <w:jc w:val="right"/>
              <w:rPr>
                <w:rFonts w:ascii="Calibri" w:eastAsia="Times New Roman" w:hAnsi="Calibri" w:cs="Calibri"/>
                <w:color w:val="000000"/>
                <w:sz w:val="20"/>
                <w:szCs w:val="20"/>
              </w:rPr>
            </w:pPr>
            <w:r w:rsidRPr="00217A39">
              <w:rPr>
                <w:rFonts w:ascii="Calibri" w:eastAsia="Times New Roman" w:hAnsi="Calibri" w:cs="Calibri"/>
                <w:color w:val="000000"/>
                <w:sz w:val="20"/>
                <w:szCs w:val="20"/>
              </w:rPr>
              <w:t>1%</w:t>
            </w:r>
          </w:p>
        </w:tc>
      </w:tr>
      <w:tr w:rsidR="00217A39" w:rsidRPr="00217A39" w14:paraId="076A346A" w14:textId="77777777" w:rsidTr="00217A39">
        <w:trPr>
          <w:trHeight w:val="300"/>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14:paraId="64513152"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MEPOLIZUMAB</w:t>
            </w:r>
          </w:p>
        </w:tc>
        <w:tc>
          <w:tcPr>
            <w:tcW w:w="995" w:type="dxa"/>
            <w:tcBorders>
              <w:top w:val="nil"/>
              <w:left w:val="nil"/>
              <w:bottom w:val="single" w:sz="4" w:space="0" w:color="auto"/>
              <w:right w:val="single" w:sz="4" w:space="0" w:color="auto"/>
            </w:tcBorders>
            <w:shd w:val="clear" w:color="auto" w:fill="auto"/>
            <w:noWrap/>
            <w:vAlign w:val="bottom"/>
            <w:hideMark/>
          </w:tcPr>
          <w:p w14:paraId="19DDF4FA"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Asthma</w:t>
            </w:r>
          </w:p>
        </w:tc>
        <w:tc>
          <w:tcPr>
            <w:tcW w:w="960" w:type="dxa"/>
            <w:tcBorders>
              <w:top w:val="nil"/>
              <w:left w:val="nil"/>
              <w:bottom w:val="single" w:sz="4" w:space="0" w:color="auto"/>
              <w:right w:val="single" w:sz="4" w:space="0" w:color="auto"/>
            </w:tcBorders>
            <w:shd w:val="clear" w:color="auto" w:fill="auto"/>
            <w:noWrap/>
            <w:vAlign w:val="bottom"/>
            <w:hideMark/>
          </w:tcPr>
          <w:p w14:paraId="730BDAA8"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Total</w:t>
            </w:r>
          </w:p>
        </w:tc>
        <w:tc>
          <w:tcPr>
            <w:tcW w:w="1194" w:type="dxa"/>
            <w:tcBorders>
              <w:top w:val="nil"/>
              <w:left w:val="nil"/>
              <w:bottom w:val="single" w:sz="4" w:space="0" w:color="auto"/>
              <w:right w:val="single" w:sz="4" w:space="0" w:color="auto"/>
            </w:tcBorders>
            <w:shd w:val="clear" w:color="auto" w:fill="auto"/>
            <w:noWrap/>
            <w:vAlign w:val="bottom"/>
            <w:hideMark/>
          </w:tcPr>
          <w:p w14:paraId="28D055F2" w14:textId="73BE0FBF" w:rsidR="00217A39" w:rsidRPr="00217A39" w:rsidRDefault="00217A39" w:rsidP="00217A39">
            <w:pPr>
              <w:spacing w:after="0"/>
              <w:jc w:val="right"/>
              <w:rPr>
                <w:rFonts w:ascii="Calibri" w:eastAsia="Times New Roman" w:hAnsi="Calibri" w:cs="Calibri"/>
                <w:color w:val="000000"/>
                <w:sz w:val="20"/>
                <w:szCs w:val="20"/>
              </w:rPr>
            </w:pPr>
            <w:r w:rsidRPr="00217A39">
              <w:rPr>
                <w:rFonts w:ascii="Calibri" w:eastAsia="Times New Roman" w:hAnsi="Calibri" w:cs="Calibri"/>
                <w:color w:val="000000"/>
                <w:sz w:val="20"/>
                <w:szCs w:val="20"/>
              </w:rPr>
              <w:t>114</w:t>
            </w:r>
            <w:r w:rsidR="00F71C15">
              <w:rPr>
                <w:rFonts w:ascii="Calibri" w:eastAsia="Times New Roman" w:hAnsi="Calibri" w:cs="Calibri"/>
                <w:color w:val="000000"/>
                <w:sz w:val="20"/>
                <w:szCs w:val="20"/>
              </w:rPr>
              <w:t>,</w:t>
            </w:r>
            <w:r w:rsidRPr="00217A39">
              <w:rPr>
                <w:rFonts w:ascii="Calibri" w:eastAsia="Times New Roman" w:hAnsi="Calibri" w:cs="Calibri"/>
                <w:color w:val="000000"/>
                <w:sz w:val="20"/>
                <w:szCs w:val="20"/>
              </w:rPr>
              <w:t>697</w:t>
            </w:r>
          </w:p>
        </w:tc>
        <w:tc>
          <w:tcPr>
            <w:tcW w:w="960" w:type="dxa"/>
            <w:tcBorders>
              <w:top w:val="nil"/>
              <w:left w:val="nil"/>
              <w:bottom w:val="single" w:sz="4" w:space="0" w:color="auto"/>
              <w:right w:val="single" w:sz="4" w:space="0" w:color="auto"/>
            </w:tcBorders>
            <w:shd w:val="clear" w:color="auto" w:fill="auto"/>
            <w:noWrap/>
            <w:vAlign w:val="bottom"/>
            <w:hideMark/>
          </w:tcPr>
          <w:p w14:paraId="5B7DE294"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 </w:t>
            </w:r>
          </w:p>
        </w:tc>
      </w:tr>
      <w:tr w:rsidR="00217A39" w:rsidRPr="00217A39" w14:paraId="475DA727" w14:textId="77777777" w:rsidTr="00217A39">
        <w:trPr>
          <w:trHeight w:val="300"/>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14:paraId="10698886"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MEPOLIZUMAB</w:t>
            </w:r>
          </w:p>
        </w:tc>
        <w:tc>
          <w:tcPr>
            <w:tcW w:w="995" w:type="dxa"/>
            <w:tcBorders>
              <w:top w:val="nil"/>
              <w:left w:val="nil"/>
              <w:bottom w:val="single" w:sz="4" w:space="0" w:color="auto"/>
              <w:right w:val="single" w:sz="4" w:space="0" w:color="auto"/>
            </w:tcBorders>
            <w:shd w:val="clear" w:color="auto" w:fill="auto"/>
            <w:noWrap/>
            <w:vAlign w:val="bottom"/>
            <w:hideMark/>
          </w:tcPr>
          <w:p w14:paraId="3BA73121"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Other</w:t>
            </w:r>
          </w:p>
        </w:tc>
        <w:tc>
          <w:tcPr>
            <w:tcW w:w="960" w:type="dxa"/>
            <w:tcBorders>
              <w:top w:val="nil"/>
              <w:left w:val="nil"/>
              <w:bottom w:val="single" w:sz="4" w:space="0" w:color="auto"/>
              <w:right w:val="single" w:sz="4" w:space="0" w:color="auto"/>
            </w:tcBorders>
            <w:shd w:val="clear" w:color="auto" w:fill="auto"/>
            <w:noWrap/>
            <w:vAlign w:val="bottom"/>
            <w:hideMark/>
          </w:tcPr>
          <w:p w14:paraId="18149E86"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Asthma</w:t>
            </w:r>
          </w:p>
        </w:tc>
        <w:tc>
          <w:tcPr>
            <w:tcW w:w="1194" w:type="dxa"/>
            <w:tcBorders>
              <w:top w:val="nil"/>
              <w:left w:val="nil"/>
              <w:bottom w:val="single" w:sz="4" w:space="0" w:color="auto"/>
              <w:right w:val="single" w:sz="4" w:space="0" w:color="auto"/>
            </w:tcBorders>
            <w:shd w:val="clear" w:color="auto" w:fill="auto"/>
            <w:noWrap/>
            <w:vAlign w:val="bottom"/>
            <w:hideMark/>
          </w:tcPr>
          <w:p w14:paraId="6A1244DB" w14:textId="77777777" w:rsidR="00217A39" w:rsidRPr="00217A39" w:rsidRDefault="00217A39" w:rsidP="00217A39">
            <w:pPr>
              <w:spacing w:after="0"/>
              <w:jc w:val="right"/>
              <w:rPr>
                <w:rFonts w:ascii="Calibri" w:eastAsia="Times New Roman" w:hAnsi="Calibri" w:cs="Calibri"/>
                <w:color w:val="000000"/>
                <w:sz w:val="20"/>
                <w:szCs w:val="20"/>
              </w:rPr>
            </w:pPr>
            <w:r w:rsidRPr="00217A39">
              <w:rPr>
                <w:rFonts w:ascii="Calibri" w:eastAsia="Times New Roman" w:hAnsi="Calibri" w:cs="Calibri"/>
                <w:color w:val="000000"/>
                <w:sz w:val="20"/>
                <w:szCs w:val="20"/>
              </w:rPr>
              <w:t>285</w:t>
            </w:r>
          </w:p>
        </w:tc>
        <w:tc>
          <w:tcPr>
            <w:tcW w:w="960" w:type="dxa"/>
            <w:tcBorders>
              <w:top w:val="nil"/>
              <w:left w:val="nil"/>
              <w:bottom w:val="single" w:sz="4" w:space="0" w:color="auto"/>
              <w:right w:val="single" w:sz="4" w:space="0" w:color="auto"/>
            </w:tcBorders>
            <w:shd w:val="clear" w:color="auto" w:fill="auto"/>
            <w:noWrap/>
            <w:vAlign w:val="bottom"/>
            <w:hideMark/>
          </w:tcPr>
          <w:p w14:paraId="59E87F04" w14:textId="77777777" w:rsidR="00217A39" w:rsidRPr="00217A39" w:rsidRDefault="00217A39" w:rsidP="00217A39">
            <w:pPr>
              <w:spacing w:after="0"/>
              <w:jc w:val="right"/>
              <w:rPr>
                <w:rFonts w:ascii="Calibri" w:eastAsia="Times New Roman" w:hAnsi="Calibri" w:cs="Calibri"/>
                <w:color w:val="000000"/>
                <w:sz w:val="20"/>
                <w:szCs w:val="20"/>
              </w:rPr>
            </w:pPr>
            <w:r w:rsidRPr="00217A39">
              <w:rPr>
                <w:rFonts w:ascii="Calibri" w:eastAsia="Times New Roman" w:hAnsi="Calibri" w:cs="Calibri"/>
                <w:color w:val="000000"/>
                <w:sz w:val="20"/>
                <w:szCs w:val="20"/>
              </w:rPr>
              <w:t>17%</w:t>
            </w:r>
          </w:p>
        </w:tc>
      </w:tr>
      <w:tr w:rsidR="00217A39" w:rsidRPr="00217A39" w14:paraId="2926929F" w14:textId="77777777" w:rsidTr="00217A39">
        <w:trPr>
          <w:trHeight w:val="300"/>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14:paraId="6EE24FD1"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MEPOLIZUMAB</w:t>
            </w:r>
          </w:p>
        </w:tc>
        <w:tc>
          <w:tcPr>
            <w:tcW w:w="995" w:type="dxa"/>
            <w:tcBorders>
              <w:top w:val="nil"/>
              <w:left w:val="nil"/>
              <w:bottom w:val="single" w:sz="4" w:space="0" w:color="auto"/>
              <w:right w:val="single" w:sz="4" w:space="0" w:color="auto"/>
            </w:tcBorders>
            <w:shd w:val="clear" w:color="auto" w:fill="auto"/>
            <w:noWrap/>
            <w:vAlign w:val="bottom"/>
            <w:hideMark/>
          </w:tcPr>
          <w:p w14:paraId="7B1CFE28"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Other</w:t>
            </w:r>
          </w:p>
        </w:tc>
        <w:tc>
          <w:tcPr>
            <w:tcW w:w="960" w:type="dxa"/>
            <w:tcBorders>
              <w:top w:val="nil"/>
              <w:left w:val="nil"/>
              <w:bottom w:val="single" w:sz="4" w:space="0" w:color="auto"/>
              <w:right w:val="single" w:sz="4" w:space="0" w:color="auto"/>
            </w:tcBorders>
            <w:shd w:val="clear" w:color="auto" w:fill="auto"/>
            <w:noWrap/>
            <w:vAlign w:val="bottom"/>
            <w:hideMark/>
          </w:tcPr>
          <w:p w14:paraId="224F40D7"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Other</w:t>
            </w:r>
          </w:p>
        </w:tc>
        <w:tc>
          <w:tcPr>
            <w:tcW w:w="1194" w:type="dxa"/>
            <w:tcBorders>
              <w:top w:val="nil"/>
              <w:left w:val="nil"/>
              <w:bottom w:val="single" w:sz="4" w:space="0" w:color="auto"/>
              <w:right w:val="single" w:sz="4" w:space="0" w:color="auto"/>
            </w:tcBorders>
            <w:shd w:val="clear" w:color="auto" w:fill="auto"/>
            <w:noWrap/>
            <w:vAlign w:val="bottom"/>
            <w:hideMark/>
          </w:tcPr>
          <w:p w14:paraId="557738C5" w14:textId="5D6F161C" w:rsidR="00217A39" w:rsidRPr="00217A39" w:rsidRDefault="00217A39" w:rsidP="00217A39">
            <w:pPr>
              <w:spacing w:after="0"/>
              <w:jc w:val="right"/>
              <w:rPr>
                <w:rFonts w:ascii="Calibri" w:eastAsia="Times New Roman" w:hAnsi="Calibri" w:cs="Calibri"/>
                <w:color w:val="000000"/>
                <w:sz w:val="20"/>
                <w:szCs w:val="20"/>
              </w:rPr>
            </w:pPr>
            <w:r w:rsidRPr="00217A39">
              <w:rPr>
                <w:rFonts w:ascii="Calibri" w:eastAsia="Times New Roman" w:hAnsi="Calibri" w:cs="Calibri"/>
                <w:color w:val="000000"/>
                <w:sz w:val="20"/>
                <w:szCs w:val="20"/>
              </w:rPr>
              <w:t>1</w:t>
            </w:r>
            <w:r w:rsidR="00F71C15">
              <w:rPr>
                <w:rFonts w:ascii="Calibri" w:eastAsia="Times New Roman" w:hAnsi="Calibri" w:cs="Calibri"/>
                <w:color w:val="000000"/>
                <w:sz w:val="20"/>
                <w:szCs w:val="20"/>
              </w:rPr>
              <w:t>,</w:t>
            </w:r>
            <w:r w:rsidRPr="00217A39">
              <w:rPr>
                <w:rFonts w:ascii="Calibri" w:eastAsia="Times New Roman" w:hAnsi="Calibri" w:cs="Calibri"/>
                <w:color w:val="000000"/>
                <w:sz w:val="20"/>
                <w:szCs w:val="20"/>
              </w:rPr>
              <w:t>402</w:t>
            </w:r>
          </w:p>
        </w:tc>
        <w:tc>
          <w:tcPr>
            <w:tcW w:w="960" w:type="dxa"/>
            <w:tcBorders>
              <w:top w:val="nil"/>
              <w:left w:val="nil"/>
              <w:bottom w:val="single" w:sz="4" w:space="0" w:color="auto"/>
              <w:right w:val="single" w:sz="4" w:space="0" w:color="auto"/>
            </w:tcBorders>
            <w:shd w:val="clear" w:color="auto" w:fill="auto"/>
            <w:noWrap/>
            <w:vAlign w:val="bottom"/>
            <w:hideMark/>
          </w:tcPr>
          <w:p w14:paraId="59C9AE0A" w14:textId="77777777" w:rsidR="00217A39" w:rsidRPr="00217A39" w:rsidRDefault="00217A39" w:rsidP="00217A39">
            <w:pPr>
              <w:spacing w:after="0"/>
              <w:jc w:val="right"/>
              <w:rPr>
                <w:rFonts w:ascii="Calibri" w:eastAsia="Times New Roman" w:hAnsi="Calibri" w:cs="Calibri"/>
                <w:color w:val="000000"/>
                <w:sz w:val="20"/>
                <w:szCs w:val="20"/>
              </w:rPr>
            </w:pPr>
            <w:r w:rsidRPr="00217A39">
              <w:rPr>
                <w:rFonts w:ascii="Calibri" w:eastAsia="Times New Roman" w:hAnsi="Calibri" w:cs="Calibri"/>
                <w:color w:val="000000"/>
                <w:sz w:val="20"/>
                <w:szCs w:val="20"/>
              </w:rPr>
              <w:t>83%</w:t>
            </w:r>
          </w:p>
        </w:tc>
      </w:tr>
      <w:tr w:rsidR="00217A39" w:rsidRPr="00217A39" w14:paraId="2C6DE18D" w14:textId="77777777" w:rsidTr="00217A39">
        <w:trPr>
          <w:trHeight w:val="300"/>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14:paraId="47D3A132"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MEPOLIZUMAB</w:t>
            </w:r>
          </w:p>
        </w:tc>
        <w:tc>
          <w:tcPr>
            <w:tcW w:w="995" w:type="dxa"/>
            <w:tcBorders>
              <w:top w:val="nil"/>
              <w:left w:val="nil"/>
              <w:bottom w:val="single" w:sz="4" w:space="0" w:color="auto"/>
              <w:right w:val="single" w:sz="4" w:space="0" w:color="auto"/>
            </w:tcBorders>
            <w:shd w:val="clear" w:color="auto" w:fill="auto"/>
            <w:noWrap/>
            <w:vAlign w:val="bottom"/>
            <w:hideMark/>
          </w:tcPr>
          <w:p w14:paraId="1CDBE74A"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Other</w:t>
            </w:r>
          </w:p>
        </w:tc>
        <w:tc>
          <w:tcPr>
            <w:tcW w:w="960" w:type="dxa"/>
            <w:tcBorders>
              <w:top w:val="nil"/>
              <w:left w:val="nil"/>
              <w:bottom w:val="single" w:sz="4" w:space="0" w:color="auto"/>
              <w:right w:val="single" w:sz="4" w:space="0" w:color="auto"/>
            </w:tcBorders>
            <w:shd w:val="clear" w:color="auto" w:fill="auto"/>
            <w:noWrap/>
            <w:vAlign w:val="bottom"/>
            <w:hideMark/>
          </w:tcPr>
          <w:p w14:paraId="3B44B97B"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Total</w:t>
            </w:r>
          </w:p>
        </w:tc>
        <w:tc>
          <w:tcPr>
            <w:tcW w:w="1194" w:type="dxa"/>
            <w:tcBorders>
              <w:top w:val="nil"/>
              <w:left w:val="nil"/>
              <w:bottom w:val="single" w:sz="4" w:space="0" w:color="auto"/>
              <w:right w:val="single" w:sz="4" w:space="0" w:color="auto"/>
            </w:tcBorders>
            <w:shd w:val="clear" w:color="auto" w:fill="auto"/>
            <w:noWrap/>
            <w:vAlign w:val="bottom"/>
            <w:hideMark/>
          </w:tcPr>
          <w:p w14:paraId="568C74FB" w14:textId="09B0169A" w:rsidR="00217A39" w:rsidRPr="00217A39" w:rsidRDefault="00217A39" w:rsidP="00217A39">
            <w:pPr>
              <w:spacing w:after="0"/>
              <w:jc w:val="right"/>
              <w:rPr>
                <w:rFonts w:ascii="Calibri" w:eastAsia="Times New Roman" w:hAnsi="Calibri" w:cs="Calibri"/>
                <w:color w:val="000000"/>
                <w:sz w:val="20"/>
                <w:szCs w:val="20"/>
              </w:rPr>
            </w:pPr>
            <w:r w:rsidRPr="00217A39">
              <w:rPr>
                <w:rFonts w:ascii="Calibri" w:eastAsia="Times New Roman" w:hAnsi="Calibri" w:cs="Calibri"/>
                <w:color w:val="000000"/>
                <w:sz w:val="20"/>
                <w:szCs w:val="20"/>
              </w:rPr>
              <w:t>1</w:t>
            </w:r>
            <w:r w:rsidR="00F71C15">
              <w:rPr>
                <w:rFonts w:ascii="Calibri" w:eastAsia="Times New Roman" w:hAnsi="Calibri" w:cs="Calibri"/>
                <w:color w:val="000000"/>
                <w:sz w:val="20"/>
                <w:szCs w:val="20"/>
              </w:rPr>
              <w:t>,</w:t>
            </w:r>
            <w:r w:rsidRPr="00217A39">
              <w:rPr>
                <w:rFonts w:ascii="Calibri" w:eastAsia="Times New Roman" w:hAnsi="Calibri" w:cs="Calibri"/>
                <w:color w:val="000000"/>
                <w:sz w:val="20"/>
                <w:szCs w:val="20"/>
              </w:rPr>
              <w:t>687</w:t>
            </w:r>
          </w:p>
        </w:tc>
        <w:tc>
          <w:tcPr>
            <w:tcW w:w="960" w:type="dxa"/>
            <w:tcBorders>
              <w:top w:val="nil"/>
              <w:left w:val="nil"/>
              <w:bottom w:val="single" w:sz="4" w:space="0" w:color="auto"/>
              <w:right w:val="single" w:sz="4" w:space="0" w:color="auto"/>
            </w:tcBorders>
            <w:shd w:val="clear" w:color="auto" w:fill="auto"/>
            <w:noWrap/>
            <w:vAlign w:val="bottom"/>
            <w:hideMark/>
          </w:tcPr>
          <w:p w14:paraId="65709E18"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 </w:t>
            </w:r>
          </w:p>
        </w:tc>
      </w:tr>
      <w:tr w:rsidR="00217A39" w:rsidRPr="00217A39" w14:paraId="6A8670E5" w14:textId="77777777" w:rsidTr="00217A39">
        <w:trPr>
          <w:trHeight w:val="300"/>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14:paraId="0E72A81B"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OMALIZUMAB</w:t>
            </w:r>
          </w:p>
        </w:tc>
        <w:tc>
          <w:tcPr>
            <w:tcW w:w="995" w:type="dxa"/>
            <w:tcBorders>
              <w:top w:val="nil"/>
              <w:left w:val="nil"/>
              <w:bottom w:val="single" w:sz="4" w:space="0" w:color="auto"/>
              <w:right w:val="single" w:sz="4" w:space="0" w:color="auto"/>
            </w:tcBorders>
            <w:shd w:val="clear" w:color="auto" w:fill="auto"/>
            <w:noWrap/>
            <w:vAlign w:val="bottom"/>
            <w:hideMark/>
          </w:tcPr>
          <w:p w14:paraId="5FA7CB07"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Asthma</w:t>
            </w:r>
          </w:p>
        </w:tc>
        <w:tc>
          <w:tcPr>
            <w:tcW w:w="960" w:type="dxa"/>
            <w:tcBorders>
              <w:top w:val="nil"/>
              <w:left w:val="nil"/>
              <w:bottom w:val="single" w:sz="4" w:space="0" w:color="auto"/>
              <w:right w:val="single" w:sz="4" w:space="0" w:color="auto"/>
            </w:tcBorders>
            <w:shd w:val="clear" w:color="auto" w:fill="auto"/>
            <w:noWrap/>
            <w:vAlign w:val="bottom"/>
            <w:hideMark/>
          </w:tcPr>
          <w:p w14:paraId="4324C6BA"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Asthma</w:t>
            </w:r>
          </w:p>
        </w:tc>
        <w:tc>
          <w:tcPr>
            <w:tcW w:w="1194" w:type="dxa"/>
            <w:tcBorders>
              <w:top w:val="nil"/>
              <w:left w:val="nil"/>
              <w:bottom w:val="single" w:sz="4" w:space="0" w:color="auto"/>
              <w:right w:val="single" w:sz="4" w:space="0" w:color="auto"/>
            </w:tcBorders>
            <w:shd w:val="clear" w:color="auto" w:fill="auto"/>
            <w:noWrap/>
            <w:vAlign w:val="bottom"/>
            <w:hideMark/>
          </w:tcPr>
          <w:p w14:paraId="74E898B8" w14:textId="435FD109" w:rsidR="00217A39" w:rsidRPr="00217A39" w:rsidRDefault="00217A39" w:rsidP="00217A39">
            <w:pPr>
              <w:spacing w:after="0"/>
              <w:jc w:val="right"/>
              <w:rPr>
                <w:rFonts w:ascii="Calibri" w:eastAsia="Times New Roman" w:hAnsi="Calibri" w:cs="Calibri"/>
                <w:color w:val="000000"/>
                <w:sz w:val="20"/>
                <w:szCs w:val="20"/>
              </w:rPr>
            </w:pPr>
            <w:r w:rsidRPr="00217A39">
              <w:rPr>
                <w:rFonts w:ascii="Calibri" w:eastAsia="Times New Roman" w:hAnsi="Calibri" w:cs="Calibri"/>
                <w:color w:val="000000"/>
                <w:sz w:val="20"/>
                <w:szCs w:val="20"/>
              </w:rPr>
              <w:t>124</w:t>
            </w:r>
            <w:r w:rsidR="00F71C15">
              <w:rPr>
                <w:rFonts w:ascii="Calibri" w:eastAsia="Times New Roman" w:hAnsi="Calibri" w:cs="Calibri"/>
                <w:color w:val="000000"/>
                <w:sz w:val="20"/>
                <w:szCs w:val="20"/>
              </w:rPr>
              <w:t>,</w:t>
            </w:r>
            <w:r w:rsidRPr="00217A39">
              <w:rPr>
                <w:rFonts w:ascii="Calibri" w:eastAsia="Times New Roman" w:hAnsi="Calibri" w:cs="Calibri"/>
                <w:color w:val="000000"/>
                <w:sz w:val="20"/>
                <w:szCs w:val="20"/>
              </w:rPr>
              <w:t>870</w:t>
            </w:r>
          </w:p>
        </w:tc>
        <w:tc>
          <w:tcPr>
            <w:tcW w:w="960" w:type="dxa"/>
            <w:tcBorders>
              <w:top w:val="nil"/>
              <w:left w:val="nil"/>
              <w:bottom w:val="single" w:sz="4" w:space="0" w:color="auto"/>
              <w:right w:val="single" w:sz="4" w:space="0" w:color="auto"/>
            </w:tcBorders>
            <w:shd w:val="clear" w:color="auto" w:fill="auto"/>
            <w:noWrap/>
            <w:vAlign w:val="bottom"/>
            <w:hideMark/>
          </w:tcPr>
          <w:p w14:paraId="1A37D22B" w14:textId="77777777" w:rsidR="00217A39" w:rsidRPr="00217A39" w:rsidRDefault="00217A39" w:rsidP="00217A39">
            <w:pPr>
              <w:spacing w:after="0"/>
              <w:jc w:val="right"/>
              <w:rPr>
                <w:rFonts w:ascii="Calibri" w:eastAsia="Times New Roman" w:hAnsi="Calibri" w:cs="Calibri"/>
                <w:color w:val="000000"/>
                <w:sz w:val="20"/>
                <w:szCs w:val="20"/>
              </w:rPr>
            </w:pPr>
            <w:r w:rsidRPr="00217A39">
              <w:rPr>
                <w:rFonts w:ascii="Calibri" w:eastAsia="Times New Roman" w:hAnsi="Calibri" w:cs="Calibri"/>
                <w:color w:val="000000"/>
                <w:sz w:val="20"/>
                <w:szCs w:val="20"/>
              </w:rPr>
              <w:t>92%</w:t>
            </w:r>
          </w:p>
        </w:tc>
      </w:tr>
      <w:tr w:rsidR="00217A39" w:rsidRPr="00217A39" w14:paraId="7B2A1543" w14:textId="77777777" w:rsidTr="00217A39">
        <w:trPr>
          <w:trHeight w:val="300"/>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14:paraId="42A5E0A6"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OMALIZUMAB</w:t>
            </w:r>
          </w:p>
        </w:tc>
        <w:tc>
          <w:tcPr>
            <w:tcW w:w="995" w:type="dxa"/>
            <w:tcBorders>
              <w:top w:val="nil"/>
              <w:left w:val="nil"/>
              <w:bottom w:val="single" w:sz="4" w:space="0" w:color="auto"/>
              <w:right w:val="single" w:sz="4" w:space="0" w:color="auto"/>
            </w:tcBorders>
            <w:shd w:val="clear" w:color="auto" w:fill="auto"/>
            <w:noWrap/>
            <w:vAlign w:val="bottom"/>
            <w:hideMark/>
          </w:tcPr>
          <w:p w14:paraId="70A829E0"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Asthma</w:t>
            </w:r>
          </w:p>
        </w:tc>
        <w:tc>
          <w:tcPr>
            <w:tcW w:w="960" w:type="dxa"/>
            <w:tcBorders>
              <w:top w:val="nil"/>
              <w:left w:val="nil"/>
              <w:bottom w:val="single" w:sz="4" w:space="0" w:color="auto"/>
              <w:right w:val="single" w:sz="4" w:space="0" w:color="auto"/>
            </w:tcBorders>
            <w:shd w:val="clear" w:color="auto" w:fill="auto"/>
            <w:noWrap/>
            <w:vAlign w:val="bottom"/>
            <w:hideMark/>
          </w:tcPr>
          <w:p w14:paraId="7E5B73F4"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Other</w:t>
            </w:r>
          </w:p>
        </w:tc>
        <w:tc>
          <w:tcPr>
            <w:tcW w:w="1194" w:type="dxa"/>
            <w:tcBorders>
              <w:top w:val="nil"/>
              <w:left w:val="nil"/>
              <w:bottom w:val="single" w:sz="4" w:space="0" w:color="auto"/>
              <w:right w:val="single" w:sz="4" w:space="0" w:color="auto"/>
            </w:tcBorders>
            <w:shd w:val="clear" w:color="auto" w:fill="auto"/>
            <w:noWrap/>
            <w:vAlign w:val="bottom"/>
            <w:hideMark/>
          </w:tcPr>
          <w:p w14:paraId="157C41F8" w14:textId="4DE31DDC" w:rsidR="00217A39" w:rsidRPr="00217A39" w:rsidRDefault="00217A39" w:rsidP="00217A39">
            <w:pPr>
              <w:spacing w:after="0"/>
              <w:jc w:val="right"/>
              <w:rPr>
                <w:rFonts w:ascii="Calibri" w:eastAsia="Times New Roman" w:hAnsi="Calibri" w:cs="Calibri"/>
                <w:color w:val="000000"/>
                <w:sz w:val="20"/>
                <w:szCs w:val="20"/>
              </w:rPr>
            </w:pPr>
            <w:r w:rsidRPr="00217A39">
              <w:rPr>
                <w:rFonts w:ascii="Calibri" w:eastAsia="Times New Roman" w:hAnsi="Calibri" w:cs="Calibri"/>
                <w:color w:val="000000"/>
                <w:sz w:val="20"/>
                <w:szCs w:val="20"/>
              </w:rPr>
              <w:t>10</w:t>
            </w:r>
            <w:r w:rsidR="00F71C15">
              <w:rPr>
                <w:rFonts w:ascii="Calibri" w:eastAsia="Times New Roman" w:hAnsi="Calibri" w:cs="Calibri"/>
                <w:color w:val="000000"/>
                <w:sz w:val="20"/>
                <w:szCs w:val="20"/>
              </w:rPr>
              <w:t>,</w:t>
            </w:r>
            <w:r w:rsidRPr="00217A39">
              <w:rPr>
                <w:rFonts w:ascii="Calibri" w:eastAsia="Times New Roman" w:hAnsi="Calibri" w:cs="Calibri"/>
                <w:color w:val="000000"/>
                <w:sz w:val="20"/>
                <w:szCs w:val="20"/>
              </w:rPr>
              <w:t>372</w:t>
            </w:r>
          </w:p>
        </w:tc>
        <w:tc>
          <w:tcPr>
            <w:tcW w:w="960" w:type="dxa"/>
            <w:tcBorders>
              <w:top w:val="nil"/>
              <w:left w:val="nil"/>
              <w:bottom w:val="single" w:sz="4" w:space="0" w:color="auto"/>
              <w:right w:val="single" w:sz="4" w:space="0" w:color="auto"/>
            </w:tcBorders>
            <w:shd w:val="clear" w:color="auto" w:fill="auto"/>
            <w:noWrap/>
            <w:vAlign w:val="bottom"/>
            <w:hideMark/>
          </w:tcPr>
          <w:p w14:paraId="5AFB70FA" w14:textId="77777777" w:rsidR="00217A39" w:rsidRPr="00217A39" w:rsidRDefault="00217A39" w:rsidP="00217A39">
            <w:pPr>
              <w:spacing w:after="0"/>
              <w:jc w:val="right"/>
              <w:rPr>
                <w:rFonts w:ascii="Calibri" w:eastAsia="Times New Roman" w:hAnsi="Calibri" w:cs="Calibri"/>
                <w:color w:val="000000"/>
                <w:sz w:val="20"/>
                <w:szCs w:val="20"/>
              </w:rPr>
            </w:pPr>
            <w:r w:rsidRPr="00217A39">
              <w:rPr>
                <w:rFonts w:ascii="Calibri" w:eastAsia="Times New Roman" w:hAnsi="Calibri" w:cs="Calibri"/>
                <w:color w:val="000000"/>
                <w:sz w:val="20"/>
                <w:szCs w:val="20"/>
              </w:rPr>
              <w:t>8%</w:t>
            </w:r>
          </w:p>
        </w:tc>
      </w:tr>
      <w:tr w:rsidR="00217A39" w:rsidRPr="00217A39" w14:paraId="152EAA99" w14:textId="77777777" w:rsidTr="00217A39">
        <w:trPr>
          <w:trHeight w:val="300"/>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14:paraId="187EA181"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OMALIZUMAB</w:t>
            </w:r>
          </w:p>
        </w:tc>
        <w:tc>
          <w:tcPr>
            <w:tcW w:w="995" w:type="dxa"/>
            <w:tcBorders>
              <w:top w:val="nil"/>
              <w:left w:val="nil"/>
              <w:bottom w:val="single" w:sz="4" w:space="0" w:color="auto"/>
              <w:right w:val="single" w:sz="4" w:space="0" w:color="auto"/>
            </w:tcBorders>
            <w:shd w:val="clear" w:color="auto" w:fill="auto"/>
            <w:noWrap/>
            <w:vAlign w:val="bottom"/>
            <w:hideMark/>
          </w:tcPr>
          <w:p w14:paraId="4D069692"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Asthma</w:t>
            </w:r>
          </w:p>
        </w:tc>
        <w:tc>
          <w:tcPr>
            <w:tcW w:w="960" w:type="dxa"/>
            <w:tcBorders>
              <w:top w:val="nil"/>
              <w:left w:val="nil"/>
              <w:bottom w:val="single" w:sz="4" w:space="0" w:color="auto"/>
              <w:right w:val="single" w:sz="4" w:space="0" w:color="auto"/>
            </w:tcBorders>
            <w:shd w:val="clear" w:color="auto" w:fill="auto"/>
            <w:noWrap/>
            <w:vAlign w:val="bottom"/>
            <w:hideMark/>
          </w:tcPr>
          <w:p w14:paraId="10CB4E89"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Total</w:t>
            </w:r>
          </w:p>
        </w:tc>
        <w:tc>
          <w:tcPr>
            <w:tcW w:w="1194" w:type="dxa"/>
            <w:tcBorders>
              <w:top w:val="nil"/>
              <w:left w:val="nil"/>
              <w:bottom w:val="single" w:sz="4" w:space="0" w:color="auto"/>
              <w:right w:val="single" w:sz="4" w:space="0" w:color="auto"/>
            </w:tcBorders>
            <w:shd w:val="clear" w:color="auto" w:fill="auto"/>
            <w:noWrap/>
            <w:vAlign w:val="bottom"/>
            <w:hideMark/>
          </w:tcPr>
          <w:p w14:paraId="62909C08" w14:textId="1CFD67BA" w:rsidR="00217A39" w:rsidRPr="00217A39" w:rsidRDefault="00217A39" w:rsidP="00217A39">
            <w:pPr>
              <w:spacing w:after="0"/>
              <w:jc w:val="right"/>
              <w:rPr>
                <w:rFonts w:ascii="Calibri" w:eastAsia="Times New Roman" w:hAnsi="Calibri" w:cs="Calibri"/>
                <w:color w:val="000000"/>
                <w:sz w:val="20"/>
                <w:szCs w:val="20"/>
              </w:rPr>
            </w:pPr>
            <w:r w:rsidRPr="00217A39">
              <w:rPr>
                <w:rFonts w:ascii="Calibri" w:eastAsia="Times New Roman" w:hAnsi="Calibri" w:cs="Calibri"/>
                <w:color w:val="000000"/>
                <w:sz w:val="20"/>
                <w:szCs w:val="20"/>
              </w:rPr>
              <w:t>135</w:t>
            </w:r>
            <w:r w:rsidR="00F71C15">
              <w:rPr>
                <w:rFonts w:ascii="Calibri" w:eastAsia="Times New Roman" w:hAnsi="Calibri" w:cs="Calibri"/>
                <w:color w:val="000000"/>
                <w:sz w:val="20"/>
                <w:szCs w:val="20"/>
              </w:rPr>
              <w:t>,</w:t>
            </w:r>
            <w:r w:rsidRPr="00217A39">
              <w:rPr>
                <w:rFonts w:ascii="Calibri" w:eastAsia="Times New Roman" w:hAnsi="Calibri" w:cs="Calibri"/>
                <w:color w:val="000000"/>
                <w:sz w:val="20"/>
                <w:szCs w:val="20"/>
              </w:rPr>
              <w:t>242</w:t>
            </w:r>
          </w:p>
        </w:tc>
        <w:tc>
          <w:tcPr>
            <w:tcW w:w="960" w:type="dxa"/>
            <w:tcBorders>
              <w:top w:val="nil"/>
              <w:left w:val="nil"/>
              <w:bottom w:val="single" w:sz="4" w:space="0" w:color="auto"/>
              <w:right w:val="single" w:sz="4" w:space="0" w:color="auto"/>
            </w:tcBorders>
            <w:shd w:val="clear" w:color="auto" w:fill="auto"/>
            <w:noWrap/>
            <w:vAlign w:val="bottom"/>
            <w:hideMark/>
          </w:tcPr>
          <w:p w14:paraId="60BEDCEF"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 </w:t>
            </w:r>
          </w:p>
        </w:tc>
      </w:tr>
      <w:tr w:rsidR="00217A39" w:rsidRPr="00217A39" w14:paraId="39AB87EF" w14:textId="77777777" w:rsidTr="00217A39">
        <w:trPr>
          <w:trHeight w:val="300"/>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14:paraId="3A536708"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OMALIZUMAB</w:t>
            </w:r>
          </w:p>
        </w:tc>
        <w:tc>
          <w:tcPr>
            <w:tcW w:w="995" w:type="dxa"/>
            <w:tcBorders>
              <w:top w:val="nil"/>
              <w:left w:val="nil"/>
              <w:bottom w:val="single" w:sz="4" w:space="0" w:color="auto"/>
              <w:right w:val="single" w:sz="4" w:space="0" w:color="auto"/>
            </w:tcBorders>
            <w:shd w:val="clear" w:color="auto" w:fill="auto"/>
            <w:noWrap/>
            <w:vAlign w:val="bottom"/>
            <w:hideMark/>
          </w:tcPr>
          <w:p w14:paraId="2CA46145"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Other</w:t>
            </w:r>
          </w:p>
        </w:tc>
        <w:tc>
          <w:tcPr>
            <w:tcW w:w="960" w:type="dxa"/>
            <w:tcBorders>
              <w:top w:val="nil"/>
              <w:left w:val="nil"/>
              <w:bottom w:val="single" w:sz="4" w:space="0" w:color="auto"/>
              <w:right w:val="single" w:sz="4" w:space="0" w:color="auto"/>
            </w:tcBorders>
            <w:shd w:val="clear" w:color="auto" w:fill="auto"/>
            <w:noWrap/>
            <w:vAlign w:val="bottom"/>
            <w:hideMark/>
          </w:tcPr>
          <w:p w14:paraId="393452DB"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Asthma</w:t>
            </w:r>
          </w:p>
        </w:tc>
        <w:tc>
          <w:tcPr>
            <w:tcW w:w="1194" w:type="dxa"/>
            <w:tcBorders>
              <w:top w:val="nil"/>
              <w:left w:val="nil"/>
              <w:bottom w:val="single" w:sz="4" w:space="0" w:color="auto"/>
              <w:right w:val="single" w:sz="4" w:space="0" w:color="auto"/>
            </w:tcBorders>
            <w:shd w:val="clear" w:color="auto" w:fill="auto"/>
            <w:noWrap/>
            <w:vAlign w:val="bottom"/>
            <w:hideMark/>
          </w:tcPr>
          <w:p w14:paraId="275B7DA4" w14:textId="40810623" w:rsidR="00217A39" w:rsidRPr="00217A39" w:rsidRDefault="00217A39" w:rsidP="00217A39">
            <w:pPr>
              <w:spacing w:after="0"/>
              <w:jc w:val="right"/>
              <w:rPr>
                <w:rFonts w:ascii="Calibri" w:eastAsia="Times New Roman" w:hAnsi="Calibri" w:cs="Calibri"/>
                <w:color w:val="000000"/>
                <w:sz w:val="20"/>
                <w:szCs w:val="20"/>
              </w:rPr>
            </w:pPr>
            <w:r w:rsidRPr="00217A39">
              <w:rPr>
                <w:rFonts w:ascii="Calibri" w:eastAsia="Times New Roman" w:hAnsi="Calibri" w:cs="Calibri"/>
                <w:color w:val="000000"/>
                <w:sz w:val="20"/>
                <w:szCs w:val="20"/>
              </w:rPr>
              <w:t>4</w:t>
            </w:r>
            <w:r w:rsidR="00F71C15">
              <w:rPr>
                <w:rFonts w:ascii="Calibri" w:eastAsia="Times New Roman" w:hAnsi="Calibri" w:cs="Calibri"/>
                <w:color w:val="000000"/>
                <w:sz w:val="20"/>
                <w:szCs w:val="20"/>
              </w:rPr>
              <w:t>,</w:t>
            </w:r>
            <w:r w:rsidRPr="00217A39">
              <w:rPr>
                <w:rFonts w:ascii="Calibri" w:eastAsia="Times New Roman" w:hAnsi="Calibri" w:cs="Calibri"/>
                <w:color w:val="000000"/>
                <w:sz w:val="20"/>
                <w:szCs w:val="20"/>
              </w:rPr>
              <w:t>026</w:t>
            </w:r>
          </w:p>
        </w:tc>
        <w:tc>
          <w:tcPr>
            <w:tcW w:w="960" w:type="dxa"/>
            <w:tcBorders>
              <w:top w:val="nil"/>
              <w:left w:val="nil"/>
              <w:bottom w:val="single" w:sz="4" w:space="0" w:color="auto"/>
              <w:right w:val="single" w:sz="4" w:space="0" w:color="auto"/>
            </w:tcBorders>
            <w:shd w:val="clear" w:color="auto" w:fill="auto"/>
            <w:noWrap/>
            <w:vAlign w:val="bottom"/>
            <w:hideMark/>
          </w:tcPr>
          <w:p w14:paraId="7BEFCD7F" w14:textId="77777777" w:rsidR="00217A39" w:rsidRPr="00217A39" w:rsidRDefault="00217A39" w:rsidP="00217A39">
            <w:pPr>
              <w:spacing w:after="0"/>
              <w:jc w:val="right"/>
              <w:rPr>
                <w:rFonts w:ascii="Calibri" w:eastAsia="Times New Roman" w:hAnsi="Calibri" w:cs="Calibri"/>
                <w:color w:val="000000"/>
                <w:sz w:val="20"/>
                <w:szCs w:val="20"/>
              </w:rPr>
            </w:pPr>
            <w:r w:rsidRPr="00217A39">
              <w:rPr>
                <w:rFonts w:ascii="Calibri" w:eastAsia="Times New Roman" w:hAnsi="Calibri" w:cs="Calibri"/>
                <w:color w:val="000000"/>
                <w:sz w:val="20"/>
                <w:szCs w:val="20"/>
              </w:rPr>
              <w:t>3%</w:t>
            </w:r>
          </w:p>
        </w:tc>
      </w:tr>
      <w:tr w:rsidR="00217A39" w:rsidRPr="00217A39" w14:paraId="4464AA51" w14:textId="77777777" w:rsidTr="00217A39">
        <w:trPr>
          <w:trHeight w:val="300"/>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14:paraId="048AACFA"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OMALIZUMAB</w:t>
            </w:r>
          </w:p>
        </w:tc>
        <w:tc>
          <w:tcPr>
            <w:tcW w:w="995" w:type="dxa"/>
            <w:tcBorders>
              <w:top w:val="nil"/>
              <w:left w:val="nil"/>
              <w:bottom w:val="single" w:sz="4" w:space="0" w:color="auto"/>
              <w:right w:val="single" w:sz="4" w:space="0" w:color="auto"/>
            </w:tcBorders>
            <w:shd w:val="clear" w:color="auto" w:fill="auto"/>
            <w:noWrap/>
            <w:vAlign w:val="bottom"/>
            <w:hideMark/>
          </w:tcPr>
          <w:p w14:paraId="571A9B6E"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Other</w:t>
            </w:r>
          </w:p>
        </w:tc>
        <w:tc>
          <w:tcPr>
            <w:tcW w:w="960" w:type="dxa"/>
            <w:tcBorders>
              <w:top w:val="nil"/>
              <w:left w:val="nil"/>
              <w:bottom w:val="single" w:sz="4" w:space="0" w:color="auto"/>
              <w:right w:val="single" w:sz="4" w:space="0" w:color="auto"/>
            </w:tcBorders>
            <w:shd w:val="clear" w:color="auto" w:fill="auto"/>
            <w:noWrap/>
            <w:vAlign w:val="bottom"/>
            <w:hideMark/>
          </w:tcPr>
          <w:p w14:paraId="32C9B609"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Other</w:t>
            </w:r>
          </w:p>
        </w:tc>
        <w:tc>
          <w:tcPr>
            <w:tcW w:w="1194" w:type="dxa"/>
            <w:tcBorders>
              <w:top w:val="nil"/>
              <w:left w:val="nil"/>
              <w:bottom w:val="single" w:sz="4" w:space="0" w:color="auto"/>
              <w:right w:val="single" w:sz="4" w:space="0" w:color="auto"/>
            </w:tcBorders>
            <w:shd w:val="clear" w:color="auto" w:fill="auto"/>
            <w:noWrap/>
            <w:vAlign w:val="bottom"/>
            <w:hideMark/>
          </w:tcPr>
          <w:p w14:paraId="7F594065" w14:textId="30D55611" w:rsidR="00217A39" w:rsidRPr="00217A39" w:rsidRDefault="00217A39" w:rsidP="00217A39">
            <w:pPr>
              <w:spacing w:after="0"/>
              <w:jc w:val="right"/>
              <w:rPr>
                <w:rFonts w:ascii="Calibri" w:eastAsia="Times New Roman" w:hAnsi="Calibri" w:cs="Calibri"/>
                <w:color w:val="000000"/>
                <w:sz w:val="20"/>
                <w:szCs w:val="20"/>
              </w:rPr>
            </w:pPr>
            <w:r w:rsidRPr="00217A39">
              <w:rPr>
                <w:rFonts w:ascii="Calibri" w:eastAsia="Times New Roman" w:hAnsi="Calibri" w:cs="Calibri"/>
                <w:color w:val="000000"/>
                <w:sz w:val="20"/>
                <w:szCs w:val="20"/>
              </w:rPr>
              <w:t>152</w:t>
            </w:r>
            <w:r w:rsidR="00F71C15">
              <w:rPr>
                <w:rFonts w:ascii="Calibri" w:eastAsia="Times New Roman" w:hAnsi="Calibri" w:cs="Calibri"/>
                <w:color w:val="000000"/>
                <w:sz w:val="20"/>
                <w:szCs w:val="20"/>
              </w:rPr>
              <w:t>,</w:t>
            </w:r>
            <w:r w:rsidRPr="00217A39">
              <w:rPr>
                <w:rFonts w:ascii="Calibri" w:eastAsia="Times New Roman" w:hAnsi="Calibri" w:cs="Calibri"/>
                <w:color w:val="000000"/>
                <w:sz w:val="20"/>
                <w:szCs w:val="20"/>
              </w:rPr>
              <w:t>307</w:t>
            </w:r>
          </w:p>
        </w:tc>
        <w:tc>
          <w:tcPr>
            <w:tcW w:w="960" w:type="dxa"/>
            <w:tcBorders>
              <w:top w:val="nil"/>
              <w:left w:val="nil"/>
              <w:bottom w:val="single" w:sz="4" w:space="0" w:color="auto"/>
              <w:right w:val="single" w:sz="4" w:space="0" w:color="auto"/>
            </w:tcBorders>
            <w:shd w:val="clear" w:color="auto" w:fill="auto"/>
            <w:noWrap/>
            <w:vAlign w:val="bottom"/>
            <w:hideMark/>
          </w:tcPr>
          <w:p w14:paraId="1E086DB0" w14:textId="77777777" w:rsidR="00217A39" w:rsidRPr="00217A39" w:rsidRDefault="00217A39" w:rsidP="00217A39">
            <w:pPr>
              <w:spacing w:after="0"/>
              <w:jc w:val="right"/>
              <w:rPr>
                <w:rFonts w:ascii="Calibri" w:eastAsia="Times New Roman" w:hAnsi="Calibri" w:cs="Calibri"/>
                <w:color w:val="000000"/>
                <w:sz w:val="20"/>
                <w:szCs w:val="20"/>
              </w:rPr>
            </w:pPr>
            <w:r w:rsidRPr="00217A39">
              <w:rPr>
                <w:rFonts w:ascii="Calibri" w:eastAsia="Times New Roman" w:hAnsi="Calibri" w:cs="Calibri"/>
                <w:color w:val="000000"/>
                <w:sz w:val="20"/>
                <w:szCs w:val="20"/>
              </w:rPr>
              <w:t>97%</w:t>
            </w:r>
          </w:p>
        </w:tc>
      </w:tr>
      <w:tr w:rsidR="00217A39" w:rsidRPr="00217A39" w14:paraId="3C443675" w14:textId="77777777" w:rsidTr="00217A39">
        <w:trPr>
          <w:trHeight w:val="300"/>
        </w:trPr>
        <w:tc>
          <w:tcPr>
            <w:tcW w:w="2960" w:type="dxa"/>
            <w:tcBorders>
              <w:top w:val="nil"/>
              <w:left w:val="single" w:sz="4" w:space="0" w:color="auto"/>
              <w:bottom w:val="single" w:sz="4" w:space="0" w:color="auto"/>
              <w:right w:val="single" w:sz="4" w:space="0" w:color="auto"/>
            </w:tcBorders>
            <w:shd w:val="clear" w:color="auto" w:fill="auto"/>
            <w:noWrap/>
            <w:vAlign w:val="bottom"/>
            <w:hideMark/>
          </w:tcPr>
          <w:p w14:paraId="64E6B3CD"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OMALIZUMAB</w:t>
            </w:r>
          </w:p>
        </w:tc>
        <w:tc>
          <w:tcPr>
            <w:tcW w:w="995" w:type="dxa"/>
            <w:tcBorders>
              <w:top w:val="nil"/>
              <w:left w:val="nil"/>
              <w:bottom w:val="single" w:sz="4" w:space="0" w:color="auto"/>
              <w:right w:val="single" w:sz="4" w:space="0" w:color="auto"/>
            </w:tcBorders>
            <w:shd w:val="clear" w:color="auto" w:fill="auto"/>
            <w:noWrap/>
            <w:vAlign w:val="bottom"/>
            <w:hideMark/>
          </w:tcPr>
          <w:p w14:paraId="018C992A"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Other</w:t>
            </w:r>
          </w:p>
        </w:tc>
        <w:tc>
          <w:tcPr>
            <w:tcW w:w="960" w:type="dxa"/>
            <w:tcBorders>
              <w:top w:val="nil"/>
              <w:left w:val="nil"/>
              <w:bottom w:val="single" w:sz="4" w:space="0" w:color="auto"/>
              <w:right w:val="single" w:sz="4" w:space="0" w:color="auto"/>
            </w:tcBorders>
            <w:shd w:val="clear" w:color="auto" w:fill="auto"/>
            <w:noWrap/>
            <w:vAlign w:val="bottom"/>
            <w:hideMark/>
          </w:tcPr>
          <w:p w14:paraId="09DCA3FF"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Total</w:t>
            </w:r>
          </w:p>
        </w:tc>
        <w:tc>
          <w:tcPr>
            <w:tcW w:w="1194" w:type="dxa"/>
            <w:tcBorders>
              <w:top w:val="nil"/>
              <w:left w:val="nil"/>
              <w:bottom w:val="single" w:sz="4" w:space="0" w:color="auto"/>
              <w:right w:val="single" w:sz="4" w:space="0" w:color="auto"/>
            </w:tcBorders>
            <w:shd w:val="clear" w:color="auto" w:fill="auto"/>
            <w:noWrap/>
            <w:vAlign w:val="bottom"/>
            <w:hideMark/>
          </w:tcPr>
          <w:p w14:paraId="708C28E7" w14:textId="03538C7E" w:rsidR="00217A39" w:rsidRPr="00217A39" w:rsidRDefault="00217A39" w:rsidP="00217A39">
            <w:pPr>
              <w:spacing w:after="0"/>
              <w:jc w:val="right"/>
              <w:rPr>
                <w:rFonts w:ascii="Calibri" w:eastAsia="Times New Roman" w:hAnsi="Calibri" w:cs="Calibri"/>
                <w:color w:val="000000"/>
                <w:sz w:val="20"/>
                <w:szCs w:val="20"/>
              </w:rPr>
            </w:pPr>
            <w:r w:rsidRPr="00217A39">
              <w:rPr>
                <w:rFonts w:ascii="Calibri" w:eastAsia="Times New Roman" w:hAnsi="Calibri" w:cs="Calibri"/>
                <w:color w:val="000000"/>
                <w:sz w:val="20"/>
                <w:szCs w:val="20"/>
              </w:rPr>
              <w:t>156</w:t>
            </w:r>
            <w:r w:rsidR="00F71C15">
              <w:rPr>
                <w:rFonts w:ascii="Calibri" w:eastAsia="Times New Roman" w:hAnsi="Calibri" w:cs="Calibri"/>
                <w:color w:val="000000"/>
                <w:sz w:val="20"/>
                <w:szCs w:val="20"/>
              </w:rPr>
              <w:t>,</w:t>
            </w:r>
            <w:r w:rsidRPr="00217A39">
              <w:rPr>
                <w:rFonts w:ascii="Calibri" w:eastAsia="Times New Roman" w:hAnsi="Calibri" w:cs="Calibri"/>
                <w:color w:val="000000"/>
                <w:sz w:val="20"/>
                <w:szCs w:val="20"/>
              </w:rPr>
              <w:t>333</w:t>
            </w:r>
          </w:p>
        </w:tc>
        <w:tc>
          <w:tcPr>
            <w:tcW w:w="960" w:type="dxa"/>
            <w:tcBorders>
              <w:top w:val="nil"/>
              <w:left w:val="nil"/>
              <w:bottom w:val="single" w:sz="4" w:space="0" w:color="auto"/>
              <w:right w:val="single" w:sz="4" w:space="0" w:color="auto"/>
            </w:tcBorders>
            <w:shd w:val="clear" w:color="auto" w:fill="auto"/>
            <w:noWrap/>
            <w:vAlign w:val="bottom"/>
            <w:hideMark/>
          </w:tcPr>
          <w:p w14:paraId="4C0A2542" w14:textId="77777777" w:rsidR="00217A39" w:rsidRPr="00217A39" w:rsidRDefault="00217A39" w:rsidP="00217A39">
            <w:pPr>
              <w:spacing w:after="0"/>
              <w:rPr>
                <w:rFonts w:ascii="Calibri" w:eastAsia="Times New Roman" w:hAnsi="Calibri" w:cs="Calibri"/>
                <w:color w:val="000000"/>
                <w:sz w:val="20"/>
                <w:szCs w:val="20"/>
              </w:rPr>
            </w:pPr>
            <w:r w:rsidRPr="00217A39">
              <w:rPr>
                <w:rFonts w:ascii="Calibri" w:eastAsia="Times New Roman" w:hAnsi="Calibri" w:cs="Calibri"/>
                <w:color w:val="000000"/>
                <w:sz w:val="20"/>
                <w:szCs w:val="20"/>
              </w:rPr>
              <w:t> </w:t>
            </w:r>
          </w:p>
        </w:tc>
      </w:tr>
    </w:tbl>
    <w:p w14:paraId="76608137" w14:textId="77777777" w:rsidR="00794E09" w:rsidRDefault="00794E09" w:rsidP="0000274D"/>
    <w:p w14:paraId="0A1B5F27" w14:textId="762B7A89" w:rsidR="00794E09" w:rsidRDefault="00215941" w:rsidP="0000274D">
      <w:r>
        <w:t xml:space="preserve">Table </w:t>
      </w:r>
      <w:r w:rsidR="00516AC5">
        <w:t>3</w:t>
      </w:r>
      <w:r>
        <w:t xml:space="preserve"> suggests that the alignment of PBS item code and </w:t>
      </w:r>
      <w:r w:rsidR="0014654A">
        <w:t xml:space="preserve">authority code for severe asthma is above 90% for </w:t>
      </w:r>
      <w:r w:rsidR="000C4BF6">
        <w:t xml:space="preserve">omalizumab, mepolizumab and </w:t>
      </w:r>
      <w:r w:rsidR="001D74BE">
        <w:t xml:space="preserve">benralizumab. </w:t>
      </w:r>
      <w:r w:rsidR="00F94C66">
        <w:t xml:space="preserve">Of the </w:t>
      </w:r>
      <w:r w:rsidR="00986DD1">
        <w:t>41,557 prescriptions of dupilumab supplied under PBS item codes</w:t>
      </w:r>
      <w:r w:rsidR="00AC16EF">
        <w:t xml:space="preserve"> for severe asthma</w:t>
      </w:r>
      <w:r w:rsidR="00986DD1">
        <w:t>, 33,</w:t>
      </w:r>
      <w:r w:rsidR="00AC16EF">
        <w:t>535 (81%) were supplied with an authority code for severe asthma</w:t>
      </w:r>
      <w:r w:rsidR="00312C49">
        <w:t>. However, o</w:t>
      </w:r>
      <w:r w:rsidR="001A54D7">
        <w:t xml:space="preserve">f the 4,446 patients supplied dupilumab for severe asthma, </w:t>
      </w:r>
      <w:r w:rsidR="00F13FE4">
        <w:t>all 4,446 had been supplied previous inhaled corticosteroids.</w:t>
      </w:r>
      <w:r w:rsidR="00771BCC">
        <w:t xml:space="preserve"> </w:t>
      </w:r>
      <w:r w:rsidR="00312C49">
        <w:t xml:space="preserve">Therefore </w:t>
      </w:r>
      <w:r w:rsidR="008619BD">
        <w:t>prescriptions supplied under PBS</w:t>
      </w:r>
      <w:r w:rsidR="00771BCC">
        <w:t xml:space="preserve"> </w:t>
      </w:r>
      <w:r w:rsidR="00194737">
        <w:t xml:space="preserve">item codes </w:t>
      </w:r>
      <w:r w:rsidR="008619BD">
        <w:t xml:space="preserve">were </w:t>
      </w:r>
      <w:r w:rsidR="00194737">
        <w:t xml:space="preserve">used for </w:t>
      </w:r>
      <w:r w:rsidR="008619BD">
        <w:t xml:space="preserve">subsequent </w:t>
      </w:r>
      <w:r w:rsidR="00194737">
        <w:t>analys</w:t>
      </w:r>
      <w:r w:rsidR="00AE164A">
        <w:t>e</w:t>
      </w:r>
      <w:r w:rsidR="00194737">
        <w:t>s of use.</w:t>
      </w:r>
    </w:p>
    <w:p w14:paraId="09F8A9BC" w14:textId="71FFEDCF" w:rsidR="006A44F5" w:rsidRPr="005E22C2" w:rsidRDefault="00736041" w:rsidP="005D2DF3">
      <w:pPr>
        <w:pStyle w:val="Heading3"/>
        <w:keepNext/>
      </w:pPr>
      <w:bookmarkStart w:id="1" w:name="_Hlk154068931"/>
      <w:r w:rsidRPr="005E22C2">
        <w:lastRenderedPageBreak/>
        <w:t>Overall utilisation</w:t>
      </w:r>
      <w:r w:rsidR="00FF7FEC">
        <w:t xml:space="preserve"> </w:t>
      </w:r>
      <w:r w:rsidR="00FF7FEC" w:rsidRPr="00FF7FEC">
        <w:t xml:space="preserve">of </w:t>
      </w:r>
      <w:r w:rsidR="00302FA5" w:rsidRPr="00302FA5">
        <w:t xml:space="preserve">biologic medicines </w:t>
      </w:r>
      <w:r w:rsidR="00FF7FEC" w:rsidRPr="00FF7FEC">
        <w:t>for severe asthma</w:t>
      </w:r>
    </w:p>
    <w:p w14:paraId="48FBE49F" w14:textId="62B2B10B" w:rsidR="00826C01" w:rsidRDefault="00D03216" w:rsidP="005D2DF3">
      <w:pPr>
        <w:keepNext/>
        <w:rPr>
          <w:highlight w:val="yellow"/>
        </w:rPr>
      </w:pPr>
      <w:r>
        <w:rPr>
          <w:noProof/>
        </w:rPr>
        <w:drawing>
          <wp:inline distT="0" distB="0" distL="0" distR="0" wp14:anchorId="7C3EDDFE" wp14:editId="08D1A328">
            <wp:extent cx="5687695" cy="3808095"/>
            <wp:effectExtent l="0" t="0" r="8255" b="1905"/>
            <wp:docPr id="1" name="Chart 1" descr="Prescriptions of biologic medicines for severe asthma by drug shows the total increasing as the new medicines have been listed over time&#10;&#10;">
              <a:extLst xmlns:a="http://schemas.openxmlformats.org/drawingml/2006/main">
                <a:ext uri="{FF2B5EF4-FFF2-40B4-BE49-F238E27FC236}">
                  <a16:creationId xmlns:a16="http://schemas.microsoft.com/office/drawing/2014/main" id="{9D38860C-6705-0127-F6DC-C646429289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D3E4016" w14:textId="44B05B36" w:rsidR="00826C01" w:rsidRPr="00CD6915" w:rsidRDefault="00E044CA" w:rsidP="00FE5DBB">
      <w:pPr>
        <w:pStyle w:val="Figuretitle"/>
      </w:pPr>
      <w:r w:rsidRPr="00E044CA">
        <w:t xml:space="preserve">Figure </w:t>
      </w:r>
      <w:r w:rsidR="003B539D">
        <w:t>1</w:t>
      </w:r>
      <w:r w:rsidRPr="00E044CA">
        <w:t xml:space="preserve">: </w:t>
      </w:r>
      <w:r w:rsidR="00380B22">
        <w:t>Prescriptions</w:t>
      </w:r>
      <w:r w:rsidRPr="00E044CA">
        <w:t xml:space="preserve"> of </w:t>
      </w:r>
      <w:r w:rsidR="00A31189">
        <w:t>biologic medicines</w:t>
      </w:r>
      <w:r w:rsidRPr="00E044CA">
        <w:t xml:space="preserve"> for severe asthma by </w:t>
      </w:r>
      <w:r w:rsidR="003F36E5">
        <w:t>drug</w:t>
      </w:r>
    </w:p>
    <w:p w14:paraId="4BD3C569" w14:textId="07456355" w:rsidR="00CD6915" w:rsidRDefault="00A71C61" w:rsidP="00C83072">
      <w:pPr>
        <w:pStyle w:val="Notes"/>
        <w:rPr>
          <w:highlight w:val="yellow"/>
        </w:rPr>
      </w:pPr>
      <w:r w:rsidRPr="00A71C61">
        <w:t>Note: Use by drug for severe asthma using PBS item code</w:t>
      </w:r>
    </w:p>
    <w:p w14:paraId="459D7DA0" w14:textId="16795F68" w:rsidR="00CE4A93" w:rsidRDefault="00847777" w:rsidP="00A35800">
      <w:r>
        <w:t xml:space="preserve">Figure </w:t>
      </w:r>
      <w:r w:rsidR="003B539D">
        <w:t>1</w:t>
      </w:r>
      <w:r w:rsidR="00EF77D5">
        <w:t xml:space="preserve"> shows the </w:t>
      </w:r>
      <w:r w:rsidR="00533FF5">
        <w:t>number of supplied prescriptions</w:t>
      </w:r>
      <w:r w:rsidR="00EF77D5">
        <w:t xml:space="preserve"> </w:t>
      </w:r>
      <w:r w:rsidR="00A31189">
        <w:t>of biologic medicines</w:t>
      </w:r>
      <w:r>
        <w:t xml:space="preserve"> </w:t>
      </w:r>
      <w:r w:rsidR="00380B22">
        <w:t>for severe asthma</w:t>
      </w:r>
      <w:r w:rsidR="00533FF5">
        <w:t xml:space="preserve"> over time</w:t>
      </w:r>
      <w:r w:rsidR="00380B22">
        <w:t xml:space="preserve">. </w:t>
      </w:r>
      <w:r w:rsidR="00CA34FD">
        <w:t>The gradient of the total</w:t>
      </w:r>
      <w:r w:rsidR="00CE4A93" w:rsidRPr="00DD1D83">
        <w:t xml:space="preserve"> curve appear</w:t>
      </w:r>
      <w:r w:rsidR="003F36E5">
        <w:t>s</w:t>
      </w:r>
      <w:r w:rsidR="00CE4A93" w:rsidRPr="00DD1D83">
        <w:t xml:space="preserve"> to </w:t>
      </w:r>
      <w:r w:rsidR="00AD2417" w:rsidRPr="00DD1D83">
        <w:t xml:space="preserve">have increased over time, suggesting use </w:t>
      </w:r>
      <w:r w:rsidR="003B2BF7">
        <w:t>has increased over time</w:t>
      </w:r>
      <w:r w:rsidR="00AD2417" w:rsidRPr="00DD1D83">
        <w:t xml:space="preserve">. </w:t>
      </w:r>
      <w:r w:rsidR="00BB72C1">
        <w:t>It appears that s</w:t>
      </w:r>
      <w:r w:rsidR="00AD2417" w:rsidRPr="00DD1D83">
        <w:t xml:space="preserve">easonal effects </w:t>
      </w:r>
      <w:r w:rsidR="00591725">
        <w:t>have affected the use over time</w:t>
      </w:r>
      <w:r w:rsidR="003B2BF7">
        <w:t>,</w:t>
      </w:r>
      <w:r w:rsidR="00AD2417" w:rsidRPr="00DD1D83">
        <w:t xml:space="preserve"> </w:t>
      </w:r>
      <w:r w:rsidR="00F473FA" w:rsidRPr="00DD1D83">
        <w:t xml:space="preserve">with more prescriptions supplied in quarter 4 </w:t>
      </w:r>
      <w:r w:rsidR="007A2E25">
        <w:t xml:space="preserve">of 2020, 2021 and 2022 </w:t>
      </w:r>
      <w:r w:rsidR="00F473FA" w:rsidRPr="00DD1D83">
        <w:t xml:space="preserve">and fewer in quarter 1 of </w:t>
      </w:r>
      <w:r w:rsidR="00DD1D83" w:rsidRPr="00DD1D83">
        <w:t>2021, 2022 and 2023</w:t>
      </w:r>
      <w:r w:rsidR="003B2BF7">
        <w:t>.</w:t>
      </w:r>
    </w:p>
    <w:bookmarkEnd w:id="1"/>
    <w:p w14:paraId="7260B585" w14:textId="77777777" w:rsidR="00952F4B" w:rsidRDefault="00952F4B" w:rsidP="00A35800"/>
    <w:p w14:paraId="2C3192C7" w14:textId="77777777" w:rsidR="009D2D3E" w:rsidRDefault="009D2D3E" w:rsidP="00A35800"/>
    <w:p w14:paraId="091DA489" w14:textId="31FE4BCA" w:rsidR="009D2D3E" w:rsidRDefault="002244E0" w:rsidP="00A35800">
      <w:r>
        <w:rPr>
          <w:noProof/>
        </w:rPr>
        <w:lastRenderedPageBreak/>
        <w:drawing>
          <wp:inline distT="0" distB="0" distL="0" distR="0" wp14:anchorId="03AE633F" wp14:editId="517EBF42">
            <wp:extent cx="5687695" cy="4367530"/>
            <wp:effectExtent l="0" t="0" r="8255" b="13970"/>
            <wp:docPr id="2" name="Chart 2" descr="Patients supplied biologic medicines for severe asthma by drug shows the number of treated patients increasing as the new medicines were listed over time&#10;">
              <a:extLst xmlns:a="http://schemas.openxmlformats.org/drawingml/2006/main">
                <a:ext uri="{FF2B5EF4-FFF2-40B4-BE49-F238E27FC236}">
                  <a16:creationId xmlns:a16="http://schemas.microsoft.com/office/drawing/2014/main" id="{B2452875-7FBD-2A93-1BB9-63B483D75D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BC5CFBD" w14:textId="7255412B" w:rsidR="009D2D3E" w:rsidRDefault="009D2D3E" w:rsidP="00FE5DBB">
      <w:pPr>
        <w:pStyle w:val="Figuretitle"/>
      </w:pPr>
      <w:r w:rsidRPr="009D2D3E">
        <w:t xml:space="preserve">Figure </w:t>
      </w:r>
      <w:r w:rsidR="009C1BA6">
        <w:t>2</w:t>
      </w:r>
      <w:r w:rsidRPr="009D2D3E">
        <w:t xml:space="preserve">: </w:t>
      </w:r>
      <w:r>
        <w:t>Patients supplied</w:t>
      </w:r>
      <w:r w:rsidRPr="009D2D3E">
        <w:t xml:space="preserve"> </w:t>
      </w:r>
      <w:r w:rsidR="00A31189" w:rsidRPr="00A31189">
        <w:t xml:space="preserve">biologic medicines </w:t>
      </w:r>
      <w:r w:rsidRPr="009D2D3E">
        <w:t xml:space="preserve">for severe asthma by </w:t>
      </w:r>
      <w:r w:rsidR="00C04B4E">
        <w:t>drug</w:t>
      </w:r>
    </w:p>
    <w:p w14:paraId="2F403E1C" w14:textId="734B9B6E" w:rsidR="00533FF5" w:rsidRDefault="00A71C61" w:rsidP="00D51BC6">
      <w:pPr>
        <w:pStyle w:val="Notes"/>
        <w:rPr>
          <w:highlight w:val="yellow"/>
        </w:rPr>
      </w:pPr>
      <w:r w:rsidRPr="00A71C61">
        <w:t>Note: Use by drug for severe asthma us</w:t>
      </w:r>
      <w:r>
        <w:t>ing PBS item code</w:t>
      </w:r>
    </w:p>
    <w:p w14:paraId="40A4F59E" w14:textId="07E9F219" w:rsidR="00533FF5" w:rsidRDefault="00533FF5" w:rsidP="00A35800">
      <w:pPr>
        <w:rPr>
          <w:highlight w:val="yellow"/>
        </w:rPr>
      </w:pPr>
      <w:r w:rsidRPr="00533FF5">
        <w:t xml:space="preserve">Figure </w:t>
      </w:r>
      <w:r w:rsidR="009C1BA6">
        <w:t>2</w:t>
      </w:r>
      <w:r w:rsidRPr="00533FF5">
        <w:t xml:space="preserve"> shows the number of </w:t>
      </w:r>
      <w:r w:rsidR="00EE76EE">
        <w:t>patients supplied</w:t>
      </w:r>
      <w:r w:rsidRPr="00533FF5">
        <w:t xml:space="preserve"> </w:t>
      </w:r>
      <w:r w:rsidR="00A31189" w:rsidRPr="00A31189">
        <w:t xml:space="preserve">biologic medicines </w:t>
      </w:r>
      <w:r w:rsidRPr="00533FF5">
        <w:t xml:space="preserve">for severe asthma over time. The gradient of the </w:t>
      </w:r>
      <w:r w:rsidR="008C06DA">
        <w:t xml:space="preserve">line that represents the total number of treated patients </w:t>
      </w:r>
      <w:r w:rsidR="00151FF5" w:rsidRPr="00C53132">
        <w:t>appears to have increased with the listing of benralizumab, however does not appear</w:t>
      </w:r>
      <w:r w:rsidR="00151FF5">
        <w:t xml:space="preserve"> to have increased with the listing of dupilumab. </w:t>
      </w:r>
    </w:p>
    <w:p w14:paraId="75445A23" w14:textId="77777777" w:rsidR="008F52CA" w:rsidRDefault="008F52CA" w:rsidP="00E56106"/>
    <w:p w14:paraId="2BB942DA" w14:textId="39FF3B4C" w:rsidR="00700A7B" w:rsidRDefault="00700A7B" w:rsidP="00A35800">
      <w:r>
        <w:rPr>
          <w:noProof/>
        </w:rPr>
        <w:lastRenderedPageBreak/>
        <w:drawing>
          <wp:inline distT="0" distB="0" distL="0" distR="0" wp14:anchorId="0F929BF8" wp14:editId="4620AC0D">
            <wp:extent cx="5526761" cy="3452775"/>
            <wp:effectExtent l="0" t="0" r="17145" b="14605"/>
            <wp:docPr id="6" name="Chart 6" descr="Prescriber type for biologic medicines for severe asthma as percent of overall prescriptions supplied shows fairly steady proportions for respiratory and sleep medicine specialists, internal medicine specialists, other specialists and immunology and allergy specialists, except for 2020 quarter 2 when the proportion of other specialists approximately doubled.&#10;">
              <a:extLst xmlns:a="http://schemas.openxmlformats.org/drawingml/2006/main">
                <a:ext uri="{FF2B5EF4-FFF2-40B4-BE49-F238E27FC236}">
                  <a16:creationId xmlns:a16="http://schemas.microsoft.com/office/drawing/2014/main" id="{74E50C1A-B90E-7371-AAFB-DBB96E572E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0ED77E9" w14:textId="5C04DB45" w:rsidR="00766A90" w:rsidRDefault="00766A90" w:rsidP="00766A90">
      <w:pPr>
        <w:pStyle w:val="Figuretitle"/>
      </w:pPr>
      <w:r>
        <w:t xml:space="preserve">Figure </w:t>
      </w:r>
      <w:r w:rsidR="009C1BA6">
        <w:t>3</w:t>
      </w:r>
      <w:r>
        <w:t xml:space="preserve">: </w:t>
      </w:r>
      <w:r w:rsidRPr="00766A90">
        <w:t xml:space="preserve">Prescriber type for </w:t>
      </w:r>
      <w:r w:rsidR="00A31189" w:rsidRPr="00A31189">
        <w:t xml:space="preserve">biologic medicines </w:t>
      </w:r>
      <w:r w:rsidRPr="00766A90">
        <w:t xml:space="preserve">for severe asthma </w:t>
      </w:r>
      <w:r>
        <w:t>as percent</w:t>
      </w:r>
      <w:r w:rsidR="00D455BA">
        <w:t xml:space="preserve"> of overall prescriptions supplied</w:t>
      </w:r>
    </w:p>
    <w:p w14:paraId="1811ED7F" w14:textId="77777777" w:rsidR="00D455BA" w:rsidRDefault="00D455BA" w:rsidP="001571E1"/>
    <w:p w14:paraId="1228A91A" w14:textId="594AE1CD" w:rsidR="00700A7B" w:rsidRDefault="008071A9" w:rsidP="00A35800">
      <w:r>
        <w:t xml:space="preserve">Figure </w:t>
      </w:r>
      <w:r w:rsidR="009C1BA6">
        <w:t>3</w:t>
      </w:r>
      <w:r>
        <w:t xml:space="preserve"> shows the prescriber type </w:t>
      </w:r>
      <w:r w:rsidR="00D03F30">
        <w:t xml:space="preserve">for supplied prescriptions of biologics for severe asthma since 2017. </w:t>
      </w:r>
      <w:r w:rsidR="00ED0557">
        <w:t>It appears there was a</w:t>
      </w:r>
      <w:r w:rsidR="00071879">
        <w:t>n</w:t>
      </w:r>
      <w:r w:rsidR="00ED0557">
        <w:t xml:space="preserve"> </w:t>
      </w:r>
      <w:r w:rsidR="005A7AA5">
        <w:t xml:space="preserve">increase in the number of prescriptions written by other specialists in the second quarter of 2020, likely </w:t>
      </w:r>
      <w:r w:rsidR="00F669C7">
        <w:t xml:space="preserve">because patients had issues accessing specialists due to the start of the </w:t>
      </w:r>
      <w:r w:rsidR="00D51DBC">
        <w:t>COVID-19</w:t>
      </w:r>
      <w:r w:rsidR="00F669C7">
        <w:t xml:space="preserve"> pandemic.</w:t>
      </w:r>
    </w:p>
    <w:p w14:paraId="48C95EC5" w14:textId="6CE2C772" w:rsidR="009A303C" w:rsidRDefault="00A42C46" w:rsidP="00A35800">
      <w:r>
        <w:t xml:space="preserve">Table </w:t>
      </w:r>
      <w:r w:rsidR="00E832A7">
        <w:t>4</w:t>
      </w:r>
      <w:r>
        <w:t xml:space="preserve"> shows the sequence of medicines patients have been supplied since 2017. </w:t>
      </w:r>
      <w:r w:rsidR="009A303C">
        <w:t xml:space="preserve">Where a patient is supplied a medicine before and after a second medicine, this medicine is only recorded once. </w:t>
      </w:r>
    </w:p>
    <w:p w14:paraId="09ED69B6" w14:textId="18CE558F" w:rsidR="00952F4B" w:rsidRDefault="00E43206" w:rsidP="00A35800">
      <w:r w:rsidRPr="00E43206">
        <w:t xml:space="preserve">Of the 4,446 patients who </w:t>
      </w:r>
      <w:r>
        <w:t>have been supplied</w:t>
      </w:r>
      <w:r w:rsidRPr="00E43206">
        <w:t xml:space="preserve"> dupilumab, </w:t>
      </w:r>
      <w:r w:rsidR="00FB4DF9" w:rsidRPr="00E43206">
        <w:t xml:space="preserve">2,983 (67%) </w:t>
      </w:r>
      <w:r w:rsidR="00FB4DF9">
        <w:t xml:space="preserve">of these </w:t>
      </w:r>
      <w:r w:rsidR="00FB4DF9" w:rsidRPr="00E43206">
        <w:t xml:space="preserve">patients </w:t>
      </w:r>
      <w:r w:rsidR="00FB4DF9">
        <w:t>initiated therapy on dupilumab</w:t>
      </w:r>
      <w:r w:rsidRPr="00E43206">
        <w:t>, and 1,463 patients were switched to dupilumab from either omalizumab, mepolizumab or benralizumab.</w:t>
      </w:r>
      <w:r w:rsidR="00FB4DF9">
        <w:t xml:space="preserve"> </w:t>
      </w:r>
      <w:r w:rsidR="00C243CE">
        <w:t>Of the 2,983 patients who initiated therapy on dupilumab</w:t>
      </w:r>
      <w:r w:rsidR="00350FB6">
        <w:t xml:space="preserve">, 2,898 </w:t>
      </w:r>
      <w:r w:rsidR="009B4BF4">
        <w:t xml:space="preserve">(97%) have not been supplied another </w:t>
      </w:r>
      <w:r w:rsidR="00302FA5" w:rsidRPr="00302FA5">
        <w:t xml:space="preserve">biologic medicine </w:t>
      </w:r>
      <w:r w:rsidR="009B4BF4">
        <w:t xml:space="preserve">for severe asthma. </w:t>
      </w:r>
      <w:r w:rsidR="00952F4B">
        <w:t xml:space="preserve">Of the 15,238 patients </w:t>
      </w:r>
      <w:r w:rsidR="002805E9">
        <w:t xml:space="preserve">who have been supplied a medicine for </w:t>
      </w:r>
      <w:r w:rsidR="008E104E">
        <w:t>severe asthma, 48</w:t>
      </w:r>
      <w:r w:rsidR="00D54B7B">
        <w:t xml:space="preserve"> (0.32%) have been supplied all four medicines.</w:t>
      </w:r>
    </w:p>
    <w:p w14:paraId="25C40C44" w14:textId="55013569" w:rsidR="00B018F5" w:rsidRDefault="006C21C3" w:rsidP="00020B10">
      <w:pPr>
        <w:pStyle w:val="Tabletitle"/>
        <w:keepNext/>
      </w:pPr>
      <w:r>
        <w:lastRenderedPageBreak/>
        <w:t xml:space="preserve">Table </w:t>
      </w:r>
      <w:r w:rsidR="00516AC5">
        <w:t>4</w:t>
      </w:r>
      <w:r>
        <w:t>: Medicine sequence</w:t>
      </w:r>
    </w:p>
    <w:tbl>
      <w:tblPr>
        <w:tblW w:w="8834" w:type="dxa"/>
        <w:tblInd w:w="113" w:type="dxa"/>
        <w:tblLook w:val="04A0" w:firstRow="1" w:lastRow="0" w:firstColumn="1" w:lastColumn="0" w:noHBand="0" w:noVBand="1"/>
      </w:tblPr>
      <w:tblGrid>
        <w:gridCol w:w="5949"/>
        <w:gridCol w:w="1551"/>
        <w:gridCol w:w="1334"/>
      </w:tblGrid>
      <w:tr w:rsidR="007901E1" w:rsidRPr="00BA2093" w14:paraId="74A0E3A1" w14:textId="36CD2623" w:rsidTr="00A60591">
        <w:trPr>
          <w:trHeight w:val="300"/>
        </w:trPr>
        <w:tc>
          <w:tcPr>
            <w:tcW w:w="594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7735A287" w14:textId="77777777" w:rsidR="007901E1" w:rsidRPr="00BA2093" w:rsidRDefault="007901E1" w:rsidP="00020B10">
            <w:pPr>
              <w:keepNext/>
              <w:spacing w:after="0"/>
              <w:rPr>
                <w:rFonts w:ascii="Calibri" w:eastAsia="Times New Roman" w:hAnsi="Calibri" w:cs="Calibri"/>
                <w:b/>
                <w:bCs/>
                <w:color w:val="000000"/>
                <w:sz w:val="20"/>
                <w:szCs w:val="20"/>
              </w:rPr>
            </w:pPr>
            <w:r w:rsidRPr="00BA2093">
              <w:rPr>
                <w:rFonts w:ascii="Calibri" w:eastAsia="Times New Roman" w:hAnsi="Calibri" w:cs="Calibri"/>
                <w:b/>
                <w:bCs/>
                <w:color w:val="000000"/>
                <w:sz w:val="20"/>
                <w:szCs w:val="20"/>
              </w:rPr>
              <w:t>Sequence</w:t>
            </w:r>
          </w:p>
        </w:tc>
        <w:tc>
          <w:tcPr>
            <w:tcW w:w="1551"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5FA9153E" w14:textId="77777777" w:rsidR="007901E1" w:rsidRPr="00BA2093" w:rsidRDefault="007901E1" w:rsidP="00020B10">
            <w:pPr>
              <w:keepNext/>
              <w:spacing w:after="0"/>
              <w:jc w:val="center"/>
              <w:rPr>
                <w:rFonts w:ascii="Calibri" w:eastAsia="Times New Roman" w:hAnsi="Calibri" w:cs="Calibri"/>
                <w:b/>
                <w:bCs/>
                <w:color w:val="000000"/>
                <w:sz w:val="20"/>
                <w:szCs w:val="20"/>
              </w:rPr>
            </w:pPr>
            <w:r w:rsidRPr="00BA2093">
              <w:rPr>
                <w:rFonts w:ascii="Calibri" w:eastAsia="Times New Roman" w:hAnsi="Calibri" w:cs="Calibri"/>
                <w:b/>
                <w:bCs/>
                <w:color w:val="000000"/>
                <w:sz w:val="20"/>
                <w:szCs w:val="20"/>
              </w:rPr>
              <w:t>Patient count</w:t>
            </w:r>
          </w:p>
        </w:tc>
        <w:tc>
          <w:tcPr>
            <w:tcW w:w="1334" w:type="dxa"/>
            <w:tcBorders>
              <w:top w:val="single" w:sz="4" w:space="0" w:color="auto"/>
              <w:left w:val="nil"/>
              <w:bottom w:val="single" w:sz="4" w:space="0" w:color="auto"/>
              <w:right w:val="single" w:sz="4" w:space="0" w:color="auto"/>
            </w:tcBorders>
            <w:shd w:val="clear" w:color="auto" w:fill="BFBFBF" w:themeFill="background1" w:themeFillShade="BF"/>
            <w:vAlign w:val="bottom"/>
          </w:tcPr>
          <w:p w14:paraId="773CD850" w14:textId="3D1B38F2" w:rsidR="007901E1" w:rsidRPr="00BA2093" w:rsidRDefault="007901E1" w:rsidP="00020B10">
            <w:pPr>
              <w:keepNext/>
              <w:spacing w:after="0"/>
              <w:jc w:val="center"/>
              <w:rPr>
                <w:rFonts w:ascii="Calibri" w:eastAsia="Times New Roman" w:hAnsi="Calibri" w:cs="Calibri"/>
                <w:b/>
                <w:bCs/>
                <w:color w:val="000000"/>
                <w:sz w:val="20"/>
                <w:szCs w:val="20"/>
              </w:rPr>
            </w:pPr>
            <w:r w:rsidRPr="00BA2093">
              <w:rPr>
                <w:rFonts w:ascii="Calibri" w:eastAsia="Times New Roman" w:hAnsi="Calibri" w:cs="Calibri"/>
                <w:b/>
                <w:bCs/>
                <w:color w:val="000000"/>
                <w:sz w:val="20"/>
                <w:szCs w:val="20"/>
              </w:rPr>
              <w:t>Percent</w:t>
            </w:r>
          </w:p>
        </w:tc>
      </w:tr>
      <w:tr w:rsidR="004921CC" w:rsidRPr="00BA2093" w14:paraId="739D1013" w14:textId="7AE325EB" w:rsidTr="00A60591">
        <w:trPr>
          <w:trHeight w:val="300"/>
        </w:trPr>
        <w:tc>
          <w:tcPr>
            <w:tcW w:w="5949" w:type="dxa"/>
            <w:tcBorders>
              <w:top w:val="nil"/>
              <w:left w:val="single" w:sz="4" w:space="0" w:color="auto"/>
              <w:bottom w:val="single" w:sz="4" w:space="0" w:color="auto"/>
              <w:right w:val="single" w:sz="4" w:space="0" w:color="auto"/>
            </w:tcBorders>
            <w:shd w:val="clear" w:color="auto" w:fill="auto"/>
            <w:noWrap/>
            <w:vAlign w:val="bottom"/>
            <w:hideMark/>
          </w:tcPr>
          <w:p w14:paraId="5B499E35" w14:textId="77777777" w:rsidR="004921CC" w:rsidRPr="00BA2093" w:rsidRDefault="004921CC" w:rsidP="00020B10">
            <w:pPr>
              <w:keepNext/>
              <w:spacing w:after="0"/>
              <w:rPr>
                <w:rFonts w:ascii="Calibri" w:eastAsia="Times New Roman" w:hAnsi="Calibri" w:cs="Calibri"/>
                <w:color w:val="000000"/>
                <w:sz w:val="20"/>
                <w:szCs w:val="20"/>
              </w:rPr>
            </w:pPr>
            <w:r w:rsidRPr="00BA2093">
              <w:rPr>
                <w:rFonts w:ascii="Calibri" w:eastAsia="Times New Roman" w:hAnsi="Calibri" w:cs="Calibri"/>
                <w:color w:val="000000"/>
                <w:sz w:val="20"/>
                <w:szCs w:val="20"/>
              </w:rPr>
              <w:t>OMALIZUMAB</w:t>
            </w:r>
          </w:p>
        </w:tc>
        <w:tc>
          <w:tcPr>
            <w:tcW w:w="1551" w:type="dxa"/>
            <w:tcBorders>
              <w:top w:val="nil"/>
              <w:left w:val="nil"/>
              <w:bottom w:val="single" w:sz="4" w:space="0" w:color="auto"/>
              <w:right w:val="single" w:sz="4" w:space="0" w:color="auto"/>
            </w:tcBorders>
            <w:shd w:val="clear" w:color="auto" w:fill="auto"/>
            <w:noWrap/>
            <w:vAlign w:val="bottom"/>
            <w:hideMark/>
          </w:tcPr>
          <w:p w14:paraId="324747DF" w14:textId="40E72E9C"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eastAsia="Times New Roman" w:hAnsi="Calibri" w:cs="Calibri"/>
                <w:color w:val="000000"/>
                <w:sz w:val="20"/>
                <w:szCs w:val="20"/>
              </w:rPr>
              <w:t>3,546</w:t>
            </w:r>
          </w:p>
        </w:tc>
        <w:tc>
          <w:tcPr>
            <w:tcW w:w="1334" w:type="dxa"/>
            <w:tcBorders>
              <w:top w:val="nil"/>
              <w:left w:val="nil"/>
              <w:bottom w:val="single" w:sz="4" w:space="0" w:color="auto"/>
              <w:right w:val="single" w:sz="4" w:space="0" w:color="auto"/>
            </w:tcBorders>
            <w:vAlign w:val="bottom"/>
          </w:tcPr>
          <w:p w14:paraId="7732B263" w14:textId="59228F16"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hAnsi="Calibri" w:cs="Calibri"/>
                <w:color w:val="000000"/>
                <w:sz w:val="20"/>
                <w:szCs w:val="20"/>
              </w:rPr>
              <w:t>23%</w:t>
            </w:r>
          </w:p>
        </w:tc>
      </w:tr>
      <w:tr w:rsidR="004921CC" w:rsidRPr="00BA2093" w14:paraId="1F36AB6A" w14:textId="1FA31CC3" w:rsidTr="00A60591">
        <w:trPr>
          <w:trHeight w:val="300"/>
        </w:trPr>
        <w:tc>
          <w:tcPr>
            <w:tcW w:w="5949" w:type="dxa"/>
            <w:tcBorders>
              <w:top w:val="nil"/>
              <w:left w:val="single" w:sz="4" w:space="0" w:color="auto"/>
              <w:bottom w:val="single" w:sz="4" w:space="0" w:color="auto"/>
              <w:right w:val="single" w:sz="4" w:space="0" w:color="auto"/>
            </w:tcBorders>
            <w:shd w:val="clear" w:color="auto" w:fill="auto"/>
            <w:noWrap/>
            <w:vAlign w:val="bottom"/>
            <w:hideMark/>
          </w:tcPr>
          <w:p w14:paraId="6B7E8F7A" w14:textId="77777777" w:rsidR="004921CC" w:rsidRPr="00BA2093" w:rsidRDefault="004921CC" w:rsidP="00020B10">
            <w:pPr>
              <w:keepNext/>
              <w:spacing w:after="0"/>
              <w:rPr>
                <w:rFonts w:ascii="Calibri" w:eastAsia="Times New Roman" w:hAnsi="Calibri" w:cs="Calibri"/>
                <w:color w:val="000000"/>
                <w:sz w:val="20"/>
                <w:szCs w:val="20"/>
              </w:rPr>
            </w:pPr>
            <w:r w:rsidRPr="00BA2093">
              <w:rPr>
                <w:rFonts w:ascii="Calibri" w:eastAsia="Times New Roman" w:hAnsi="Calibri" w:cs="Calibri"/>
                <w:color w:val="000000"/>
                <w:sz w:val="20"/>
                <w:szCs w:val="20"/>
              </w:rPr>
              <w:t>BENRALIZUMAB</w:t>
            </w:r>
          </w:p>
        </w:tc>
        <w:tc>
          <w:tcPr>
            <w:tcW w:w="1551" w:type="dxa"/>
            <w:tcBorders>
              <w:top w:val="nil"/>
              <w:left w:val="nil"/>
              <w:bottom w:val="single" w:sz="4" w:space="0" w:color="auto"/>
              <w:right w:val="single" w:sz="4" w:space="0" w:color="auto"/>
            </w:tcBorders>
            <w:shd w:val="clear" w:color="auto" w:fill="auto"/>
            <w:noWrap/>
            <w:vAlign w:val="bottom"/>
            <w:hideMark/>
          </w:tcPr>
          <w:p w14:paraId="71532EC8" w14:textId="7FF3DE13"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eastAsia="Times New Roman" w:hAnsi="Calibri" w:cs="Calibri"/>
                <w:color w:val="000000"/>
                <w:sz w:val="20"/>
                <w:szCs w:val="20"/>
              </w:rPr>
              <w:t>3,233</w:t>
            </w:r>
          </w:p>
        </w:tc>
        <w:tc>
          <w:tcPr>
            <w:tcW w:w="1334" w:type="dxa"/>
            <w:tcBorders>
              <w:top w:val="nil"/>
              <w:left w:val="nil"/>
              <w:bottom w:val="single" w:sz="4" w:space="0" w:color="auto"/>
              <w:right w:val="single" w:sz="4" w:space="0" w:color="auto"/>
            </w:tcBorders>
            <w:vAlign w:val="bottom"/>
          </w:tcPr>
          <w:p w14:paraId="4F933337" w14:textId="1DD826D8"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hAnsi="Calibri" w:cs="Calibri"/>
                <w:color w:val="000000"/>
                <w:sz w:val="20"/>
                <w:szCs w:val="20"/>
              </w:rPr>
              <w:t>21%</w:t>
            </w:r>
          </w:p>
        </w:tc>
      </w:tr>
      <w:tr w:rsidR="004921CC" w:rsidRPr="00BA2093" w14:paraId="70BE8675" w14:textId="45D375FA" w:rsidTr="00A60591">
        <w:trPr>
          <w:trHeight w:val="300"/>
        </w:trPr>
        <w:tc>
          <w:tcPr>
            <w:tcW w:w="5949" w:type="dxa"/>
            <w:tcBorders>
              <w:top w:val="nil"/>
              <w:left w:val="single" w:sz="4" w:space="0" w:color="auto"/>
              <w:bottom w:val="single" w:sz="4" w:space="0" w:color="auto"/>
              <w:right w:val="single" w:sz="4" w:space="0" w:color="auto"/>
            </w:tcBorders>
            <w:shd w:val="clear" w:color="auto" w:fill="auto"/>
            <w:noWrap/>
            <w:vAlign w:val="bottom"/>
            <w:hideMark/>
          </w:tcPr>
          <w:p w14:paraId="0F5AC59F" w14:textId="77777777" w:rsidR="004921CC" w:rsidRPr="00BA2093" w:rsidRDefault="004921CC" w:rsidP="00020B10">
            <w:pPr>
              <w:keepNext/>
              <w:spacing w:after="0"/>
              <w:rPr>
                <w:rFonts w:ascii="Calibri" w:eastAsia="Times New Roman" w:hAnsi="Calibri" w:cs="Calibri"/>
                <w:color w:val="000000"/>
                <w:sz w:val="20"/>
                <w:szCs w:val="20"/>
              </w:rPr>
            </w:pPr>
            <w:r w:rsidRPr="00BA2093">
              <w:rPr>
                <w:rFonts w:ascii="Calibri" w:eastAsia="Times New Roman" w:hAnsi="Calibri" w:cs="Calibri"/>
                <w:color w:val="000000"/>
                <w:sz w:val="20"/>
                <w:szCs w:val="20"/>
              </w:rPr>
              <w:t>MEPOLIZUMAB</w:t>
            </w:r>
          </w:p>
        </w:tc>
        <w:tc>
          <w:tcPr>
            <w:tcW w:w="1551" w:type="dxa"/>
            <w:tcBorders>
              <w:top w:val="nil"/>
              <w:left w:val="nil"/>
              <w:bottom w:val="single" w:sz="4" w:space="0" w:color="auto"/>
              <w:right w:val="single" w:sz="4" w:space="0" w:color="auto"/>
            </w:tcBorders>
            <w:shd w:val="clear" w:color="auto" w:fill="auto"/>
            <w:noWrap/>
            <w:vAlign w:val="bottom"/>
            <w:hideMark/>
          </w:tcPr>
          <w:p w14:paraId="285C1C83" w14:textId="499B8313"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eastAsia="Times New Roman" w:hAnsi="Calibri" w:cs="Calibri"/>
                <w:color w:val="000000"/>
                <w:sz w:val="20"/>
                <w:szCs w:val="20"/>
              </w:rPr>
              <w:t>2,963</w:t>
            </w:r>
          </w:p>
        </w:tc>
        <w:tc>
          <w:tcPr>
            <w:tcW w:w="1334" w:type="dxa"/>
            <w:tcBorders>
              <w:top w:val="nil"/>
              <w:left w:val="nil"/>
              <w:bottom w:val="single" w:sz="4" w:space="0" w:color="auto"/>
              <w:right w:val="single" w:sz="4" w:space="0" w:color="auto"/>
            </w:tcBorders>
            <w:vAlign w:val="bottom"/>
          </w:tcPr>
          <w:p w14:paraId="5C61C54B" w14:textId="0856FCDF"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hAnsi="Calibri" w:cs="Calibri"/>
                <w:color w:val="000000"/>
                <w:sz w:val="20"/>
                <w:szCs w:val="20"/>
              </w:rPr>
              <w:t>19%</w:t>
            </w:r>
          </w:p>
        </w:tc>
      </w:tr>
      <w:tr w:rsidR="004921CC" w:rsidRPr="00BA2093" w14:paraId="793A5745" w14:textId="29FDAA72" w:rsidTr="00A60591">
        <w:trPr>
          <w:trHeight w:val="300"/>
        </w:trPr>
        <w:tc>
          <w:tcPr>
            <w:tcW w:w="5949" w:type="dxa"/>
            <w:tcBorders>
              <w:top w:val="nil"/>
              <w:left w:val="single" w:sz="4" w:space="0" w:color="auto"/>
              <w:bottom w:val="single" w:sz="4" w:space="0" w:color="auto"/>
              <w:right w:val="single" w:sz="4" w:space="0" w:color="auto"/>
            </w:tcBorders>
            <w:shd w:val="clear" w:color="auto" w:fill="auto"/>
            <w:noWrap/>
            <w:vAlign w:val="bottom"/>
            <w:hideMark/>
          </w:tcPr>
          <w:p w14:paraId="58393189" w14:textId="77777777" w:rsidR="004921CC" w:rsidRPr="00BA2093" w:rsidRDefault="004921CC" w:rsidP="00020B10">
            <w:pPr>
              <w:keepNext/>
              <w:spacing w:after="0"/>
              <w:rPr>
                <w:rFonts w:ascii="Calibri" w:eastAsia="Times New Roman" w:hAnsi="Calibri" w:cs="Calibri"/>
                <w:color w:val="000000"/>
                <w:sz w:val="20"/>
                <w:szCs w:val="20"/>
              </w:rPr>
            </w:pPr>
            <w:r w:rsidRPr="00BA2093">
              <w:rPr>
                <w:rFonts w:ascii="Calibri" w:eastAsia="Times New Roman" w:hAnsi="Calibri" w:cs="Calibri"/>
                <w:color w:val="000000"/>
                <w:sz w:val="20"/>
                <w:szCs w:val="20"/>
              </w:rPr>
              <w:t>DUPILUMAB</w:t>
            </w:r>
          </w:p>
        </w:tc>
        <w:tc>
          <w:tcPr>
            <w:tcW w:w="1551" w:type="dxa"/>
            <w:tcBorders>
              <w:top w:val="nil"/>
              <w:left w:val="nil"/>
              <w:bottom w:val="single" w:sz="4" w:space="0" w:color="auto"/>
              <w:right w:val="single" w:sz="4" w:space="0" w:color="auto"/>
            </w:tcBorders>
            <w:shd w:val="clear" w:color="auto" w:fill="auto"/>
            <w:noWrap/>
            <w:vAlign w:val="bottom"/>
            <w:hideMark/>
          </w:tcPr>
          <w:p w14:paraId="252E3880" w14:textId="6E0059A0"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eastAsia="Times New Roman" w:hAnsi="Calibri" w:cs="Calibri"/>
                <w:color w:val="000000"/>
                <w:sz w:val="20"/>
                <w:szCs w:val="20"/>
              </w:rPr>
              <w:t>2,898</w:t>
            </w:r>
          </w:p>
        </w:tc>
        <w:tc>
          <w:tcPr>
            <w:tcW w:w="1334" w:type="dxa"/>
            <w:tcBorders>
              <w:top w:val="nil"/>
              <w:left w:val="nil"/>
              <w:bottom w:val="single" w:sz="4" w:space="0" w:color="auto"/>
              <w:right w:val="single" w:sz="4" w:space="0" w:color="auto"/>
            </w:tcBorders>
            <w:vAlign w:val="bottom"/>
          </w:tcPr>
          <w:p w14:paraId="0380A8CA" w14:textId="0C2FA6AB"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hAnsi="Calibri" w:cs="Calibri"/>
                <w:color w:val="000000"/>
                <w:sz w:val="20"/>
                <w:szCs w:val="20"/>
              </w:rPr>
              <w:t>19%</w:t>
            </w:r>
          </w:p>
        </w:tc>
      </w:tr>
      <w:tr w:rsidR="004921CC" w:rsidRPr="00BA2093" w14:paraId="3C3B0CA3" w14:textId="220F12F6" w:rsidTr="00A60591">
        <w:trPr>
          <w:trHeight w:val="300"/>
        </w:trPr>
        <w:tc>
          <w:tcPr>
            <w:tcW w:w="5949" w:type="dxa"/>
            <w:tcBorders>
              <w:top w:val="nil"/>
              <w:left w:val="single" w:sz="4" w:space="0" w:color="auto"/>
              <w:bottom w:val="single" w:sz="4" w:space="0" w:color="auto"/>
              <w:right w:val="single" w:sz="4" w:space="0" w:color="auto"/>
            </w:tcBorders>
            <w:shd w:val="clear" w:color="auto" w:fill="auto"/>
            <w:noWrap/>
            <w:vAlign w:val="bottom"/>
            <w:hideMark/>
          </w:tcPr>
          <w:p w14:paraId="4E32EAED" w14:textId="77777777" w:rsidR="004921CC" w:rsidRPr="00BA2093" w:rsidRDefault="004921CC" w:rsidP="00020B10">
            <w:pPr>
              <w:keepNext/>
              <w:spacing w:after="0"/>
              <w:rPr>
                <w:rFonts w:ascii="Calibri" w:eastAsia="Times New Roman" w:hAnsi="Calibri" w:cs="Calibri"/>
                <w:color w:val="000000"/>
                <w:sz w:val="20"/>
                <w:szCs w:val="20"/>
              </w:rPr>
            </w:pPr>
            <w:r w:rsidRPr="00BA2093">
              <w:rPr>
                <w:rFonts w:ascii="Calibri" w:eastAsia="Times New Roman" w:hAnsi="Calibri" w:cs="Calibri"/>
                <w:color w:val="000000"/>
                <w:sz w:val="20"/>
                <w:szCs w:val="20"/>
              </w:rPr>
              <w:t>MEPOLIZUMAB &gt; BENRALIZUMAB</w:t>
            </w:r>
          </w:p>
        </w:tc>
        <w:tc>
          <w:tcPr>
            <w:tcW w:w="1551" w:type="dxa"/>
            <w:tcBorders>
              <w:top w:val="nil"/>
              <w:left w:val="nil"/>
              <w:bottom w:val="single" w:sz="4" w:space="0" w:color="auto"/>
              <w:right w:val="single" w:sz="4" w:space="0" w:color="auto"/>
            </w:tcBorders>
            <w:shd w:val="clear" w:color="auto" w:fill="auto"/>
            <w:noWrap/>
            <w:vAlign w:val="bottom"/>
            <w:hideMark/>
          </w:tcPr>
          <w:p w14:paraId="126B5F7D" w14:textId="77777777"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eastAsia="Times New Roman" w:hAnsi="Calibri" w:cs="Calibri"/>
                <w:color w:val="000000"/>
                <w:sz w:val="20"/>
                <w:szCs w:val="20"/>
              </w:rPr>
              <w:t>442</w:t>
            </w:r>
          </w:p>
        </w:tc>
        <w:tc>
          <w:tcPr>
            <w:tcW w:w="1334" w:type="dxa"/>
            <w:tcBorders>
              <w:top w:val="nil"/>
              <w:left w:val="nil"/>
              <w:bottom w:val="single" w:sz="4" w:space="0" w:color="auto"/>
              <w:right w:val="single" w:sz="4" w:space="0" w:color="auto"/>
            </w:tcBorders>
            <w:vAlign w:val="bottom"/>
          </w:tcPr>
          <w:p w14:paraId="37571B25" w14:textId="1B19B5AE"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hAnsi="Calibri" w:cs="Calibri"/>
                <w:color w:val="000000"/>
                <w:sz w:val="20"/>
                <w:szCs w:val="20"/>
              </w:rPr>
              <w:t>3%</w:t>
            </w:r>
          </w:p>
        </w:tc>
      </w:tr>
      <w:tr w:rsidR="004921CC" w:rsidRPr="00BA2093" w14:paraId="2BD2256C" w14:textId="4512C2A1" w:rsidTr="00A60591">
        <w:trPr>
          <w:trHeight w:val="300"/>
        </w:trPr>
        <w:tc>
          <w:tcPr>
            <w:tcW w:w="5949" w:type="dxa"/>
            <w:tcBorders>
              <w:top w:val="nil"/>
              <w:left w:val="single" w:sz="4" w:space="0" w:color="auto"/>
              <w:bottom w:val="single" w:sz="4" w:space="0" w:color="auto"/>
              <w:right w:val="single" w:sz="4" w:space="0" w:color="auto"/>
            </w:tcBorders>
            <w:shd w:val="clear" w:color="auto" w:fill="auto"/>
            <w:noWrap/>
            <w:vAlign w:val="bottom"/>
            <w:hideMark/>
          </w:tcPr>
          <w:p w14:paraId="406094F8" w14:textId="77777777" w:rsidR="004921CC" w:rsidRPr="00BA2093" w:rsidRDefault="004921CC" w:rsidP="00020B10">
            <w:pPr>
              <w:keepNext/>
              <w:spacing w:after="0"/>
              <w:rPr>
                <w:rFonts w:ascii="Calibri" w:eastAsia="Times New Roman" w:hAnsi="Calibri" w:cs="Calibri"/>
                <w:color w:val="000000"/>
                <w:sz w:val="20"/>
                <w:szCs w:val="20"/>
              </w:rPr>
            </w:pPr>
            <w:r w:rsidRPr="00BA2093">
              <w:rPr>
                <w:rFonts w:ascii="Calibri" w:eastAsia="Times New Roman" w:hAnsi="Calibri" w:cs="Calibri"/>
                <w:color w:val="000000"/>
                <w:sz w:val="20"/>
                <w:szCs w:val="20"/>
              </w:rPr>
              <w:t>OMALIZUMAB &gt; DUPILUMAB</w:t>
            </w:r>
          </w:p>
        </w:tc>
        <w:tc>
          <w:tcPr>
            <w:tcW w:w="1551" w:type="dxa"/>
            <w:tcBorders>
              <w:top w:val="nil"/>
              <w:left w:val="nil"/>
              <w:bottom w:val="single" w:sz="4" w:space="0" w:color="auto"/>
              <w:right w:val="single" w:sz="4" w:space="0" w:color="auto"/>
            </w:tcBorders>
            <w:shd w:val="clear" w:color="auto" w:fill="auto"/>
            <w:noWrap/>
            <w:vAlign w:val="bottom"/>
            <w:hideMark/>
          </w:tcPr>
          <w:p w14:paraId="543FBA12" w14:textId="77777777"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eastAsia="Times New Roman" w:hAnsi="Calibri" w:cs="Calibri"/>
                <w:color w:val="000000"/>
                <w:sz w:val="20"/>
                <w:szCs w:val="20"/>
              </w:rPr>
              <w:t>418</w:t>
            </w:r>
          </w:p>
        </w:tc>
        <w:tc>
          <w:tcPr>
            <w:tcW w:w="1334" w:type="dxa"/>
            <w:tcBorders>
              <w:top w:val="nil"/>
              <w:left w:val="nil"/>
              <w:bottom w:val="single" w:sz="4" w:space="0" w:color="auto"/>
              <w:right w:val="single" w:sz="4" w:space="0" w:color="auto"/>
            </w:tcBorders>
            <w:vAlign w:val="bottom"/>
          </w:tcPr>
          <w:p w14:paraId="7BC17E84" w14:textId="445B9998"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hAnsi="Calibri" w:cs="Calibri"/>
                <w:color w:val="000000"/>
                <w:sz w:val="20"/>
                <w:szCs w:val="20"/>
              </w:rPr>
              <w:t>3%</w:t>
            </w:r>
          </w:p>
        </w:tc>
      </w:tr>
      <w:tr w:rsidR="004921CC" w:rsidRPr="00BA2093" w14:paraId="24FC0E8F" w14:textId="75A27C8E" w:rsidTr="00A60591">
        <w:trPr>
          <w:trHeight w:val="300"/>
        </w:trPr>
        <w:tc>
          <w:tcPr>
            <w:tcW w:w="5949" w:type="dxa"/>
            <w:tcBorders>
              <w:top w:val="nil"/>
              <w:left w:val="single" w:sz="4" w:space="0" w:color="auto"/>
              <w:bottom w:val="single" w:sz="4" w:space="0" w:color="auto"/>
              <w:right w:val="single" w:sz="4" w:space="0" w:color="auto"/>
            </w:tcBorders>
            <w:shd w:val="clear" w:color="auto" w:fill="auto"/>
            <w:noWrap/>
            <w:vAlign w:val="bottom"/>
            <w:hideMark/>
          </w:tcPr>
          <w:p w14:paraId="37F274C1" w14:textId="77777777" w:rsidR="004921CC" w:rsidRPr="00BA2093" w:rsidRDefault="004921CC" w:rsidP="00020B10">
            <w:pPr>
              <w:keepNext/>
              <w:spacing w:after="0"/>
              <w:rPr>
                <w:rFonts w:ascii="Calibri" w:eastAsia="Times New Roman" w:hAnsi="Calibri" w:cs="Calibri"/>
                <w:color w:val="000000"/>
                <w:sz w:val="20"/>
                <w:szCs w:val="20"/>
              </w:rPr>
            </w:pPr>
            <w:r w:rsidRPr="00BA2093">
              <w:rPr>
                <w:rFonts w:ascii="Calibri" w:eastAsia="Times New Roman" w:hAnsi="Calibri" w:cs="Calibri"/>
                <w:color w:val="000000"/>
                <w:sz w:val="20"/>
                <w:szCs w:val="20"/>
              </w:rPr>
              <w:t>BENRALIZUMAB &gt; DUPILUMAB</w:t>
            </w:r>
          </w:p>
        </w:tc>
        <w:tc>
          <w:tcPr>
            <w:tcW w:w="1551" w:type="dxa"/>
            <w:tcBorders>
              <w:top w:val="nil"/>
              <w:left w:val="nil"/>
              <w:bottom w:val="single" w:sz="4" w:space="0" w:color="auto"/>
              <w:right w:val="single" w:sz="4" w:space="0" w:color="auto"/>
            </w:tcBorders>
            <w:shd w:val="clear" w:color="auto" w:fill="auto"/>
            <w:noWrap/>
            <w:vAlign w:val="bottom"/>
            <w:hideMark/>
          </w:tcPr>
          <w:p w14:paraId="6B75E5C1" w14:textId="77777777"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eastAsia="Times New Roman" w:hAnsi="Calibri" w:cs="Calibri"/>
                <w:color w:val="000000"/>
                <w:sz w:val="20"/>
                <w:szCs w:val="20"/>
              </w:rPr>
              <w:t>371</w:t>
            </w:r>
          </w:p>
        </w:tc>
        <w:tc>
          <w:tcPr>
            <w:tcW w:w="1334" w:type="dxa"/>
            <w:tcBorders>
              <w:top w:val="nil"/>
              <w:left w:val="nil"/>
              <w:bottom w:val="single" w:sz="4" w:space="0" w:color="auto"/>
              <w:right w:val="single" w:sz="4" w:space="0" w:color="auto"/>
            </w:tcBorders>
            <w:vAlign w:val="bottom"/>
          </w:tcPr>
          <w:p w14:paraId="7591513D" w14:textId="09203DB4"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hAnsi="Calibri" w:cs="Calibri"/>
                <w:color w:val="000000"/>
                <w:sz w:val="20"/>
                <w:szCs w:val="20"/>
              </w:rPr>
              <w:t>2%</w:t>
            </w:r>
          </w:p>
        </w:tc>
      </w:tr>
      <w:tr w:rsidR="004921CC" w:rsidRPr="00BA2093" w14:paraId="4E97322B" w14:textId="311E516A" w:rsidTr="00A60591">
        <w:trPr>
          <w:trHeight w:val="300"/>
        </w:trPr>
        <w:tc>
          <w:tcPr>
            <w:tcW w:w="5949" w:type="dxa"/>
            <w:tcBorders>
              <w:top w:val="nil"/>
              <w:left w:val="single" w:sz="4" w:space="0" w:color="auto"/>
              <w:bottom w:val="single" w:sz="4" w:space="0" w:color="auto"/>
              <w:right w:val="single" w:sz="4" w:space="0" w:color="auto"/>
            </w:tcBorders>
            <w:shd w:val="clear" w:color="auto" w:fill="auto"/>
            <w:noWrap/>
            <w:vAlign w:val="bottom"/>
            <w:hideMark/>
          </w:tcPr>
          <w:p w14:paraId="74C737B9" w14:textId="77777777" w:rsidR="004921CC" w:rsidRPr="00BA2093" w:rsidRDefault="004921CC" w:rsidP="00020B10">
            <w:pPr>
              <w:keepNext/>
              <w:spacing w:after="0"/>
              <w:rPr>
                <w:rFonts w:ascii="Calibri" w:eastAsia="Times New Roman" w:hAnsi="Calibri" w:cs="Calibri"/>
                <w:color w:val="000000"/>
                <w:sz w:val="20"/>
                <w:szCs w:val="20"/>
              </w:rPr>
            </w:pPr>
            <w:r w:rsidRPr="00BA2093">
              <w:rPr>
                <w:rFonts w:ascii="Calibri" w:eastAsia="Times New Roman" w:hAnsi="Calibri" w:cs="Calibri"/>
                <w:color w:val="000000"/>
                <w:sz w:val="20"/>
                <w:szCs w:val="20"/>
              </w:rPr>
              <w:t>MEPOLIZUMAB &gt; DUPILUMAB</w:t>
            </w:r>
          </w:p>
        </w:tc>
        <w:tc>
          <w:tcPr>
            <w:tcW w:w="1551" w:type="dxa"/>
            <w:tcBorders>
              <w:top w:val="nil"/>
              <w:left w:val="nil"/>
              <w:bottom w:val="single" w:sz="4" w:space="0" w:color="auto"/>
              <w:right w:val="single" w:sz="4" w:space="0" w:color="auto"/>
            </w:tcBorders>
            <w:shd w:val="clear" w:color="auto" w:fill="auto"/>
            <w:noWrap/>
            <w:vAlign w:val="bottom"/>
            <w:hideMark/>
          </w:tcPr>
          <w:p w14:paraId="19B1A1C1" w14:textId="77777777"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eastAsia="Times New Roman" w:hAnsi="Calibri" w:cs="Calibri"/>
                <w:color w:val="000000"/>
                <w:sz w:val="20"/>
                <w:szCs w:val="20"/>
              </w:rPr>
              <w:t>282</w:t>
            </w:r>
          </w:p>
        </w:tc>
        <w:tc>
          <w:tcPr>
            <w:tcW w:w="1334" w:type="dxa"/>
            <w:tcBorders>
              <w:top w:val="nil"/>
              <w:left w:val="nil"/>
              <w:bottom w:val="single" w:sz="4" w:space="0" w:color="auto"/>
              <w:right w:val="single" w:sz="4" w:space="0" w:color="auto"/>
            </w:tcBorders>
            <w:vAlign w:val="bottom"/>
          </w:tcPr>
          <w:p w14:paraId="73261C28" w14:textId="34EBE1EE"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hAnsi="Calibri" w:cs="Calibri"/>
                <w:color w:val="000000"/>
                <w:sz w:val="20"/>
                <w:szCs w:val="20"/>
              </w:rPr>
              <w:t>2%</w:t>
            </w:r>
          </w:p>
        </w:tc>
      </w:tr>
      <w:tr w:rsidR="004921CC" w:rsidRPr="00BA2093" w14:paraId="47C5FCF2" w14:textId="62232E64" w:rsidTr="00A60591">
        <w:trPr>
          <w:trHeight w:val="300"/>
        </w:trPr>
        <w:tc>
          <w:tcPr>
            <w:tcW w:w="5949" w:type="dxa"/>
            <w:tcBorders>
              <w:top w:val="nil"/>
              <w:left w:val="single" w:sz="4" w:space="0" w:color="auto"/>
              <w:bottom w:val="single" w:sz="4" w:space="0" w:color="auto"/>
              <w:right w:val="single" w:sz="4" w:space="0" w:color="auto"/>
            </w:tcBorders>
            <w:shd w:val="clear" w:color="auto" w:fill="auto"/>
            <w:noWrap/>
            <w:vAlign w:val="bottom"/>
            <w:hideMark/>
          </w:tcPr>
          <w:p w14:paraId="196C7949" w14:textId="77777777" w:rsidR="004921CC" w:rsidRPr="00BA2093" w:rsidRDefault="004921CC" w:rsidP="00020B10">
            <w:pPr>
              <w:keepNext/>
              <w:spacing w:after="0"/>
              <w:rPr>
                <w:rFonts w:ascii="Calibri" w:eastAsia="Times New Roman" w:hAnsi="Calibri" w:cs="Calibri"/>
                <w:color w:val="000000"/>
                <w:sz w:val="20"/>
                <w:szCs w:val="20"/>
              </w:rPr>
            </w:pPr>
            <w:r w:rsidRPr="00BA2093">
              <w:rPr>
                <w:rFonts w:ascii="Calibri" w:eastAsia="Times New Roman" w:hAnsi="Calibri" w:cs="Calibri"/>
                <w:color w:val="000000"/>
                <w:sz w:val="20"/>
                <w:szCs w:val="20"/>
              </w:rPr>
              <w:t>OMALIZUMAB &gt; BENRALIZUMAB</w:t>
            </w:r>
          </w:p>
        </w:tc>
        <w:tc>
          <w:tcPr>
            <w:tcW w:w="1551" w:type="dxa"/>
            <w:tcBorders>
              <w:top w:val="nil"/>
              <w:left w:val="nil"/>
              <w:bottom w:val="single" w:sz="4" w:space="0" w:color="auto"/>
              <w:right w:val="single" w:sz="4" w:space="0" w:color="auto"/>
            </w:tcBorders>
            <w:shd w:val="clear" w:color="auto" w:fill="auto"/>
            <w:noWrap/>
            <w:vAlign w:val="bottom"/>
            <w:hideMark/>
          </w:tcPr>
          <w:p w14:paraId="71759AF1" w14:textId="77777777"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eastAsia="Times New Roman" w:hAnsi="Calibri" w:cs="Calibri"/>
                <w:color w:val="000000"/>
                <w:sz w:val="20"/>
                <w:szCs w:val="20"/>
              </w:rPr>
              <w:t>229</w:t>
            </w:r>
          </w:p>
        </w:tc>
        <w:tc>
          <w:tcPr>
            <w:tcW w:w="1334" w:type="dxa"/>
            <w:tcBorders>
              <w:top w:val="nil"/>
              <w:left w:val="nil"/>
              <w:bottom w:val="single" w:sz="4" w:space="0" w:color="auto"/>
              <w:right w:val="single" w:sz="4" w:space="0" w:color="auto"/>
            </w:tcBorders>
            <w:vAlign w:val="bottom"/>
          </w:tcPr>
          <w:p w14:paraId="7AB7A231" w14:textId="5847427F"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hAnsi="Calibri" w:cs="Calibri"/>
                <w:color w:val="000000"/>
                <w:sz w:val="20"/>
                <w:szCs w:val="20"/>
              </w:rPr>
              <w:t>2%</w:t>
            </w:r>
          </w:p>
        </w:tc>
      </w:tr>
      <w:tr w:rsidR="004921CC" w:rsidRPr="00BA2093" w14:paraId="459AAF7A" w14:textId="7659AC20" w:rsidTr="00A60591">
        <w:trPr>
          <w:trHeight w:val="300"/>
        </w:trPr>
        <w:tc>
          <w:tcPr>
            <w:tcW w:w="5949" w:type="dxa"/>
            <w:tcBorders>
              <w:top w:val="nil"/>
              <w:left w:val="single" w:sz="4" w:space="0" w:color="auto"/>
              <w:bottom w:val="single" w:sz="4" w:space="0" w:color="auto"/>
              <w:right w:val="single" w:sz="4" w:space="0" w:color="auto"/>
            </w:tcBorders>
            <w:shd w:val="clear" w:color="auto" w:fill="auto"/>
            <w:noWrap/>
            <w:vAlign w:val="bottom"/>
            <w:hideMark/>
          </w:tcPr>
          <w:p w14:paraId="1185B140" w14:textId="77777777" w:rsidR="004921CC" w:rsidRPr="00BA2093" w:rsidRDefault="004921CC" w:rsidP="00020B10">
            <w:pPr>
              <w:keepNext/>
              <w:spacing w:after="0"/>
              <w:rPr>
                <w:rFonts w:ascii="Calibri" w:eastAsia="Times New Roman" w:hAnsi="Calibri" w:cs="Calibri"/>
                <w:color w:val="000000"/>
                <w:sz w:val="20"/>
                <w:szCs w:val="20"/>
              </w:rPr>
            </w:pPr>
            <w:r w:rsidRPr="00BA2093">
              <w:rPr>
                <w:rFonts w:ascii="Calibri" w:eastAsia="Times New Roman" w:hAnsi="Calibri" w:cs="Calibri"/>
                <w:color w:val="000000"/>
                <w:sz w:val="20"/>
                <w:szCs w:val="20"/>
              </w:rPr>
              <w:t>BENRALIZUMAB &gt; MEPOLIZUMAB</w:t>
            </w:r>
          </w:p>
        </w:tc>
        <w:tc>
          <w:tcPr>
            <w:tcW w:w="1551" w:type="dxa"/>
            <w:tcBorders>
              <w:top w:val="nil"/>
              <w:left w:val="nil"/>
              <w:bottom w:val="single" w:sz="4" w:space="0" w:color="auto"/>
              <w:right w:val="single" w:sz="4" w:space="0" w:color="auto"/>
            </w:tcBorders>
            <w:shd w:val="clear" w:color="auto" w:fill="auto"/>
            <w:noWrap/>
            <w:vAlign w:val="bottom"/>
            <w:hideMark/>
          </w:tcPr>
          <w:p w14:paraId="50ED95DA" w14:textId="77777777"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eastAsia="Times New Roman" w:hAnsi="Calibri" w:cs="Calibri"/>
                <w:color w:val="000000"/>
                <w:sz w:val="20"/>
                <w:szCs w:val="20"/>
              </w:rPr>
              <w:t>155</w:t>
            </w:r>
          </w:p>
        </w:tc>
        <w:tc>
          <w:tcPr>
            <w:tcW w:w="1334" w:type="dxa"/>
            <w:tcBorders>
              <w:top w:val="nil"/>
              <w:left w:val="nil"/>
              <w:bottom w:val="single" w:sz="4" w:space="0" w:color="auto"/>
              <w:right w:val="single" w:sz="4" w:space="0" w:color="auto"/>
            </w:tcBorders>
            <w:vAlign w:val="bottom"/>
          </w:tcPr>
          <w:p w14:paraId="692D4128" w14:textId="40CEF693"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hAnsi="Calibri" w:cs="Calibri"/>
                <w:color w:val="000000"/>
                <w:sz w:val="20"/>
                <w:szCs w:val="20"/>
              </w:rPr>
              <w:t>1%</w:t>
            </w:r>
          </w:p>
        </w:tc>
      </w:tr>
      <w:tr w:rsidR="004921CC" w:rsidRPr="00BA2093" w14:paraId="68E3FB53" w14:textId="1EEE347A" w:rsidTr="00A60591">
        <w:trPr>
          <w:trHeight w:val="300"/>
        </w:trPr>
        <w:tc>
          <w:tcPr>
            <w:tcW w:w="5949" w:type="dxa"/>
            <w:tcBorders>
              <w:top w:val="nil"/>
              <w:left w:val="single" w:sz="4" w:space="0" w:color="auto"/>
              <w:bottom w:val="single" w:sz="4" w:space="0" w:color="auto"/>
              <w:right w:val="single" w:sz="4" w:space="0" w:color="auto"/>
            </w:tcBorders>
            <w:shd w:val="clear" w:color="auto" w:fill="auto"/>
            <w:noWrap/>
            <w:vAlign w:val="bottom"/>
            <w:hideMark/>
          </w:tcPr>
          <w:p w14:paraId="5A4AA8A5" w14:textId="77777777" w:rsidR="004921CC" w:rsidRPr="00BA2093" w:rsidRDefault="004921CC" w:rsidP="00020B10">
            <w:pPr>
              <w:keepNext/>
              <w:spacing w:after="0"/>
              <w:rPr>
                <w:rFonts w:ascii="Calibri" w:eastAsia="Times New Roman" w:hAnsi="Calibri" w:cs="Calibri"/>
                <w:color w:val="000000"/>
                <w:sz w:val="20"/>
                <w:szCs w:val="20"/>
              </w:rPr>
            </w:pPr>
            <w:r w:rsidRPr="00BA2093">
              <w:rPr>
                <w:rFonts w:ascii="Calibri" w:eastAsia="Times New Roman" w:hAnsi="Calibri" w:cs="Calibri"/>
                <w:color w:val="000000"/>
                <w:sz w:val="20"/>
                <w:szCs w:val="20"/>
              </w:rPr>
              <w:t>OMALIZUMAB &gt; MEPOLIZUMAB</w:t>
            </w:r>
          </w:p>
        </w:tc>
        <w:tc>
          <w:tcPr>
            <w:tcW w:w="1551" w:type="dxa"/>
            <w:tcBorders>
              <w:top w:val="nil"/>
              <w:left w:val="nil"/>
              <w:bottom w:val="single" w:sz="4" w:space="0" w:color="auto"/>
              <w:right w:val="single" w:sz="4" w:space="0" w:color="auto"/>
            </w:tcBorders>
            <w:shd w:val="clear" w:color="auto" w:fill="auto"/>
            <w:noWrap/>
            <w:vAlign w:val="bottom"/>
            <w:hideMark/>
          </w:tcPr>
          <w:p w14:paraId="7D34AD29" w14:textId="77777777"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eastAsia="Times New Roman" w:hAnsi="Calibri" w:cs="Calibri"/>
                <w:color w:val="000000"/>
                <w:sz w:val="20"/>
                <w:szCs w:val="20"/>
              </w:rPr>
              <w:t>126</w:t>
            </w:r>
          </w:p>
        </w:tc>
        <w:tc>
          <w:tcPr>
            <w:tcW w:w="1334" w:type="dxa"/>
            <w:tcBorders>
              <w:top w:val="nil"/>
              <w:left w:val="nil"/>
              <w:bottom w:val="single" w:sz="4" w:space="0" w:color="auto"/>
              <w:right w:val="single" w:sz="4" w:space="0" w:color="auto"/>
            </w:tcBorders>
            <w:vAlign w:val="bottom"/>
          </w:tcPr>
          <w:p w14:paraId="335FFF58" w14:textId="5ED64994"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hAnsi="Calibri" w:cs="Calibri"/>
                <w:color w:val="000000"/>
                <w:sz w:val="20"/>
                <w:szCs w:val="20"/>
              </w:rPr>
              <w:t>1%</w:t>
            </w:r>
          </w:p>
        </w:tc>
      </w:tr>
      <w:tr w:rsidR="004921CC" w:rsidRPr="00BA2093" w14:paraId="7E44F65D" w14:textId="2F87DFF3" w:rsidTr="00A60591">
        <w:trPr>
          <w:trHeight w:val="300"/>
        </w:trPr>
        <w:tc>
          <w:tcPr>
            <w:tcW w:w="5949" w:type="dxa"/>
            <w:tcBorders>
              <w:top w:val="nil"/>
              <w:left w:val="single" w:sz="4" w:space="0" w:color="auto"/>
              <w:bottom w:val="single" w:sz="4" w:space="0" w:color="auto"/>
              <w:right w:val="single" w:sz="4" w:space="0" w:color="auto"/>
            </w:tcBorders>
            <w:shd w:val="clear" w:color="auto" w:fill="auto"/>
            <w:noWrap/>
            <w:vAlign w:val="bottom"/>
            <w:hideMark/>
          </w:tcPr>
          <w:p w14:paraId="0D2D7BB1" w14:textId="77777777" w:rsidR="004921CC" w:rsidRPr="00BA2093" w:rsidRDefault="004921CC" w:rsidP="00020B10">
            <w:pPr>
              <w:keepNext/>
              <w:spacing w:after="0"/>
              <w:rPr>
                <w:rFonts w:ascii="Calibri" w:eastAsia="Times New Roman" w:hAnsi="Calibri" w:cs="Calibri"/>
                <w:color w:val="000000"/>
                <w:sz w:val="20"/>
                <w:szCs w:val="20"/>
              </w:rPr>
            </w:pPr>
            <w:r w:rsidRPr="00BA2093">
              <w:rPr>
                <w:rFonts w:ascii="Calibri" w:eastAsia="Times New Roman" w:hAnsi="Calibri" w:cs="Calibri"/>
                <w:color w:val="000000"/>
                <w:sz w:val="20"/>
                <w:szCs w:val="20"/>
              </w:rPr>
              <w:t>MEPOLIZUMAB &gt; BENRALIZUMAB &gt; DUPILUMAB</w:t>
            </w:r>
          </w:p>
        </w:tc>
        <w:tc>
          <w:tcPr>
            <w:tcW w:w="1551" w:type="dxa"/>
            <w:tcBorders>
              <w:top w:val="nil"/>
              <w:left w:val="nil"/>
              <w:bottom w:val="single" w:sz="4" w:space="0" w:color="auto"/>
              <w:right w:val="single" w:sz="4" w:space="0" w:color="auto"/>
            </w:tcBorders>
            <w:shd w:val="clear" w:color="auto" w:fill="auto"/>
            <w:noWrap/>
            <w:vAlign w:val="bottom"/>
            <w:hideMark/>
          </w:tcPr>
          <w:p w14:paraId="24EEF54B" w14:textId="77777777"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eastAsia="Times New Roman" w:hAnsi="Calibri" w:cs="Calibri"/>
                <w:color w:val="000000"/>
                <w:sz w:val="20"/>
                <w:szCs w:val="20"/>
              </w:rPr>
              <w:t>94</w:t>
            </w:r>
          </w:p>
        </w:tc>
        <w:tc>
          <w:tcPr>
            <w:tcW w:w="1334" w:type="dxa"/>
            <w:tcBorders>
              <w:top w:val="nil"/>
              <w:left w:val="nil"/>
              <w:bottom w:val="single" w:sz="4" w:space="0" w:color="auto"/>
              <w:right w:val="single" w:sz="4" w:space="0" w:color="auto"/>
            </w:tcBorders>
            <w:vAlign w:val="bottom"/>
          </w:tcPr>
          <w:p w14:paraId="0AA74698" w14:textId="5DD1AD59"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hAnsi="Calibri" w:cs="Calibri"/>
                <w:color w:val="000000"/>
                <w:sz w:val="20"/>
                <w:szCs w:val="20"/>
              </w:rPr>
              <w:t>1%</w:t>
            </w:r>
          </w:p>
        </w:tc>
      </w:tr>
      <w:tr w:rsidR="004921CC" w:rsidRPr="00BA2093" w14:paraId="5E54E8C9" w14:textId="29A4DDC5" w:rsidTr="00A60591">
        <w:trPr>
          <w:trHeight w:val="300"/>
        </w:trPr>
        <w:tc>
          <w:tcPr>
            <w:tcW w:w="5949" w:type="dxa"/>
            <w:tcBorders>
              <w:top w:val="nil"/>
              <w:left w:val="single" w:sz="4" w:space="0" w:color="auto"/>
              <w:bottom w:val="single" w:sz="4" w:space="0" w:color="auto"/>
              <w:right w:val="single" w:sz="4" w:space="0" w:color="auto"/>
            </w:tcBorders>
            <w:shd w:val="clear" w:color="auto" w:fill="auto"/>
            <w:noWrap/>
            <w:vAlign w:val="bottom"/>
            <w:hideMark/>
          </w:tcPr>
          <w:p w14:paraId="36AC4FDD" w14:textId="77777777" w:rsidR="004921CC" w:rsidRPr="00BA2093" w:rsidRDefault="004921CC" w:rsidP="00020B10">
            <w:pPr>
              <w:keepNext/>
              <w:spacing w:after="0"/>
              <w:rPr>
                <w:rFonts w:ascii="Calibri" w:eastAsia="Times New Roman" w:hAnsi="Calibri" w:cs="Calibri"/>
                <w:color w:val="000000"/>
                <w:sz w:val="20"/>
                <w:szCs w:val="20"/>
              </w:rPr>
            </w:pPr>
            <w:r w:rsidRPr="00BA2093">
              <w:rPr>
                <w:rFonts w:ascii="Calibri" w:eastAsia="Times New Roman" w:hAnsi="Calibri" w:cs="Calibri"/>
                <w:color w:val="000000"/>
                <w:sz w:val="20"/>
                <w:szCs w:val="20"/>
              </w:rPr>
              <w:t>OMALIZUMAB &gt; BENRALIZUMAB &gt; DUPILUMAB</w:t>
            </w:r>
          </w:p>
        </w:tc>
        <w:tc>
          <w:tcPr>
            <w:tcW w:w="1551" w:type="dxa"/>
            <w:tcBorders>
              <w:top w:val="nil"/>
              <w:left w:val="nil"/>
              <w:bottom w:val="single" w:sz="4" w:space="0" w:color="auto"/>
              <w:right w:val="single" w:sz="4" w:space="0" w:color="auto"/>
            </w:tcBorders>
            <w:shd w:val="clear" w:color="auto" w:fill="auto"/>
            <w:noWrap/>
            <w:vAlign w:val="bottom"/>
            <w:hideMark/>
          </w:tcPr>
          <w:p w14:paraId="0B80915A" w14:textId="77777777"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eastAsia="Times New Roman" w:hAnsi="Calibri" w:cs="Calibri"/>
                <w:color w:val="000000"/>
                <w:sz w:val="20"/>
                <w:szCs w:val="20"/>
              </w:rPr>
              <w:t>91</w:t>
            </w:r>
          </w:p>
        </w:tc>
        <w:tc>
          <w:tcPr>
            <w:tcW w:w="1334" w:type="dxa"/>
            <w:tcBorders>
              <w:top w:val="nil"/>
              <w:left w:val="nil"/>
              <w:bottom w:val="single" w:sz="4" w:space="0" w:color="auto"/>
              <w:right w:val="single" w:sz="4" w:space="0" w:color="auto"/>
            </w:tcBorders>
            <w:vAlign w:val="bottom"/>
          </w:tcPr>
          <w:p w14:paraId="34DC8C9C" w14:textId="4FF40F77"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hAnsi="Calibri" w:cs="Calibri"/>
                <w:color w:val="000000"/>
                <w:sz w:val="20"/>
                <w:szCs w:val="20"/>
              </w:rPr>
              <w:t>1%</w:t>
            </w:r>
          </w:p>
        </w:tc>
      </w:tr>
      <w:tr w:rsidR="004921CC" w:rsidRPr="00BA2093" w14:paraId="55187CE3" w14:textId="282D8A68" w:rsidTr="00A60591">
        <w:trPr>
          <w:trHeight w:val="300"/>
        </w:trPr>
        <w:tc>
          <w:tcPr>
            <w:tcW w:w="5949" w:type="dxa"/>
            <w:tcBorders>
              <w:top w:val="nil"/>
              <w:left w:val="single" w:sz="4" w:space="0" w:color="auto"/>
              <w:bottom w:val="single" w:sz="4" w:space="0" w:color="auto"/>
              <w:right w:val="single" w:sz="4" w:space="0" w:color="auto"/>
            </w:tcBorders>
            <w:shd w:val="clear" w:color="auto" w:fill="auto"/>
            <w:noWrap/>
            <w:vAlign w:val="bottom"/>
            <w:hideMark/>
          </w:tcPr>
          <w:p w14:paraId="7A733E9C" w14:textId="77777777" w:rsidR="004921CC" w:rsidRPr="00BA2093" w:rsidRDefault="004921CC" w:rsidP="00020B10">
            <w:pPr>
              <w:keepNext/>
              <w:spacing w:after="0"/>
              <w:rPr>
                <w:rFonts w:ascii="Calibri" w:eastAsia="Times New Roman" w:hAnsi="Calibri" w:cs="Calibri"/>
                <w:color w:val="000000"/>
                <w:sz w:val="20"/>
                <w:szCs w:val="20"/>
              </w:rPr>
            </w:pPr>
            <w:r w:rsidRPr="00BA2093">
              <w:rPr>
                <w:rFonts w:ascii="Calibri" w:eastAsia="Times New Roman" w:hAnsi="Calibri" w:cs="Calibri"/>
                <w:color w:val="000000"/>
                <w:sz w:val="20"/>
                <w:szCs w:val="20"/>
              </w:rPr>
              <w:t>DUPILUMAB &gt; BENRALIZUMAB</w:t>
            </w:r>
          </w:p>
        </w:tc>
        <w:tc>
          <w:tcPr>
            <w:tcW w:w="1551" w:type="dxa"/>
            <w:tcBorders>
              <w:top w:val="nil"/>
              <w:left w:val="nil"/>
              <w:bottom w:val="single" w:sz="4" w:space="0" w:color="auto"/>
              <w:right w:val="single" w:sz="4" w:space="0" w:color="auto"/>
            </w:tcBorders>
            <w:shd w:val="clear" w:color="auto" w:fill="auto"/>
            <w:noWrap/>
            <w:vAlign w:val="bottom"/>
            <w:hideMark/>
          </w:tcPr>
          <w:p w14:paraId="3235CD7A" w14:textId="77777777"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eastAsia="Times New Roman" w:hAnsi="Calibri" w:cs="Calibri"/>
                <w:color w:val="000000"/>
                <w:sz w:val="20"/>
                <w:szCs w:val="20"/>
              </w:rPr>
              <w:t>38</w:t>
            </w:r>
          </w:p>
        </w:tc>
        <w:tc>
          <w:tcPr>
            <w:tcW w:w="1334" w:type="dxa"/>
            <w:tcBorders>
              <w:top w:val="nil"/>
              <w:left w:val="nil"/>
              <w:bottom w:val="single" w:sz="4" w:space="0" w:color="auto"/>
              <w:right w:val="single" w:sz="4" w:space="0" w:color="auto"/>
            </w:tcBorders>
            <w:vAlign w:val="bottom"/>
          </w:tcPr>
          <w:p w14:paraId="762385B4" w14:textId="610223CB"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hAnsi="Calibri" w:cs="Calibri"/>
                <w:color w:val="000000"/>
                <w:sz w:val="20"/>
                <w:szCs w:val="20"/>
              </w:rPr>
              <w:t>0.2%</w:t>
            </w:r>
          </w:p>
        </w:tc>
      </w:tr>
      <w:tr w:rsidR="004921CC" w:rsidRPr="00BA2093" w14:paraId="533CB97C" w14:textId="5C4D5B56" w:rsidTr="00A60591">
        <w:trPr>
          <w:trHeight w:val="300"/>
        </w:trPr>
        <w:tc>
          <w:tcPr>
            <w:tcW w:w="5949" w:type="dxa"/>
            <w:tcBorders>
              <w:top w:val="nil"/>
              <w:left w:val="single" w:sz="4" w:space="0" w:color="auto"/>
              <w:bottom w:val="single" w:sz="4" w:space="0" w:color="auto"/>
              <w:right w:val="single" w:sz="4" w:space="0" w:color="auto"/>
            </w:tcBorders>
            <w:shd w:val="clear" w:color="auto" w:fill="auto"/>
            <w:noWrap/>
            <w:vAlign w:val="bottom"/>
            <w:hideMark/>
          </w:tcPr>
          <w:p w14:paraId="277BF9D1" w14:textId="77777777" w:rsidR="004921CC" w:rsidRPr="00BA2093" w:rsidRDefault="004921CC" w:rsidP="00020B10">
            <w:pPr>
              <w:keepNext/>
              <w:spacing w:after="0"/>
              <w:rPr>
                <w:rFonts w:ascii="Calibri" w:eastAsia="Times New Roman" w:hAnsi="Calibri" w:cs="Calibri"/>
                <w:color w:val="000000"/>
                <w:sz w:val="20"/>
                <w:szCs w:val="20"/>
              </w:rPr>
            </w:pPr>
            <w:r w:rsidRPr="00BA2093">
              <w:rPr>
                <w:rFonts w:ascii="Calibri" w:eastAsia="Times New Roman" w:hAnsi="Calibri" w:cs="Calibri"/>
                <w:color w:val="000000"/>
                <w:sz w:val="20"/>
                <w:szCs w:val="20"/>
              </w:rPr>
              <w:t>OMALIZUMAB &gt; MEPOLIZUMAB &gt; DUPILUMAB</w:t>
            </w:r>
          </w:p>
        </w:tc>
        <w:tc>
          <w:tcPr>
            <w:tcW w:w="1551" w:type="dxa"/>
            <w:tcBorders>
              <w:top w:val="nil"/>
              <w:left w:val="nil"/>
              <w:bottom w:val="single" w:sz="4" w:space="0" w:color="auto"/>
              <w:right w:val="single" w:sz="4" w:space="0" w:color="auto"/>
            </w:tcBorders>
            <w:shd w:val="clear" w:color="auto" w:fill="auto"/>
            <w:noWrap/>
            <w:vAlign w:val="bottom"/>
            <w:hideMark/>
          </w:tcPr>
          <w:p w14:paraId="5A2B893C" w14:textId="77777777"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eastAsia="Times New Roman" w:hAnsi="Calibri" w:cs="Calibri"/>
                <w:color w:val="000000"/>
                <w:sz w:val="20"/>
                <w:szCs w:val="20"/>
              </w:rPr>
              <w:t>36</w:t>
            </w:r>
          </w:p>
        </w:tc>
        <w:tc>
          <w:tcPr>
            <w:tcW w:w="1334" w:type="dxa"/>
            <w:tcBorders>
              <w:top w:val="nil"/>
              <w:left w:val="nil"/>
              <w:bottom w:val="single" w:sz="4" w:space="0" w:color="auto"/>
              <w:right w:val="single" w:sz="4" w:space="0" w:color="auto"/>
            </w:tcBorders>
            <w:vAlign w:val="bottom"/>
          </w:tcPr>
          <w:p w14:paraId="1EB5D0BB" w14:textId="2A23FB3D"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hAnsi="Calibri" w:cs="Calibri"/>
                <w:color w:val="000000"/>
                <w:sz w:val="20"/>
                <w:szCs w:val="20"/>
              </w:rPr>
              <w:t>0.2%</w:t>
            </w:r>
          </w:p>
        </w:tc>
      </w:tr>
      <w:tr w:rsidR="004921CC" w:rsidRPr="00BA2093" w14:paraId="04D940DA" w14:textId="74F50C94" w:rsidTr="00A60591">
        <w:trPr>
          <w:trHeight w:val="300"/>
        </w:trPr>
        <w:tc>
          <w:tcPr>
            <w:tcW w:w="5949" w:type="dxa"/>
            <w:tcBorders>
              <w:top w:val="nil"/>
              <w:left w:val="single" w:sz="4" w:space="0" w:color="auto"/>
              <w:bottom w:val="single" w:sz="4" w:space="0" w:color="auto"/>
              <w:right w:val="single" w:sz="4" w:space="0" w:color="auto"/>
            </w:tcBorders>
            <w:shd w:val="clear" w:color="auto" w:fill="auto"/>
            <w:noWrap/>
            <w:vAlign w:val="bottom"/>
            <w:hideMark/>
          </w:tcPr>
          <w:p w14:paraId="5BA49918" w14:textId="77777777" w:rsidR="004921CC" w:rsidRPr="00BA2093" w:rsidRDefault="004921CC" w:rsidP="00020B10">
            <w:pPr>
              <w:keepNext/>
              <w:spacing w:after="0"/>
              <w:rPr>
                <w:rFonts w:ascii="Calibri" w:eastAsia="Times New Roman" w:hAnsi="Calibri" w:cs="Calibri"/>
                <w:color w:val="000000"/>
                <w:sz w:val="20"/>
                <w:szCs w:val="20"/>
              </w:rPr>
            </w:pPr>
            <w:r w:rsidRPr="00BA2093">
              <w:rPr>
                <w:rFonts w:ascii="Calibri" w:eastAsia="Times New Roman" w:hAnsi="Calibri" w:cs="Calibri"/>
                <w:color w:val="000000"/>
                <w:sz w:val="20"/>
                <w:szCs w:val="20"/>
              </w:rPr>
              <w:t>BENRALIZUMAB &gt; MEPOLIZUMAB &gt; DUPILUMAB</w:t>
            </w:r>
          </w:p>
        </w:tc>
        <w:tc>
          <w:tcPr>
            <w:tcW w:w="1551" w:type="dxa"/>
            <w:tcBorders>
              <w:top w:val="nil"/>
              <w:left w:val="nil"/>
              <w:bottom w:val="single" w:sz="4" w:space="0" w:color="auto"/>
              <w:right w:val="single" w:sz="4" w:space="0" w:color="auto"/>
            </w:tcBorders>
            <w:shd w:val="clear" w:color="auto" w:fill="auto"/>
            <w:noWrap/>
            <w:vAlign w:val="bottom"/>
            <w:hideMark/>
          </w:tcPr>
          <w:p w14:paraId="54921FC2" w14:textId="77777777"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eastAsia="Times New Roman" w:hAnsi="Calibri" w:cs="Calibri"/>
                <w:color w:val="000000"/>
                <w:sz w:val="20"/>
                <w:szCs w:val="20"/>
              </w:rPr>
              <w:t>31</w:t>
            </w:r>
          </w:p>
        </w:tc>
        <w:tc>
          <w:tcPr>
            <w:tcW w:w="1334" w:type="dxa"/>
            <w:tcBorders>
              <w:top w:val="nil"/>
              <w:left w:val="nil"/>
              <w:bottom w:val="single" w:sz="4" w:space="0" w:color="auto"/>
              <w:right w:val="single" w:sz="4" w:space="0" w:color="auto"/>
            </w:tcBorders>
            <w:vAlign w:val="bottom"/>
          </w:tcPr>
          <w:p w14:paraId="77F087B8" w14:textId="416A1A7E"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hAnsi="Calibri" w:cs="Calibri"/>
                <w:color w:val="000000"/>
                <w:sz w:val="20"/>
                <w:szCs w:val="20"/>
              </w:rPr>
              <w:t>0.2%</w:t>
            </w:r>
          </w:p>
        </w:tc>
      </w:tr>
      <w:tr w:rsidR="004921CC" w:rsidRPr="00BA2093" w14:paraId="6AE6BFA1" w14:textId="7C69911E" w:rsidTr="00A60591">
        <w:trPr>
          <w:trHeight w:val="300"/>
        </w:trPr>
        <w:tc>
          <w:tcPr>
            <w:tcW w:w="5949" w:type="dxa"/>
            <w:tcBorders>
              <w:top w:val="nil"/>
              <w:left w:val="single" w:sz="4" w:space="0" w:color="auto"/>
              <w:bottom w:val="single" w:sz="4" w:space="0" w:color="auto"/>
              <w:right w:val="single" w:sz="4" w:space="0" w:color="auto"/>
            </w:tcBorders>
            <w:shd w:val="clear" w:color="auto" w:fill="auto"/>
            <w:noWrap/>
            <w:vAlign w:val="bottom"/>
            <w:hideMark/>
          </w:tcPr>
          <w:p w14:paraId="1D99A9D6" w14:textId="77777777" w:rsidR="004921CC" w:rsidRPr="00BA2093" w:rsidRDefault="004921CC" w:rsidP="00020B10">
            <w:pPr>
              <w:keepNext/>
              <w:spacing w:after="0"/>
              <w:rPr>
                <w:rFonts w:ascii="Calibri" w:eastAsia="Times New Roman" w:hAnsi="Calibri" w:cs="Calibri"/>
                <w:color w:val="000000"/>
                <w:sz w:val="20"/>
                <w:szCs w:val="20"/>
              </w:rPr>
            </w:pPr>
            <w:r w:rsidRPr="00BA2093">
              <w:rPr>
                <w:rFonts w:ascii="Calibri" w:eastAsia="Times New Roman" w:hAnsi="Calibri" w:cs="Calibri"/>
                <w:color w:val="000000"/>
                <w:sz w:val="20"/>
                <w:szCs w:val="20"/>
              </w:rPr>
              <w:t>BENRALIZUMAB &gt; OMALIZUMAB</w:t>
            </w:r>
          </w:p>
        </w:tc>
        <w:tc>
          <w:tcPr>
            <w:tcW w:w="1551" w:type="dxa"/>
            <w:tcBorders>
              <w:top w:val="nil"/>
              <w:left w:val="nil"/>
              <w:bottom w:val="single" w:sz="4" w:space="0" w:color="auto"/>
              <w:right w:val="single" w:sz="4" w:space="0" w:color="auto"/>
            </w:tcBorders>
            <w:shd w:val="clear" w:color="auto" w:fill="auto"/>
            <w:noWrap/>
            <w:vAlign w:val="bottom"/>
            <w:hideMark/>
          </w:tcPr>
          <w:p w14:paraId="2B154AE3" w14:textId="77777777"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eastAsia="Times New Roman" w:hAnsi="Calibri" w:cs="Calibri"/>
                <w:color w:val="000000"/>
                <w:sz w:val="20"/>
                <w:szCs w:val="20"/>
              </w:rPr>
              <w:t>25</w:t>
            </w:r>
          </w:p>
        </w:tc>
        <w:tc>
          <w:tcPr>
            <w:tcW w:w="1334" w:type="dxa"/>
            <w:tcBorders>
              <w:top w:val="nil"/>
              <w:left w:val="nil"/>
              <w:bottom w:val="single" w:sz="4" w:space="0" w:color="auto"/>
              <w:right w:val="single" w:sz="4" w:space="0" w:color="auto"/>
            </w:tcBorders>
            <w:vAlign w:val="bottom"/>
          </w:tcPr>
          <w:p w14:paraId="78F13730" w14:textId="1E872A9E"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hAnsi="Calibri" w:cs="Calibri"/>
                <w:color w:val="000000"/>
                <w:sz w:val="20"/>
                <w:szCs w:val="20"/>
              </w:rPr>
              <w:t>0.2%</w:t>
            </w:r>
          </w:p>
        </w:tc>
      </w:tr>
      <w:tr w:rsidR="004921CC" w:rsidRPr="00BA2093" w14:paraId="3D89FB2B" w14:textId="052D0FE2" w:rsidTr="00A60591">
        <w:trPr>
          <w:trHeight w:val="300"/>
        </w:trPr>
        <w:tc>
          <w:tcPr>
            <w:tcW w:w="5949" w:type="dxa"/>
            <w:tcBorders>
              <w:top w:val="nil"/>
              <w:left w:val="single" w:sz="4" w:space="0" w:color="auto"/>
              <w:bottom w:val="single" w:sz="4" w:space="0" w:color="auto"/>
              <w:right w:val="single" w:sz="4" w:space="0" w:color="auto"/>
            </w:tcBorders>
            <w:shd w:val="clear" w:color="auto" w:fill="auto"/>
            <w:noWrap/>
            <w:vAlign w:val="bottom"/>
            <w:hideMark/>
          </w:tcPr>
          <w:p w14:paraId="3152632C" w14:textId="77777777" w:rsidR="004921CC" w:rsidRPr="00BA2093" w:rsidRDefault="004921CC" w:rsidP="00020B10">
            <w:pPr>
              <w:keepNext/>
              <w:spacing w:after="0"/>
              <w:rPr>
                <w:rFonts w:ascii="Calibri" w:eastAsia="Times New Roman" w:hAnsi="Calibri" w:cs="Calibri"/>
                <w:color w:val="000000"/>
                <w:sz w:val="20"/>
                <w:szCs w:val="20"/>
              </w:rPr>
            </w:pPr>
            <w:r w:rsidRPr="00BA2093">
              <w:rPr>
                <w:rFonts w:ascii="Calibri" w:eastAsia="Times New Roman" w:hAnsi="Calibri" w:cs="Calibri"/>
                <w:color w:val="000000"/>
                <w:sz w:val="20"/>
                <w:szCs w:val="20"/>
              </w:rPr>
              <w:t>OMALIZUMAB &gt; MEPOLIZUMAB &gt; BENRALIZUMAB</w:t>
            </w:r>
          </w:p>
        </w:tc>
        <w:tc>
          <w:tcPr>
            <w:tcW w:w="1551" w:type="dxa"/>
            <w:tcBorders>
              <w:top w:val="nil"/>
              <w:left w:val="nil"/>
              <w:bottom w:val="single" w:sz="4" w:space="0" w:color="auto"/>
              <w:right w:val="single" w:sz="4" w:space="0" w:color="auto"/>
            </w:tcBorders>
            <w:shd w:val="clear" w:color="auto" w:fill="auto"/>
            <w:noWrap/>
            <w:vAlign w:val="bottom"/>
            <w:hideMark/>
          </w:tcPr>
          <w:p w14:paraId="40B3672D" w14:textId="77777777"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eastAsia="Times New Roman" w:hAnsi="Calibri" w:cs="Calibri"/>
                <w:color w:val="000000"/>
                <w:sz w:val="20"/>
                <w:szCs w:val="20"/>
              </w:rPr>
              <w:t>25</w:t>
            </w:r>
          </w:p>
        </w:tc>
        <w:tc>
          <w:tcPr>
            <w:tcW w:w="1334" w:type="dxa"/>
            <w:tcBorders>
              <w:top w:val="nil"/>
              <w:left w:val="nil"/>
              <w:bottom w:val="single" w:sz="4" w:space="0" w:color="auto"/>
              <w:right w:val="single" w:sz="4" w:space="0" w:color="auto"/>
            </w:tcBorders>
            <w:vAlign w:val="bottom"/>
          </w:tcPr>
          <w:p w14:paraId="2CC702A2" w14:textId="427AB6E1"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hAnsi="Calibri" w:cs="Calibri"/>
                <w:color w:val="000000"/>
                <w:sz w:val="20"/>
                <w:szCs w:val="20"/>
              </w:rPr>
              <w:t>0.2%</w:t>
            </w:r>
          </w:p>
        </w:tc>
      </w:tr>
      <w:tr w:rsidR="004921CC" w:rsidRPr="00BA2093" w14:paraId="5C0745FD" w14:textId="42885870" w:rsidTr="00A60591">
        <w:trPr>
          <w:trHeight w:val="300"/>
        </w:trPr>
        <w:tc>
          <w:tcPr>
            <w:tcW w:w="5949" w:type="dxa"/>
            <w:tcBorders>
              <w:top w:val="nil"/>
              <w:left w:val="single" w:sz="4" w:space="0" w:color="auto"/>
              <w:bottom w:val="single" w:sz="4" w:space="0" w:color="auto"/>
              <w:right w:val="single" w:sz="4" w:space="0" w:color="auto"/>
            </w:tcBorders>
            <w:shd w:val="clear" w:color="auto" w:fill="auto"/>
            <w:noWrap/>
            <w:vAlign w:val="bottom"/>
            <w:hideMark/>
          </w:tcPr>
          <w:p w14:paraId="717587F2" w14:textId="77777777" w:rsidR="004921CC" w:rsidRPr="00BA2093" w:rsidRDefault="004921CC" w:rsidP="00020B10">
            <w:pPr>
              <w:keepNext/>
              <w:spacing w:after="0"/>
              <w:rPr>
                <w:rFonts w:ascii="Calibri" w:eastAsia="Times New Roman" w:hAnsi="Calibri" w:cs="Calibri"/>
                <w:color w:val="000000"/>
                <w:sz w:val="20"/>
                <w:szCs w:val="20"/>
              </w:rPr>
            </w:pPr>
            <w:r w:rsidRPr="00BA2093">
              <w:rPr>
                <w:rFonts w:ascii="Calibri" w:eastAsia="Times New Roman" w:hAnsi="Calibri" w:cs="Calibri"/>
                <w:color w:val="000000"/>
                <w:sz w:val="20"/>
                <w:szCs w:val="20"/>
              </w:rPr>
              <w:t>DUPILUMAB &gt; MEPOLIZUMAB</w:t>
            </w:r>
          </w:p>
        </w:tc>
        <w:tc>
          <w:tcPr>
            <w:tcW w:w="1551" w:type="dxa"/>
            <w:tcBorders>
              <w:top w:val="nil"/>
              <w:left w:val="nil"/>
              <w:bottom w:val="single" w:sz="4" w:space="0" w:color="auto"/>
              <w:right w:val="single" w:sz="4" w:space="0" w:color="auto"/>
            </w:tcBorders>
            <w:shd w:val="clear" w:color="auto" w:fill="auto"/>
            <w:noWrap/>
            <w:vAlign w:val="bottom"/>
            <w:hideMark/>
          </w:tcPr>
          <w:p w14:paraId="44ED3B43" w14:textId="77777777"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eastAsia="Times New Roman" w:hAnsi="Calibri" w:cs="Calibri"/>
                <w:color w:val="000000"/>
                <w:sz w:val="20"/>
                <w:szCs w:val="20"/>
              </w:rPr>
              <w:t>24</w:t>
            </w:r>
          </w:p>
        </w:tc>
        <w:tc>
          <w:tcPr>
            <w:tcW w:w="1334" w:type="dxa"/>
            <w:tcBorders>
              <w:top w:val="nil"/>
              <w:left w:val="nil"/>
              <w:bottom w:val="single" w:sz="4" w:space="0" w:color="auto"/>
              <w:right w:val="single" w:sz="4" w:space="0" w:color="auto"/>
            </w:tcBorders>
            <w:vAlign w:val="bottom"/>
          </w:tcPr>
          <w:p w14:paraId="03B59955" w14:textId="78C6BA84"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hAnsi="Calibri" w:cs="Calibri"/>
                <w:color w:val="000000"/>
                <w:sz w:val="20"/>
                <w:szCs w:val="20"/>
              </w:rPr>
              <w:t>0.2%</w:t>
            </w:r>
          </w:p>
        </w:tc>
      </w:tr>
      <w:tr w:rsidR="004921CC" w:rsidRPr="00BA2093" w14:paraId="4DC0A7D0" w14:textId="45F2B4FE" w:rsidTr="00A60591">
        <w:trPr>
          <w:trHeight w:val="300"/>
        </w:trPr>
        <w:tc>
          <w:tcPr>
            <w:tcW w:w="5949" w:type="dxa"/>
            <w:tcBorders>
              <w:top w:val="nil"/>
              <w:left w:val="single" w:sz="4" w:space="0" w:color="auto"/>
              <w:bottom w:val="single" w:sz="4" w:space="0" w:color="auto"/>
              <w:right w:val="single" w:sz="4" w:space="0" w:color="auto"/>
            </w:tcBorders>
            <w:shd w:val="clear" w:color="auto" w:fill="auto"/>
            <w:noWrap/>
            <w:vAlign w:val="bottom"/>
            <w:hideMark/>
          </w:tcPr>
          <w:p w14:paraId="1E14F426" w14:textId="77777777" w:rsidR="004921CC" w:rsidRPr="00BA2093" w:rsidRDefault="004921CC" w:rsidP="00020B10">
            <w:pPr>
              <w:keepNext/>
              <w:spacing w:after="0"/>
              <w:rPr>
                <w:rFonts w:ascii="Calibri" w:eastAsia="Times New Roman" w:hAnsi="Calibri" w:cs="Calibri"/>
                <w:color w:val="000000"/>
                <w:sz w:val="20"/>
                <w:szCs w:val="20"/>
              </w:rPr>
            </w:pPr>
            <w:r w:rsidRPr="00BA2093">
              <w:rPr>
                <w:rFonts w:ascii="Calibri" w:eastAsia="Times New Roman" w:hAnsi="Calibri" w:cs="Calibri"/>
                <w:color w:val="000000"/>
                <w:sz w:val="20"/>
                <w:szCs w:val="20"/>
              </w:rPr>
              <w:t>MEPOLIZUMAB &gt; OMALIZUMAB &gt; DUPILUMAB</w:t>
            </w:r>
          </w:p>
        </w:tc>
        <w:tc>
          <w:tcPr>
            <w:tcW w:w="1551" w:type="dxa"/>
            <w:tcBorders>
              <w:top w:val="nil"/>
              <w:left w:val="nil"/>
              <w:bottom w:val="single" w:sz="4" w:space="0" w:color="auto"/>
              <w:right w:val="single" w:sz="4" w:space="0" w:color="auto"/>
            </w:tcBorders>
            <w:shd w:val="clear" w:color="auto" w:fill="auto"/>
            <w:noWrap/>
            <w:vAlign w:val="bottom"/>
            <w:hideMark/>
          </w:tcPr>
          <w:p w14:paraId="24E7053C" w14:textId="77777777"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eastAsia="Times New Roman" w:hAnsi="Calibri" w:cs="Calibri"/>
                <w:color w:val="000000"/>
                <w:sz w:val="20"/>
                <w:szCs w:val="20"/>
              </w:rPr>
              <w:t>23</w:t>
            </w:r>
          </w:p>
        </w:tc>
        <w:tc>
          <w:tcPr>
            <w:tcW w:w="1334" w:type="dxa"/>
            <w:tcBorders>
              <w:top w:val="nil"/>
              <w:left w:val="nil"/>
              <w:bottom w:val="single" w:sz="4" w:space="0" w:color="auto"/>
              <w:right w:val="single" w:sz="4" w:space="0" w:color="auto"/>
            </w:tcBorders>
            <w:vAlign w:val="bottom"/>
          </w:tcPr>
          <w:p w14:paraId="0B165203" w14:textId="7AEE3F8D"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hAnsi="Calibri" w:cs="Calibri"/>
                <w:color w:val="000000"/>
                <w:sz w:val="20"/>
                <w:szCs w:val="20"/>
              </w:rPr>
              <w:t>0.2%</w:t>
            </w:r>
          </w:p>
        </w:tc>
      </w:tr>
      <w:tr w:rsidR="004921CC" w:rsidRPr="00BA2093" w14:paraId="5CC16CB4" w14:textId="640AB4C9" w:rsidTr="00A60591">
        <w:trPr>
          <w:trHeight w:val="300"/>
        </w:trPr>
        <w:tc>
          <w:tcPr>
            <w:tcW w:w="5949" w:type="dxa"/>
            <w:tcBorders>
              <w:top w:val="nil"/>
              <w:left w:val="single" w:sz="4" w:space="0" w:color="auto"/>
              <w:bottom w:val="single" w:sz="4" w:space="0" w:color="auto"/>
              <w:right w:val="single" w:sz="4" w:space="0" w:color="auto"/>
            </w:tcBorders>
            <w:shd w:val="clear" w:color="auto" w:fill="auto"/>
            <w:noWrap/>
            <w:vAlign w:val="bottom"/>
            <w:hideMark/>
          </w:tcPr>
          <w:p w14:paraId="72F2A84E" w14:textId="77777777" w:rsidR="004921CC" w:rsidRPr="00BA2093" w:rsidRDefault="004921CC" w:rsidP="00020B10">
            <w:pPr>
              <w:keepNext/>
              <w:spacing w:after="0"/>
              <w:rPr>
                <w:rFonts w:ascii="Calibri" w:eastAsia="Times New Roman" w:hAnsi="Calibri" w:cs="Calibri"/>
                <w:color w:val="000000"/>
                <w:sz w:val="20"/>
                <w:szCs w:val="20"/>
              </w:rPr>
            </w:pPr>
            <w:r w:rsidRPr="00BA2093">
              <w:rPr>
                <w:rFonts w:ascii="Calibri" w:eastAsia="Times New Roman" w:hAnsi="Calibri" w:cs="Calibri"/>
                <w:color w:val="000000"/>
                <w:sz w:val="20"/>
                <w:szCs w:val="20"/>
              </w:rPr>
              <w:t>MEPOLIZUMAB &gt; OMALIZUMAB</w:t>
            </w:r>
          </w:p>
        </w:tc>
        <w:tc>
          <w:tcPr>
            <w:tcW w:w="1551" w:type="dxa"/>
            <w:tcBorders>
              <w:top w:val="nil"/>
              <w:left w:val="nil"/>
              <w:bottom w:val="single" w:sz="4" w:space="0" w:color="auto"/>
              <w:right w:val="single" w:sz="4" w:space="0" w:color="auto"/>
            </w:tcBorders>
            <w:shd w:val="clear" w:color="auto" w:fill="auto"/>
            <w:noWrap/>
            <w:vAlign w:val="bottom"/>
            <w:hideMark/>
          </w:tcPr>
          <w:p w14:paraId="622FBF0E" w14:textId="77777777"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eastAsia="Times New Roman" w:hAnsi="Calibri" w:cs="Calibri"/>
                <w:color w:val="000000"/>
                <w:sz w:val="20"/>
                <w:szCs w:val="20"/>
              </w:rPr>
              <w:t>23</w:t>
            </w:r>
          </w:p>
        </w:tc>
        <w:tc>
          <w:tcPr>
            <w:tcW w:w="1334" w:type="dxa"/>
            <w:tcBorders>
              <w:top w:val="nil"/>
              <w:left w:val="nil"/>
              <w:bottom w:val="single" w:sz="4" w:space="0" w:color="auto"/>
              <w:right w:val="single" w:sz="4" w:space="0" w:color="auto"/>
            </w:tcBorders>
            <w:vAlign w:val="bottom"/>
          </w:tcPr>
          <w:p w14:paraId="09C65E70" w14:textId="2109101E"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hAnsi="Calibri" w:cs="Calibri"/>
                <w:color w:val="000000"/>
                <w:sz w:val="20"/>
                <w:szCs w:val="20"/>
              </w:rPr>
              <w:t>0.2%</w:t>
            </w:r>
          </w:p>
        </w:tc>
      </w:tr>
      <w:tr w:rsidR="004921CC" w:rsidRPr="00BA2093" w14:paraId="0A0B4EE0" w14:textId="1E2F8028" w:rsidTr="00A60591">
        <w:trPr>
          <w:trHeight w:val="300"/>
        </w:trPr>
        <w:tc>
          <w:tcPr>
            <w:tcW w:w="5949" w:type="dxa"/>
            <w:tcBorders>
              <w:top w:val="nil"/>
              <w:left w:val="single" w:sz="4" w:space="0" w:color="auto"/>
              <w:bottom w:val="single" w:sz="4" w:space="0" w:color="auto"/>
              <w:right w:val="single" w:sz="4" w:space="0" w:color="auto"/>
            </w:tcBorders>
            <w:shd w:val="clear" w:color="auto" w:fill="auto"/>
            <w:noWrap/>
            <w:vAlign w:val="bottom"/>
            <w:hideMark/>
          </w:tcPr>
          <w:p w14:paraId="03740F75" w14:textId="77777777" w:rsidR="004921CC" w:rsidRPr="00BA2093" w:rsidRDefault="004921CC" w:rsidP="00020B10">
            <w:pPr>
              <w:keepNext/>
              <w:spacing w:after="0"/>
              <w:rPr>
                <w:rFonts w:ascii="Calibri" w:eastAsia="Times New Roman" w:hAnsi="Calibri" w:cs="Calibri"/>
                <w:color w:val="000000"/>
                <w:sz w:val="20"/>
                <w:szCs w:val="20"/>
              </w:rPr>
            </w:pPr>
            <w:r w:rsidRPr="00BA2093">
              <w:rPr>
                <w:rFonts w:ascii="Calibri" w:eastAsia="Times New Roman" w:hAnsi="Calibri" w:cs="Calibri"/>
                <w:color w:val="000000"/>
                <w:sz w:val="20"/>
                <w:szCs w:val="20"/>
              </w:rPr>
              <w:t>OMALIZUMAB &gt; MEPOLIZUMAB &gt; BENRALIZUMAB &gt; DUPILUMAB</w:t>
            </w:r>
          </w:p>
        </w:tc>
        <w:tc>
          <w:tcPr>
            <w:tcW w:w="1551" w:type="dxa"/>
            <w:tcBorders>
              <w:top w:val="nil"/>
              <w:left w:val="nil"/>
              <w:bottom w:val="single" w:sz="4" w:space="0" w:color="auto"/>
              <w:right w:val="single" w:sz="4" w:space="0" w:color="auto"/>
            </w:tcBorders>
            <w:shd w:val="clear" w:color="auto" w:fill="auto"/>
            <w:noWrap/>
            <w:vAlign w:val="bottom"/>
            <w:hideMark/>
          </w:tcPr>
          <w:p w14:paraId="1681BBB8" w14:textId="77777777"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eastAsia="Times New Roman" w:hAnsi="Calibri" w:cs="Calibri"/>
                <w:color w:val="000000"/>
                <w:sz w:val="20"/>
                <w:szCs w:val="20"/>
              </w:rPr>
              <w:t>22</w:t>
            </w:r>
          </w:p>
        </w:tc>
        <w:tc>
          <w:tcPr>
            <w:tcW w:w="1334" w:type="dxa"/>
            <w:tcBorders>
              <w:top w:val="nil"/>
              <w:left w:val="nil"/>
              <w:bottom w:val="single" w:sz="4" w:space="0" w:color="auto"/>
              <w:right w:val="single" w:sz="4" w:space="0" w:color="auto"/>
            </w:tcBorders>
            <w:vAlign w:val="bottom"/>
          </w:tcPr>
          <w:p w14:paraId="1F544D0F" w14:textId="73BC072B"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hAnsi="Calibri" w:cs="Calibri"/>
                <w:color w:val="000000"/>
                <w:sz w:val="20"/>
                <w:szCs w:val="20"/>
              </w:rPr>
              <w:t>0.1%</w:t>
            </w:r>
          </w:p>
        </w:tc>
      </w:tr>
      <w:tr w:rsidR="004921CC" w:rsidRPr="00BA2093" w14:paraId="794A2B7E" w14:textId="3026DED7" w:rsidTr="00A60591">
        <w:trPr>
          <w:trHeight w:val="300"/>
        </w:trPr>
        <w:tc>
          <w:tcPr>
            <w:tcW w:w="5949" w:type="dxa"/>
            <w:tcBorders>
              <w:top w:val="nil"/>
              <w:left w:val="single" w:sz="4" w:space="0" w:color="auto"/>
              <w:bottom w:val="single" w:sz="4" w:space="0" w:color="auto"/>
              <w:right w:val="single" w:sz="4" w:space="0" w:color="auto"/>
            </w:tcBorders>
            <w:shd w:val="clear" w:color="auto" w:fill="auto"/>
            <w:noWrap/>
            <w:vAlign w:val="bottom"/>
            <w:hideMark/>
          </w:tcPr>
          <w:p w14:paraId="6EDD905C" w14:textId="77777777" w:rsidR="004921CC" w:rsidRPr="00BA2093" w:rsidRDefault="004921CC" w:rsidP="00020B10">
            <w:pPr>
              <w:keepNext/>
              <w:spacing w:after="0"/>
              <w:rPr>
                <w:rFonts w:ascii="Calibri" w:eastAsia="Times New Roman" w:hAnsi="Calibri" w:cs="Calibri"/>
                <w:color w:val="000000"/>
                <w:sz w:val="20"/>
                <w:szCs w:val="20"/>
              </w:rPr>
            </w:pPr>
            <w:r w:rsidRPr="00BA2093">
              <w:rPr>
                <w:rFonts w:ascii="Calibri" w:eastAsia="Times New Roman" w:hAnsi="Calibri" w:cs="Calibri"/>
                <w:color w:val="000000"/>
                <w:sz w:val="20"/>
                <w:szCs w:val="20"/>
              </w:rPr>
              <w:t>MEPOLIZUMAB &gt; DUPILUMAB &gt; BENRALIZUMAB</w:t>
            </w:r>
          </w:p>
        </w:tc>
        <w:tc>
          <w:tcPr>
            <w:tcW w:w="1551" w:type="dxa"/>
            <w:tcBorders>
              <w:top w:val="nil"/>
              <w:left w:val="nil"/>
              <w:bottom w:val="single" w:sz="4" w:space="0" w:color="auto"/>
              <w:right w:val="single" w:sz="4" w:space="0" w:color="auto"/>
            </w:tcBorders>
            <w:shd w:val="clear" w:color="auto" w:fill="auto"/>
            <w:noWrap/>
            <w:vAlign w:val="bottom"/>
            <w:hideMark/>
          </w:tcPr>
          <w:p w14:paraId="44F800F9" w14:textId="77777777"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eastAsia="Times New Roman" w:hAnsi="Calibri" w:cs="Calibri"/>
                <w:color w:val="000000"/>
                <w:sz w:val="20"/>
                <w:szCs w:val="20"/>
              </w:rPr>
              <w:t>18</w:t>
            </w:r>
          </w:p>
        </w:tc>
        <w:tc>
          <w:tcPr>
            <w:tcW w:w="1334" w:type="dxa"/>
            <w:tcBorders>
              <w:top w:val="nil"/>
              <w:left w:val="nil"/>
              <w:bottom w:val="single" w:sz="4" w:space="0" w:color="auto"/>
              <w:right w:val="single" w:sz="4" w:space="0" w:color="auto"/>
            </w:tcBorders>
            <w:vAlign w:val="bottom"/>
          </w:tcPr>
          <w:p w14:paraId="5E3FB2FF" w14:textId="0F6BE646"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hAnsi="Calibri" w:cs="Calibri"/>
                <w:color w:val="000000"/>
                <w:sz w:val="20"/>
                <w:szCs w:val="20"/>
              </w:rPr>
              <w:t>0.1%</w:t>
            </w:r>
          </w:p>
        </w:tc>
      </w:tr>
      <w:tr w:rsidR="004921CC" w:rsidRPr="00BA2093" w14:paraId="471A3212" w14:textId="0FEA35F3" w:rsidTr="00A60591">
        <w:trPr>
          <w:trHeight w:val="300"/>
        </w:trPr>
        <w:tc>
          <w:tcPr>
            <w:tcW w:w="5949" w:type="dxa"/>
            <w:tcBorders>
              <w:top w:val="nil"/>
              <w:left w:val="single" w:sz="4" w:space="0" w:color="auto"/>
              <w:bottom w:val="single" w:sz="4" w:space="0" w:color="auto"/>
              <w:right w:val="single" w:sz="4" w:space="0" w:color="auto"/>
            </w:tcBorders>
            <w:shd w:val="clear" w:color="auto" w:fill="auto"/>
            <w:noWrap/>
            <w:vAlign w:val="bottom"/>
            <w:hideMark/>
          </w:tcPr>
          <w:p w14:paraId="2D737537" w14:textId="77777777" w:rsidR="004921CC" w:rsidRPr="00BA2093" w:rsidRDefault="004921CC" w:rsidP="00020B10">
            <w:pPr>
              <w:keepNext/>
              <w:spacing w:after="0"/>
              <w:rPr>
                <w:rFonts w:ascii="Calibri" w:eastAsia="Times New Roman" w:hAnsi="Calibri" w:cs="Calibri"/>
                <w:color w:val="000000"/>
                <w:sz w:val="20"/>
                <w:szCs w:val="20"/>
              </w:rPr>
            </w:pPr>
            <w:r w:rsidRPr="00BA2093">
              <w:rPr>
                <w:rFonts w:ascii="Calibri" w:eastAsia="Times New Roman" w:hAnsi="Calibri" w:cs="Calibri"/>
                <w:color w:val="000000"/>
                <w:sz w:val="20"/>
                <w:szCs w:val="20"/>
              </w:rPr>
              <w:t>OMALIZUMAB &gt; DUPILUMAB &gt; BENRALIZUMAB</w:t>
            </w:r>
          </w:p>
        </w:tc>
        <w:tc>
          <w:tcPr>
            <w:tcW w:w="1551" w:type="dxa"/>
            <w:tcBorders>
              <w:top w:val="nil"/>
              <w:left w:val="nil"/>
              <w:bottom w:val="single" w:sz="4" w:space="0" w:color="auto"/>
              <w:right w:val="single" w:sz="4" w:space="0" w:color="auto"/>
            </w:tcBorders>
            <w:shd w:val="clear" w:color="auto" w:fill="auto"/>
            <w:noWrap/>
            <w:vAlign w:val="bottom"/>
            <w:hideMark/>
          </w:tcPr>
          <w:p w14:paraId="41647CF2" w14:textId="77777777"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eastAsia="Times New Roman" w:hAnsi="Calibri" w:cs="Calibri"/>
                <w:color w:val="000000"/>
                <w:sz w:val="20"/>
                <w:szCs w:val="20"/>
              </w:rPr>
              <w:t>17</w:t>
            </w:r>
          </w:p>
        </w:tc>
        <w:tc>
          <w:tcPr>
            <w:tcW w:w="1334" w:type="dxa"/>
            <w:tcBorders>
              <w:top w:val="nil"/>
              <w:left w:val="nil"/>
              <w:bottom w:val="single" w:sz="4" w:space="0" w:color="auto"/>
              <w:right w:val="single" w:sz="4" w:space="0" w:color="auto"/>
            </w:tcBorders>
            <w:vAlign w:val="bottom"/>
          </w:tcPr>
          <w:p w14:paraId="272452EB" w14:textId="396DC367"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hAnsi="Calibri" w:cs="Calibri"/>
                <w:color w:val="000000"/>
                <w:sz w:val="20"/>
                <w:szCs w:val="20"/>
              </w:rPr>
              <w:t>0.1%</w:t>
            </w:r>
          </w:p>
        </w:tc>
      </w:tr>
      <w:tr w:rsidR="004921CC" w:rsidRPr="00BA2093" w14:paraId="0E789AE1" w14:textId="1FE35D56" w:rsidTr="00A60591">
        <w:trPr>
          <w:trHeight w:val="300"/>
        </w:trPr>
        <w:tc>
          <w:tcPr>
            <w:tcW w:w="5949" w:type="dxa"/>
            <w:tcBorders>
              <w:top w:val="nil"/>
              <w:left w:val="single" w:sz="4" w:space="0" w:color="auto"/>
              <w:bottom w:val="single" w:sz="4" w:space="0" w:color="auto"/>
              <w:right w:val="single" w:sz="4" w:space="0" w:color="auto"/>
            </w:tcBorders>
            <w:shd w:val="clear" w:color="auto" w:fill="auto"/>
            <w:noWrap/>
            <w:vAlign w:val="bottom"/>
            <w:hideMark/>
          </w:tcPr>
          <w:p w14:paraId="52FFB46E" w14:textId="77777777" w:rsidR="004921CC" w:rsidRPr="00BA2093" w:rsidRDefault="004921CC" w:rsidP="00020B10">
            <w:pPr>
              <w:keepNext/>
              <w:spacing w:after="0"/>
              <w:rPr>
                <w:rFonts w:ascii="Calibri" w:eastAsia="Times New Roman" w:hAnsi="Calibri" w:cs="Calibri"/>
                <w:color w:val="000000"/>
                <w:sz w:val="20"/>
                <w:szCs w:val="20"/>
              </w:rPr>
            </w:pPr>
            <w:r w:rsidRPr="00BA2093">
              <w:rPr>
                <w:rFonts w:ascii="Calibri" w:eastAsia="Times New Roman" w:hAnsi="Calibri" w:cs="Calibri"/>
                <w:color w:val="000000"/>
                <w:sz w:val="20"/>
                <w:szCs w:val="20"/>
              </w:rPr>
              <w:t>BENRALIZUMAB &gt; OMALIZUMAB &gt; DUPILUMAB</w:t>
            </w:r>
          </w:p>
        </w:tc>
        <w:tc>
          <w:tcPr>
            <w:tcW w:w="1551" w:type="dxa"/>
            <w:tcBorders>
              <w:top w:val="nil"/>
              <w:left w:val="nil"/>
              <w:bottom w:val="single" w:sz="4" w:space="0" w:color="auto"/>
              <w:right w:val="single" w:sz="4" w:space="0" w:color="auto"/>
            </w:tcBorders>
            <w:shd w:val="clear" w:color="auto" w:fill="auto"/>
            <w:noWrap/>
            <w:vAlign w:val="bottom"/>
            <w:hideMark/>
          </w:tcPr>
          <w:p w14:paraId="36B9BC46" w14:textId="77777777"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eastAsia="Times New Roman" w:hAnsi="Calibri" w:cs="Calibri"/>
                <w:color w:val="000000"/>
                <w:sz w:val="20"/>
                <w:szCs w:val="20"/>
              </w:rPr>
              <w:t>16</w:t>
            </w:r>
          </w:p>
        </w:tc>
        <w:tc>
          <w:tcPr>
            <w:tcW w:w="1334" w:type="dxa"/>
            <w:tcBorders>
              <w:top w:val="nil"/>
              <w:left w:val="nil"/>
              <w:bottom w:val="single" w:sz="4" w:space="0" w:color="auto"/>
              <w:right w:val="single" w:sz="4" w:space="0" w:color="auto"/>
            </w:tcBorders>
            <w:vAlign w:val="bottom"/>
          </w:tcPr>
          <w:p w14:paraId="708064F6" w14:textId="42EE1432"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hAnsi="Calibri" w:cs="Calibri"/>
                <w:color w:val="000000"/>
                <w:sz w:val="20"/>
                <w:szCs w:val="20"/>
              </w:rPr>
              <w:t>0.1%</w:t>
            </w:r>
          </w:p>
        </w:tc>
      </w:tr>
      <w:tr w:rsidR="004921CC" w:rsidRPr="00BA2093" w14:paraId="3A923D3D" w14:textId="3EFCC863" w:rsidTr="00A60591">
        <w:trPr>
          <w:trHeight w:val="300"/>
        </w:trPr>
        <w:tc>
          <w:tcPr>
            <w:tcW w:w="5949" w:type="dxa"/>
            <w:tcBorders>
              <w:top w:val="nil"/>
              <w:left w:val="single" w:sz="4" w:space="0" w:color="auto"/>
              <w:bottom w:val="single" w:sz="4" w:space="0" w:color="auto"/>
              <w:right w:val="single" w:sz="4" w:space="0" w:color="auto"/>
            </w:tcBorders>
            <w:shd w:val="clear" w:color="auto" w:fill="auto"/>
            <w:noWrap/>
            <w:vAlign w:val="bottom"/>
            <w:hideMark/>
          </w:tcPr>
          <w:p w14:paraId="43DA6E39" w14:textId="77777777" w:rsidR="004921CC" w:rsidRPr="00BA2093" w:rsidRDefault="004921CC" w:rsidP="00020B10">
            <w:pPr>
              <w:keepNext/>
              <w:spacing w:after="0"/>
              <w:rPr>
                <w:rFonts w:ascii="Calibri" w:eastAsia="Times New Roman" w:hAnsi="Calibri" w:cs="Calibri"/>
                <w:color w:val="000000"/>
                <w:sz w:val="20"/>
                <w:szCs w:val="20"/>
              </w:rPr>
            </w:pPr>
            <w:r w:rsidRPr="00BA2093">
              <w:rPr>
                <w:rFonts w:ascii="Calibri" w:eastAsia="Times New Roman" w:hAnsi="Calibri" w:cs="Calibri"/>
                <w:color w:val="000000"/>
                <w:sz w:val="20"/>
                <w:szCs w:val="20"/>
              </w:rPr>
              <w:t>OMALIZUMAB &gt; BENRALIZUMAB &gt; MEPOLIZUMAB</w:t>
            </w:r>
          </w:p>
        </w:tc>
        <w:tc>
          <w:tcPr>
            <w:tcW w:w="1551" w:type="dxa"/>
            <w:tcBorders>
              <w:top w:val="nil"/>
              <w:left w:val="nil"/>
              <w:bottom w:val="single" w:sz="4" w:space="0" w:color="auto"/>
              <w:right w:val="single" w:sz="4" w:space="0" w:color="auto"/>
            </w:tcBorders>
            <w:shd w:val="clear" w:color="auto" w:fill="auto"/>
            <w:noWrap/>
            <w:vAlign w:val="bottom"/>
            <w:hideMark/>
          </w:tcPr>
          <w:p w14:paraId="2DC35B4C" w14:textId="77777777"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eastAsia="Times New Roman" w:hAnsi="Calibri" w:cs="Calibri"/>
                <w:color w:val="000000"/>
                <w:sz w:val="20"/>
                <w:szCs w:val="20"/>
              </w:rPr>
              <w:t>13</w:t>
            </w:r>
          </w:p>
        </w:tc>
        <w:tc>
          <w:tcPr>
            <w:tcW w:w="1334" w:type="dxa"/>
            <w:tcBorders>
              <w:top w:val="nil"/>
              <w:left w:val="nil"/>
              <w:bottom w:val="single" w:sz="4" w:space="0" w:color="auto"/>
              <w:right w:val="single" w:sz="4" w:space="0" w:color="auto"/>
            </w:tcBorders>
            <w:vAlign w:val="bottom"/>
          </w:tcPr>
          <w:p w14:paraId="02A05FC0" w14:textId="42898A78"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hAnsi="Calibri" w:cs="Calibri"/>
                <w:color w:val="000000"/>
                <w:sz w:val="20"/>
                <w:szCs w:val="20"/>
              </w:rPr>
              <w:t>0.1%</w:t>
            </w:r>
          </w:p>
        </w:tc>
      </w:tr>
      <w:tr w:rsidR="004921CC" w:rsidRPr="00BA2093" w14:paraId="1007F8B0" w14:textId="0C4B2F20" w:rsidTr="00A60591">
        <w:trPr>
          <w:trHeight w:val="300"/>
        </w:trPr>
        <w:tc>
          <w:tcPr>
            <w:tcW w:w="5949" w:type="dxa"/>
            <w:tcBorders>
              <w:top w:val="nil"/>
              <w:left w:val="single" w:sz="4" w:space="0" w:color="auto"/>
              <w:bottom w:val="single" w:sz="4" w:space="0" w:color="auto"/>
              <w:right w:val="single" w:sz="4" w:space="0" w:color="auto"/>
            </w:tcBorders>
            <w:shd w:val="clear" w:color="auto" w:fill="auto"/>
            <w:noWrap/>
            <w:vAlign w:val="bottom"/>
            <w:hideMark/>
          </w:tcPr>
          <w:p w14:paraId="174423B5" w14:textId="77777777" w:rsidR="004921CC" w:rsidRPr="00BA2093" w:rsidRDefault="004921CC" w:rsidP="00020B10">
            <w:pPr>
              <w:keepNext/>
              <w:spacing w:after="0"/>
              <w:rPr>
                <w:rFonts w:ascii="Calibri" w:eastAsia="Times New Roman" w:hAnsi="Calibri" w:cs="Calibri"/>
                <w:color w:val="000000"/>
                <w:sz w:val="20"/>
                <w:szCs w:val="20"/>
              </w:rPr>
            </w:pPr>
            <w:r w:rsidRPr="00BA2093">
              <w:rPr>
                <w:rFonts w:ascii="Calibri" w:eastAsia="Times New Roman" w:hAnsi="Calibri" w:cs="Calibri"/>
                <w:color w:val="000000"/>
                <w:sz w:val="20"/>
                <w:szCs w:val="20"/>
              </w:rPr>
              <w:t>BENRALIZUMAB &gt; DUPILUMAB &gt; MEPOLIZUMAB</w:t>
            </w:r>
          </w:p>
        </w:tc>
        <w:tc>
          <w:tcPr>
            <w:tcW w:w="1551" w:type="dxa"/>
            <w:tcBorders>
              <w:top w:val="nil"/>
              <w:left w:val="nil"/>
              <w:bottom w:val="single" w:sz="4" w:space="0" w:color="auto"/>
              <w:right w:val="single" w:sz="4" w:space="0" w:color="auto"/>
            </w:tcBorders>
            <w:shd w:val="clear" w:color="auto" w:fill="auto"/>
            <w:noWrap/>
            <w:vAlign w:val="bottom"/>
            <w:hideMark/>
          </w:tcPr>
          <w:p w14:paraId="2C1A825D" w14:textId="77777777"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eastAsia="Times New Roman" w:hAnsi="Calibri" w:cs="Calibri"/>
                <w:color w:val="000000"/>
                <w:sz w:val="20"/>
                <w:szCs w:val="20"/>
              </w:rPr>
              <w:t>12</w:t>
            </w:r>
          </w:p>
        </w:tc>
        <w:tc>
          <w:tcPr>
            <w:tcW w:w="1334" w:type="dxa"/>
            <w:tcBorders>
              <w:top w:val="nil"/>
              <w:left w:val="nil"/>
              <w:bottom w:val="single" w:sz="4" w:space="0" w:color="auto"/>
              <w:right w:val="single" w:sz="4" w:space="0" w:color="auto"/>
            </w:tcBorders>
            <w:vAlign w:val="bottom"/>
          </w:tcPr>
          <w:p w14:paraId="3B5B855D" w14:textId="3192024C"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hAnsi="Calibri" w:cs="Calibri"/>
                <w:color w:val="000000"/>
                <w:sz w:val="20"/>
                <w:szCs w:val="20"/>
              </w:rPr>
              <w:t>0.1%</w:t>
            </w:r>
          </w:p>
        </w:tc>
      </w:tr>
      <w:tr w:rsidR="004921CC" w:rsidRPr="00BA2093" w14:paraId="04849020" w14:textId="7BDC23A2" w:rsidTr="00A60591">
        <w:trPr>
          <w:trHeight w:val="300"/>
        </w:trPr>
        <w:tc>
          <w:tcPr>
            <w:tcW w:w="5949" w:type="dxa"/>
            <w:tcBorders>
              <w:top w:val="nil"/>
              <w:left w:val="single" w:sz="4" w:space="0" w:color="auto"/>
              <w:bottom w:val="single" w:sz="4" w:space="0" w:color="auto"/>
              <w:right w:val="single" w:sz="4" w:space="0" w:color="auto"/>
            </w:tcBorders>
            <w:shd w:val="clear" w:color="auto" w:fill="auto"/>
            <w:noWrap/>
            <w:vAlign w:val="bottom"/>
            <w:hideMark/>
          </w:tcPr>
          <w:p w14:paraId="1CDC35AE" w14:textId="77777777" w:rsidR="004921CC" w:rsidRPr="00BA2093" w:rsidRDefault="004921CC" w:rsidP="00020B10">
            <w:pPr>
              <w:keepNext/>
              <w:spacing w:after="0"/>
              <w:rPr>
                <w:rFonts w:ascii="Calibri" w:eastAsia="Times New Roman" w:hAnsi="Calibri" w:cs="Calibri"/>
                <w:color w:val="000000"/>
                <w:sz w:val="20"/>
                <w:szCs w:val="20"/>
              </w:rPr>
            </w:pPr>
            <w:r w:rsidRPr="00BA2093">
              <w:rPr>
                <w:rFonts w:ascii="Calibri" w:eastAsia="Times New Roman" w:hAnsi="Calibri" w:cs="Calibri"/>
                <w:color w:val="000000"/>
                <w:sz w:val="20"/>
                <w:szCs w:val="20"/>
              </w:rPr>
              <w:t>DUPILUMAB &gt; OMALIZUMAB</w:t>
            </w:r>
          </w:p>
        </w:tc>
        <w:tc>
          <w:tcPr>
            <w:tcW w:w="1551" w:type="dxa"/>
            <w:tcBorders>
              <w:top w:val="nil"/>
              <w:left w:val="nil"/>
              <w:bottom w:val="single" w:sz="4" w:space="0" w:color="auto"/>
              <w:right w:val="single" w:sz="4" w:space="0" w:color="auto"/>
            </w:tcBorders>
            <w:shd w:val="clear" w:color="auto" w:fill="auto"/>
            <w:noWrap/>
            <w:vAlign w:val="bottom"/>
            <w:hideMark/>
          </w:tcPr>
          <w:p w14:paraId="47042176" w14:textId="77777777"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eastAsia="Times New Roman" w:hAnsi="Calibri" w:cs="Calibri"/>
                <w:color w:val="000000"/>
                <w:sz w:val="20"/>
                <w:szCs w:val="20"/>
              </w:rPr>
              <w:t>12</w:t>
            </w:r>
          </w:p>
        </w:tc>
        <w:tc>
          <w:tcPr>
            <w:tcW w:w="1334" w:type="dxa"/>
            <w:tcBorders>
              <w:top w:val="nil"/>
              <w:left w:val="nil"/>
              <w:bottom w:val="single" w:sz="4" w:space="0" w:color="auto"/>
              <w:right w:val="single" w:sz="4" w:space="0" w:color="auto"/>
            </w:tcBorders>
            <w:vAlign w:val="bottom"/>
          </w:tcPr>
          <w:p w14:paraId="47500732" w14:textId="496EFC3E"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hAnsi="Calibri" w:cs="Calibri"/>
                <w:color w:val="000000"/>
                <w:sz w:val="20"/>
                <w:szCs w:val="20"/>
              </w:rPr>
              <w:t>0.1%</w:t>
            </w:r>
          </w:p>
        </w:tc>
      </w:tr>
      <w:tr w:rsidR="004921CC" w:rsidRPr="00BA2093" w14:paraId="6FD7CC51" w14:textId="4766C480" w:rsidTr="00020B10">
        <w:trPr>
          <w:trHeight w:val="300"/>
        </w:trPr>
        <w:tc>
          <w:tcPr>
            <w:tcW w:w="5949" w:type="dxa"/>
            <w:tcBorders>
              <w:top w:val="nil"/>
              <w:left w:val="single" w:sz="4" w:space="0" w:color="auto"/>
              <w:bottom w:val="single" w:sz="4" w:space="0" w:color="auto"/>
              <w:right w:val="single" w:sz="4" w:space="0" w:color="auto"/>
            </w:tcBorders>
            <w:shd w:val="clear" w:color="auto" w:fill="auto"/>
            <w:noWrap/>
            <w:vAlign w:val="bottom"/>
            <w:hideMark/>
          </w:tcPr>
          <w:p w14:paraId="6C99D072" w14:textId="77777777" w:rsidR="004921CC" w:rsidRPr="00BA2093" w:rsidRDefault="004921CC" w:rsidP="00020B10">
            <w:pPr>
              <w:keepNext/>
              <w:spacing w:after="0"/>
              <w:rPr>
                <w:rFonts w:ascii="Calibri" w:eastAsia="Times New Roman" w:hAnsi="Calibri" w:cs="Calibri"/>
                <w:color w:val="000000"/>
                <w:sz w:val="20"/>
                <w:szCs w:val="20"/>
              </w:rPr>
            </w:pPr>
            <w:r w:rsidRPr="00BA2093">
              <w:rPr>
                <w:rFonts w:ascii="Calibri" w:eastAsia="Times New Roman" w:hAnsi="Calibri" w:cs="Calibri"/>
                <w:color w:val="000000"/>
                <w:sz w:val="20"/>
                <w:szCs w:val="20"/>
              </w:rPr>
              <w:t>OTHER</w:t>
            </w:r>
          </w:p>
        </w:tc>
        <w:tc>
          <w:tcPr>
            <w:tcW w:w="1551" w:type="dxa"/>
            <w:tcBorders>
              <w:top w:val="nil"/>
              <w:left w:val="nil"/>
              <w:bottom w:val="single" w:sz="4" w:space="0" w:color="auto"/>
              <w:right w:val="single" w:sz="4" w:space="0" w:color="auto"/>
            </w:tcBorders>
            <w:shd w:val="clear" w:color="auto" w:fill="auto"/>
            <w:noWrap/>
            <w:vAlign w:val="bottom"/>
            <w:hideMark/>
          </w:tcPr>
          <w:p w14:paraId="63DEA7CA" w14:textId="77777777"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eastAsia="Times New Roman" w:hAnsi="Calibri" w:cs="Calibri"/>
                <w:color w:val="000000"/>
                <w:sz w:val="20"/>
                <w:szCs w:val="20"/>
              </w:rPr>
              <w:t>55</w:t>
            </w:r>
          </w:p>
        </w:tc>
        <w:tc>
          <w:tcPr>
            <w:tcW w:w="1334" w:type="dxa"/>
            <w:tcBorders>
              <w:top w:val="nil"/>
              <w:left w:val="nil"/>
              <w:bottom w:val="single" w:sz="4" w:space="0" w:color="auto"/>
              <w:right w:val="single" w:sz="4" w:space="0" w:color="auto"/>
            </w:tcBorders>
            <w:vAlign w:val="bottom"/>
          </w:tcPr>
          <w:p w14:paraId="4C8D4D59" w14:textId="41CFC02C" w:rsidR="004921CC" w:rsidRPr="00BA2093" w:rsidRDefault="004921CC" w:rsidP="00020B10">
            <w:pPr>
              <w:keepNext/>
              <w:spacing w:after="0"/>
              <w:jc w:val="right"/>
              <w:rPr>
                <w:rFonts w:ascii="Calibri" w:eastAsia="Times New Roman" w:hAnsi="Calibri" w:cs="Calibri"/>
                <w:color w:val="000000"/>
                <w:sz w:val="20"/>
                <w:szCs w:val="20"/>
              </w:rPr>
            </w:pPr>
            <w:r w:rsidRPr="00BA2093">
              <w:rPr>
                <w:rFonts w:ascii="Calibri" w:hAnsi="Calibri" w:cs="Calibri"/>
                <w:color w:val="000000"/>
                <w:sz w:val="20"/>
                <w:szCs w:val="20"/>
              </w:rPr>
              <w:t>0.4%</w:t>
            </w:r>
          </w:p>
        </w:tc>
      </w:tr>
      <w:tr w:rsidR="003E7D53" w:rsidRPr="00BA2093" w14:paraId="5B8DFF31" w14:textId="77777777" w:rsidTr="00020B10">
        <w:trPr>
          <w:trHeight w:val="300"/>
        </w:trPr>
        <w:tc>
          <w:tcPr>
            <w:tcW w:w="594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E8C7B9" w14:textId="419D1952" w:rsidR="003E7D53" w:rsidRPr="00BA2093" w:rsidRDefault="00145843" w:rsidP="00562568">
            <w:pPr>
              <w:spacing w:after="0"/>
              <w:rPr>
                <w:rFonts w:ascii="Calibri" w:eastAsia="Times New Roman" w:hAnsi="Calibri" w:cs="Calibri"/>
                <w:color w:val="000000"/>
                <w:sz w:val="20"/>
                <w:szCs w:val="20"/>
              </w:rPr>
            </w:pPr>
            <w:r w:rsidRPr="00BA2093">
              <w:rPr>
                <w:rFonts w:ascii="Calibri" w:eastAsia="Times New Roman" w:hAnsi="Calibri" w:cs="Calibri"/>
                <w:color w:val="000000"/>
                <w:sz w:val="20"/>
                <w:szCs w:val="20"/>
              </w:rPr>
              <w:t>TOTAL</w:t>
            </w:r>
          </w:p>
        </w:tc>
        <w:tc>
          <w:tcPr>
            <w:tcW w:w="1551" w:type="dxa"/>
            <w:tcBorders>
              <w:top w:val="single" w:sz="4" w:space="0" w:color="auto"/>
              <w:left w:val="nil"/>
              <w:bottom w:val="single" w:sz="4" w:space="0" w:color="auto"/>
              <w:right w:val="single" w:sz="4" w:space="0" w:color="auto"/>
            </w:tcBorders>
            <w:shd w:val="clear" w:color="auto" w:fill="auto"/>
            <w:noWrap/>
            <w:vAlign w:val="bottom"/>
          </w:tcPr>
          <w:p w14:paraId="6442CB9D" w14:textId="4CC270BB" w:rsidR="003E7D53" w:rsidRPr="00BA2093" w:rsidRDefault="000E3021" w:rsidP="00BA2093">
            <w:pPr>
              <w:spacing w:after="0"/>
              <w:jc w:val="right"/>
              <w:rPr>
                <w:rFonts w:ascii="Calibri" w:eastAsia="Times New Roman" w:hAnsi="Calibri" w:cs="Calibri"/>
                <w:color w:val="000000"/>
                <w:sz w:val="20"/>
                <w:szCs w:val="20"/>
              </w:rPr>
            </w:pPr>
            <w:r w:rsidRPr="00BA2093">
              <w:rPr>
                <w:rFonts w:ascii="Calibri" w:eastAsia="Times New Roman" w:hAnsi="Calibri" w:cs="Calibri"/>
                <w:color w:val="000000"/>
                <w:sz w:val="20"/>
                <w:szCs w:val="20"/>
              </w:rPr>
              <w:t>15</w:t>
            </w:r>
            <w:r w:rsidR="00D75577" w:rsidRPr="00BA2093">
              <w:rPr>
                <w:rFonts w:ascii="Calibri" w:eastAsia="Times New Roman" w:hAnsi="Calibri" w:cs="Calibri"/>
                <w:color w:val="000000"/>
                <w:sz w:val="20"/>
                <w:szCs w:val="20"/>
              </w:rPr>
              <w:t>,</w:t>
            </w:r>
            <w:r w:rsidRPr="00BA2093">
              <w:rPr>
                <w:rFonts w:ascii="Calibri" w:eastAsia="Times New Roman" w:hAnsi="Calibri" w:cs="Calibri"/>
                <w:color w:val="000000"/>
                <w:sz w:val="20"/>
                <w:szCs w:val="20"/>
              </w:rPr>
              <w:t>238</w:t>
            </w:r>
          </w:p>
        </w:tc>
        <w:tc>
          <w:tcPr>
            <w:tcW w:w="1334" w:type="dxa"/>
            <w:tcBorders>
              <w:top w:val="single" w:sz="4" w:space="0" w:color="auto"/>
              <w:left w:val="nil"/>
              <w:bottom w:val="single" w:sz="4" w:space="0" w:color="auto"/>
              <w:right w:val="single" w:sz="4" w:space="0" w:color="auto"/>
            </w:tcBorders>
            <w:vAlign w:val="bottom"/>
          </w:tcPr>
          <w:p w14:paraId="718A23D8" w14:textId="77777777" w:rsidR="003E7D53" w:rsidRPr="00BA2093" w:rsidRDefault="003E7D53" w:rsidP="00BA2093">
            <w:pPr>
              <w:spacing w:after="0"/>
              <w:jc w:val="right"/>
              <w:rPr>
                <w:rFonts w:ascii="Calibri" w:eastAsia="Times New Roman" w:hAnsi="Calibri" w:cs="Calibri"/>
                <w:color w:val="000000"/>
                <w:sz w:val="20"/>
                <w:szCs w:val="20"/>
              </w:rPr>
            </w:pPr>
          </w:p>
        </w:tc>
      </w:tr>
    </w:tbl>
    <w:p w14:paraId="4F2E9F3C" w14:textId="77777777" w:rsidR="00025488" w:rsidRDefault="00025488" w:rsidP="00025488"/>
    <w:p w14:paraId="33A94C7B" w14:textId="2FDC0939" w:rsidR="00B018F5" w:rsidRDefault="00025488" w:rsidP="00A35800">
      <w:r>
        <w:t xml:space="preserve">The PBS restrictions for </w:t>
      </w:r>
      <w:r w:rsidRPr="00302FA5">
        <w:t xml:space="preserve">biologic medicines </w:t>
      </w:r>
      <w:r>
        <w:t xml:space="preserve">for severe asthma state that </w:t>
      </w:r>
      <w:r w:rsidRPr="00743747">
        <w:t xml:space="preserve">a patient who has either failed to achieve or sustain a response to treatment with </w:t>
      </w:r>
      <w:r w:rsidR="003E6368">
        <w:t>four</w:t>
      </w:r>
      <w:r w:rsidRPr="00743747">
        <w:t xml:space="preserve"> biological medicines within the same treatment cycle </w:t>
      </w:r>
      <w:r>
        <w:t>may r</w:t>
      </w:r>
      <w:r w:rsidRPr="000165A0">
        <w:t>ecommence treatment in a new treatment cycle following a break in PBS subsidised biological medicine therapy</w:t>
      </w:r>
      <w:r>
        <w:t xml:space="preserve"> </w:t>
      </w:r>
      <w:r w:rsidRPr="008650AD">
        <w:t>of at least 12 months.</w:t>
      </w:r>
      <w:r>
        <w:t xml:space="preserve"> Prior to the PBS listing of dupilumab, the PBS restrictions stated, “A patient who wishes to trial a second or subsequent new treatment cycle, following a break in PBS-subsidised therapy of at least 6 months (in patients where omalizumab is the only appropriate treatment option for uncontrolled severe allergic asthma) or 12 months (in patients who have failed to achieve or ceased to sustain a response to treatment 3 times within a treatment cycle), must re-qualify through an Initial 1 restriction.” Since 2017, 696 (5%) of the treated patients </w:t>
      </w:r>
      <w:r>
        <w:lastRenderedPageBreak/>
        <w:t>have had a break of 12 months or longer and recommenced treatment, and 2,006 (13%) have had a break of 6 months or longer</w:t>
      </w:r>
      <w:r w:rsidRPr="00A137C2">
        <w:t xml:space="preserve"> and recommenced treatment</w:t>
      </w:r>
      <w:r>
        <w:t>.</w:t>
      </w:r>
    </w:p>
    <w:p w14:paraId="675F4D59" w14:textId="61F9B9DE" w:rsidR="00B018F5" w:rsidRDefault="003A7AFB" w:rsidP="00051395">
      <w:pPr>
        <w:pStyle w:val="Tabletitle"/>
      </w:pPr>
      <w:r>
        <w:t xml:space="preserve">Table </w:t>
      </w:r>
      <w:r w:rsidR="00516AC5">
        <w:t>5</w:t>
      </w:r>
      <w:r w:rsidR="00162F39">
        <w:t>: Six and 12 month breaks</w:t>
      </w:r>
    </w:p>
    <w:tbl>
      <w:tblPr>
        <w:tblW w:w="6799" w:type="dxa"/>
        <w:tblInd w:w="113" w:type="dxa"/>
        <w:tblLayout w:type="fixed"/>
        <w:tblLook w:val="04A0" w:firstRow="1" w:lastRow="0" w:firstColumn="1" w:lastColumn="0" w:noHBand="0" w:noVBand="1"/>
      </w:tblPr>
      <w:tblGrid>
        <w:gridCol w:w="1699"/>
        <w:gridCol w:w="1700"/>
        <w:gridCol w:w="1700"/>
        <w:gridCol w:w="1700"/>
      </w:tblGrid>
      <w:tr w:rsidR="00051395" w:rsidRPr="00051395" w14:paraId="7BE8922F" w14:textId="77777777" w:rsidTr="00051395">
        <w:trPr>
          <w:trHeight w:val="300"/>
        </w:trPr>
        <w:tc>
          <w:tcPr>
            <w:tcW w:w="169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5FE6A2C2" w14:textId="77777777" w:rsidR="00051395" w:rsidRPr="00051395" w:rsidRDefault="00051395" w:rsidP="00051395">
            <w:pPr>
              <w:spacing w:after="0"/>
              <w:rPr>
                <w:rFonts w:ascii="Calibri" w:eastAsia="Times New Roman" w:hAnsi="Calibri" w:cs="Calibri"/>
                <w:b/>
                <w:bCs/>
                <w:color w:val="000000"/>
                <w:sz w:val="20"/>
                <w:szCs w:val="20"/>
              </w:rPr>
            </w:pPr>
            <w:r w:rsidRPr="00051395">
              <w:rPr>
                <w:rFonts w:ascii="Calibri" w:eastAsia="Times New Roman" w:hAnsi="Calibri" w:cs="Calibri"/>
                <w:b/>
                <w:bCs/>
                <w:color w:val="000000"/>
                <w:sz w:val="20"/>
                <w:szCs w:val="20"/>
              </w:rPr>
              <w:t>6 month break</w:t>
            </w:r>
          </w:p>
        </w:tc>
        <w:tc>
          <w:tcPr>
            <w:tcW w:w="170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2DFECBDD" w14:textId="77777777" w:rsidR="00051395" w:rsidRPr="00051395" w:rsidRDefault="00051395" w:rsidP="00051395">
            <w:pPr>
              <w:spacing w:after="0"/>
              <w:rPr>
                <w:rFonts w:ascii="Calibri" w:eastAsia="Times New Roman" w:hAnsi="Calibri" w:cs="Calibri"/>
                <w:b/>
                <w:bCs/>
                <w:color w:val="000000"/>
                <w:sz w:val="20"/>
                <w:szCs w:val="20"/>
              </w:rPr>
            </w:pPr>
            <w:r w:rsidRPr="00051395">
              <w:rPr>
                <w:rFonts w:ascii="Calibri" w:eastAsia="Times New Roman" w:hAnsi="Calibri" w:cs="Calibri"/>
                <w:b/>
                <w:bCs/>
                <w:color w:val="000000"/>
                <w:sz w:val="20"/>
                <w:szCs w:val="20"/>
              </w:rPr>
              <w:t>12 month break</w:t>
            </w:r>
          </w:p>
        </w:tc>
        <w:tc>
          <w:tcPr>
            <w:tcW w:w="170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22DF9988" w14:textId="77777777" w:rsidR="00051395" w:rsidRPr="00051395" w:rsidRDefault="00051395" w:rsidP="00051395">
            <w:pPr>
              <w:spacing w:after="0"/>
              <w:rPr>
                <w:rFonts w:ascii="Calibri" w:eastAsia="Times New Roman" w:hAnsi="Calibri" w:cs="Calibri"/>
                <w:b/>
                <w:bCs/>
                <w:color w:val="000000"/>
                <w:sz w:val="20"/>
                <w:szCs w:val="20"/>
              </w:rPr>
            </w:pPr>
            <w:r w:rsidRPr="00051395">
              <w:rPr>
                <w:rFonts w:ascii="Calibri" w:eastAsia="Times New Roman" w:hAnsi="Calibri" w:cs="Calibri"/>
                <w:b/>
                <w:bCs/>
                <w:color w:val="000000"/>
                <w:sz w:val="20"/>
                <w:szCs w:val="20"/>
              </w:rPr>
              <w:t>Patient count</w:t>
            </w:r>
          </w:p>
        </w:tc>
        <w:tc>
          <w:tcPr>
            <w:tcW w:w="170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7711AB61" w14:textId="77777777" w:rsidR="00051395" w:rsidRPr="00051395" w:rsidRDefault="00051395" w:rsidP="00051395">
            <w:pPr>
              <w:spacing w:after="0"/>
              <w:rPr>
                <w:rFonts w:ascii="Calibri" w:eastAsia="Times New Roman" w:hAnsi="Calibri" w:cs="Calibri"/>
                <w:b/>
                <w:bCs/>
                <w:color w:val="000000"/>
                <w:sz w:val="20"/>
                <w:szCs w:val="20"/>
              </w:rPr>
            </w:pPr>
            <w:r w:rsidRPr="00051395">
              <w:rPr>
                <w:rFonts w:ascii="Calibri" w:eastAsia="Times New Roman" w:hAnsi="Calibri" w:cs="Calibri"/>
                <w:b/>
                <w:bCs/>
                <w:color w:val="000000"/>
                <w:sz w:val="20"/>
                <w:szCs w:val="20"/>
              </w:rPr>
              <w:t>Percent</w:t>
            </w:r>
          </w:p>
        </w:tc>
      </w:tr>
      <w:tr w:rsidR="00051395" w:rsidRPr="00051395" w14:paraId="2F2B4159" w14:textId="77777777" w:rsidTr="00051395">
        <w:trPr>
          <w:trHeight w:val="300"/>
        </w:trPr>
        <w:tc>
          <w:tcPr>
            <w:tcW w:w="1699" w:type="dxa"/>
            <w:tcBorders>
              <w:top w:val="nil"/>
              <w:left w:val="single" w:sz="4" w:space="0" w:color="auto"/>
              <w:bottom w:val="single" w:sz="4" w:space="0" w:color="auto"/>
              <w:right w:val="single" w:sz="4" w:space="0" w:color="auto"/>
            </w:tcBorders>
            <w:shd w:val="clear" w:color="auto" w:fill="auto"/>
            <w:noWrap/>
            <w:vAlign w:val="bottom"/>
            <w:hideMark/>
          </w:tcPr>
          <w:p w14:paraId="243D0F49" w14:textId="77777777" w:rsidR="00051395" w:rsidRPr="00051395" w:rsidRDefault="00051395" w:rsidP="00051395">
            <w:pPr>
              <w:spacing w:after="0"/>
              <w:rPr>
                <w:rFonts w:ascii="Calibri" w:eastAsia="Times New Roman" w:hAnsi="Calibri" w:cs="Calibri"/>
                <w:color w:val="000000"/>
                <w:sz w:val="20"/>
                <w:szCs w:val="20"/>
              </w:rPr>
            </w:pPr>
            <w:r w:rsidRPr="00051395">
              <w:rPr>
                <w:rFonts w:ascii="Calibri" w:eastAsia="Times New Roman" w:hAnsi="Calibri" w:cs="Calibri"/>
                <w:color w:val="000000"/>
                <w:sz w:val="20"/>
                <w:szCs w:val="20"/>
              </w:rPr>
              <w:t>No</w:t>
            </w:r>
          </w:p>
        </w:tc>
        <w:tc>
          <w:tcPr>
            <w:tcW w:w="1700" w:type="dxa"/>
            <w:tcBorders>
              <w:top w:val="nil"/>
              <w:left w:val="nil"/>
              <w:bottom w:val="single" w:sz="4" w:space="0" w:color="auto"/>
              <w:right w:val="single" w:sz="4" w:space="0" w:color="auto"/>
            </w:tcBorders>
            <w:shd w:val="clear" w:color="auto" w:fill="auto"/>
            <w:noWrap/>
            <w:vAlign w:val="bottom"/>
            <w:hideMark/>
          </w:tcPr>
          <w:p w14:paraId="558020E3" w14:textId="77777777" w:rsidR="00051395" w:rsidRPr="00051395" w:rsidRDefault="00051395" w:rsidP="00051395">
            <w:pPr>
              <w:spacing w:after="0"/>
              <w:rPr>
                <w:rFonts w:ascii="Calibri" w:eastAsia="Times New Roman" w:hAnsi="Calibri" w:cs="Calibri"/>
                <w:color w:val="000000"/>
                <w:sz w:val="20"/>
                <w:szCs w:val="20"/>
              </w:rPr>
            </w:pPr>
            <w:r w:rsidRPr="00051395">
              <w:rPr>
                <w:rFonts w:ascii="Calibri" w:eastAsia="Times New Roman" w:hAnsi="Calibri" w:cs="Calibri"/>
                <w:color w:val="000000"/>
                <w:sz w:val="20"/>
                <w:szCs w:val="20"/>
              </w:rPr>
              <w:t>No</w:t>
            </w:r>
          </w:p>
        </w:tc>
        <w:tc>
          <w:tcPr>
            <w:tcW w:w="1700" w:type="dxa"/>
            <w:tcBorders>
              <w:top w:val="nil"/>
              <w:left w:val="nil"/>
              <w:bottom w:val="single" w:sz="4" w:space="0" w:color="auto"/>
              <w:right w:val="single" w:sz="4" w:space="0" w:color="auto"/>
            </w:tcBorders>
            <w:shd w:val="clear" w:color="auto" w:fill="auto"/>
            <w:noWrap/>
            <w:vAlign w:val="bottom"/>
            <w:hideMark/>
          </w:tcPr>
          <w:p w14:paraId="2F7A753D" w14:textId="03A57FEF" w:rsidR="00051395" w:rsidRPr="00051395" w:rsidRDefault="00051395" w:rsidP="00051395">
            <w:pPr>
              <w:spacing w:after="0"/>
              <w:jc w:val="right"/>
              <w:rPr>
                <w:rFonts w:ascii="Calibri" w:eastAsia="Times New Roman" w:hAnsi="Calibri" w:cs="Calibri"/>
                <w:color w:val="000000"/>
                <w:sz w:val="20"/>
                <w:szCs w:val="20"/>
              </w:rPr>
            </w:pPr>
            <w:r w:rsidRPr="00051395">
              <w:rPr>
                <w:rFonts w:ascii="Calibri" w:eastAsia="Times New Roman" w:hAnsi="Calibri" w:cs="Calibri"/>
                <w:color w:val="000000"/>
                <w:sz w:val="20"/>
                <w:szCs w:val="20"/>
              </w:rPr>
              <w:t>13</w:t>
            </w:r>
            <w:r>
              <w:rPr>
                <w:rFonts w:ascii="Calibri" w:eastAsia="Times New Roman" w:hAnsi="Calibri" w:cs="Calibri"/>
                <w:color w:val="000000"/>
                <w:sz w:val="20"/>
                <w:szCs w:val="20"/>
              </w:rPr>
              <w:t>,</w:t>
            </w:r>
            <w:r w:rsidRPr="00051395">
              <w:rPr>
                <w:rFonts w:ascii="Calibri" w:eastAsia="Times New Roman" w:hAnsi="Calibri" w:cs="Calibri"/>
                <w:color w:val="000000"/>
                <w:sz w:val="20"/>
                <w:szCs w:val="20"/>
              </w:rPr>
              <w:t>232</w:t>
            </w:r>
          </w:p>
        </w:tc>
        <w:tc>
          <w:tcPr>
            <w:tcW w:w="1700" w:type="dxa"/>
            <w:tcBorders>
              <w:top w:val="nil"/>
              <w:left w:val="nil"/>
              <w:bottom w:val="single" w:sz="4" w:space="0" w:color="auto"/>
              <w:right w:val="single" w:sz="4" w:space="0" w:color="auto"/>
            </w:tcBorders>
            <w:shd w:val="clear" w:color="auto" w:fill="auto"/>
            <w:noWrap/>
            <w:vAlign w:val="bottom"/>
            <w:hideMark/>
          </w:tcPr>
          <w:p w14:paraId="07F077A9" w14:textId="77777777" w:rsidR="00051395" w:rsidRPr="00051395" w:rsidRDefault="00051395" w:rsidP="00051395">
            <w:pPr>
              <w:spacing w:after="0"/>
              <w:jc w:val="right"/>
              <w:rPr>
                <w:rFonts w:ascii="Calibri" w:eastAsia="Times New Roman" w:hAnsi="Calibri" w:cs="Calibri"/>
                <w:color w:val="000000"/>
                <w:sz w:val="20"/>
                <w:szCs w:val="20"/>
              </w:rPr>
            </w:pPr>
            <w:r w:rsidRPr="00051395">
              <w:rPr>
                <w:rFonts w:ascii="Calibri" w:eastAsia="Times New Roman" w:hAnsi="Calibri" w:cs="Calibri"/>
                <w:color w:val="000000"/>
                <w:sz w:val="20"/>
                <w:szCs w:val="20"/>
              </w:rPr>
              <w:t>87%</w:t>
            </w:r>
          </w:p>
        </w:tc>
      </w:tr>
      <w:tr w:rsidR="00051395" w:rsidRPr="00051395" w14:paraId="368DE01C" w14:textId="77777777" w:rsidTr="00051395">
        <w:trPr>
          <w:trHeight w:val="300"/>
        </w:trPr>
        <w:tc>
          <w:tcPr>
            <w:tcW w:w="1699" w:type="dxa"/>
            <w:tcBorders>
              <w:top w:val="nil"/>
              <w:left w:val="single" w:sz="4" w:space="0" w:color="auto"/>
              <w:bottom w:val="single" w:sz="4" w:space="0" w:color="auto"/>
              <w:right w:val="single" w:sz="4" w:space="0" w:color="auto"/>
            </w:tcBorders>
            <w:shd w:val="clear" w:color="auto" w:fill="auto"/>
            <w:noWrap/>
            <w:vAlign w:val="bottom"/>
            <w:hideMark/>
          </w:tcPr>
          <w:p w14:paraId="2976BA97" w14:textId="77777777" w:rsidR="00051395" w:rsidRPr="00051395" w:rsidRDefault="00051395" w:rsidP="00051395">
            <w:pPr>
              <w:spacing w:after="0"/>
              <w:rPr>
                <w:rFonts w:ascii="Calibri" w:eastAsia="Times New Roman" w:hAnsi="Calibri" w:cs="Calibri"/>
                <w:color w:val="000000"/>
                <w:sz w:val="20"/>
                <w:szCs w:val="20"/>
              </w:rPr>
            </w:pPr>
            <w:r w:rsidRPr="00051395">
              <w:rPr>
                <w:rFonts w:ascii="Calibri" w:eastAsia="Times New Roman" w:hAnsi="Calibri" w:cs="Calibri"/>
                <w:color w:val="000000"/>
                <w:sz w:val="20"/>
                <w:szCs w:val="20"/>
              </w:rPr>
              <w:t>Yes</w:t>
            </w:r>
          </w:p>
        </w:tc>
        <w:tc>
          <w:tcPr>
            <w:tcW w:w="1700" w:type="dxa"/>
            <w:tcBorders>
              <w:top w:val="nil"/>
              <w:left w:val="nil"/>
              <w:bottom w:val="single" w:sz="4" w:space="0" w:color="auto"/>
              <w:right w:val="single" w:sz="4" w:space="0" w:color="auto"/>
            </w:tcBorders>
            <w:shd w:val="clear" w:color="auto" w:fill="auto"/>
            <w:noWrap/>
            <w:vAlign w:val="bottom"/>
            <w:hideMark/>
          </w:tcPr>
          <w:p w14:paraId="4AE102BB" w14:textId="77777777" w:rsidR="00051395" w:rsidRPr="00051395" w:rsidRDefault="00051395" w:rsidP="00051395">
            <w:pPr>
              <w:spacing w:after="0"/>
              <w:rPr>
                <w:rFonts w:ascii="Calibri" w:eastAsia="Times New Roman" w:hAnsi="Calibri" w:cs="Calibri"/>
                <w:color w:val="000000"/>
                <w:sz w:val="20"/>
                <w:szCs w:val="20"/>
              </w:rPr>
            </w:pPr>
            <w:r w:rsidRPr="00051395">
              <w:rPr>
                <w:rFonts w:ascii="Calibri" w:eastAsia="Times New Roman" w:hAnsi="Calibri" w:cs="Calibri"/>
                <w:color w:val="000000"/>
                <w:sz w:val="20"/>
                <w:szCs w:val="20"/>
              </w:rPr>
              <w:t>No</w:t>
            </w:r>
          </w:p>
        </w:tc>
        <w:tc>
          <w:tcPr>
            <w:tcW w:w="1700" w:type="dxa"/>
            <w:tcBorders>
              <w:top w:val="nil"/>
              <w:left w:val="nil"/>
              <w:bottom w:val="single" w:sz="4" w:space="0" w:color="auto"/>
              <w:right w:val="single" w:sz="4" w:space="0" w:color="auto"/>
            </w:tcBorders>
            <w:shd w:val="clear" w:color="auto" w:fill="auto"/>
            <w:noWrap/>
            <w:vAlign w:val="bottom"/>
            <w:hideMark/>
          </w:tcPr>
          <w:p w14:paraId="35328B8A" w14:textId="7F299FA7" w:rsidR="00051395" w:rsidRPr="00051395" w:rsidRDefault="00051395" w:rsidP="00051395">
            <w:pPr>
              <w:spacing w:after="0"/>
              <w:jc w:val="right"/>
              <w:rPr>
                <w:rFonts w:ascii="Calibri" w:eastAsia="Times New Roman" w:hAnsi="Calibri" w:cs="Calibri"/>
                <w:color w:val="000000"/>
                <w:sz w:val="20"/>
                <w:szCs w:val="20"/>
              </w:rPr>
            </w:pPr>
            <w:r w:rsidRPr="00051395">
              <w:rPr>
                <w:rFonts w:ascii="Calibri" w:eastAsia="Times New Roman" w:hAnsi="Calibri" w:cs="Calibri"/>
                <w:color w:val="000000"/>
                <w:sz w:val="20"/>
                <w:szCs w:val="20"/>
              </w:rPr>
              <w:t>1</w:t>
            </w:r>
            <w:r>
              <w:rPr>
                <w:rFonts w:ascii="Calibri" w:eastAsia="Times New Roman" w:hAnsi="Calibri" w:cs="Calibri"/>
                <w:color w:val="000000"/>
                <w:sz w:val="20"/>
                <w:szCs w:val="20"/>
              </w:rPr>
              <w:t>,</w:t>
            </w:r>
            <w:r w:rsidRPr="00051395">
              <w:rPr>
                <w:rFonts w:ascii="Calibri" w:eastAsia="Times New Roman" w:hAnsi="Calibri" w:cs="Calibri"/>
                <w:color w:val="000000"/>
                <w:sz w:val="20"/>
                <w:szCs w:val="20"/>
              </w:rPr>
              <w:t>310</w:t>
            </w:r>
          </w:p>
        </w:tc>
        <w:tc>
          <w:tcPr>
            <w:tcW w:w="1700" w:type="dxa"/>
            <w:tcBorders>
              <w:top w:val="nil"/>
              <w:left w:val="nil"/>
              <w:bottom w:val="single" w:sz="4" w:space="0" w:color="auto"/>
              <w:right w:val="single" w:sz="4" w:space="0" w:color="auto"/>
            </w:tcBorders>
            <w:shd w:val="clear" w:color="auto" w:fill="auto"/>
            <w:noWrap/>
            <w:vAlign w:val="bottom"/>
            <w:hideMark/>
          </w:tcPr>
          <w:p w14:paraId="6F1FEB2C" w14:textId="77777777" w:rsidR="00051395" w:rsidRPr="00051395" w:rsidRDefault="00051395" w:rsidP="00051395">
            <w:pPr>
              <w:spacing w:after="0"/>
              <w:jc w:val="right"/>
              <w:rPr>
                <w:rFonts w:ascii="Calibri" w:eastAsia="Times New Roman" w:hAnsi="Calibri" w:cs="Calibri"/>
                <w:color w:val="000000"/>
                <w:sz w:val="20"/>
                <w:szCs w:val="20"/>
              </w:rPr>
            </w:pPr>
            <w:r w:rsidRPr="00051395">
              <w:rPr>
                <w:rFonts w:ascii="Calibri" w:eastAsia="Times New Roman" w:hAnsi="Calibri" w:cs="Calibri"/>
                <w:color w:val="000000"/>
                <w:sz w:val="20"/>
                <w:szCs w:val="20"/>
              </w:rPr>
              <w:t>9%</w:t>
            </w:r>
          </w:p>
        </w:tc>
      </w:tr>
      <w:tr w:rsidR="00051395" w:rsidRPr="00051395" w14:paraId="1B163869" w14:textId="77777777" w:rsidTr="00051395">
        <w:trPr>
          <w:trHeight w:val="300"/>
        </w:trPr>
        <w:tc>
          <w:tcPr>
            <w:tcW w:w="1699" w:type="dxa"/>
            <w:tcBorders>
              <w:top w:val="nil"/>
              <w:left w:val="single" w:sz="4" w:space="0" w:color="auto"/>
              <w:bottom w:val="single" w:sz="4" w:space="0" w:color="auto"/>
              <w:right w:val="single" w:sz="4" w:space="0" w:color="auto"/>
            </w:tcBorders>
            <w:shd w:val="clear" w:color="auto" w:fill="auto"/>
            <w:noWrap/>
            <w:vAlign w:val="bottom"/>
            <w:hideMark/>
          </w:tcPr>
          <w:p w14:paraId="7BDB6603" w14:textId="77777777" w:rsidR="00051395" w:rsidRPr="00051395" w:rsidRDefault="00051395" w:rsidP="00051395">
            <w:pPr>
              <w:spacing w:after="0"/>
              <w:rPr>
                <w:rFonts w:ascii="Calibri" w:eastAsia="Times New Roman" w:hAnsi="Calibri" w:cs="Calibri"/>
                <w:color w:val="000000"/>
                <w:sz w:val="20"/>
                <w:szCs w:val="20"/>
              </w:rPr>
            </w:pPr>
            <w:r w:rsidRPr="00051395">
              <w:rPr>
                <w:rFonts w:ascii="Calibri" w:eastAsia="Times New Roman" w:hAnsi="Calibri" w:cs="Calibri"/>
                <w:color w:val="000000"/>
                <w:sz w:val="20"/>
                <w:szCs w:val="20"/>
              </w:rPr>
              <w:t>Yes</w:t>
            </w:r>
          </w:p>
        </w:tc>
        <w:tc>
          <w:tcPr>
            <w:tcW w:w="1700" w:type="dxa"/>
            <w:tcBorders>
              <w:top w:val="nil"/>
              <w:left w:val="nil"/>
              <w:bottom w:val="single" w:sz="4" w:space="0" w:color="auto"/>
              <w:right w:val="single" w:sz="4" w:space="0" w:color="auto"/>
            </w:tcBorders>
            <w:shd w:val="clear" w:color="auto" w:fill="auto"/>
            <w:noWrap/>
            <w:vAlign w:val="bottom"/>
            <w:hideMark/>
          </w:tcPr>
          <w:p w14:paraId="2AE58B1C" w14:textId="77777777" w:rsidR="00051395" w:rsidRPr="00051395" w:rsidRDefault="00051395" w:rsidP="00051395">
            <w:pPr>
              <w:spacing w:after="0"/>
              <w:rPr>
                <w:rFonts w:ascii="Calibri" w:eastAsia="Times New Roman" w:hAnsi="Calibri" w:cs="Calibri"/>
                <w:color w:val="000000"/>
                <w:sz w:val="20"/>
                <w:szCs w:val="20"/>
              </w:rPr>
            </w:pPr>
            <w:r w:rsidRPr="00051395">
              <w:rPr>
                <w:rFonts w:ascii="Calibri" w:eastAsia="Times New Roman" w:hAnsi="Calibri" w:cs="Calibri"/>
                <w:color w:val="000000"/>
                <w:sz w:val="20"/>
                <w:szCs w:val="20"/>
              </w:rPr>
              <w:t>Yes</w:t>
            </w:r>
          </w:p>
        </w:tc>
        <w:tc>
          <w:tcPr>
            <w:tcW w:w="1700" w:type="dxa"/>
            <w:tcBorders>
              <w:top w:val="nil"/>
              <w:left w:val="nil"/>
              <w:bottom w:val="single" w:sz="4" w:space="0" w:color="auto"/>
              <w:right w:val="single" w:sz="4" w:space="0" w:color="auto"/>
            </w:tcBorders>
            <w:shd w:val="clear" w:color="auto" w:fill="auto"/>
            <w:noWrap/>
            <w:vAlign w:val="bottom"/>
            <w:hideMark/>
          </w:tcPr>
          <w:p w14:paraId="43167B20" w14:textId="77777777" w:rsidR="00051395" w:rsidRPr="00051395" w:rsidRDefault="00051395" w:rsidP="00051395">
            <w:pPr>
              <w:spacing w:after="0"/>
              <w:jc w:val="right"/>
              <w:rPr>
                <w:rFonts w:ascii="Calibri" w:eastAsia="Times New Roman" w:hAnsi="Calibri" w:cs="Calibri"/>
                <w:color w:val="000000"/>
                <w:sz w:val="20"/>
                <w:szCs w:val="20"/>
              </w:rPr>
            </w:pPr>
            <w:r w:rsidRPr="00051395">
              <w:rPr>
                <w:rFonts w:ascii="Calibri" w:eastAsia="Times New Roman" w:hAnsi="Calibri" w:cs="Calibri"/>
                <w:color w:val="000000"/>
                <w:sz w:val="20"/>
                <w:szCs w:val="20"/>
              </w:rPr>
              <w:t>696</w:t>
            </w:r>
          </w:p>
        </w:tc>
        <w:tc>
          <w:tcPr>
            <w:tcW w:w="1700" w:type="dxa"/>
            <w:tcBorders>
              <w:top w:val="nil"/>
              <w:left w:val="nil"/>
              <w:bottom w:val="single" w:sz="4" w:space="0" w:color="auto"/>
              <w:right w:val="single" w:sz="4" w:space="0" w:color="auto"/>
            </w:tcBorders>
            <w:shd w:val="clear" w:color="auto" w:fill="auto"/>
            <w:noWrap/>
            <w:vAlign w:val="bottom"/>
            <w:hideMark/>
          </w:tcPr>
          <w:p w14:paraId="507E5F2E" w14:textId="77777777" w:rsidR="00051395" w:rsidRPr="00051395" w:rsidRDefault="00051395" w:rsidP="00051395">
            <w:pPr>
              <w:spacing w:after="0"/>
              <w:jc w:val="right"/>
              <w:rPr>
                <w:rFonts w:ascii="Calibri" w:eastAsia="Times New Roman" w:hAnsi="Calibri" w:cs="Calibri"/>
                <w:color w:val="000000"/>
                <w:sz w:val="20"/>
                <w:szCs w:val="20"/>
              </w:rPr>
            </w:pPr>
            <w:r w:rsidRPr="00051395">
              <w:rPr>
                <w:rFonts w:ascii="Calibri" w:eastAsia="Times New Roman" w:hAnsi="Calibri" w:cs="Calibri"/>
                <w:color w:val="000000"/>
                <w:sz w:val="20"/>
                <w:szCs w:val="20"/>
              </w:rPr>
              <w:t>5%</w:t>
            </w:r>
          </w:p>
        </w:tc>
      </w:tr>
      <w:tr w:rsidR="00051395" w:rsidRPr="00051395" w14:paraId="23344DF5" w14:textId="77777777" w:rsidTr="00051395">
        <w:trPr>
          <w:trHeight w:val="300"/>
        </w:trPr>
        <w:tc>
          <w:tcPr>
            <w:tcW w:w="1699" w:type="dxa"/>
            <w:tcBorders>
              <w:top w:val="nil"/>
              <w:left w:val="single" w:sz="4" w:space="0" w:color="auto"/>
              <w:bottom w:val="single" w:sz="4" w:space="0" w:color="auto"/>
              <w:right w:val="single" w:sz="4" w:space="0" w:color="auto"/>
            </w:tcBorders>
            <w:shd w:val="clear" w:color="auto" w:fill="auto"/>
            <w:noWrap/>
            <w:vAlign w:val="bottom"/>
            <w:hideMark/>
          </w:tcPr>
          <w:p w14:paraId="3E7EDFAC" w14:textId="77777777" w:rsidR="00051395" w:rsidRPr="00051395" w:rsidRDefault="00051395" w:rsidP="00051395">
            <w:pPr>
              <w:spacing w:after="0"/>
              <w:rPr>
                <w:rFonts w:ascii="Calibri" w:eastAsia="Times New Roman" w:hAnsi="Calibri" w:cs="Calibri"/>
                <w:color w:val="000000"/>
                <w:sz w:val="20"/>
                <w:szCs w:val="20"/>
              </w:rPr>
            </w:pPr>
            <w:r w:rsidRPr="00051395">
              <w:rPr>
                <w:rFonts w:ascii="Calibri" w:eastAsia="Times New Roman" w:hAnsi="Calibri" w:cs="Calibri"/>
                <w:color w:val="000000"/>
                <w:sz w:val="20"/>
                <w:szCs w:val="20"/>
              </w:rPr>
              <w:t>Total</w:t>
            </w:r>
          </w:p>
        </w:tc>
        <w:tc>
          <w:tcPr>
            <w:tcW w:w="1700" w:type="dxa"/>
            <w:tcBorders>
              <w:top w:val="nil"/>
              <w:left w:val="nil"/>
              <w:bottom w:val="single" w:sz="4" w:space="0" w:color="auto"/>
              <w:right w:val="single" w:sz="4" w:space="0" w:color="auto"/>
            </w:tcBorders>
            <w:shd w:val="clear" w:color="auto" w:fill="auto"/>
            <w:noWrap/>
            <w:vAlign w:val="bottom"/>
            <w:hideMark/>
          </w:tcPr>
          <w:p w14:paraId="2457A6EC" w14:textId="77777777" w:rsidR="00051395" w:rsidRPr="00051395" w:rsidRDefault="00051395" w:rsidP="00051395">
            <w:pPr>
              <w:spacing w:after="0"/>
              <w:rPr>
                <w:rFonts w:ascii="Calibri" w:eastAsia="Times New Roman" w:hAnsi="Calibri" w:cs="Calibri"/>
                <w:color w:val="000000"/>
                <w:sz w:val="20"/>
                <w:szCs w:val="20"/>
              </w:rPr>
            </w:pPr>
            <w:r w:rsidRPr="00051395">
              <w:rPr>
                <w:rFonts w:ascii="Calibri" w:eastAsia="Times New Roman" w:hAnsi="Calibri" w:cs="Calibri"/>
                <w:color w:val="000000"/>
                <w:sz w:val="20"/>
                <w:szCs w:val="20"/>
              </w:rPr>
              <w:t> </w:t>
            </w:r>
          </w:p>
        </w:tc>
        <w:tc>
          <w:tcPr>
            <w:tcW w:w="1700" w:type="dxa"/>
            <w:tcBorders>
              <w:top w:val="nil"/>
              <w:left w:val="nil"/>
              <w:bottom w:val="single" w:sz="4" w:space="0" w:color="auto"/>
              <w:right w:val="single" w:sz="4" w:space="0" w:color="auto"/>
            </w:tcBorders>
            <w:shd w:val="clear" w:color="auto" w:fill="auto"/>
            <w:noWrap/>
            <w:vAlign w:val="bottom"/>
            <w:hideMark/>
          </w:tcPr>
          <w:p w14:paraId="51AB729E" w14:textId="7ADED3D5" w:rsidR="00051395" w:rsidRPr="00051395" w:rsidRDefault="00051395" w:rsidP="00051395">
            <w:pPr>
              <w:spacing w:after="0"/>
              <w:jc w:val="right"/>
              <w:rPr>
                <w:rFonts w:ascii="Calibri" w:eastAsia="Times New Roman" w:hAnsi="Calibri" w:cs="Calibri"/>
                <w:color w:val="000000"/>
                <w:sz w:val="20"/>
                <w:szCs w:val="20"/>
              </w:rPr>
            </w:pPr>
            <w:r w:rsidRPr="00051395">
              <w:rPr>
                <w:rFonts w:ascii="Calibri" w:eastAsia="Times New Roman" w:hAnsi="Calibri" w:cs="Calibri"/>
                <w:color w:val="000000"/>
                <w:sz w:val="20"/>
                <w:szCs w:val="20"/>
              </w:rPr>
              <w:t>15</w:t>
            </w:r>
            <w:r>
              <w:rPr>
                <w:rFonts w:ascii="Calibri" w:eastAsia="Times New Roman" w:hAnsi="Calibri" w:cs="Calibri"/>
                <w:color w:val="000000"/>
                <w:sz w:val="20"/>
                <w:szCs w:val="20"/>
              </w:rPr>
              <w:t>,</w:t>
            </w:r>
            <w:r w:rsidRPr="00051395">
              <w:rPr>
                <w:rFonts w:ascii="Calibri" w:eastAsia="Times New Roman" w:hAnsi="Calibri" w:cs="Calibri"/>
                <w:color w:val="000000"/>
                <w:sz w:val="20"/>
                <w:szCs w:val="20"/>
              </w:rPr>
              <w:t>238</w:t>
            </w:r>
          </w:p>
        </w:tc>
        <w:tc>
          <w:tcPr>
            <w:tcW w:w="1700" w:type="dxa"/>
            <w:tcBorders>
              <w:top w:val="nil"/>
              <w:left w:val="nil"/>
              <w:bottom w:val="single" w:sz="4" w:space="0" w:color="auto"/>
              <w:right w:val="single" w:sz="4" w:space="0" w:color="auto"/>
            </w:tcBorders>
            <w:shd w:val="clear" w:color="auto" w:fill="auto"/>
            <w:noWrap/>
            <w:vAlign w:val="bottom"/>
            <w:hideMark/>
          </w:tcPr>
          <w:p w14:paraId="3958EACB" w14:textId="77777777" w:rsidR="00051395" w:rsidRPr="00051395" w:rsidRDefault="00051395" w:rsidP="00051395">
            <w:pPr>
              <w:spacing w:after="0"/>
              <w:rPr>
                <w:rFonts w:ascii="Calibri" w:eastAsia="Times New Roman" w:hAnsi="Calibri" w:cs="Calibri"/>
                <w:color w:val="000000"/>
                <w:sz w:val="20"/>
                <w:szCs w:val="20"/>
              </w:rPr>
            </w:pPr>
            <w:r w:rsidRPr="00051395">
              <w:rPr>
                <w:rFonts w:ascii="Calibri" w:eastAsia="Times New Roman" w:hAnsi="Calibri" w:cs="Calibri"/>
                <w:color w:val="000000"/>
                <w:sz w:val="20"/>
                <w:szCs w:val="20"/>
              </w:rPr>
              <w:t> </w:t>
            </w:r>
          </w:p>
        </w:tc>
      </w:tr>
    </w:tbl>
    <w:p w14:paraId="517CD679" w14:textId="77777777" w:rsidR="00B018F5" w:rsidRDefault="00B018F5" w:rsidP="00A35800"/>
    <w:p w14:paraId="6E7A4504" w14:textId="2A59B644" w:rsidR="003747BC" w:rsidRDefault="003747BC" w:rsidP="007A3EC7">
      <w:pPr>
        <w:pStyle w:val="Tabletitle"/>
      </w:pPr>
      <w:r w:rsidRPr="003747BC">
        <w:t xml:space="preserve">Table </w:t>
      </w:r>
      <w:r w:rsidR="00516AC5">
        <w:t>6</w:t>
      </w:r>
      <w:r w:rsidRPr="003747BC">
        <w:t xml:space="preserve">: </w:t>
      </w:r>
      <w:r>
        <w:t>Age of patients at initiation of medicine and therapy</w:t>
      </w:r>
    </w:p>
    <w:tbl>
      <w:tblPr>
        <w:tblW w:w="8926" w:type="dxa"/>
        <w:tblLook w:val="04A0" w:firstRow="1" w:lastRow="0" w:firstColumn="1" w:lastColumn="0" w:noHBand="0" w:noVBand="1"/>
      </w:tblPr>
      <w:tblGrid>
        <w:gridCol w:w="2405"/>
        <w:gridCol w:w="1086"/>
        <w:gridCol w:w="1087"/>
        <w:gridCol w:w="1087"/>
        <w:gridCol w:w="1087"/>
        <w:gridCol w:w="1087"/>
        <w:gridCol w:w="1087"/>
        <w:tblGridChange w:id="2">
          <w:tblGrid>
            <w:gridCol w:w="2405"/>
            <w:gridCol w:w="1086"/>
            <w:gridCol w:w="1087"/>
            <w:gridCol w:w="1087"/>
            <w:gridCol w:w="1087"/>
            <w:gridCol w:w="1087"/>
            <w:gridCol w:w="1087"/>
          </w:tblGrid>
        </w:tblGridChange>
      </w:tblGrid>
      <w:tr w:rsidR="00E2790A" w:rsidRPr="003747BC" w14:paraId="30C7ECA5" w14:textId="77777777" w:rsidTr="00E2790A">
        <w:trPr>
          <w:trHeight w:val="510"/>
        </w:trPr>
        <w:tc>
          <w:tcPr>
            <w:tcW w:w="240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4F584796" w14:textId="77777777"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 </w:t>
            </w:r>
          </w:p>
        </w:tc>
        <w:tc>
          <w:tcPr>
            <w:tcW w:w="1086" w:type="dxa"/>
            <w:tcBorders>
              <w:top w:val="single" w:sz="4" w:space="0" w:color="auto"/>
              <w:left w:val="nil"/>
              <w:bottom w:val="single" w:sz="4" w:space="0" w:color="auto"/>
              <w:right w:val="single" w:sz="4" w:space="0" w:color="auto"/>
            </w:tcBorders>
            <w:shd w:val="clear" w:color="auto" w:fill="BFBFBF" w:themeFill="background1" w:themeFillShade="BF"/>
            <w:hideMark/>
          </w:tcPr>
          <w:p w14:paraId="08BF21CF" w14:textId="77777777" w:rsidR="003747BC" w:rsidRPr="003747BC" w:rsidRDefault="003747BC" w:rsidP="003747BC">
            <w:pPr>
              <w:spacing w:after="0"/>
              <w:rPr>
                <w:rFonts w:ascii="Calibri" w:eastAsia="Times New Roman" w:hAnsi="Calibri" w:cs="Calibri"/>
                <w:b/>
                <w:bCs/>
                <w:color w:val="000000"/>
                <w:sz w:val="20"/>
                <w:szCs w:val="20"/>
              </w:rPr>
            </w:pPr>
            <w:r w:rsidRPr="003747BC">
              <w:rPr>
                <w:rFonts w:ascii="Calibri" w:eastAsia="Times New Roman" w:hAnsi="Calibri" w:cs="Calibri"/>
                <w:b/>
                <w:bCs/>
                <w:color w:val="000000"/>
                <w:sz w:val="20"/>
                <w:szCs w:val="20"/>
              </w:rPr>
              <w:t>Number</w:t>
            </w:r>
          </w:p>
        </w:tc>
        <w:tc>
          <w:tcPr>
            <w:tcW w:w="1087" w:type="dxa"/>
            <w:tcBorders>
              <w:top w:val="single" w:sz="4" w:space="0" w:color="auto"/>
              <w:left w:val="nil"/>
              <w:bottom w:val="single" w:sz="4" w:space="0" w:color="auto"/>
              <w:right w:val="single" w:sz="4" w:space="0" w:color="auto"/>
            </w:tcBorders>
            <w:shd w:val="clear" w:color="auto" w:fill="BFBFBF" w:themeFill="background1" w:themeFillShade="BF"/>
            <w:hideMark/>
          </w:tcPr>
          <w:p w14:paraId="2780AD49" w14:textId="77777777" w:rsidR="003747BC" w:rsidRPr="003747BC" w:rsidRDefault="003747BC" w:rsidP="003747BC">
            <w:pPr>
              <w:spacing w:after="0"/>
              <w:rPr>
                <w:rFonts w:ascii="Calibri" w:eastAsia="Times New Roman" w:hAnsi="Calibri" w:cs="Calibri"/>
                <w:b/>
                <w:bCs/>
                <w:color w:val="000000"/>
                <w:sz w:val="20"/>
                <w:szCs w:val="20"/>
              </w:rPr>
            </w:pPr>
            <w:r w:rsidRPr="003747BC">
              <w:rPr>
                <w:rFonts w:ascii="Calibri" w:eastAsia="Times New Roman" w:hAnsi="Calibri" w:cs="Calibri"/>
                <w:b/>
                <w:bCs/>
                <w:color w:val="000000"/>
                <w:sz w:val="20"/>
                <w:szCs w:val="20"/>
              </w:rPr>
              <w:t>Mean</w:t>
            </w:r>
          </w:p>
        </w:tc>
        <w:tc>
          <w:tcPr>
            <w:tcW w:w="1087" w:type="dxa"/>
            <w:tcBorders>
              <w:top w:val="single" w:sz="4" w:space="0" w:color="auto"/>
              <w:left w:val="nil"/>
              <w:bottom w:val="single" w:sz="4" w:space="0" w:color="auto"/>
              <w:right w:val="single" w:sz="4" w:space="0" w:color="auto"/>
            </w:tcBorders>
            <w:shd w:val="clear" w:color="auto" w:fill="BFBFBF" w:themeFill="background1" w:themeFillShade="BF"/>
            <w:hideMark/>
          </w:tcPr>
          <w:p w14:paraId="0E848E02" w14:textId="77777777" w:rsidR="003747BC" w:rsidRPr="003747BC" w:rsidRDefault="003747BC" w:rsidP="003747BC">
            <w:pPr>
              <w:spacing w:after="0"/>
              <w:rPr>
                <w:rFonts w:ascii="Calibri" w:eastAsia="Times New Roman" w:hAnsi="Calibri" w:cs="Calibri"/>
                <w:b/>
                <w:bCs/>
                <w:color w:val="000000"/>
                <w:sz w:val="20"/>
                <w:szCs w:val="20"/>
              </w:rPr>
            </w:pPr>
            <w:r w:rsidRPr="003747BC">
              <w:rPr>
                <w:rFonts w:ascii="Calibri" w:eastAsia="Times New Roman" w:hAnsi="Calibri" w:cs="Calibri"/>
                <w:b/>
                <w:bCs/>
                <w:color w:val="000000"/>
                <w:sz w:val="20"/>
                <w:szCs w:val="20"/>
              </w:rPr>
              <w:t>25th Percentile</w:t>
            </w:r>
          </w:p>
        </w:tc>
        <w:tc>
          <w:tcPr>
            <w:tcW w:w="1087" w:type="dxa"/>
            <w:tcBorders>
              <w:top w:val="single" w:sz="4" w:space="0" w:color="auto"/>
              <w:left w:val="nil"/>
              <w:bottom w:val="single" w:sz="4" w:space="0" w:color="auto"/>
              <w:right w:val="single" w:sz="4" w:space="0" w:color="auto"/>
            </w:tcBorders>
            <w:shd w:val="clear" w:color="auto" w:fill="BFBFBF" w:themeFill="background1" w:themeFillShade="BF"/>
            <w:hideMark/>
          </w:tcPr>
          <w:p w14:paraId="0E4896F4" w14:textId="77777777" w:rsidR="003747BC" w:rsidRPr="003747BC" w:rsidRDefault="003747BC" w:rsidP="003747BC">
            <w:pPr>
              <w:spacing w:after="0"/>
              <w:rPr>
                <w:rFonts w:ascii="Calibri" w:eastAsia="Times New Roman" w:hAnsi="Calibri" w:cs="Calibri"/>
                <w:b/>
                <w:bCs/>
                <w:color w:val="000000"/>
                <w:sz w:val="20"/>
                <w:szCs w:val="20"/>
              </w:rPr>
            </w:pPr>
            <w:r w:rsidRPr="003747BC">
              <w:rPr>
                <w:rFonts w:ascii="Calibri" w:eastAsia="Times New Roman" w:hAnsi="Calibri" w:cs="Calibri"/>
                <w:b/>
                <w:bCs/>
                <w:color w:val="000000"/>
                <w:sz w:val="20"/>
                <w:szCs w:val="20"/>
              </w:rPr>
              <w:t>Median</w:t>
            </w:r>
          </w:p>
        </w:tc>
        <w:tc>
          <w:tcPr>
            <w:tcW w:w="1087" w:type="dxa"/>
            <w:tcBorders>
              <w:top w:val="single" w:sz="4" w:space="0" w:color="auto"/>
              <w:left w:val="nil"/>
              <w:bottom w:val="single" w:sz="4" w:space="0" w:color="auto"/>
              <w:right w:val="single" w:sz="4" w:space="0" w:color="auto"/>
            </w:tcBorders>
            <w:shd w:val="clear" w:color="auto" w:fill="BFBFBF" w:themeFill="background1" w:themeFillShade="BF"/>
            <w:hideMark/>
          </w:tcPr>
          <w:p w14:paraId="11D3D946" w14:textId="77777777" w:rsidR="003747BC" w:rsidRPr="003747BC" w:rsidRDefault="003747BC" w:rsidP="003747BC">
            <w:pPr>
              <w:spacing w:after="0"/>
              <w:rPr>
                <w:rFonts w:ascii="Calibri" w:eastAsia="Times New Roman" w:hAnsi="Calibri" w:cs="Calibri"/>
                <w:b/>
                <w:bCs/>
                <w:color w:val="000000"/>
                <w:sz w:val="20"/>
                <w:szCs w:val="20"/>
              </w:rPr>
            </w:pPr>
            <w:r w:rsidRPr="003747BC">
              <w:rPr>
                <w:rFonts w:ascii="Calibri" w:eastAsia="Times New Roman" w:hAnsi="Calibri" w:cs="Calibri"/>
                <w:b/>
                <w:bCs/>
                <w:color w:val="000000"/>
                <w:sz w:val="20"/>
                <w:szCs w:val="20"/>
              </w:rPr>
              <w:t>75th Percentile</w:t>
            </w:r>
          </w:p>
        </w:tc>
        <w:tc>
          <w:tcPr>
            <w:tcW w:w="1087" w:type="dxa"/>
            <w:tcBorders>
              <w:top w:val="single" w:sz="4" w:space="0" w:color="auto"/>
              <w:left w:val="nil"/>
              <w:bottom w:val="single" w:sz="4" w:space="0" w:color="auto"/>
              <w:right w:val="single" w:sz="4" w:space="0" w:color="auto"/>
            </w:tcBorders>
            <w:shd w:val="clear" w:color="auto" w:fill="BFBFBF" w:themeFill="background1" w:themeFillShade="BF"/>
            <w:hideMark/>
          </w:tcPr>
          <w:p w14:paraId="0743029D" w14:textId="77777777" w:rsidR="003747BC" w:rsidRPr="003747BC" w:rsidRDefault="003747BC" w:rsidP="003747BC">
            <w:pPr>
              <w:spacing w:after="0"/>
              <w:rPr>
                <w:rFonts w:ascii="Calibri" w:eastAsia="Times New Roman" w:hAnsi="Calibri" w:cs="Calibri"/>
                <w:b/>
                <w:bCs/>
                <w:color w:val="000000"/>
                <w:sz w:val="20"/>
                <w:szCs w:val="20"/>
              </w:rPr>
            </w:pPr>
            <w:r w:rsidRPr="003747BC">
              <w:rPr>
                <w:rFonts w:ascii="Calibri" w:eastAsia="Times New Roman" w:hAnsi="Calibri" w:cs="Calibri"/>
                <w:b/>
                <w:bCs/>
                <w:color w:val="000000"/>
                <w:sz w:val="20"/>
                <w:szCs w:val="20"/>
              </w:rPr>
              <w:t>Quartile Range</w:t>
            </w:r>
          </w:p>
        </w:tc>
      </w:tr>
      <w:tr w:rsidR="003747BC" w:rsidRPr="003747BC" w14:paraId="0433D037" w14:textId="77777777" w:rsidTr="00E2790A">
        <w:trPr>
          <w:trHeight w:val="300"/>
        </w:trPr>
        <w:tc>
          <w:tcPr>
            <w:tcW w:w="8926"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0CE44D8" w14:textId="77777777"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Age at initiation of medicine (including patients switching from a previous biologic)</w:t>
            </w:r>
          </w:p>
        </w:tc>
      </w:tr>
      <w:tr w:rsidR="00E2790A" w:rsidRPr="003747BC" w14:paraId="24A0964B" w14:textId="77777777" w:rsidTr="00E2790A">
        <w:trPr>
          <w:trHeight w:val="315"/>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52C774DE" w14:textId="77777777"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Benralizumab</w:t>
            </w:r>
          </w:p>
        </w:tc>
        <w:tc>
          <w:tcPr>
            <w:tcW w:w="1086" w:type="dxa"/>
            <w:tcBorders>
              <w:top w:val="nil"/>
              <w:left w:val="nil"/>
              <w:bottom w:val="single" w:sz="4" w:space="0" w:color="auto"/>
              <w:right w:val="single" w:sz="4" w:space="0" w:color="auto"/>
            </w:tcBorders>
            <w:shd w:val="clear" w:color="auto" w:fill="auto"/>
            <w:hideMark/>
          </w:tcPr>
          <w:p w14:paraId="48DB5866" w14:textId="4CA9C61B"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4</w:t>
            </w:r>
            <w:r w:rsidR="00154CDF">
              <w:rPr>
                <w:rFonts w:ascii="Calibri" w:eastAsia="Times New Roman" w:hAnsi="Calibri" w:cs="Calibri"/>
                <w:color w:val="000000"/>
                <w:sz w:val="20"/>
                <w:szCs w:val="20"/>
              </w:rPr>
              <w:t>,</w:t>
            </w:r>
            <w:r w:rsidRPr="003747BC">
              <w:rPr>
                <w:rFonts w:ascii="Calibri" w:eastAsia="Times New Roman" w:hAnsi="Calibri" w:cs="Calibri"/>
                <w:color w:val="000000"/>
                <w:sz w:val="20"/>
                <w:szCs w:val="20"/>
              </w:rPr>
              <w:t>880</w:t>
            </w:r>
          </w:p>
        </w:tc>
        <w:tc>
          <w:tcPr>
            <w:tcW w:w="1087" w:type="dxa"/>
            <w:tcBorders>
              <w:top w:val="nil"/>
              <w:left w:val="nil"/>
              <w:bottom w:val="single" w:sz="4" w:space="0" w:color="auto"/>
              <w:right w:val="single" w:sz="4" w:space="0" w:color="auto"/>
            </w:tcBorders>
            <w:shd w:val="clear" w:color="auto" w:fill="auto"/>
            <w:hideMark/>
          </w:tcPr>
          <w:p w14:paraId="21DB234A" w14:textId="77777777"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58</w:t>
            </w:r>
          </w:p>
        </w:tc>
        <w:tc>
          <w:tcPr>
            <w:tcW w:w="1087" w:type="dxa"/>
            <w:tcBorders>
              <w:top w:val="nil"/>
              <w:left w:val="nil"/>
              <w:bottom w:val="single" w:sz="4" w:space="0" w:color="auto"/>
              <w:right w:val="single" w:sz="4" w:space="0" w:color="auto"/>
            </w:tcBorders>
            <w:shd w:val="clear" w:color="auto" w:fill="auto"/>
            <w:hideMark/>
          </w:tcPr>
          <w:p w14:paraId="6EE58660" w14:textId="77777777"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49</w:t>
            </w:r>
          </w:p>
        </w:tc>
        <w:tc>
          <w:tcPr>
            <w:tcW w:w="1087" w:type="dxa"/>
            <w:tcBorders>
              <w:top w:val="nil"/>
              <w:left w:val="nil"/>
              <w:bottom w:val="single" w:sz="4" w:space="0" w:color="auto"/>
              <w:right w:val="single" w:sz="4" w:space="0" w:color="auto"/>
            </w:tcBorders>
            <w:shd w:val="clear" w:color="auto" w:fill="auto"/>
            <w:hideMark/>
          </w:tcPr>
          <w:p w14:paraId="76610F6D" w14:textId="77777777"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61</w:t>
            </w:r>
          </w:p>
        </w:tc>
        <w:tc>
          <w:tcPr>
            <w:tcW w:w="1087" w:type="dxa"/>
            <w:tcBorders>
              <w:top w:val="nil"/>
              <w:left w:val="nil"/>
              <w:bottom w:val="single" w:sz="4" w:space="0" w:color="auto"/>
              <w:right w:val="single" w:sz="4" w:space="0" w:color="auto"/>
            </w:tcBorders>
            <w:shd w:val="clear" w:color="auto" w:fill="auto"/>
            <w:hideMark/>
          </w:tcPr>
          <w:p w14:paraId="0499C0DD" w14:textId="77777777"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70</w:t>
            </w:r>
          </w:p>
        </w:tc>
        <w:tc>
          <w:tcPr>
            <w:tcW w:w="1087" w:type="dxa"/>
            <w:tcBorders>
              <w:top w:val="nil"/>
              <w:left w:val="nil"/>
              <w:bottom w:val="single" w:sz="4" w:space="0" w:color="auto"/>
              <w:right w:val="single" w:sz="4" w:space="0" w:color="auto"/>
            </w:tcBorders>
            <w:shd w:val="clear" w:color="auto" w:fill="auto"/>
            <w:hideMark/>
          </w:tcPr>
          <w:p w14:paraId="19887FEE" w14:textId="77777777"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21</w:t>
            </w:r>
          </w:p>
        </w:tc>
      </w:tr>
      <w:tr w:rsidR="00E2790A" w:rsidRPr="003747BC" w14:paraId="66A22FD1" w14:textId="77777777" w:rsidTr="00E2790A">
        <w:trPr>
          <w:trHeight w:val="6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3FB28400" w14:textId="77777777"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Dupilumab</w:t>
            </w:r>
          </w:p>
        </w:tc>
        <w:tc>
          <w:tcPr>
            <w:tcW w:w="1086" w:type="dxa"/>
            <w:tcBorders>
              <w:top w:val="nil"/>
              <w:left w:val="nil"/>
              <w:bottom w:val="single" w:sz="4" w:space="0" w:color="auto"/>
              <w:right w:val="single" w:sz="4" w:space="0" w:color="auto"/>
            </w:tcBorders>
            <w:shd w:val="clear" w:color="auto" w:fill="auto"/>
            <w:hideMark/>
          </w:tcPr>
          <w:p w14:paraId="3E7EDC27" w14:textId="0D163E7C"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4</w:t>
            </w:r>
            <w:r w:rsidR="00154CDF">
              <w:rPr>
                <w:rFonts w:ascii="Calibri" w:eastAsia="Times New Roman" w:hAnsi="Calibri" w:cs="Calibri"/>
                <w:color w:val="000000"/>
                <w:sz w:val="20"/>
                <w:szCs w:val="20"/>
              </w:rPr>
              <w:t>,</w:t>
            </w:r>
            <w:r w:rsidRPr="003747BC">
              <w:rPr>
                <w:rFonts w:ascii="Calibri" w:eastAsia="Times New Roman" w:hAnsi="Calibri" w:cs="Calibri"/>
                <w:color w:val="000000"/>
                <w:sz w:val="20"/>
                <w:szCs w:val="20"/>
              </w:rPr>
              <w:t>446</w:t>
            </w:r>
          </w:p>
        </w:tc>
        <w:tc>
          <w:tcPr>
            <w:tcW w:w="1087" w:type="dxa"/>
            <w:tcBorders>
              <w:top w:val="nil"/>
              <w:left w:val="nil"/>
              <w:bottom w:val="single" w:sz="4" w:space="0" w:color="auto"/>
              <w:right w:val="single" w:sz="4" w:space="0" w:color="auto"/>
            </w:tcBorders>
            <w:shd w:val="clear" w:color="auto" w:fill="auto"/>
            <w:hideMark/>
          </w:tcPr>
          <w:p w14:paraId="23D08A14" w14:textId="77777777"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50</w:t>
            </w:r>
          </w:p>
        </w:tc>
        <w:tc>
          <w:tcPr>
            <w:tcW w:w="1087" w:type="dxa"/>
            <w:tcBorders>
              <w:top w:val="nil"/>
              <w:left w:val="nil"/>
              <w:bottom w:val="single" w:sz="4" w:space="0" w:color="auto"/>
              <w:right w:val="single" w:sz="4" w:space="0" w:color="auto"/>
            </w:tcBorders>
            <w:shd w:val="clear" w:color="auto" w:fill="auto"/>
            <w:hideMark/>
          </w:tcPr>
          <w:p w14:paraId="124DE6CD" w14:textId="77777777"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35</w:t>
            </w:r>
          </w:p>
        </w:tc>
        <w:tc>
          <w:tcPr>
            <w:tcW w:w="1087" w:type="dxa"/>
            <w:tcBorders>
              <w:top w:val="nil"/>
              <w:left w:val="nil"/>
              <w:bottom w:val="single" w:sz="4" w:space="0" w:color="auto"/>
              <w:right w:val="single" w:sz="4" w:space="0" w:color="auto"/>
            </w:tcBorders>
            <w:shd w:val="clear" w:color="auto" w:fill="auto"/>
            <w:hideMark/>
          </w:tcPr>
          <w:p w14:paraId="519C0F87" w14:textId="77777777"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53</w:t>
            </w:r>
          </w:p>
        </w:tc>
        <w:tc>
          <w:tcPr>
            <w:tcW w:w="1087" w:type="dxa"/>
            <w:tcBorders>
              <w:top w:val="nil"/>
              <w:left w:val="nil"/>
              <w:bottom w:val="single" w:sz="4" w:space="0" w:color="auto"/>
              <w:right w:val="single" w:sz="4" w:space="0" w:color="auto"/>
            </w:tcBorders>
            <w:shd w:val="clear" w:color="auto" w:fill="auto"/>
            <w:hideMark/>
          </w:tcPr>
          <w:p w14:paraId="6B0C8BB3" w14:textId="77777777"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66</w:t>
            </w:r>
          </w:p>
        </w:tc>
        <w:tc>
          <w:tcPr>
            <w:tcW w:w="1087" w:type="dxa"/>
            <w:tcBorders>
              <w:top w:val="nil"/>
              <w:left w:val="nil"/>
              <w:bottom w:val="single" w:sz="4" w:space="0" w:color="auto"/>
              <w:right w:val="single" w:sz="4" w:space="0" w:color="auto"/>
            </w:tcBorders>
            <w:shd w:val="clear" w:color="auto" w:fill="auto"/>
            <w:hideMark/>
          </w:tcPr>
          <w:p w14:paraId="5B58542D" w14:textId="77777777"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31</w:t>
            </w:r>
          </w:p>
        </w:tc>
      </w:tr>
      <w:tr w:rsidR="00E2790A" w:rsidRPr="003747BC" w14:paraId="1C9147EC" w14:textId="77777777" w:rsidTr="00E2790A">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77114D39" w14:textId="77777777"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Mepolizumab</w:t>
            </w:r>
          </w:p>
        </w:tc>
        <w:tc>
          <w:tcPr>
            <w:tcW w:w="1086" w:type="dxa"/>
            <w:tcBorders>
              <w:top w:val="nil"/>
              <w:left w:val="nil"/>
              <w:bottom w:val="single" w:sz="4" w:space="0" w:color="auto"/>
              <w:right w:val="single" w:sz="4" w:space="0" w:color="auto"/>
            </w:tcBorders>
            <w:shd w:val="clear" w:color="auto" w:fill="auto"/>
            <w:hideMark/>
          </w:tcPr>
          <w:p w14:paraId="6DCC7DEA" w14:textId="73A7C25A"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4</w:t>
            </w:r>
            <w:r w:rsidR="00154CDF">
              <w:rPr>
                <w:rFonts w:ascii="Calibri" w:eastAsia="Times New Roman" w:hAnsi="Calibri" w:cs="Calibri"/>
                <w:color w:val="000000"/>
                <w:sz w:val="20"/>
                <w:szCs w:val="20"/>
              </w:rPr>
              <w:t>,</w:t>
            </w:r>
            <w:r w:rsidRPr="003747BC">
              <w:rPr>
                <w:rFonts w:ascii="Calibri" w:eastAsia="Times New Roman" w:hAnsi="Calibri" w:cs="Calibri"/>
                <w:color w:val="000000"/>
                <w:sz w:val="20"/>
                <w:szCs w:val="20"/>
              </w:rPr>
              <w:t>338</w:t>
            </w:r>
          </w:p>
        </w:tc>
        <w:tc>
          <w:tcPr>
            <w:tcW w:w="1087" w:type="dxa"/>
            <w:tcBorders>
              <w:top w:val="nil"/>
              <w:left w:val="nil"/>
              <w:bottom w:val="single" w:sz="4" w:space="0" w:color="auto"/>
              <w:right w:val="single" w:sz="4" w:space="0" w:color="auto"/>
            </w:tcBorders>
            <w:shd w:val="clear" w:color="auto" w:fill="auto"/>
            <w:hideMark/>
          </w:tcPr>
          <w:p w14:paraId="59075DBC" w14:textId="77777777"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58</w:t>
            </w:r>
          </w:p>
        </w:tc>
        <w:tc>
          <w:tcPr>
            <w:tcW w:w="1087" w:type="dxa"/>
            <w:tcBorders>
              <w:top w:val="nil"/>
              <w:left w:val="nil"/>
              <w:bottom w:val="single" w:sz="4" w:space="0" w:color="auto"/>
              <w:right w:val="single" w:sz="4" w:space="0" w:color="auto"/>
            </w:tcBorders>
            <w:shd w:val="clear" w:color="auto" w:fill="auto"/>
            <w:hideMark/>
          </w:tcPr>
          <w:p w14:paraId="0AA3EC83" w14:textId="77777777"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49</w:t>
            </w:r>
          </w:p>
        </w:tc>
        <w:tc>
          <w:tcPr>
            <w:tcW w:w="1087" w:type="dxa"/>
            <w:tcBorders>
              <w:top w:val="nil"/>
              <w:left w:val="nil"/>
              <w:bottom w:val="single" w:sz="4" w:space="0" w:color="auto"/>
              <w:right w:val="single" w:sz="4" w:space="0" w:color="auto"/>
            </w:tcBorders>
            <w:shd w:val="clear" w:color="auto" w:fill="auto"/>
            <w:hideMark/>
          </w:tcPr>
          <w:p w14:paraId="4DB510B1" w14:textId="77777777"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60</w:t>
            </w:r>
          </w:p>
        </w:tc>
        <w:tc>
          <w:tcPr>
            <w:tcW w:w="1087" w:type="dxa"/>
            <w:tcBorders>
              <w:top w:val="nil"/>
              <w:left w:val="nil"/>
              <w:bottom w:val="single" w:sz="4" w:space="0" w:color="auto"/>
              <w:right w:val="single" w:sz="4" w:space="0" w:color="auto"/>
            </w:tcBorders>
            <w:shd w:val="clear" w:color="auto" w:fill="auto"/>
            <w:hideMark/>
          </w:tcPr>
          <w:p w14:paraId="364E2B7F" w14:textId="77777777"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70</w:t>
            </w:r>
          </w:p>
        </w:tc>
        <w:tc>
          <w:tcPr>
            <w:tcW w:w="1087" w:type="dxa"/>
            <w:tcBorders>
              <w:top w:val="nil"/>
              <w:left w:val="nil"/>
              <w:bottom w:val="single" w:sz="4" w:space="0" w:color="auto"/>
              <w:right w:val="single" w:sz="4" w:space="0" w:color="auto"/>
            </w:tcBorders>
            <w:shd w:val="clear" w:color="auto" w:fill="auto"/>
            <w:hideMark/>
          </w:tcPr>
          <w:p w14:paraId="6FE76EC4" w14:textId="77777777"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21</w:t>
            </w:r>
          </w:p>
        </w:tc>
      </w:tr>
      <w:tr w:rsidR="00E2790A" w:rsidRPr="003747BC" w14:paraId="78675424" w14:textId="77777777" w:rsidTr="00E2790A">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0C80DFCF" w14:textId="77777777"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Omalizumab</w:t>
            </w:r>
          </w:p>
        </w:tc>
        <w:tc>
          <w:tcPr>
            <w:tcW w:w="1086" w:type="dxa"/>
            <w:tcBorders>
              <w:top w:val="nil"/>
              <w:left w:val="nil"/>
              <w:bottom w:val="single" w:sz="4" w:space="0" w:color="auto"/>
              <w:right w:val="single" w:sz="4" w:space="0" w:color="auto"/>
            </w:tcBorders>
            <w:shd w:val="clear" w:color="auto" w:fill="auto"/>
            <w:hideMark/>
          </w:tcPr>
          <w:p w14:paraId="4716CF15" w14:textId="365EEB2E"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4</w:t>
            </w:r>
            <w:r w:rsidR="00154CDF">
              <w:rPr>
                <w:rFonts w:ascii="Calibri" w:eastAsia="Times New Roman" w:hAnsi="Calibri" w:cs="Calibri"/>
                <w:color w:val="000000"/>
                <w:sz w:val="20"/>
                <w:szCs w:val="20"/>
              </w:rPr>
              <w:t>,</w:t>
            </w:r>
            <w:r w:rsidRPr="003747BC">
              <w:rPr>
                <w:rFonts w:ascii="Calibri" w:eastAsia="Times New Roman" w:hAnsi="Calibri" w:cs="Calibri"/>
                <w:color w:val="000000"/>
                <w:sz w:val="20"/>
                <w:szCs w:val="20"/>
              </w:rPr>
              <w:t>671</w:t>
            </w:r>
          </w:p>
        </w:tc>
        <w:tc>
          <w:tcPr>
            <w:tcW w:w="1087" w:type="dxa"/>
            <w:tcBorders>
              <w:top w:val="nil"/>
              <w:left w:val="nil"/>
              <w:bottom w:val="single" w:sz="4" w:space="0" w:color="auto"/>
              <w:right w:val="single" w:sz="4" w:space="0" w:color="auto"/>
            </w:tcBorders>
            <w:shd w:val="clear" w:color="auto" w:fill="auto"/>
            <w:hideMark/>
          </w:tcPr>
          <w:p w14:paraId="51132C06" w14:textId="77777777"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50</w:t>
            </w:r>
          </w:p>
        </w:tc>
        <w:tc>
          <w:tcPr>
            <w:tcW w:w="1087" w:type="dxa"/>
            <w:tcBorders>
              <w:top w:val="nil"/>
              <w:left w:val="nil"/>
              <w:bottom w:val="single" w:sz="4" w:space="0" w:color="auto"/>
              <w:right w:val="single" w:sz="4" w:space="0" w:color="auto"/>
            </w:tcBorders>
            <w:shd w:val="clear" w:color="auto" w:fill="auto"/>
            <w:hideMark/>
          </w:tcPr>
          <w:p w14:paraId="678CC263" w14:textId="77777777"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37</w:t>
            </w:r>
          </w:p>
        </w:tc>
        <w:tc>
          <w:tcPr>
            <w:tcW w:w="1087" w:type="dxa"/>
            <w:tcBorders>
              <w:top w:val="nil"/>
              <w:left w:val="nil"/>
              <w:bottom w:val="single" w:sz="4" w:space="0" w:color="auto"/>
              <w:right w:val="single" w:sz="4" w:space="0" w:color="auto"/>
            </w:tcBorders>
            <w:shd w:val="clear" w:color="auto" w:fill="auto"/>
            <w:hideMark/>
          </w:tcPr>
          <w:p w14:paraId="1E0A327F" w14:textId="77777777"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53</w:t>
            </w:r>
          </w:p>
        </w:tc>
        <w:tc>
          <w:tcPr>
            <w:tcW w:w="1087" w:type="dxa"/>
            <w:tcBorders>
              <w:top w:val="nil"/>
              <w:left w:val="nil"/>
              <w:bottom w:val="single" w:sz="4" w:space="0" w:color="auto"/>
              <w:right w:val="single" w:sz="4" w:space="0" w:color="auto"/>
            </w:tcBorders>
            <w:shd w:val="clear" w:color="auto" w:fill="auto"/>
            <w:hideMark/>
          </w:tcPr>
          <w:p w14:paraId="08400682" w14:textId="77777777"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65</w:t>
            </w:r>
          </w:p>
        </w:tc>
        <w:tc>
          <w:tcPr>
            <w:tcW w:w="1087" w:type="dxa"/>
            <w:tcBorders>
              <w:top w:val="nil"/>
              <w:left w:val="nil"/>
              <w:bottom w:val="single" w:sz="4" w:space="0" w:color="auto"/>
              <w:right w:val="single" w:sz="4" w:space="0" w:color="auto"/>
            </w:tcBorders>
            <w:shd w:val="clear" w:color="auto" w:fill="auto"/>
            <w:hideMark/>
          </w:tcPr>
          <w:p w14:paraId="1B4670EF" w14:textId="77777777"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28</w:t>
            </w:r>
          </w:p>
        </w:tc>
      </w:tr>
      <w:tr w:rsidR="003747BC" w:rsidRPr="003747BC" w14:paraId="29D241F0" w14:textId="77777777" w:rsidTr="00E2790A">
        <w:trPr>
          <w:trHeight w:val="315"/>
        </w:trPr>
        <w:tc>
          <w:tcPr>
            <w:tcW w:w="8926"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F13E8AF" w14:textId="3EF6ECD2"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Age at initiation of therapy (excluding patients switching from a previous biologic)</w:t>
            </w:r>
          </w:p>
        </w:tc>
      </w:tr>
      <w:tr w:rsidR="00E2790A" w:rsidRPr="003747BC" w14:paraId="74712541" w14:textId="77777777" w:rsidTr="00E2790A">
        <w:trPr>
          <w:trHeight w:val="6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02386F28" w14:textId="77777777"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Benralizumab</w:t>
            </w:r>
          </w:p>
        </w:tc>
        <w:tc>
          <w:tcPr>
            <w:tcW w:w="1086" w:type="dxa"/>
            <w:tcBorders>
              <w:top w:val="nil"/>
              <w:left w:val="nil"/>
              <w:bottom w:val="single" w:sz="4" w:space="0" w:color="auto"/>
              <w:right w:val="single" w:sz="4" w:space="0" w:color="auto"/>
            </w:tcBorders>
            <w:shd w:val="clear" w:color="auto" w:fill="auto"/>
            <w:hideMark/>
          </w:tcPr>
          <w:p w14:paraId="4A0CF246" w14:textId="0724456B"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3</w:t>
            </w:r>
            <w:r w:rsidR="00154CDF">
              <w:rPr>
                <w:rFonts w:ascii="Calibri" w:eastAsia="Times New Roman" w:hAnsi="Calibri" w:cs="Calibri"/>
                <w:color w:val="000000"/>
                <w:sz w:val="20"/>
                <w:szCs w:val="20"/>
              </w:rPr>
              <w:t>,</w:t>
            </w:r>
            <w:r w:rsidRPr="003747BC">
              <w:rPr>
                <w:rFonts w:ascii="Calibri" w:eastAsia="Times New Roman" w:hAnsi="Calibri" w:cs="Calibri"/>
                <w:color w:val="000000"/>
                <w:sz w:val="20"/>
                <w:szCs w:val="20"/>
              </w:rPr>
              <w:t>849</w:t>
            </w:r>
          </w:p>
        </w:tc>
        <w:tc>
          <w:tcPr>
            <w:tcW w:w="1087" w:type="dxa"/>
            <w:tcBorders>
              <w:top w:val="nil"/>
              <w:left w:val="nil"/>
              <w:bottom w:val="single" w:sz="4" w:space="0" w:color="auto"/>
              <w:right w:val="single" w:sz="4" w:space="0" w:color="auto"/>
            </w:tcBorders>
            <w:shd w:val="clear" w:color="auto" w:fill="auto"/>
            <w:hideMark/>
          </w:tcPr>
          <w:p w14:paraId="6DB74FBB" w14:textId="77777777"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58</w:t>
            </w:r>
          </w:p>
        </w:tc>
        <w:tc>
          <w:tcPr>
            <w:tcW w:w="1087" w:type="dxa"/>
            <w:tcBorders>
              <w:top w:val="nil"/>
              <w:left w:val="nil"/>
              <w:bottom w:val="single" w:sz="4" w:space="0" w:color="auto"/>
              <w:right w:val="single" w:sz="4" w:space="0" w:color="auto"/>
            </w:tcBorders>
            <w:shd w:val="clear" w:color="auto" w:fill="auto"/>
            <w:hideMark/>
          </w:tcPr>
          <w:p w14:paraId="2C7AA3C8" w14:textId="77777777"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49</w:t>
            </w:r>
          </w:p>
        </w:tc>
        <w:tc>
          <w:tcPr>
            <w:tcW w:w="1087" w:type="dxa"/>
            <w:tcBorders>
              <w:top w:val="nil"/>
              <w:left w:val="nil"/>
              <w:bottom w:val="single" w:sz="4" w:space="0" w:color="auto"/>
              <w:right w:val="single" w:sz="4" w:space="0" w:color="auto"/>
            </w:tcBorders>
            <w:shd w:val="clear" w:color="auto" w:fill="auto"/>
            <w:hideMark/>
          </w:tcPr>
          <w:p w14:paraId="77EA0A64" w14:textId="77777777"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61</w:t>
            </w:r>
          </w:p>
        </w:tc>
        <w:tc>
          <w:tcPr>
            <w:tcW w:w="1087" w:type="dxa"/>
            <w:tcBorders>
              <w:top w:val="nil"/>
              <w:left w:val="nil"/>
              <w:bottom w:val="single" w:sz="4" w:space="0" w:color="auto"/>
              <w:right w:val="single" w:sz="4" w:space="0" w:color="auto"/>
            </w:tcBorders>
            <w:shd w:val="clear" w:color="auto" w:fill="auto"/>
            <w:hideMark/>
          </w:tcPr>
          <w:p w14:paraId="689D9D41" w14:textId="77777777"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70</w:t>
            </w:r>
          </w:p>
        </w:tc>
        <w:tc>
          <w:tcPr>
            <w:tcW w:w="1087" w:type="dxa"/>
            <w:tcBorders>
              <w:top w:val="nil"/>
              <w:left w:val="nil"/>
              <w:bottom w:val="single" w:sz="4" w:space="0" w:color="auto"/>
              <w:right w:val="single" w:sz="4" w:space="0" w:color="auto"/>
            </w:tcBorders>
            <w:shd w:val="clear" w:color="auto" w:fill="auto"/>
            <w:hideMark/>
          </w:tcPr>
          <w:p w14:paraId="01A6BB6E" w14:textId="77777777"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21</w:t>
            </w:r>
          </w:p>
        </w:tc>
      </w:tr>
      <w:tr w:rsidR="00E2790A" w:rsidRPr="003747BC" w14:paraId="2332DB6A" w14:textId="77777777" w:rsidTr="00E2790A">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33AF1498" w14:textId="77777777"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Dupilumab</w:t>
            </w:r>
          </w:p>
        </w:tc>
        <w:tc>
          <w:tcPr>
            <w:tcW w:w="1086" w:type="dxa"/>
            <w:tcBorders>
              <w:top w:val="nil"/>
              <w:left w:val="nil"/>
              <w:bottom w:val="single" w:sz="4" w:space="0" w:color="auto"/>
              <w:right w:val="single" w:sz="4" w:space="0" w:color="auto"/>
            </w:tcBorders>
            <w:shd w:val="clear" w:color="auto" w:fill="auto"/>
            <w:hideMark/>
          </w:tcPr>
          <w:p w14:paraId="5EB5D279" w14:textId="42BF2D7C"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2</w:t>
            </w:r>
            <w:r w:rsidR="00154CDF">
              <w:rPr>
                <w:rFonts w:ascii="Calibri" w:eastAsia="Times New Roman" w:hAnsi="Calibri" w:cs="Calibri"/>
                <w:color w:val="000000"/>
                <w:sz w:val="20"/>
                <w:szCs w:val="20"/>
              </w:rPr>
              <w:t>,</w:t>
            </w:r>
            <w:r w:rsidRPr="003747BC">
              <w:rPr>
                <w:rFonts w:ascii="Calibri" w:eastAsia="Times New Roman" w:hAnsi="Calibri" w:cs="Calibri"/>
                <w:color w:val="000000"/>
                <w:sz w:val="20"/>
                <w:szCs w:val="20"/>
              </w:rPr>
              <w:t>983</w:t>
            </w:r>
          </w:p>
        </w:tc>
        <w:tc>
          <w:tcPr>
            <w:tcW w:w="1087" w:type="dxa"/>
            <w:tcBorders>
              <w:top w:val="nil"/>
              <w:left w:val="nil"/>
              <w:bottom w:val="single" w:sz="4" w:space="0" w:color="auto"/>
              <w:right w:val="single" w:sz="4" w:space="0" w:color="auto"/>
            </w:tcBorders>
            <w:shd w:val="clear" w:color="auto" w:fill="auto"/>
            <w:hideMark/>
          </w:tcPr>
          <w:p w14:paraId="00586233" w14:textId="77777777"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47</w:t>
            </w:r>
          </w:p>
        </w:tc>
        <w:tc>
          <w:tcPr>
            <w:tcW w:w="1087" w:type="dxa"/>
            <w:tcBorders>
              <w:top w:val="nil"/>
              <w:left w:val="nil"/>
              <w:bottom w:val="single" w:sz="4" w:space="0" w:color="auto"/>
              <w:right w:val="single" w:sz="4" w:space="0" w:color="auto"/>
            </w:tcBorders>
            <w:shd w:val="clear" w:color="auto" w:fill="auto"/>
            <w:hideMark/>
          </w:tcPr>
          <w:p w14:paraId="59BBE3C4" w14:textId="77777777"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30</w:t>
            </w:r>
          </w:p>
        </w:tc>
        <w:tc>
          <w:tcPr>
            <w:tcW w:w="1087" w:type="dxa"/>
            <w:tcBorders>
              <w:top w:val="nil"/>
              <w:left w:val="nil"/>
              <w:bottom w:val="single" w:sz="4" w:space="0" w:color="auto"/>
              <w:right w:val="single" w:sz="4" w:space="0" w:color="auto"/>
            </w:tcBorders>
            <w:shd w:val="clear" w:color="auto" w:fill="auto"/>
            <w:hideMark/>
          </w:tcPr>
          <w:p w14:paraId="181DBA9C" w14:textId="77777777"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49</w:t>
            </w:r>
          </w:p>
        </w:tc>
        <w:tc>
          <w:tcPr>
            <w:tcW w:w="1087" w:type="dxa"/>
            <w:tcBorders>
              <w:top w:val="nil"/>
              <w:left w:val="nil"/>
              <w:bottom w:val="single" w:sz="4" w:space="0" w:color="auto"/>
              <w:right w:val="single" w:sz="4" w:space="0" w:color="auto"/>
            </w:tcBorders>
            <w:shd w:val="clear" w:color="auto" w:fill="auto"/>
            <w:hideMark/>
          </w:tcPr>
          <w:p w14:paraId="478CC3D2" w14:textId="77777777"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64</w:t>
            </w:r>
          </w:p>
        </w:tc>
        <w:tc>
          <w:tcPr>
            <w:tcW w:w="1087" w:type="dxa"/>
            <w:tcBorders>
              <w:top w:val="nil"/>
              <w:left w:val="nil"/>
              <w:bottom w:val="single" w:sz="4" w:space="0" w:color="auto"/>
              <w:right w:val="single" w:sz="4" w:space="0" w:color="auto"/>
            </w:tcBorders>
            <w:shd w:val="clear" w:color="auto" w:fill="auto"/>
            <w:hideMark/>
          </w:tcPr>
          <w:p w14:paraId="7E411E43" w14:textId="77777777"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34</w:t>
            </w:r>
          </w:p>
        </w:tc>
      </w:tr>
      <w:tr w:rsidR="00E2790A" w:rsidRPr="003747BC" w14:paraId="6460279D" w14:textId="77777777" w:rsidTr="00E2790A">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71183AB6" w14:textId="77777777"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Mepolizumab</w:t>
            </w:r>
          </w:p>
        </w:tc>
        <w:tc>
          <w:tcPr>
            <w:tcW w:w="1086" w:type="dxa"/>
            <w:tcBorders>
              <w:top w:val="nil"/>
              <w:left w:val="nil"/>
              <w:bottom w:val="single" w:sz="4" w:space="0" w:color="auto"/>
              <w:right w:val="single" w:sz="4" w:space="0" w:color="auto"/>
            </w:tcBorders>
            <w:shd w:val="clear" w:color="auto" w:fill="auto"/>
            <w:hideMark/>
          </w:tcPr>
          <w:p w14:paraId="499143B7" w14:textId="01EB663A"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3</w:t>
            </w:r>
            <w:r w:rsidR="00154CDF">
              <w:rPr>
                <w:rFonts w:ascii="Calibri" w:eastAsia="Times New Roman" w:hAnsi="Calibri" w:cs="Calibri"/>
                <w:color w:val="000000"/>
                <w:sz w:val="20"/>
                <w:szCs w:val="20"/>
              </w:rPr>
              <w:t>,</w:t>
            </w:r>
            <w:r w:rsidRPr="003747BC">
              <w:rPr>
                <w:rFonts w:ascii="Calibri" w:eastAsia="Times New Roman" w:hAnsi="Calibri" w:cs="Calibri"/>
                <w:color w:val="000000"/>
                <w:sz w:val="20"/>
                <w:szCs w:val="20"/>
              </w:rPr>
              <w:t>867</w:t>
            </w:r>
          </w:p>
        </w:tc>
        <w:tc>
          <w:tcPr>
            <w:tcW w:w="1087" w:type="dxa"/>
            <w:tcBorders>
              <w:top w:val="nil"/>
              <w:left w:val="nil"/>
              <w:bottom w:val="single" w:sz="4" w:space="0" w:color="auto"/>
              <w:right w:val="single" w:sz="4" w:space="0" w:color="auto"/>
            </w:tcBorders>
            <w:shd w:val="clear" w:color="auto" w:fill="auto"/>
            <w:hideMark/>
          </w:tcPr>
          <w:p w14:paraId="64DF9706" w14:textId="77777777"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59</w:t>
            </w:r>
          </w:p>
        </w:tc>
        <w:tc>
          <w:tcPr>
            <w:tcW w:w="1087" w:type="dxa"/>
            <w:tcBorders>
              <w:top w:val="nil"/>
              <w:left w:val="nil"/>
              <w:bottom w:val="single" w:sz="4" w:space="0" w:color="auto"/>
              <w:right w:val="single" w:sz="4" w:space="0" w:color="auto"/>
            </w:tcBorders>
            <w:shd w:val="clear" w:color="auto" w:fill="auto"/>
            <w:hideMark/>
          </w:tcPr>
          <w:p w14:paraId="70B1AF52" w14:textId="77777777"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49</w:t>
            </w:r>
          </w:p>
        </w:tc>
        <w:tc>
          <w:tcPr>
            <w:tcW w:w="1087" w:type="dxa"/>
            <w:tcBorders>
              <w:top w:val="nil"/>
              <w:left w:val="nil"/>
              <w:bottom w:val="single" w:sz="4" w:space="0" w:color="auto"/>
              <w:right w:val="single" w:sz="4" w:space="0" w:color="auto"/>
            </w:tcBorders>
            <w:shd w:val="clear" w:color="auto" w:fill="auto"/>
            <w:hideMark/>
          </w:tcPr>
          <w:p w14:paraId="6B9FDD70" w14:textId="77777777"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60</w:t>
            </w:r>
          </w:p>
        </w:tc>
        <w:tc>
          <w:tcPr>
            <w:tcW w:w="1087" w:type="dxa"/>
            <w:tcBorders>
              <w:top w:val="nil"/>
              <w:left w:val="nil"/>
              <w:bottom w:val="single" w:sz="4" w:space="0" w:color="auto"/>
              <w:right w:val="single" w:sz="4" w:space="0" w:color="auto"/>
            </w:tcBorders>
            <w:shd w:val="clear" w:color="auto" w:fill="auto"/>
            <w:hideMark/>
          </w:tcPr>
          <w:p w14:paraId="6EFF0D3E" w14:textId="77777777"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70</w:t>
            </w:r>
          </w:p>
        </w:tc>
        <w:tc>
          <w:tcPr>
            <w:tcW w:w="1087" w:type="dxa"/>
            <w:tcBorders>
              <w:top w:val="nil"/>
              <w:left w:val="nil"/>
              <w:bottom w:val="single" w:sz="4" w:space="0" w:color="auto"/>
              <w:right w:val="single" w:sz="4" w:space="0" w:color="auto"/>
            </w:tcBorders>
            <w:shd w:val="clear" w:color="auto" w:fill="auto"/>
            <w:hideMark/>
          </w:tcPr>
          <w:p w14:paraId="49ABF198" w14:textId="77777777"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21</w:t>
            </w:r>
          </w:p>
        </w:tc>
      </w:tr>
      <w:tr w:rsidR="00E2790A" w:rsidRPr="003747BC" w14:paraId="5DB28172" w14:textId="77777777" w:rsidTr="00E2790A">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57DC923E" w14:textId="77777777"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Omalizumab</w:t>
            </w:r>
          </w:p>
        </w:tc>
        <w:tc>
          <w:tcPr>
            <w:tcW w:w="1086" w:type="dxa"/>
            <w:tcBorders>
              <w:top w:val="nil"/>
              <w:left w:val="nil"/>
              <w:bottom w:val="single" w:sz="4" w:space="0" w:color="auto"/>
              <w:right w:val="single" w:sz="4" w:space="0" w:color="auto"/>
            </w:tcBorders>
            <w:shd w:val="clear" w:color="auto" w:fill="auto"/>
            <w:hideMark/>
          </w:tcPr>
          <w:p w14:paraId="43E3370E" w14:textId="3E1717BF"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4</w:t>
            </w:r>
            <w:r w:rsidR="00154CDF">
              <w:rPr>
                <w:rFonts w:ascii="Calibri" w:eastAsia="Times New Roman" w:hAnsi="Calibri" w:cs="Calibri"/>
                <w:color w:val="000000"/>
                <w:sz w:val="20"/>
                <w:szCs w:val="20"/>
              </w:rPr>
              <w:t>,</w:t>
            </w:r>
            <w:r w:rsidRPr="003747BC">
              <w:rPr>
                <w:rFonts w:ascii="Calibri" w:eastAsia="Times New Roman" w:hAnsi="Calibri" w:cs="Calibri"/>
                <w:color w:val="000000"/>
                <w:sz w:val="20"/>
                <w:szCs w:val="20"/>
              </w:rPr>
              <w:t>538</w:t>
            </w:r>
          </w:p>
        </w:tc>
        <w:tc>
          <w:tcPr>
            <w:tcW w:w="1087" w:type="dxa"/>
            <w:tcBorders>
              <w:top w:val="nil"/>
              <w:left w:val="nil"/>
              <w:bottom w:val="single" w:sz="4" w:space="0" w:color="auto"/>
              <w:right w:val="single" w:sz="4" w:space="0" w:color="auto"/>
            </w:tcBorders>
            <w:shd w:val="clear" w:color="auto" w:fill="auto"/>
            <w:hideMark/>
          </w:tcPr>
          <w:p w14:paraId="7EC3E874" w14:textId="77777777"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50</w:t>
            </w:r>
          </w:p>
        </w:tc>
        <w:tc>
          <w:tcPr>
            <w:tcW w:w="1087" w:type="dxa"/>
            <w:tcBorders>
              <w:top w:val="nil"/>
              <w:left w:val="nil"/>
              <w:bottom w:val="single" w:sz="4" w:space="0" w:color="auto"/>
              <w:right w:val="single" w:sz="4" w:space="0" w:color="auto"/>
            </w:tcBorders>
            <w:shd w:val="clear" w:color="auto" w:fill="auto"/>
            <w:hideMark/>
          </w:tcPr>
          <w:p w14:paraId="3CB99836" w14:textId="77777777"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37</w:t>
            </w:r>
          </w:p>
        </w:tc>
        <w:tc>
          <w:tcPr>
            <w:tcW w:w="1087" w:type="dxa"/>
            <w:tcBorders>
              <w:top w:val="nil"/>
              <w:left w:val="nil"/>
              <w:bottom w:val="single" w:sz="4" w:space="0" w:color="auto"/>
              <w:right w:val="single" w:sz="4" w:space="0" w:color="auto"/>
            </w:tcBorders>
            <w:shd w:val="clear" w:color="auto" w:fill="auto"/>
            <w:hideMark/>
          </w:tcPr>
          <w:p w14:paraId="37112303" w14:textId="77777777"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52.5</w:t>
            </w:r>
          </w:p>
        </w:tc>
        <w:tc>
          <w:tcPr>
            <w:tcW w:w="1087" w:type="dxa"/>
            <w:tcBorders>
              <w:top w:val="nil"/>
              <w:left w:val="nil"/>
              <w:bottom w:val="single" w:sz="4" w:space="0" w:color="auto"/>
              <w:right w:val="single" w:sz="4" w:space="0" w:color="auto"/>
            </w:tcBorders>
            <w:shd w:val="clear" w:color="auto" w:fill="auto"/>
            <w:hideMark/>
          </w:tcPr>
          <w:p w14:paraId="27790A4D" w14:textId="77777777"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65</w:t>
            </w:r>
          </w:p>
        </w:tc>
        <w:tc>
          <w:tcPr>
            <w:tcW w:w="1087" w:type="dxa"/>
            <w:tcBorders>
              <w:top w:val="nil"/>
              <w:left w:val="nil"/>
              <w:bottom w:val="single" w:sz="4" w:space="0" w:color="auto"/>
              <w:right w:val="single" w:sz="4" w:space="0" w:color="auto"/>
            </w:tcBorders>
            <w:shd w:val="clear" w:color="auto" w:fill="auto"/>
            <w:hideMark/>
          </w:tcPr>
          <w:p w14:paraId="698CE823" w14:textId="77777777"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28</w:t>
            </w:r>
          </w:p>
        </w:tc>
      </w:tr>
      <w:tr w:rsidR="00E2790A" w:rsidRPr="003747BC" w14:paraId="5F2DDD6D" w14:textId="77777777" w:rsidTr="00E2790A">
        <w:trPr>
          <w:trHeight w:val="315"/>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241CE07C" w14:textId="415F70B3"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 xml:space="preserve">Overall </w:t>
            </w:r>
            <w:r w:rsidR="00154CDF" w:rsidRPr="003747BC">
              <w:rPr>
                <w:rFonts w:ascii="Calibri" w:eastAsia="Times New Roman" w:hAnsi="Calibri" w:cs="Calibri"/>
                <w:color w:val="000000"/>
                <w:sz w:val="20"/>
                <w:szCs w:val="20"/>
              </w:rPr>
              <w:t>age at therapy initiation</w:t>
            </w:r>
          </w:p>
        </w:tc>
        <w:tc>
          <w:tcPr>
            <w:tcW w:w="1086" w:type="dxa"/>
            <w:tcBorders>
              <w:top w:val="nil"/>
              <w:left w:val="nil"/>
              <w:bottom w:val="single" w:sz="4" w:space="0" w:color="auto"/>
              <w:right w:val="single" w:sz="4" w:space="0" w:color="auto"/>
            </w:tcBorders>
            <w:shd w:val="clear" w:color="auto" w:fill="auto"/>
            <w:hideMark/>
          </w:tcPr>
          <w:p w14:paraId="02DCC85F" w14:textId="3E9975EB"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15</w:t>
            </w:r>
            <w:r w:rsidR="00154CDF">
              <w:rPr>
                <w:rFonts w:ascii="Calibri" w:eastAsia="Times New Roman" w:hAnsi="Calibri" w:cs="Calibri"/>
                <w:color w:val="000000"/>
                <w:sz w:val="20"/>
                <w:szCs w:val="20"/>
              </w:rPr>
              <w:t>,</w:t>
            </w:r>
            <w:r w:rsidRPr="003747BC">
              <w:rPr>
                <w:rFonts w:ascii="Calibri" w:eastAsia="Times New Roman" w:hAnsi="Calibri" w:cs="Calibri"/>
                <w:color w:val="000000"/>
                <w:sz w:val="20"/>
                <w:szCs w:val="20"/>
              </w:rPr>
              <w:t>237</w:t>
            </w:r>
          </w:p>
        </w:tc>
        <w:tc>
          <w:tcPr>
            <w:tcW w:w="1087" w:type="dxa"/>
            <w:tcBorders>
              <w:top w:val="nil"/>
              <w:left w:val="nil"/>
              <w:bottom w:val="single" w:sz="4" w:space="0" w:color="auto"/>
              <w:right w:val="single" w:sz="4" w:space="0" w:color="auto"/>
            </w:tcBorders>
            <w:shd w:val="clear" w:color="auto" w:fill="auto"/>
            <w:hideMark/>
          </w:tcPr>
          <w:p w14:paraId="6AFF9763" w14:textId="77777777"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54</w:t>
            </w:r>
          </w:p>
        </w:tc>
        <w:tc>
          <w:tcPr>
            <w:tcW w:w="1087" w:type="dxa"/>
            <w:tcBorders>
              <w:top w:val="nil"/>
              <w:left w:val="nil"/>
              <w:bottom w:val="single" w:sz="4" w:space="0" w:color="auto"/>
              <w:right w:val="single" w:sz="4" w:space="0" w:color="auto"/>
            </w:tcBorders>
            <w:shd w:val="clear" w:color="auto" w:fill="auto"/>
            <w:hideMark/>
          </w:tcPr>
          <w:p w14:paraId="6A5F979E" w14:textId="77777777"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42</w:t>
            </w:r>
          </w:p>
        </w:tc>
        <w:tc>
          <w:tcPr>
            <w:tcW w:w="1087" w:type="dxa"/>
            <w:tcBorders>
              <w:top w:val="nil"/>
              <w:left w:val="nil"/>
              <w:bottom w:val="single" w:sz="4" w:space="0" w:color="auto"/>
              <w:right w:val="single" w:sz="4" w:space="0" w:color="auto"/>
            </w:tcBorders>
            <w:shd w:val="clear" w:color="auto" w:fill="auto"/>
            <w:hideMark/>
          </w:tcPr>
          <w:p w14:paraId="70487378" w14:textId="77777777"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57</w:t>
            </w:r>
          </w:p>
        </w:tc>
        <w:tc>
          <w:tcPr>
            <w:tcW w:w="1087" w:type="dxa"/>
            <w:tcBorders>
              <w:top w:val="nil"/>
              <w:left w:val="nil"/>
              <w:bottom w:val="single" w:sz="4" w:space="0" w:color="auto"/>
              <w:right w:val="single" w:sz="4" w:space="0" w:color="auto"/>
            </w:tcBorders>
            <w:shd w:val="clear" w:color="auto" w:fill="auto"/>
            <w:hideMark/>
          </w:tcPr>
          <w:p w14:paraId="2682B217" w14:textId="77777777"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68</w:t>
            </w:r>
          </w:p>
        </w:tc>
        <w:tc>
          <w:tcPr>
            <w:tcW w:w="1087" w:type="dxa"/>
            <w:tcBorders>
              <w:top w:val="nil"/>
              <w:left w:val="nil"/>
              <w:bottom w:val="single" w:sz="4" w:space="0" w:color="auto"/>
              <w:right w:val="single" w:sz="4" w:space="0" w:color="auto"/>
            </w:tcBorders>
            <w:shd w:val="clear" w:color="auto" w:fill="auto"/>
            <w:hideMark/>
          </w:tcPr>
          <w:p w14:paraId="7EF6DA9E" w14:textId="77777777" w:rsidR="003747BC" w:rsidRPr="003747BC" w:rsidRDefault="003747BC" w:rsidP="003747BC">
            <w:pPr>
              <w:spacing w:after="0"/>
              <w:rPr>
                <w:rFonts w:ascii="Calibri" w:eastAsia="Times New Roman" w:hAnsi="Calibri" w:cs="Calibri"/>
                <w:color w:val="000000"/>
                <w:sz w:val="20"/>
                <w:szCs w:val="20"/>
              </w:rPr>
            </w:pPr>
            <w:r w:rsidRPr="003747BC">
              <w:rPr>
                <w:rFonts w:ascii="Calibri" w:eastAsia="Times New Roman" w:hAnsi="Calibri" w:cs="Calibri"/>
                <w:color w:val="000000"/>
                <w:sz w:val="20"/>
                <w:szCs w:val="20"/>
              </w:rPr>
              <w:t>26</w:t>
            </w:r>
          </w:p>
        </w:tc>
      </w:tr>
    </w:tbl>
    <w:p w14:paraId="052A6E76" w14:textId="77777777" w:rsidR="00D1618E" w:rsidRDefault="00D1618E" w:rsidP="00A35800"/>
    <w:p w14:paraId="7D76DAC8" w14:textId="1F7EE622" w:rsidR="00D1618E" w:rsidRDefault="00A72D60" w:rsidP="00A35800">
      <w:r>
        <w:t xml:space="preserve">Table </w:t>
      </w:r>
      <w:r w:rsidR="00516AC5">
        <w:t>6</w:t>
      </w:r>
      <w:r>
        <w:t xml:space="preserve"> shows the mean and median of the age of patients at initiation of medicine,</w:t>
      </w:r>
      <w:r w:rsidRPr="00A72D60">
        <w:t xml:space="preserve"> </w:t>
      </w:r>
      <w:r w:rsidR="00A46EB4">
        <w:t xml:space="preserve">which includes </w:t>
      </w:r>
      <w:r w:rsidRPr="00A72D60">
        <w:t>patients switching from a previous biologic</w:t>
      </w:r>
      <w:r w:rsidR="00A46EB4">
        <w:t>,</w:t>
      </w:r>
      <w:r>
        <w:t xml:space="preserve"> and therapy</w:t>
      </w:r>
      <w:r w:rsidR="00A46EB4">
        <w:t xml:space="preserve">, which excludes </w:t>
      </w:r>
      <w:r w:rsidR="00A46EB4" w:rsidRPr="00A46EB4">
        <w:t>patients switching from a previous biologic</w:t>
      </w:r>
      <w:r>
        <w:t>.</w:t>
      </w:r>
      <w:r w:rsidR="0031382A">
        <w:t xml:space="preserve"> </w:t>
      </w:r>
      <w:r w:rsidR="00F473C1">
        <w:t>Overall,</w:t>
      </w:r>
      <w:r w:rsidR="0031382A">
        <w:t xml:space="preserve"> the mean age of patients initiating therapy was 54, and the median was </w:t>
      </w:r>
      <w:r w:rsidR="0002519D">
        <w:t xml:space="preserve">57. Patients who initiated therapy on dupilumab were younger than </w:t>
      </w:r>
      <w:r w:rsidR="00403B0F">
        <w:t xml:space="preserve">the overall population, with a mean of 47 and a median of 49. </w:t>
      </w:r>
      <w:r w:rsidR="00F62E23">
        <w:t xml:space="preserve">When patients who had received a prior biologic for asthma were included, the age of dupilumab patients increased to a mean of 50 and a median of 53. </w:t>
      </w:r>
      <w:r w:rsidR="00C51B73">
        <w:t>The mean and median age of patients initiating therapy on omalizumab was younger than those init</w:t>
      </w:r>
      <w:r w:rsidR="00086A79">
        <w:t>i</w:t>
      </w:r>
      <w:r w:rsidR="00C51B73">
        <w:t xml:space="preserve">ating </w:t>
      </w:r>
      <w:r w:rsidR="00086A79">
        <w:t>benralizumab or mepolizumab, likely because omalizumab is the only one of the four asthma biologics PBS listed for patients aged younger than 12.</w:t>
      </w:r>
    </w:p>
    <w:p w14:paraId="43B60E3D" w14:textId="63620750" w:rsidR="00D1618E" w:rsidRDefault="00D1618E" w:rsidP="00A35800"/>
    <w:p w14:paraId="5D1DFF60" w14:textId="01808D1C" w:rsidR="00B018F5" w:rsidRPr="000554F9" w:rsidRDefault="00BB068C" w:rsidP="00AA79C3">
      <w:pPr>
        <w:pStyle w:val="Heading3"/>
        <w:keepNext/>
      </w:pPr>
      <w:bookmarkStart w:id="3" w:name="_Hlk154069114"/>
      <w:r>
        <w:lastRenderedPageBreak/>
        <w:t>U</w:t>
      </w:r>
      <w:r w:rsidR="00B018F5" w:rsidRPr="000554F9">
        <w:t>tilisation</w:t>
      </w:r>
      <w:r>
        <w:t xml:space="preserve"> of dupilumab for severe asthma</w:t>
      </w:r>
    </w:p>
    <w:p w14:paraId="0E63CEFE" w14:textId="6324F89A" w:rsidR="00CD6915" w:rsidRDefault="009119B7" w:rsidP="00025488">
      <w:pPr>
        <w:keepNext/>
        <w:rPr>
          <w:highlight w:val="yellow"/>
        </w:rPr>
      </w:pPr>
      <w:r>
        <w:rPr>
          <w:noProof/>
        </w:rPr>
        <w:drawing>
          <wp:inline distT="0" distB="0" distL="0" distR="0" wp14:anchorId="1C6220C3" wp14:editId="02159B42">
            <wp:extent cx="5687695" cy="3496945"/>
            <wp:effectExtent l="0" t="0" r="8255" b="8255"/>
            <wp:docPr id="5" name="Chart 5" descr="Patients supplied dupilumab for severe asthma shows the total of treated patients slowly increasing with patients initiating therapy on dupilumab fairly steady at about 350 per quarter and patients initiating dupilumab steady at about 500 per month&#10;">
              <a:extLst xmlns:a="http://schemas.openxmlformats.org/drawingml/2006/main">
                <a:ext uri="{FF2B5EF4-FFF2-40B4-BE49-F238E27FC236}">
                  <a16:creationId xmlns:a16="http://schemas.microsoft.com/office/drawing/2014/main" id="{9304F5AA-082B-F65F-F77A-37F2B5E06A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6F9A357" w14:textId="080C09B7" w:rsidR="00124A8C" w:rsidRPr="00D03216" w:rsidRDefault="00D03216" w:rsidP="00DD2354">
      <w:pPr>
        <w:pStyle w:val="Figuretitle"/>
      </w:pPr>
      <w:r w:rsidRPr="00D03216">
        <w:t xml:space="preserve">Figure </w:t>
      </w:r>
      <w:r w:rsidR="009C1BA6">
        <w:t>4</w:t>
      </w:r>
      <w:r w:rsidRPr="00D03216">
        <w:t xml:space="preserve">: </w:t>
      </w:r>
      <w:r>
        <w:t xml:space="preserve">Patients supplied dupilumab for </w:t>
      </w:r>
      <w:r w:rsidR="00E54546">
        <w:t>severe asthma</w:t>
      </w:r>
    </w:p>
    <w:p w14:paraId="6F6348F9" w14:textId="77777777" w:rsidR="00D03216" w:rsidRDefault="00D03216" w:rsidP="00A35800">
      <w:pPr>
        <w:rPr>
          <w:highlight w:val="yellow"/>
        </w:rPr>
      </w:pPr>
    </w:p>
    <w:p w14:paraId="65628D58" w14:textId="47B5487F" w:rsidR="00DD1D83" w:rsidRDefault="00DD1D83" w:rsidP="00071879">
      <w:pPr>
        <w:ind w:right="-115"/>
        <w:rPr>
          <w:highlight w:val="yellow"/>
        </w:rPr>
      </w:pPr>
      <w:r w:rsidRPr="0062288D">
        <w:t xml:space="preserve">Shows the number of treated patients per month, the number initiating </w:t>
      </w:r>
      <w:r w:rsidR="001C04D7" w:rsidRPr="0062288D">
        <w:t>therapy on dupilumab</w:t>
      </w:r>
      <w:r w:rsidR="00F528F7" w:rsidRPr="0062288D">
        <w:t xml:space="preserve"> (2,9</w:t>
      </w:r>
      <w:r w:rsidR="00490366" w:rsidRPr="0062288D">
        <w:t>83 total)</w:t>
      </w:r>
      <w:r w:rsidR="001C04D7" w:rsidRPr="0062288D">
        <w:t xml:space="preserve">, and the number initiating dupilumab </w:t>
      </w:r>
      <w:r w:rsidR="00490366" w:rsidRPr="0062288D">
        <w:t>(4,446)</w:t>
      </w:r>
      <w:r w:rsidR="004E244C" w:rsidRPr="0062288D">
        <w:t>. The difference</w:t>
      </w:r>
      <w:r w:rsidR="004E244C">
        <w:t xml:space="preserve"> between the latter two groups is </w:t>
      </w:r>
      <w:r w:rsidR="0023157F">
        <w:t xml:space="preserve">the number of </w:t>
      </w:r>
      <w:r w:rsidR="004E244C">
        <w:t xml:space="preserve">patients </w:t>
      </w:r>
      <w:r w:rsidR="0023157F">
        <w:t xml:space="preserve">who </w:t>
      </w:r>
      <w:r w:rsidR="00490366">
        <w:t>initiat</w:t>
      </w:r>
      <w:r w:rsidR="0023157F">
        <w:t>ed</w:t>
      </w:r>
      <w:r w:rsidR="00490366">
        <w:t xml:space="preserve"> dupilumab after being supplied ano</w:t>
      </w:r>
      <w:r w:rsidR="004E244C">
        <w:t xml:space="preserve">ther therapy. </w:t>
      </w:r>
      <w:r w:rsidR="001B0ECB">
        <w:t>There</w:t>
      </w:r>
      <w:r w:rsidR="004E244C">
        <w:t xml:space="preserve"> were more patients who ini</w:t>
      </w:r>
      <w:r w:rsidR="0062288D">
        <w:t>ti</w:t>
      </w:r>
      <w:r w:rsidR="001B0ECB">
        <w:t xml:space="preserve">ated therapy on dupilumab </w:t>
      </w:r>
      <w:r w:rsidR="0062288D">
        <w:t xml:space="preserve">(2,983) </w:t>
      </w:r>
      <w:r w:rsidR="001B0ECB">
        <w:t>than patients who initiated dupilumab from another therapy</w:t>
      </w:r>
      <w:r w:rsidR="0062288D">
        <w:t xml:space="preserve"> (1,463)</w:t>
      </w:r>
      <w:r w:rsidR="001B0ECB">
        <w:t xml:space="preserve">. </w:t>
      </w:r>
      <w:r w:rsidR="00450B16">
        <w:t xml:space="preserve">This </w:t>
      </w:r>
      <w:r w:rsidR="00854E57">
        <w:t>likely includes</w:t>
      </w:r>
      <w:r w:rsidR="00450B16">
        <w:t xml:space="preserve"> patients presenting for the first time being initiated on dupilumab, and </w:t>
      </w:r>
      <w:r w:rsidR="00854E57">
        <w:t xml:space="preserve">may include </w:t>
      </w:r>
      <w:r w:rsidR="00450B16">
        <w:t xml:space="preserve">patients who </w:t>
      </w:r>
      <w:r w:rsidR="00854E57" w:rsidRPr="004B351C">
        <w:t xml:space="preserve">otherwise would not have received </w:t>
      </w:r>
      <w:r w:rsidR="00854E57">
        <w:t>a biologic medicine for asthma.</w:t>
      </w:r>
    </w:p>
    <w:bookmarkEnd w:id="3"/>
    <w:p w14:paraId="0D3A829E" w14:textId="446526DD" w:rsidR="00C52E36" w:rsidRDefault="00C42927" w:rsidP="00A35800">
      <w:pPr>
        <w:rPr>
          <w:highlight w:val="yellow"/>
        </w:rPr>
      </w:pPr>
      <w:r>
        <w:rPr>
          <w:noProof/>
        </w:rPr>
        <w:lastRenderedPageBreak/>
        <w:drawing>
          <wp:inline distT="0" distB="0" distL="0" distR="0" wp14:anchorId="7790B88F" wp14:editId="176BE6A8">
            <wp:extent cx="5687695" cy="3736975"/>
            <wp:effectExtent l="0" t="0" r="8255" b="15875"/>
            <wp:docPr id="9" name="Chart 9" descr="Dupilumab prescriptions by dose shows the number of prescriptions by dose increasing with both doses increasing over time&#10;">
              <a:extLst xmlns:a="http://schemas.openxmlformats.org/drawingml/2006/main">
                <a:ext uri="{FF2B5EF4-FFF2-40B4-BE49-F238E27FC236}">
                  <a16:creationId xmlns:a16="http://schemas.microsoft.com/office/drawing/2014/main" id="{7A5ED2FD-E5E8-A540-579E-0E60EA218D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BD0B201" w14:textId="5A0C2A71" w:rsidR="00C42927" w:rsidRPr="00387F91" w:rsidRDefault="00C42927" w:rsidP="00387F91">
      <w:pPr>
        <w:pStyle w:val="Figuretitle"/>
      </w:pPr>
      <w:r w:rsidRPr="00387F91">
        <w:t xml:space="preserve">Figure </w:t>
      </w:r>
      <w:r w:rsidR="009C1BA6">
        <w:t>5</w:t>
      </w:r>
      <w:r w:rsidRPr="00387F91">
        <w:t xml:space="preserve">: </w:t>
      </w:r>
      <w:r w:rsidR="00387F91" w:rsidRPr="00387F91">
        <w:t>Dupilumab prescriptions by dose</w:t>
      </w:r>
    </w:p>
    <w:p w14:paraId="32390B6D" w14:textId="77777777" w:rsidR="00387F91" w:rsidRDefault="00387F91" w:rsidP="00A35800">
      <w:pPr>
        <w:rPr>
          <w:highlight w:val="yellow"/>
        </w:rPr>
      </w:pPr>
    </w:p>
    <w:p w14:paraId="572B5E76" w14:textId="6226D92B" w:rsidR="006F47A4" w:rsidRPr="00537941" w:rsidRDefault="00E56106" w:rsidP="00A35800">
      <w:r>
        <w:t xml:space="preserve">Of the 41,557 supplied prescriptions of dupilumab </w:t>
      </w:r>
      <w:r w:rsidR="003E104E" w:rsidRPr="00537941">
        <w:t>for severe asthma</w:t>
      </w:r>
      <w:r w:rsidR="003E104E">
        <w:t xml:space="preserve"> </w:t>
      </w:r>
      <w:r>
        <w:t xml:space="preserve">since </w:t>
      </w:r>
      <w:r w:rsidR="003E104E">
        <w:t xml:space="preserve">PBS </w:t>
      </w:r>
      <w:r>
        <w:t xml:space="preserve">listing, there </w:t>
      </w:r>
      <w:r w:rsidR="006F47A4" w:rsidRPr="00537941">
        <w:t xml:space="preserve">have been 23,818 </w:t>
      </w:r>
      <w:r w:rsidR="003E104E">
        <w:t xml:space="preserve">(57%) </w:t>
      </w:r>
      <w:r w:rsidR="006F47A4" w:rsidRPr="00537941">
        <w:t xml:space="preserve">supplies of dupilumab </w:t>
      </w:r>
      <w:r w:rsidR="007A2FF9" w:rsidRPr="00537941">
        <w:t xml:space="preserve">200 mg </w:t>
      </w:r>
      <w:r w:rsidR="00537941" w:rsidRPr="00537941">
        <w:t xml:space="preserve">and 17,739 </w:t>
      </w:r>
      <w:r w:rsidR="003E104E">
        <w:t xml:space="preserve">(43%) </w:t>
      </w:r>
      <w:r w:rsidR="00537941" w:rsidRPr="00537941">
        <w:t>supplies of dupilumab 300 mg.</w:t>
      </w:r>
      <w:r w:rsidR="006F47A4" w:rsidRPr="00537941">
        <w:t xml:space="preserve"> </w:t>
      </w:r>
    </w:p>
    <w:p w14:paraId="4A6751CA" w14:textId="77777777" w:rsidR="00701384" w:rsidRPr="005E22C2" w:rsidRDefault="00701384" w:rsidP="00701384">
      <w:pPr>
        <w:pStyle w:val="Heading3"/>
        <w:keepNext/>
      </w:pPr>
      <w:r w:rsidRPr="005E22C2">
        <w:lastRenderedPageBreak/>
        <w:t>Utilisation by relevant sub-populations/regions or patient level analysis</w:t>
      </w:r>
    </w:p>
    <w:p w14:paraId="305A8E79" w14:textId="77B8254A" w:rsidR="00A579D6" w:rsidRDefault="005E385C" w:rsidP="00A35800">
      <w:pPr>
        <w:rPr>
          <w:highlight w:val="yellow"/>
        </w:rPr>
      </w:pPr>
      <w:r>
        <w:rPr>
          <w:noProof/>
        </w:rPr>
        <w:drawing>
          <wp:inline distT="0" distB="0" distL="0" distR="0" wp14:anchorId="6E7B865C" wp14:editId="2DDAF4AF">
            <wp:extent cx="5687695" cy="3888740"/>
            <wp:effectExtent l="0" t="0" r="8255" b="16510"/>
            <wp:docPr id="4" name="Chart 4" descr="Age and gender of initiating patients for dupilumab shows more female patients than male patients initiating in most five year age groups&#10;">
              <a:extLst xmlns:a="http://schemas.openxmlformats.org/drawingml/2006/main">
                <a:ext uri="{FF2B5EF4-FFF2-40B4-BE49-F238E27FC236}">
                  <a16:creationId xmlns:a16="http://schemas.microsoft.com/office/drawing/2014/main" id="{676267C8-8012-C8F6-05E4-983C0CC7A1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09A4361" w14:textId="478279E5" w:rsidR="008B532E" w:rsidRDefault="008B532E" w:rsidP="008B532E">
      <w:pPr>
        <w:pStyle w:val="Tabletitle"/>
        <w:rPr>
          <w:highlight w:val="cyan"/>
        </w:rPr>
      </w:pPr>
      <w:r>
        <w:t xml:space="preserve">Figure </w:t>
      </w:r>
      <w:r w:rsidR="000D7EDE">
        <w:t>6</w:t>
      </w:r>
      <w:r>
        <w:t xml:space="preserve">: </w:t>
      </w:r>
      <w:r w:rsidRPr="008B532E">
        <w:t>Age and gender of initiating patients for dupilumab</w:t>
      </w:r>
      <w:r w:rsidRPr="008B532E">
        <w:rPr>
          <w:highlight w:val="cyan"/>
        </w:rPr>
        <w:t xml:space="preserve"> </w:t>
      </w:r>
    </w:p>
    <w:p w14:paraId="612E698F" w14:textId="77777777" w:rsidR="008B532E" w:rsidRDefault="008B532E" w:rsidP="00A35800">
      <w:pPr>
        <w:rPr>
          <w:highlight w:val="cyan"/>
        </w:rPr>
      </w:pPr>
    </w:p>
    <w:p w14:paraId="1F655204" w14:textId="3AA66C99" w:rsidR="007E5855" w:rsidRDefault="00516B3C" w:rsidP="00A35800">
      <w:r w:rsidRPr="00516B3C">
        <w:t xml:space="preserve">Figure </w:t>
      </w:r>
      <w:r w:rsidR="000D7EDE">
        <w:t>6</w:t>
      </w:r>
      <w:r w:rsidRPr="00516B3C">
        <w:t xml:space="preserve"> shows the age and gender of initiating patients of dupilumab for </w:t>
      </w:r>
      <w:r w:rsidR="004637A0">
        <w:t>severe asthma</w:t>
      </w:r>
      <w:r w:rsidRPr="00516B3C">
        <w:t xml:space="preserve">. </w:t>
      </w:r>
      <w:bookmarkStart w:id="4" w:name="_Hlk159584994"/>
      <w:r w:rsidRPr="00516B3C">
        <w:t xml:space="preserve">The mean age at initiation was </w:t>
      </w:r>
      <w:r w:rsidR="00C806B8">
        <w:t>50</w:t>
      </w:r>
      <w:r w:rsidRPr="00516B3C">
        <w:t xml:space="preserve"> years old, and the median was </w:t>
      </w:r>
      <w:r w:rsidR="00C806B8">
        <w:t>53</w:t>
      </w:r>
      <w:r w:rsidRPr="00516B3C">
        <w:t xml:space="preserve"> years old. The group with the highest number of patients is those aged </w:t>
      </w:r>
      <w:r w:rsidR="00CE179C" w:rsidRPr="00330DFD">
        <w:t>60 to 64</w:t>
      </w:r>
      <w:r w:rsidRPr="00330DFD">
        <w:t xml:space="preserve"> years </w:t>
      </w:r>
      <w:r w:rsidRPr="00C933DA">
        <w:t>old</w:t>
      </w:r>
      <w:r w:rsidR="00755E8C">
        <w:t xml:space="preserve">, although </w:t>
      </w:r>
      <w:r w:rsidR="00CA6512">
        <w:t xml:space="preserve">there were also over 400 patients in </w:t>
      </w:r>
      <w:r w:rsidR="00755E8C">
        <w:t xml:space="preserve">the 55 to 59 year old and </w:t>
      </w:r>
      <w:r w:rsidR="00CA6512">
        <w:t>65 to 69 year old groups</w:t>
      </w:r>
      <w:r w:rsidRPr="00C933DA">
        <w:t>.</w:t>
      </w:r>
      <w:r w:rsidR="00A52DA6">
        <w:t xml:space="preserve"> Of the 4,446 patients who in</w:t>
      </w:r>
      <w:r w:rsidR="00505808">
        <w:t>itiated dupilumab, 29% (</w:t>
      </w:r>
      <w:r w:rsidR="00825490">
        <w:t>1,276) were aged 55 to 69 years old and 59% (</w:t>
      </w:r>
      <w:r w:rsidR="00520D44">
        <w:t>2,608) were aged 45 to 79 years old.</w:t>
      </w:r>
      <w:r w:rsidRPr="00C933DA">
        <w:t xml:space="preserve"> More </w:t>
      </w:r>
      <w:r w:rsidR="00330DFD" w:rsidRPr="00C933DA">
        <w:t>female than male</w:t>
      </w:r>
      <w:r w:rsidRPr="00C933DA">
        <w:t xml:space="preserve"> patients initiated in </w:t>
      </w:r>
      <w:r w:rsidR="00F3208A" w:rsidRPr="00C933DA">
        <w:t>nearly every</w:t>
      </w:r>
      <w:r w:rsidRPr="00C933DA">
        <w:t xml:space="preserve"> age group, </w:t>
      </w:r>
      <w:r w:rsidR="00F3208A" w:rsidRPr="00C933DA">
        <w:t xml:space="preserve">with the exception of the </w:t>
      </w:r>
      <w:r w:rsidR="00651F04" w:rsidRPr="00C933DA">
        <w:t>0</w:t>
      </w:r>
      <w:r w:rsidR="000D528A" w:rsidRPr="00C933DA">
        <w:t xml:space="preserve"> to 14 and 60 to 64 age range, and patients </w:t>
      </w:r>
      <w:r w:rsidR="00EC636F">
        <w:t xml:space="preserve">aged </w:t>
      </w:r>
      <w:r w:rsidR="00C933DA" w:rsidRPr="00C933DA">
        <w:t xml:space="preserve">80 years or </w:t>
      </w:r>
      <w:r w:rsidR="000D528A" w:rsidRPr="00C933DA">
        <w:t>older</w:t>
      </w:r>
      <w:r w:rsidRPr="00C933DA">
        <w:t xml:space="preserve">. </w:t>
      </w:r>
      <w:r w:rsidR="00596BB9" w:rsidRPr="00C933DA">
        <w:t xml:space="preserve">Less than 5 patients under the age of 12 </w:t>
      </w:r>
      <w:r w:rsidR="006D7B2D" w:rsidRPr="00C933DA">
        <w:t>initiated dupilumab</w:t>
      </w:r>
      <w:r w:rsidR="00C933DA">
        <w:t xml:space="preserve"> for severe asthma and these patients are grouped in the 0 to 14 age range</w:t>
      </w:r>
      <w:r w:rsidR="00055516" w:rsidRPr="00055516">
        <w:t>.</w:t>
      </w:r>
      <w:bookmarkEnd w:id="4"/>
      <w:r w:rsidR="00596BB9" w:rsidRPr="00055516">
        <w:t xml:space="preserve"> </w:t>
      </w:r>
    </w:p>
    <w:p w14:paraId="701729BB" w14:textId="77777777" w:rsidR="00ED5BD2" w:rsidRDefault="00ED5BD2" w:rsidP="00A35800"/>
    <w:p w14:paraId="42994C27" w14:textId="7B65B215" w:rsidR="00ED5BD2" w:rsidRDefault="00CD6558" w:rsidP="00A35800">
      <w:r>
        <w:rPr>
          <w:noProof/>
        </w:rPr>
        <w:lastRenderedPageBreak/>
        <w:drawing>
          <wp:inline distT="0" distB="0" distL="0" distR="0" wp14:anchorId="076DDA8D" wp14:editId="09B42851">
            <wp:extent cx="5557837" cy="3962400"/>
            <wp:effectExtent l="0" t="0" r="5080" b="0"/>
            <wp:docPr id="7" name="Chart 7" descr="Number of initiating patients and standardised initiating patients by State shows the highest number of initiating patients was NSW and the lowest number was the Northern Territory&#10;">
              <a:extLst xmlns:a="http://schemas.openxmlformats.org/drawingml/2006/main">
                <a:ext uri="{FF2B5EF4-FFF2-40B4-BE49-F238E27FC236}">
                  <a16:creationId xmlns:a16="http://schemas.microsoft.com/office/drawing/2014/main" id="{F2D95324-F26C-5614-9E09-108CC7110F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AE6A952" w14:textId="4307AF2F" w:rsidR="00477129" w:rsidRDefault="00477129" w:rsidP="00477129">
      <w:pPr>
        <w:pStyle w:val="Tabletitle"/>
      </w:pPr>
      <w:r>
        <w:t xml:space="preserve">Figure </w:t>
      </w:r>
      <w:r w:rsidR="000D7EDE">
        <w:t>7</w:t>
      </w:r>
      <w:r>
        <w:t>: Number of initiating patients and standardised initiating patients by State</w:t>
      </w:r>
    </w:p>
    <w:p w14:paraId="647A005A" w14:textId="37F0276B" w:rsidR="00ED5BD2" w:rsidRDefault="00477129" w:rsidP="000D7EDE">
      <w:pPr>
        <w:pStyle w:val="Notes"/>
      </w:pPr>
      <w:r>
        <w:t>Note: Number of initiators for Australia (</w:t>
      </w:r>
      <w:r w:rsidR="00CE7D0D">
        <w:t>4,446</w:t>
      </w:r>
      <w:r>
        <w:t>) is not shown</w:t>
      </w:r>
    </w:p>
    <w:p w14:paraId="5431E111" w14:textId="77777777" w:rsidR="00ED5BD2" w:rsidRDefault="00ED5BD2" w:rsidP="00A35800"/>
    <w:p w14:paraId="2FC72EAC" w14:textId="1CC90A1C" w:rsidR="00341DDD" w:rsidRDefault="00516839" w:rsidP="00A35800">
      <w:r w:rsidRPr="00516839">
        <w:t xml:space="preserve">Figure </w:t>
      </w:r>
      <w:r w:rsidR="000D7EDE">
        <w:t>7</w:t>
      </w:r>
      <w:r w:rsidRPr="00516839">
        <w:t xml:space="preserve"> counts every patient once for the State or Territory that the patient initiated in, using the patient’s postcode. The State in Australia with the highest number of initiating patients was NSW, and the standardised data shows that the standardised number of initiating patients was highest in Tasmania</w:t>
      </w:r>
      <w:r w:rsidR="0072492B">
        <w:t>, with Victor</w:t>
      </w:r>
      <w:r w:rsidR="00DA38FA">
        <w:t>ia and South Australia also above the national average</w:t>
      </w:r>
      <w:r w:rsidRPr="00516839">
        <w:t>. Northern Territory had the lowest number of initiating patients and the lowest standardised number of initiating patients.</w:t>
      </w:r>
    </w:p>
    <w:p w14:paraId="1BD3B8CF" w14:textId="77777777" w:rsidR="00406325" w:rsidRDefault="00406325" w:rsidP="00A35800"/>
    <w:p w14:paraId="697CF6B9" w14:textId="3BC48BB7" w:rsidR="00406325" w:rsidRDefault="00406325" w:rsidP="005629C3">
      <w:pPr>
        <w:pStyle w:val="Tabletitle"/>
        <w:keepNext/>
      </w:pPr>
      <w:r w:rsidRPr="00406325">
        <w:lastRenderedPageBreak/>
        <w:t xml:space="preserve">Table </w:t>
      </w:r>
      <w:r w:rsidR="00516AC5">
        <w:t>7</w:t>
      </w:r>
      <w:r w:rsidRPr="00406325">
        <w:t>: Prescriber type for initiating patients and prescriptions</w:t>
      </w:r>
      <w:r w:rsidR="003274B9">
        <w:t xml:space="preserve"> for dupilumab</w:t>
      </w:r>
    </w:p>
    <w:tbl>
      <w:tblPr>
        <w:tblW w:w="8500" w:type="dxa"/>
        <w:tblInd w:w="113" w:type="dxa"/>
        <w:tblLayout w:type="fixed"/>
        <w:tblLook w:val="04A0" w:firstRow="1" w:lastRow="0" w:firstColumn="1" w:lastColumn="0" w:noHBand="0" w:noVBand="1"/>
      </w:tblPr>
      <w:tblGrid>
        <w:gridCol w:w="3120"/>
        <w:gridCol w:w="1345"/>
        <w:gridCol w:w="1345"/>
        <w:gridCol w:w="1345"/>
        <w:gridCol w:w="1345"/>
      </w:tblGrid>
      <w:tr w:rsidR="00B86AC2" w:rsidRPr="00B86AC2" w14:paraId="16199B1A" w14:textId="77777777" w:rsidTr="00010DCE">
        <w:trPr>
          <w:trHeight w:val="614"/>
        </w:trPr>
        <w:tc>
          <w:tcPr>
            <w:tcW w:w="312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269ACBC7" w14:textId="0C39A6E9" w:rsidR="00B86AC2" w:rsidRPr="00B86AC2" w:rsidRDefault="00B86AC2" w:rsidP="005629C3">
            <w:pPr>
              <w:keepNext/>
              <w:spacing w:after="0"/>
              <w:rPr>
                <w:rFonts w:ascii="Calibri" w:eastAsia="Times New Roman" w:hAnsi="Calibri" w:cs="Calibri"/>
                <w:b/>
                <w:bCs/>
                <w:color w:val="000000"/>
                <w:sz w:val="20"/>
                <w:szCs w:val="20"/>
              </w:rPr>
            </w:pPr>
            <w:r w:rsidRPr="00B86AC2">
              <w:rPr>
                <w:rFonts w:ascii="Calibri" w:eastAsia="Times New Roman" w:hAnsi="Calibri" w:cs="Calibri"/>
                <w:b/>
                <w:bCs/>
                <w:color w:val="000000"/>
                <w:sz w:val="20"/>
                <w:szCs w:val="20"/>
              </w:rPr>
              <w:t>Major</w:t>
            </w:r>
            <w:r>
              <w:rPr>
                <w:rFonts w:ascii="Calibri" w:eastAsia="Times New Roman" w:hAnsi="Calibri" w:cs="Calibri"/>
                <w:b/>
                <w:bCs/>
                <w:color w:val="000000"/>
                <w:sz w:val="20"/>
                <w:szCs w:val="20"/>
              </w:rPr>
              <w:t xml:space="preserve"> </w:t>
            </w:r>
            <w:r w:rsidRPr="00B86AC2">
              <w:rPr>
                <w:rFonts w:ascii="Calibri" w:eastAsia="Times New Roman" w:hAnsi="Calibri" w:cs="Calibri"/>
                <w:b/>
                <w:bCs/>
                <w:color w:val="000000"/>
                <w:sz w:val="20"/>
                <w:szCs w:val="20"/>
              </w:rPr>
              <w:t>Specialty</w:t>
            </w:r>
            <w:r>
              <w:rPr>
                <w:rFonts w:ascii="Calibri" w:eastAsia="Times New Roman" w:hAnsi="Calibri" w:cs="Calibri"/>
                <w:b/>
                <w:bCs/>
                <w:color w:val="000000"/>
                <w:sz w:val="20"/>
                <w:szCs w:val="20"/>
              </w:rPr>
              <w:t xml:space="preserve"> </w:t>
            </w:r>
            <w:r w:rsidRPr="00B86AC2">
              <w:rPr>
                <w:rFonts w:ascii="Calibri" w:eastAsia="Times New Roman" w:hAnsi="Calibri" w:cs="Calibri"/>
                <w:b/>
                <w:bCs/>
                <w:color w:val="000000"/>
                <w:sz w:val="20"/>
                <w:szCs w:val="20"/>
              </w:rPr>
              <w:t>Name</w:t>
            </w:r>
          </w:p>
        </w:tc>
        <w:tc>
          <w:tcPr>
            <w:tcW w:w="1345"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B88582D" w14:textId="0F07A0C0" w:rsidR="00B86AC2" w:rsidRPr="00B86AC2" w:rsidRDefault="00B86AC2" w:rsidP="005629C3">
            <w:pPr>
              <w:keepNext/>
              <w:spacing w:after="0"/>
              <w:rPr>
                <w:rFonts w:ascii="Calibri" w:eastAsia="Times New Roman" w:hAnsi="Calibri" w:cs="Calibri"/>
                <w:b/>
                <w:bCs/>
                <w:color w:val="000000"/>
                <w:sz w:val="20"/>
                <w:szCs w:val="20"/>
              </w:rPr>
            </w:pPr>
            <w:r>
              <w:rPr>
                <w:rFonts w:ascii="Calibri" w:eastAsia="Times New Roman" w:hAnsi="Calibri" w:cs="Calibri"/>
                <w:b/>
                <w:bCs/>
                <w:color w:val="000000"/>
                <w:sz w:val="20"/>
                <w:szCs w:val="20"/>
              </w:rPr>
              <w:t>Initiating patients</w:t>
            </w:r>
          </w:p>
        </w:tc>
        <w:tc>
          <w:tcPr>
            <w:tcW w:w="1345"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58AB89BE" w14:textId="48D9D3CC" w:rsidR="00B86AC2" w:rsidRPr="00B86AC2" w:rsidRDefault="00B86AC2" w:rsidP="005629C3">
            <w:pPr>
              <w:keepNext/>
              <w:spacing w:after="0"/>
              <w:rPr>
                <w:rFonts w:ascii="Calibri" w:eastAsia="Times New Roman" w:hAnsi="Calibri" w:cs="Calibri"/>
                <w:b/>
                <w:bCs/>
                <w:color w:val="000000"/>
                <w:sz w:val="20"/>
                <w:szCs w:val="20"/>
              </w:rPr>
            </w:pPr>
            <w:r>
              <w:rPr>
                <w:rFonts w:ascii="Calibri" w:eastAsia="Times New Roman" w:hAnsi="Calibri" w:cs="Calibri"/>
                <w:b/>
                <w:bCs/>
                <w:color w:val="000000"/>
                <w:sz w:val="20"/>
                <w:szCs w:val="20"/>
              </w:rPr>
              <w:t>Percent of total</w:t>
            </w:r>
          </w:p>
        </w:tc>
        <w:tc>
          <w:tcPr>
            <w:tcW w:w="1345"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47D01E3B" w14:textId="77777777" w:rsidR="00B86AC2" w:rsidRPr="00B86AC2" w:rsidRDefault="00B86AC2" w:rsidP="005629C3">
            <w:pPr>
              <w:keepNext/>
              <w:spacing w:after="0"/>
              <w:rPr>
                <w:rFonts w:ascii="Calibri" w:eastAsia="Times New Roman" w:hAnsi="Calibri" w:cs="Calibri"/>
                <w:b/>
                <w:bCs/>
                <w:color w:val="000000"/>
                <w:sz w:val="20"/>
                <w:szCs w:val="20"/>
              </w:rPr>
            </w:pPr>
            <w:r w:rsidRPr="00B86AC2">
              <w:rPr>
                <w:rFonts w:ascii="Calibri" w:eastAsia="Times New Roman" w:hAnsi="Calibri" w:cs="Calibri"/>
                <w:b/>
                <w:bCs/>
                <w:color w:val="000000"/>
                <w:sz w:val="20"/>
                <w:szCs w:val="20"/>
              </w:rPr>
              <w:t>Prescriptions</w:t>
            </w:r>
          </w:p>
        </w:tc>
        <w:tc>
          <w:tcPr>
            <w:tcW w:w="1345"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16249FF8" w14:textId="4DA25270" w:rsidR="00B86AC2" w:rsidRPr="00B86AC2" w:rsidRDefault="00B86AC2" w:rsidP="005629C3">
            <w:pPr>
              <w:keepNext/>
              <w:spacing w:after="0"/>
              <w:rPr>
                <w:rFonts w:ascii="Calibri" w:eastAsia="Times New Roman" w:hAnsi="Calibri" w:cs="Calibri"/>
                <w:b/>
                <w:bCs/>
                <w:color w:val="000000"/>
                <w:sz w:val="20"/>
                <w:szCs w:val="20"/>
              </w:rPr>
            </w:pPr>
            <w:r>
              <w:rPr>
                <w:rFonts w:ascii="Calibri" w:eastAsia="Times New Roman" w:hAnsi="Calibri" w:cs="Calibri"/>
                <w:b/>
                <w:bCs/>
                <w:color w:val="000000"/>
                <w:sz w:val="20"/>
                <w:szCs w:val="20"/>
              </w:rPr>
              <w:t>Percent of total</w:t>
            </w:r>
          </w:p>
        </w:tc>
      </w:tr>
      <w:tr w:rsidR="00B86AC2" w:rsidRPr="00B86AC2" w14:paraId="51B98B3A" w14:textId="77777777" w:rsidTr="00C54AF0">
        <w:trPr>
          <w:trHeight w:val="300"/>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6F5FFC26" w14:textId="77777777" w:rsidR="00B86AC2" w:rsidRPr="00B86AC2" w:rsidRDefault="00B86AC2" w:rsidP="005629C3">
            <w:pPr>
              <w:keepNext/>
              <w:spacing w:after="0"/>
              <w:rPr>
                <w:rFonts w:ascii="Calibri" w:eastAsia="Times New Roman" w:hAnsi="Calibri" w:cs="Calibri"/>
                <w:color w:val="000000"/>
                <w:sz w:val="20"/>
                <w:szCs w:val="20"/>
              </w:rPr>
            </w:pPr>
            <w:r w:rsidRPr="00B86AC2">
              <w:rPr>
                <w:rFonts w:ascii="Calibri" w:eastAsia="Times New Roman" w:hAnsi="Calibri" w:cs="Calibri"/>
                <w:color w:val="000000"/>
                <w:sz w:val="20"/>
                <w:szCs w:val="20"/>
              </w:rPr>
              <w:t>Respiratory and Sleep Medicine</w:t>
            </w:r>
          </w:p>
        </w:tc>
        <w:tc>
          <w:tcPr>
            <w:tcW w:w="1345" w:type="dxa"/>
            <w:tcBorders>
              <w:top w:val="nil"/>
              <w:left w:val="nil"/>
              <w:bottom w:val="single" w:sz="4" w:space="0" w:color="auto"/>
              <w:right w:val="single" w:sz="4" w:space="0" w:color="auto"/>
            </w:tcBorders>
            <w:shd w:val="clear" w:color="auto" w:fill="auto"/>
            <w:noWrap/>
            <w:vAlign w:val="bottom"/>
            <w:hideMark/>
          </w:tcPr>
          <w:p w14:paraId="5059377D" w14:textId="0B34208B" w:rsidR="00B86AC2" w:rsidRPr="00B86AC2" w:rsidRDefault="00B86AC2" w:rsidP="005629C3">
            <w:pPr>
              <w:keepNext/>
              <w:spacing w:after="0"/>
              <w:jc w:val="right"/>
              <w:rPr>
                <w:rFonts w:ascii="Calibri" w:eastAsia="Times New Roman" w:hAnsi="Calibri" w:cs="Calibri"/>
                <w:color w:val="000000"/>
                <w:sz w:val="20"/>
                <w:szCs w:val="20"/>
              </w:rPr>
            </w:pPr>
            <w:r w:rsidRPr="00B86AC2">
              <w:rPr>
                <w:rFonts w:ascii="Calibri" w:eastAsia="Times New Roman" w:hAnsi="Calibri" w:cs="Calibri"/>
                <w:color w:val="000000"/>
                <w:sz w:val="20"/>
                <w:szCs w:val="20"/>
              </w:rPr>
              <w:t>2</w:t>
            </w:r>
            <w:r w:rsidR="000B77DC">
              <w:rPr>
                <w:rFonts w:ascii="Calibri" w:eastAsia="Times New Roman" w:hAnsi="Calibri" w:cs="Calibri"/>
                <w:color w:val="000000"/>
                <w:sz w:val="20"/>
                <w:szCs w:val="20"/>
              </w:rPr>
              <w:t>,</w:t>
            </w:r>
            <w:r w:rsidRPr="00B86AC2">
              <w:rPr>
                <w:rFonts w:ascii="Calibri" w:eastAsia="Times New Roman" w:hAnsi="Calibri" w:cs="Calibri"/>
                <w:color w:val="000000"/>
                <w:sz w:val="20"/>
                <w:szCs w:val="20"/>
              </w:rPr>
              <w:t>260</w:t>
            </w:r>
          </w:p>
        </w:tc>
        <w:tc>
          <w:tcPr>
            <w:tcW w:w="1345" w:type="dxa"/>
            <w:tcBorders>
              <w:top w:val="nil"/>
              <w:left w:val="nil"/>
              <w:bottom w:val="single" w:sz="4" w:space="0" w:color="auto"/>
              <w:right w:val="single" w:sz="4" w:space="0" w:color="auto"/>
            </w:tcBorders>
            <w:shd w:val="clear" w:color="auto" w:fill="auto"/>
            <w:noWrap/>
            <w:vAlign w:val="bottom"/>
            <w:hideMark/>
          </w:tcPr>
          <w:p w14:paraId="09B28FA7" w14:textId="77777777" w:rsidR="00B86AC2" w:rsidRPr="00B86AC2" w:rsidRDefault="00B86AC2" w:rsidP="005629C3">
            <w:pPr>
              <w:keepNext/>
              <w:spacing w:after="0"/>
              <w:jc w:val="right"/>
              <w:rPr>
                <w:rFonts w:ascii="Calibri" w:eastAsia="Times New Roman" w:hAnsi="Calibri" w:cs="Calibri"/>
                <w:color w:val="000000"/>
                <w:sz w:val="20"/>
                <w:szCs w:val="20"/>
              </w:rPr>
            </w:pPr>
            <w:r w:rsidRPr="00B86AC2">
              <w:rPr>
                <w:rFonts w:ascii="Calibri" w:eastAsia="Times New Roman" w:hAnsi="Calibri" w:cs="Calibri"/>
                <w:color w:val="000000"/>
                <w:sz w:val="20"/>
                <w:szCs w:val="20"/>
              </w:rPr>
              <w:t>51%</w:t>
            </w:r>
          </w:p>
        </w:tc>
        <w:tc>
          <w:tcPr>
            <w:tcW w:w="1345" w:type="dxa"/>
            <w:tcBorders>
              <w:top w:val="nil"/>
              <w:left w:val="nil"/>
              <w:bottom w:val="single" w:sz="4" w:space="0" w:color="auto"/>
              <w:right w:val="single" w:sz="4" w:space="0" w:color="auto"/>
            </w:tcBorders>
            <w:shd w:val="clear" w:color="auto" w:fill="auto"/>
            <w:noWrap/>
            <w:vAlign w:val="bottom"/>
            <w:hideMark/>
          </w:tcPr>
          <w:p w14:paraId="223DB9F5" w14:textId="07240082" w:rsidR="00B86AC2" w:rsidRPr="00B86AC2" w:rsidRDefault="00B86AC2" w:rsidP="005629C3">
            <w:pPr>
              <w:keepNext/>
              <w:spacing w:after="0"/>
              <w:jc w:val="right"/>
              <w:rPr>
                <w:rFonts w:ascii="Calibri" w:eastAsia="Times New Roman" w:hAnsi="Calibri" w:cs="Calibri"/>
                <w:color w:val="000000"/>
                <w:sz w:val="20"/>
                <w:szCs w:val="20"/>
              </w:rPr>
            </w:pPr>
            <w:r w:rsidRPr="00B86AC2">
              <w:rPr>
                <w:rFonts w:ascii="Calibri" w:eastAsia="Times New Roman" w:hAnsi="Calibri" w:cs="Calibri"/>
                <w:color w:val="000000"/>
                <w:sz w:val="20"/>
                <w:szCs w:val="20"/>
              </w:rPr>
              <w:t>27</w:t>
            </w:r>
            <w:r w:rsidR="000B77DC">
              <w:rPr>
                <w:rFonts w:ascii="Calibri" w:eastAsia="Times New Roman" w:hAnsi="Calibri" w:cs="Calibri"/>
                <w:color w:val="000000"/>
                <w:sz w:val="20"/>
                <w:szCs w:val="20"/>
              </w:rPr>
              <w:t>,</w:t>
            </w:r>
            <w:r w:rsidRPr="00B86AC2">
              <w:rPr>
                <w:rFonts w:ascii="Calibri" w:eastAsia="Times New Roman" w:hAnsi="Calibri" w:cs="Calibri"/>
                <w:color w:val="000000"/>
                <w:sz w:val="20"/>
                <w:szCs w:val="20"/>
              </w:rPr>
              <w:t>652</w:t>
            </w:r>
          </w:p>
        </w:tc>
        <w:tc>
          <w:tcPr>
            <w:tcW w:w="1345" w:type="dxa"/>
            <w:tcBorders>
              <w:top w:val="nil"/>
              <w:left w:val="nil"/>
              <w:bottom w:val="single" w:sz="4" w:space="0" w:color="auto"/>
              <w:right w:val="single" w:sz="4" w:space="0" w:color="auto"/>
            </w:tcBorders>
            <w:shd w:val="clear" w:color="auto" w:fill="auto"/>
            <w:noWrap/>
            <w:vAlign w:val="bottom"/>
            <w:hideMark/>
          </w:tcPr>
          <w:p w14:paraId="3513C000" w14:textId="77777777" w:rsidR="00B86AC2" w:rsidRPr="00B86AC2" w:rsidRDefault="00B86AC2" w:rsidP="005629C3">
            <w:pPr>
              <w:keepNext/>
              <w:spacing w:after="0"/>
              <w:jc w:val="right"/>
              <w:rPr>
                <w:rFonts w:ascii="Calibri" w:eastAsia="Times New Roman" w:hAnsi="Calibri" w:cs="Calibri"/>
                <w:color w:val="000000"/>
                <w:sz w:val="20"/>
                <w:szCs w:val="20"/>
              </w:rPr>
            </w:pPr>
            <w:r w:rsidRPr="00B86AC2">
              <w:rPr>
                <w:rFonts w:ascii="Calibri" w:eastAsia="Times New Roman" w:hAnsi="Calibri" w:cs="Calibri"/>
                <w:color w:val="000000"/>
                <w:sz w:val="20"/>
                <w:szCs w:val="20"/>
              </w:rPr>
              <w:t>67%</w:t>
            </w:r>
          </w:p>
        </w:tc>
      </w:tr>
      <w:tr w:rsidR="00B86AC2" w:rsidRPr="00B86AC2" w14:paraId="7748D86B" w14:textId="77777777" w:rsidTr="00C54AF0">
        <w:trPr>
          <w:trHeight w:val="300"/>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561F17FF" w14:textId="77777777" w:rsidR="00B86AC2" w:rsidRPr="00B86AC2" w:rsidRDefault="00B86AC2" w:rsidP="005629C3">
            <w:pPr>
              <w:keepNext/>
              <w:spacing w:after="0"/>
              <w:rPr>
                <w:rFonts w:ascii="Calibri" w:eastAsia="Times New Roman" w:hAnsi="Calibri" w:cs="Calibri"/>
                <w:color w:val="000000"/>
                <w:sz w:val="20"/>
                <w:szCs w:val="20"/>
              </w:rPr>
            </w:pPr>
            <w:r w:rsidRPr="00B86AC2">
              <w:rPr>
                <w:rFonts w:ascii="Calibri" w:eastAsia="Times New Roman" w:hAnsi="Calibri" w:cs="Calibri"/>
                <w:color w:val="000000"/>
                <w:sz w:val="20"/>
                <w:szCs w:val="20"/>
              </w:rPr>
              <w:t>Dermatology</w:t>
            </w:r>
          </w:p>
        </w:tc>
        <w:tc>
          <w:tcPr>
            <w:tcW w:w="1345" w:type="dxa"/>
            <w:tcBorders>
              <w:top w:val="nil"/>
              <w:left w:val="nil"/>
              <w:bottom w:val="single" w:sz="4" w:space="0" w:color="auto"/>
              <w:right w:val="single" w:sz="4" w:space="0" w:color="auto"/>
            </w:tcBorders>
            <w:shd w:val="clear" w:color="auto" w:fill="auto"/>
            <w:noWrap/>
            <w:vAlign w:val="bottom"/>
            <w:hideMark/>
          </w:tcPr>
          <w:p w14:paraId="01E86902" w14:textId="69D13981" w:rsidR="00B86AC2" w:rsidRPr="00B86AC2" w:rsidRDefault="00B86AC2" w:rsidP="005629C3">
            <w:pPr>
              <w:keepNext/>
              <w:spacing w:after="0"/>
              <w:jc w:val="right"/>
              <w:rPr>
                <w:rFonts w:ascii="Calibri" w:eastAsia="Times New Roman" w:hAnsi="Calibri" w:cs="Calibri"/>
                <w:color w:val="000000"/>
                <w:sz w:val="20"/>
                <w:szCs w:val="20"/>
              </w:rPr>
            </w:pPr>
            <w:r w:rsidRPr="00B86AC2">
              <w:rPr>
                <w:rFonts w:ascii="Calibri" w:eastAsia="Times New Roman" w:hAnsi="Calibri" w:cs="Calibri"/>
                <w:color w:val="000000"/>
                <w:sz w:val="20"/>
                <w:szCs w:val="20"/>
              </w:rPr>
              <w:t>1</w:t>
            </w:r>
            <w:r w:rsidR="000B77DC">
              <w:rPr>
                <w:rFonts w:ascii="Calibri" w:eastAsia="Times New Roman" w:hAnsi="Calibri" w:cs="Calibri"/>
                <w:color w:val="000000"/>
                <w:sz w:val="20"/>
                <w:szCs w:val="20"/>
              </w:rPr>
              <w:t>,</w:t>
            </w:r>
            <w:r w:rsidRPr="00B86AC2">
              <w:rPr>
                <w:rFonts w:ascii="Calibri" w:eastAsia="Times New Roman" w:hAnsi="Calibri" w:cs="Calibri"/>
                <w:color w:val="000000"/>
                <w:sz w:val="20"/>
                <w:szCs w:val="20"/>
              </w:rPr>
              <w:t>282</w:t>
            </w:r>
          </w:p>
        </w:tc>
        <w:tc>
          <w:tcPr>
            <w:tcW w:w="1345" w:type="dxa"/>
            <w:tcBorders>
              <w:top w:val="nil"/>
              <w:left w:val="nil"/>
              <w:bottom w:val="single" w:sz="4" w:space="0" w:color="auto"/>
              <w:right w:val="single" w:sz="4" w:space="0" w:color="auto"/>
            </w:tcBorders>
            <w:shd w:val="clear" w:color="auto" w:fill="auto"/>
            <w:noWrap/>
            <w:vAlign w:val="bottom"/>
            <w:hideMark/>
          </w:tcPr>
          <w:p w14:paraId="4C111D42" w14:textId="77777777" w:rsidR="00B86AC2" w:rsidRPr="00B86AC2" w:rsidRDefault="00B86AC2" w:rsidP="005629C3">
            <w:pPr>
              <w:keepNext/>
              <w:spacing w:after="0"/>
              <w:jc w:val="right"/>
              <w:rPr>
                <w:rFonts w:ascii="Calibri" w:eastAsia="Times New Roman" w:hAnsi="Calibri" w:cs="Calibri"/>
                <w:color w:val="000000"/>
                <w:sz w:val="20"/>
                <w:szCs w:val="20"/>
              </w:rPr>
            </w:pPr>
            <w:r w:rsidRPr="00B86AC2">
              <w:rPr>
                <w:rFonts w:ascii="Calibri" w:eastAsia="Times New Roman" w:hAnsi="Calibri" w:cs="Calibri"/>
                <w:color w:val="000000"/>
                <w:sz w:val="20"/>
                <w:szCs w:val="20"/>
              </w:rPr>
              <w:t>29%</w:t>
            </w:r>
          </w:p>
        </w:tc>
        <w:tc>
          <w:tcPr>
            <w:tcW w:w="1345" w:type="dxa"/>
            <w:tcBorders>
              <w:top w:val="nil"/>
              <w:left w:val="nil"/>
              <w:bottom w:val="single" w:sz="4" w:space="0" w:color="auto"/>
              <w:right w:val="single" w:sz="4" w:space="0" w:color="auto"/>
            </w:tcBorders>
            <w:shd w:val="clear" w:color="auto" w:fill="auto"/>
            <w:noWrap/>
            <w:vAlign w:val="bottom"/>
            <w:hideMark/>
          </w:tcPr>
          <w:p w14:paraId="479C5B46" w14:textId="0AD77805" w:rsidR="00B86AC2" w:rsidRPr="00B86AC2" w:rsidRDefault="00B86AC2" w:rsidP="005629C3">
            <w:pPr>
              <w:keepNext/>
              <w:spacing w:after="0"/>
              <w:jc w:val="right"/>
              <w:rPr>
                <w:rFonts w:ascii="Calibri" w:eastAsia="Times New Roman" w:hAnsi="Calibri" w:cs="Calibri"/>
                <w:color w:val="000000"/>
                <w:sz w:val="20"/>
                <w:szCs w:val="20"/>
              </w:rPr>
            </w:pPr>
            <w:r w:rsidRPr="00B86AC2">
              <w:rPr>
                <w:rFonts w:ascii="Calibri" w:eastAsia="Times New Roman" w:hAnsi="Calibri" w:cs="Calibri"/>
                <w:color w:val="000000"/>
                <w:sz w:val="20"/>
                <w:szCs w:val="20"/>
              </w:rPr>
              <w:t>5</w:t>
            </w:r>
            <w:r w:rsidR="000B77DC">
              <w:rPr>
                <w:rFonts w:ascii="Calibri" w:eastAsia="Times New Roman" w:hAnsi="Calibri" w:cs="Calibri"/>
                <w:color w:val="000000"/>
                <w:sz w:val="20"/>
                <w:szCs w:val="20"/>
              </w:rPr>
              <w:t>,</w:t>
            </w:r>
            <w:r w:rsidRPr="00B86AC2">
              <w:rPr>
                <w:rFonts w:ascii="Calibri" w:eastAsia="Times New Roman" w:hAnsi="Calibri" w:cs="Calibri"/>
                <w:color w:val="000000"/>
                <w:sz w:val="20"/>
                <w:szCs w:val="20"/>
              </w:rPr>
              <w:t>693</w:t>
            </w:r>
          </w:p>
        </w:tc>
        <w:tc>
          <w:tcPr>
            <w:tcW w:w="1345" w:type="dxa"/>
            <w:tcBorders>
              <w:top w:val="nil"/>
              <w:left w:val="nil"/>
              <w:bottom w:val="single" w:sz="4" w:space="0" w:color="auto"/>
              <w:right w:val="single" w:sz="4" w:space="0" w:color="auto"/>
            </w:tcBorders>
            <w:shd w:val="clear" w:color="auto" w:fill="auto"/>
            <w:noWrap/>
            <w:vAlign w:val="bottom"/>
            <w:hideMark/>
          </w:tcPr>
          <w:p w14:paraId="5466654B" w14:textId="77777777" w:rsidR="00B86AC2" w:rsidRPr="00B86AC2" w:rsidRDefault="00B86AC2" w:rsidP="005629C3">
            <w:pPr>
              <w:keepNext/>
              <w:spacing w:after="0"/>
              <w:jc w:val="right"/>
              <w:rPr>
                <w:rFonts w:ascii="Calibri" w:eastAsia="Times New Roman" w:hAnsi="Calibri" w:cs="Calibri"/>
                <w:color w:val="000000"/>
                <w:sz w:val="20"/>
                <w:szCs w:val="20"/>
              </w:rPr>
            </w:pPr>
            <w:r w:rsidRPr="00B86AC2">
              <w:rPr>
                <w:rFonts w:ascii="Calibri" w:eastAsia="Times New Roman" w:hAnsi="Calibri" w:cs="Calibri"/>
                <w:color w:val="000000"/>
                <w:sz w:val="20"/>
                <w:szCs w:val="20"/>
              </w:rPr>
              <w:t>14%</w:t>
            </w:r>
          </w:p>
        </w:tc>
      </w:tr>
      <w:tr w:rsidR="00B86AC2" w:rsidRPr="00B86AC2" w14:paraId="3F9A1411" w14:textId="77777777" w:rsidTr="00C54AF0">
        <w:trPr>
          <w:trHeight w:val="300"/>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40A36979" w14:textId="77777777" w:rsidR="00B86AC2" w:rsidRPr="00B86AC2" w:rsidRDefault="00B86AC2" w:rsidP="005629C3">
            <w:pPr>
              <w:keepNext/>
              <w:spacing w:after="0"/>
              <w:rPr>
                <w:rFonts w:ascii="Calibri" w:eastAsia="Times New Roman" w:hAnsi="Calibri" w:cs="Calibri"/>
                <w:color w:val="000000"/>
                <w:sz w:val="20"/>
                <w:szCs w:val="20"/>
              </w:rPr>
            </w:pPr>
            <w:r w:rsidRPr="00B86AC2">
              <w:rPr>
                <w:rFonts w:ascii="Calibri" w:eastAsia="Times New Roman" w:hAnsi="Calibri" w:cs="Calibri"/>
                <w:color w:val="000000"/>
                <w:sz w:val="20"/>
                <w:szCs w:val="20"/>
              </w:rPr>
              <w:t>Immunology and Allergy</w:t>
            </w:r>
          </w:p>
        </w:tc>
        <w:tc>
          <w:tcPr>
            <w:tcW w:w="1345" w:type="dxa"/>
            <w:tcBorders>
              <w:top w:val="nil"/>
              <w:left w:val="nil"/>
              <w:bottom w:val="single" w:sz="4" w:space="0" w:color="auto"/>
              <w:right w:val="single" w:sz="4" w:space="0" w:color="auto"/>
            </w:tcBorders>
            <w:shd w:val="clear" w:color="auto" w:fill="auto"/>
            <w:noWrap/>
            <w:vAlign w:val="bottom"/>
            <w:hideMark/>
          </w:tcPr>
          <w:p w14:paraId="58121050" w14:textId="77777777" w:rsidR="00B86AC2" w:rsidRPr="00B86AC2" w:rsidRDefault="00B86AC2" w:rsidP="005629C3">
            <w:pPr>
              <w:keepNext/>
              <w:spacing w:after="0"/>
              <w:jc w:val="right"/>
              <w:rPr>
                <w:rFonts w:ascii="Calibri" w:eastAsia="Times New Roman" w:hAnsi="Calibri" w:cs="Calibri"/>
                <w:color w:val="000000"/>
                <w:sz w:val="20"/>
                <w:szCs w:val="20"/>
              </w:rPr>
            </w:pPr>
            <w:r w:rsidRPr="00B86AC2">
              <w:rPr>
                <w:rFonts w:ascii="Calibri" w:eastAsia="Times New Roman" w:hAnsi="Calibri" w:cs="Calibri"/>
                <w:color w:val="000000"/>
                <w:sz w:val="20"/>
                <w:szCs w:val="20"/>
              </w:rPr>
              <w:t>290</w:t>
            </w:r>
          </w:p>
        </w:tc>
        <w:tc>
          <w:tcPr>
            <w:tcW w:w="1345" w:type="dxa"/>
            <w:tcBorders>
              <w:top w:val="nil"/>
              <w:left w:val="nil"/>
              <w:bottom w:val="single" w:sz="4" w:space="0" w:color="auto"/>
              <w:right w:val="single" w:sz="4" w:space="0" w:color="auto"/>
            </w:tcBorders>
            <w:shd w:val="clear" w:color="auto" w:fill="auto"/>
            <w:noWrap/>
            <w:vAlign w:val="bottom"/>
            <w:hideMark/>
          </w:tcPr>
          <w:p w14:paraId="4808A03C" w14:textId="77777777" w:rsidR="00B86AC2" w:rsidRPr="00B86AC2" w:rsidRDefault="00B86AC2" w:rsidP="005629C3">
            <w:pPr>
              <w:keepNext/>
              <w:spacing w:after="0"/>
              <w:jc w:val="right"/>
              <w:rPr>
                <w:rFonts w:ascii="Calibri" w:eastAsia="Times New Roman" w:hAnsi="Calibri" w:cs="Calibri"/>
                <w:color w:val="000000"/>
                <w:sz w:val="20"/>
                <w:szCs w:val="20"/>
              </w:rPr>
            </w:pPr>
            <w:r w:rsidRPr="00B86AC2">
              <w:rPr>
                <w:rFonts w:ascii="Calibri" w:eastAsia="Times New Roman" w:hAnsi="Calibri" w:cs="Calibri"/>
                <w:color w:val="000000"/>
                <w:sz w:val="20"/>
                <w:szCs w:val="20"/>
              </w:rPr>
              <w:t>7%</w:t>
            </w:r>
          </w:p>
        </w:tc>
        <w:tc>
          <w:tcPr>
            <w:tcW w:w="1345" w:type="dxa"/>
            <w:tcBorders>
              <w:top w:val="nil"/>
              <w:left w:val="nil"/>
              <w:bottom w:val="single" w:sz="4" w:space="0" w:color="auto"/>
              <w:right w:val="single" w:sz="4" w:space="0" w:color="auto"/>
            </w:tcBorders>
            <w:shd w:val="clear" w:color="auto" w:fill="auto"/>
            <w:noWrap/>
            <w:vAlign w:val="bottom"/>
            <w:hideMark/>
          </w:tcPr>
          <w:p w14:paraId="0DF7E91A" w14:textId="35474965" w:rsidR="00B86AC2" w:rsidRPr="00B86AC2" w:rsidRDefault="00B86AC2" w:rsidP="005629C3">
            <w:pPr>
              <w:keepNext/>
              <w:spacing w:after="0"/>
              <w:jc w:val="right"/>
              <w:rPr>
                <w:rFonts w:ascii="Calibri" w:eastAsia="Times New Roman" w:hAnsi="Calibri" w:cs="Calibri"/>
                <w:color w:val="000000"/>
                <w:sz w:val="20"/>
                <w:szCs w:val="20"/>
              </w:rPr>
            </w:pPr>
            <w:r w:rsidRPr="00B86AC2">
              <w:rPr>
                <w:rFonts w:ascii="Calibri" w:eastAsia="Times New Roman" w:hAnsi="Calibri" w:cs="Calibri"/>
                <w:color w:val="000000"/>
                <w:sz w:val="20"/>
                <w:szCs w:val="20"/>
              </w:rPr>
              <w:t>2</w:t>
            </w:r>
            <w:r w:rsidR="000B77DC">
              <w:rPr>
                <w:rFonts w:ascii="Calibri" w:eastAsia="Times New Roman" w:hAnsi="Calibri" w:cs="Calibri"/>
                <w:color w:val="000000"/>
                <w:sz w:val="20"/>
                <w:szCs w:val="20"/>
              </w:rPr>
              <w:t>,</w:t>
            </w:r>
            <w:r w:rsidRPr="00B86AC2">
              <w:rPr>
                <w:rFonts w:ascii="Calibri" w:eastAsia="Times New Roman" w:hAnsi="Calibri" w:cs="Calibri"/>
                <w:color w:val="000000"/>
                <w:sz w:val="20"/>
                <w:szCs w:val="20"/>
              </w:rPr>
              <w:t>855</w:t>
            </w:r>
          </w:p>
        </w:tc>
        <w:tc>
          <w:tcPr>
            <w:tcW w:w="1345" w:type="dxa"/>
            <w:tcBorders>
              <w:top w:val="nil"/>
              <w:left w:val="nil"/>
              <w:bottom w:val="single" w:sz="4" w:space="0" w:color="auto"/>
              <w:right w:val="single" w:sz="4" w:space="0" w:color="auto"/>
            </w:tcBorders>
            <w:shd w:val="clear" w:color="auto" w:fill="auto"/>
            <w:noWrap/>
            <w:vAlign w:val="bottom"/>
            <w:hideMark/>
          </w:tcPr>
          <w:p w14:paraId="7AB652F9" w14:textId="77777777" w:rsidR="00B86AC2" w:rsidRPr="00B86AC2" w:rsidRDefault="00B86AC2" w:rsidP="005629C3">
            <w:pPr>
              <w:keepNext/>
              <w:spacing w:after="0"/>
              <w:jc w:val="right"/>
              <w:rPr>
                <w:rFonts w:ascii="Calibri" w:eastAsia="Times New Roman" w:hAnsi="Calibri" w:cs="Calibri"/>
                <w:color w:val="000000"/>
                <w:sz w:val="20"/>
                <w:szCs w:val="20"/>
              </w:rPr>
            </w:pPr>
            <w:r w:rsidRPr="00B86AC2">
              <w:rPr>
                <w:rFonts w:ascii="Calibri" w:eastAsia="Times New Roman" w:hAnsi="Calibri" w:cs="Calibri"/>
                <w:color w:val="000000"/>
                <w:sz w:val="20"/>
                <w:szCs w:val="20"/>
              </w:rPr>
              <w:t>7%</w:t>
            </w:r>
          </w:p>
        </w:tc>
      </w:tr>
      <w:tr w:rsidR="00B86AC2" w:rsidRPr="00B86AC2" w14:paraId="169A2811" w14:textId="77777777" w:rsidTr="00C54AF0">
        <w:trPr>
          <w:trHeight w:val="300"/>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1500A286" w14:textId="77777777" w:rsidR="00B86AC2" w:rsidRPr="00B86AC2" w:rsidRDefault="00B86AC2" w:rsidP="005629C3">
            <w:pPr>
              <w:keepNext/>
              <w:spacing w:after="0"/>
              <w:rPr>
                <w:rFonts w:ascii="Calibri" w:eastAsia="Times New Roman" w:hAnsi="Calibri" w:cs="Calibri"/>
                <w:color w:val="000000"/>
                <w:sz w:val="20"/>
                <w:szCs w:val="20"/>
              </w:rPr>
            </w:pPr>
            <w:r w:rsidRPr="00B86AC2">
              <w:rPr>
                <w:rFonts w:ascii="Calibri" w:eastAsia="Times New Roman" w:hAnsi="Calibri" w:cs="Calibri"/>
                <w:color w:val="000000"/>
                <w:sz w:val="20"/>
                <w:szCs w:val="20"/>
              </w:rPr>
              <w:t>Internal Medicine</w:t>
            </w:r>
          </w:p>
        </w:tc>
        <w:tc>
          <w:tcPr>
            <w:tcW w:w="1345" w:type="dxa"/>
            <w:tcBorders>
              <w:top w:val="nil"/>
              <w:left w:val="nil"/>
              <w:bottom w:val="single" w:sz="4" w:space="0" w:color="auto"/>
              <w:right w:val="single" w:sz="4" w:space="0" w:color="auto"/>
            </w:tcBorders>
            <w:shd w:val="clear" w:color="auto" w:fill="auto"/>
            <w:noWrap/>
            <w:vAlign w:val="bottom"/>
            <w:hideMark/>
          </w:tcPr>
          <w:p w14:paraId="5467BA0E" w14:textId="77777777" w:rsidR="00B86AC2" w:rsidRPr="00B86AC2" w:rsidRDefault="00B86AC2" w:rsidP="005629C3">
            <w:pPr>
              <w:keepNext/>
              <w:spacing w:after="0"/>
              <w:jc w:val="right"/>
              <w:rPr>
                <w:rFonts w:ascii="Calibri" w:eastAsia="Times New Roman" w:hAnsi="Calibri" w:cs="Calibri"/>
                <w:color w:val="000000"/>
                <w:sz w:val="20"/>
                <w:szCs w:val="20"/>
              </w:rPr>
            </w:pPr>
            <w:r w:rsidRPr="00B86AC2">
              <w:rPr>
                <w:rFonts w:ascii="Calibri" w:eastAsia="Times New Roman" w:hAnsi="Calibri" w:cs="Calibri"/>
                <w:color w:val="000000"/>
                <w:sz w:val="20"/>
                <w:szCs w:val="20"/>
              </w:rPr>
              <w:t>210</w:t>
            </w:r>
          </w:p>
        </w:tc>
        <w:tc>
          <w:tcPr>
            <w:tcW w:w="1345" w:type="dxa"/>
            <w:tcBorders>
              <w:top w:val="nil"/>
              <w:left w:val="nil"/>
              <w:bottom w:val="single" w:sz="4" w:space="0" w:color="auto"/>
              <w:right w:val="single" w:sz="4" w:space="0" w:color="auto"/>
            </w:tcBorders>
            <w:shd w:val="clear" w:color="auto" w:fill="auto"/>
            <w:noWrap/>
            <w:vAlign w:val="bottom"/>
            <w:hideMark/>
          </w:tcPr>
          <w:p w14:paraId="2A59A0F3" w14:textId="77777777" w:rsidR="00B86AC2" w:rsidRPr="00B86AC2" w:rsidRDefault="00B86AC2" w:rsidP="005629C3">
            <w:pPr>
              <w:keepNext/>
              <w:spacing w:after="0"/>
              <w:jc w:val="right"/>
              <w:rPr>
                <w:rFonts w:ascii="Calibri" w:eastAsia="Times New Roman" w:hAnsi="Calibri" w:cs="Calibri"/>
                <w:color w:val="000000"/>
                <w:sz w:val="20"/>
                <w:szCs w:val="20"/>
              </w:rPr>
            </w:pPr>
            <w:r w:rsidRPr="00B86AC2">
              <w:rPr>
                <w:rFonts w:ascii="Calibri" w:eastAsia="Times New Roman" w:hAnsi="Calibri" w:cs="Calibri"/>
                <w:color w:val="000000"/>
                <w:sz w:val="20"/>
                <w:szCs w:val="20"/>
              </w:rPr>
              <w:t>5%</w:t>
            </w:r>
          </w:p>
        </w:tc>
        <w:tc>
          <w:tcPr>
            <w:tcW w:w="1345" w:type="dxa"/>
            <w:tcBorders>
              <w:top w:val="nil"/>
              <w:left w:val="nil"/>
              <w:bottom w:val="single" w:sz="4" w:space="0" w:color="auto"/>
              <w:right w:val="single" w:sz="4" w:space="0" w:color="auto"/>
            </w:tcBorders>
            <w:shd w:val="clear" w:color="auto" w:fill="auto"/>
            <w:noWrap/>
            <w:vAlign w:val="bottom"/>
            <w:hideMark/>
          </w:tcPr>
          <w:p w14:paraId="4B805967" w14:textId="29156819" w:rsidR="00B86AC2" w:rsidRPr="00B86AC2" w:rsidRDefault="00B86AC2" w:rsidP="005629C3">
            <w:pPr>
              <w:keepNext/>
              <w:spacing w:after="0"/>
              <w:jc w:val="right"/>
              <w:rPr>
                <w:rFonts w:ascii="Calibri" w:eastAsia="Times New Roman" w:hAnsi="Calibri" w:cs="Calibri"/>
                <w:color w:val="000000"/>
                <w:sz w:val="20"/>
                <w:szCs w:val="20"/>
              </w:rPr>
            </w:pPr>
            <w:r w:rsidRPr="00B86AC2">
              <w:rPr>
                <w:rFonts w:ascii="Calibri" w:eastAsia="Times New Roman" w:hAnsi="Calibri" w:cs="Calibri"/>
                <w:color w:val="000000"/>
                <w:sz w:val="20"/>
                <w:szCs w:val="20"/>
              </w:rPr>
              <w:t>2</w:t>
            </w:r>
            <w:r w:rsidR="000B77DC">
              <w:rPr>
                <w:rFonts w:ascii="Calibri" w:eastAsia="Times New Roman" w:hAnsi="Calibri" w:cs="Calibri"/>
                <w:color w:val="000000"/>
                <w:sz w:val="20"/>
                <w:szCs w:val="20"/>
              </w:rPr>
              <w:t>,</w:t>
            </w:r>
            <w:r w:rsidRPr="00B86AC2">
              <w:rPr>
                <w:rFonts w:ascii="Calibri" w:eastAsia="Times New Roman" w:hAnsi="Calibri" w:cs="Calibri"/>
                <w:color w:val="000000"/>
                <w:sz w:val="20"/>
                <w:szCs w:val="20"/>
              </w:rPr>
              <w:t>326</w:t>
            </w:r>
          </w:p>
        </w:tc>
        <w:tc>
          <w:tcPr>
            <w:tcW w:w="1345" w:type="dxa"/>
            <w:tcBorders>
              <w:top w:val="nil"/>
              <w:left w:val="nil"/>
              <w:bottom w:val="single" w:sz="4" w:space="0" w:color="auto"/>
              <w:right w:val="single" w:sz="4" w:space="0" w:color="auto"/>
            </w:tcBorders>
            <w:shd w:val="clear" w:color="auto" w:fill="auto"/>
            <w:noWrap/>
            <w:vAlign w:val="bottom"/>
            <w:hideMark/>
          </w:tcPr>
          <w:p w14:paraId="15F29711" w14:textId="77777777" w:rsidR="00B86AC2" w:rsidRPr="00B86AC2" w:rsidRDefault="00B86AC2" w:rsidP="005629C3">
            <w:pPr>
              <w:keepNext/>
              <w:spacing w:after="0"/>
              <w:jc w:val="right"/>
              <w:rPr>
                <w:rFonts w:ascii="Calibri" w:eastAsia="Times New Roman" w:hAnsi="Calibri" w:cs="Calibri"/>
                <w:color w:val="000000"/>
                <w:sz w:val="20"/>
                <w:szCs w:val="20"/>
              </w:rPr>
            </w:pPr>
            <w:r w:rsidRPr="00B86AC2">
              <w:rPr>
                <w:rFonts w:ascii="Calibri" w:eastAsia="Times New Roman" w:hAnsi="Calibri" w:cs="Calibri"/>
                <w:color w:val="000000"/>
                <w:sz w:val="20"/>
                <w:szCs w:val="20"/>
              </w:rPr>
              <w:t>6%</w:t>
            </w:r>
          </w:p>
        </w:tc>
      </w:tr>
      <w:tr w:rsidR="00B86AC2" w:rsidRPr="00B86AC2" w14:paraId="12CCAE34" w14:textId="77777777" w:rsidTr="00C54AF0">
        <w:trPr>
          <w:trHeight w:val="300"/>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32FFD331" w14:textId="77777777" w:rsidR="00B86AC2" w:rsidRPr="00B86AC2" w:rsidRDefault="00B86AC2" w:rsidP="005629C3">
            <w:pPr>
              <w:keepNext/>
              <w:spacing w:after="0"/>
              <w:rPr>
                <w:rFonts w:ascii="Calibri" w:eastAsia="Times New Roman" w:hAnsi="Calibri" w:cs="Calibri"/>
                <w:color w:val="000000"/>
                <w:sz w:val="20"/>
                <w:szCs w:val="20"/>
              </w:rPr>
            </w:pPr>
            <w:r w:rsidRPr="00B86AC2">
              <w:rPr>
                <w:rFonts w:ascii="Calibri" w:eastAsia="Times New Roman" w:hAnsi="Calibri" w:cs="Calibri"/>
                <w:color w:val="000000"/>
                <w:sz w:val="20"/>
                <w:szCs w:val="20"/>
              </w:rPr>
              <w:t>Not found</w:t>
            </w:r>
          </w:p>
        </w:tc>
        <w:tc>
          <w:tcPr>
            <w:tcW w:w="1345" w:type="dxa"/>
            <w:tcBorders>
              <w:top w:val="nil"/>
              <w:left w:val="nil"/>
              <w:bottom w:val="single" w:sz="4" w:space="0" w:color="auto"/>
              <w:right w:val="single" w:sz="4" w:space="0" w:color="auto"/>
            </w:tcBorders>
            <w:shd w:val="clear" w:color="auto" w:fill="auto"/>
            <w:noWrap/>
            <w:vAlign w:val="bottom"/>
            <w:hideMark/>
          </w:tcPr>
          <w:p w14:paraId="1B55CF6D" w14:textId="77777777" w:rsidR="00B86AC2" w:rsidRPr="00B86AC2" w:rsidRDefault="00B86AC2" w:rsidP="005629C3">
            <w:pPr>
              <w:keepNext/>
              <w:spacing w:after="0"/>
              <w:jc w:val="right"/>
              <w:rPr>
                <w:rFonts w:ascii="Calibri" w:eastAsia="Times New Roman" w:hAnsi="Calibri" w:cs="Calibri"/>
                <w:color w:val="000000"/>
                <w:sz w:val="20"/>
                <w:szCs w:val="20"/>
              </w:rPr>
            </w:pPr>
            <w:r w:rsidRPr="00B86AC2">
              <w:rPr>
                <w:rFonts w:ascii="Calibri" w:eastAsia="Times New Roman" w:hAnsi="Calibri" w:cs="Calibri"/>
                <w:color w:val="000000"/>
                <w:sz w:val="20"/>
                <w:szCs w:val="20"/>
              </w:rPr>
              <w:t>117</w:t>
            </w:r>
          </w:p>
        </w:tc>
        <w:tc>
          <w:tcPr>
            <w:tcW w:w="1345" w:type="dxa"/>
            <w:tcBorders>
              <w:top w:val="nil"/>
              <w:left w:val="nil"/>
              <w:bottom w:val="single" w:sz="4" w:space="0" w:color="auto"/>
              <w:right w:val="single" w:sz="4" w:space="0" w:color="auto"/>
            </w:tcBorders>
            <w:shd w:val="clear" w:color="auto" w:fill="auto"/>
            <w:noWrap/>
            <w:vAlign w:val="bottom"/>
            <w:hideMark/>
          </w:tcPr>
          <w:p w14:paraId="46034D28" w14:textId="77777777" w:rsidR="00B86AC2" w:rsidRPr="00B86AC2" w:rsidRDefault="00B86AC2" w:rsidP="005629C3">
            <w:pPr>
              <w:keepNext/>
              <w:spacing w:after="0"/>
              <w:jc w:val="right"/>
              <w:rPr>
                <w:rFonts w:ascii="Calibri" w:eastAsia="Times New Roman" w:hAnsi="Calibri" w:cs="Calibri"/>
                <w:color w:val="000000"/>
                <w:sz w:val="20"/>
                <w:szCs w:val="20"/>
              </w:rPr>
            </w:pPr>
            <w:r w:rsidRPr="00B86AC2">
              <w:rPr>
                <w:rFonts w:ascii="Calibri" w:eastAsia="Times New Roman" w:hAnsi="Calibri" w:cs="Calibri"/>
                <w:color w:val="000000"/>
                <w:sz w:val="20"/>
                <w:szCs w:val="20"/>
              </w:rPr>
              <w:t>3%</w:t>
            </w:r>
          </w:p>
        </w:tc>
        <w:tc>
          <w:tcPr>
            <w:tcW w:w="1345" w:type="dxa"/>
            <w:tcBorders>
              <w:top w:val="nil"/>
              <w:left w:val="nil"/>
              <w:bottom w:val="single" w:sz="4" w:space="0" w:color="auto"/>
              <w:right w:val="single" w:sz="4" w:space="0" w:color="auto"/>
            </w:tcBorders>
            <w:shd w:val="clear" w:color="auto" w:fill="auto"/>
            <w:noWrap/>
            <w:vAlign w:val="bottom"/>
            <w:hideMark/>
          </w:tcPr>
          <w:p w14:paraId="07B3D917" w14:textId="77777777" w:rsidR="00B86AC2" w:rsidRPr="00B86AC2" w:rsidRDefault="00B86AC2" w:rsidP="005629C3">
            <w:pPr>
              <w:keepNext/>
              <w:spacing w:after="0"/>
              <w:jc w:val="right"/>
              <w:rPr>
                <w:rFonts w:ascii="Calibri" w:eastAsia="Times New Roman" w:hAnsi="Calibri" w:cs="Calibri"/>
                <w:color w:val="000000"/>
                <w:sz w:val="20"/>
                <w:szCs w:val="20"/>
              </w:rPr>
            </w:pPr>
            <w:r w:rsidRPr="00B86AC2">
              <w:rPr>
                <w:rFonts w:ascii="Calibri" w:eastAsia="Times New Roman" w:hAnsi="Calibri" w:cs="Calibri"/>
                <w:color w:val="000000"/>
                <w:sz w:val="20"/>
                <w:szCs w:val="20"/>
              </w:rPr>
              <w:t>619</w:t>
            </w:r>
          </w:p>
        </w:tc>
        <w:tc>
          <w:tcPr>
            <w:tcW w:w="1345" w:type="dxa"/>
            <w:tcBorders>
              <w:top w:val="nil"/>
              <w:left w:val="nil"/>
              <w:bottom w:val="single" w:sz="4" w:space="0" w:color="auto"/>
              <w:right w:val="single" w:sz="4" w:space="0" w:color="auto"/>
            </w:tcBorders>
            <w:shd w:val="clear" w:color="auto" w:fill="auto"/>
            <w:noWrap/>
            <w:vAlign w:val="bottom"/>
            <w:hideMark/>
          </w:tcPr>
          <w:p w14:paraId="199C0DDE" w14:textId="77777777" w:rsidR="00B86AC2" w:rsidRPr="00B86AC2" w:rsidRDefault="00B86AC2" w:rsidP="005629C3">
            <w:pPr>
              <w:keepNext/>
              <w:spacing w:after="0"/>
              <w:jc w:val="right"/>
              <w:rPr>
                <w:rFonts w:ascii="Calibri" w:eastAsia="Times New Roman" w:hAnsi="Calibri" w:cs="Calibri"/>
                <w:color w:val="000000"/>
                <w:sz w:val="20"/>
                <w:szCs w:val="20"/>
              </w:rPr>
            </w:pPr>
            <w:r w:rsidRPr="00B86AC2">
              <w:rPr>
                <w:rFonts w:ascii="Calibri" w:eastAsia="Times New Roman" w:hAnsi="Calibri" w:cs="Calibri"/>
                <w:color w:val="000000"/>
                <w:sz w:val="20"/>
                <w:szCs w:val="20"/>
              </w:rPr>
              <w:t>1%</w:t>
            </w:r>
          </w:p>
        </w:tc>
      </w:tr>
      <w:tr w:rsidR="00B86AC2" w:rsidRPr="00B86AC2" w14:paraId="17310E59" w14:textId="77777777" w:rsidTr="00C54AF0">
        <w:trPr>
          <w:trHeight w:val="300"/>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5143CF57" w14:textId="77777777" w:rsidR="00B86AC2" w:rsidRPr="00B86AC2" w:rsidRDefault="00B86AC2" w:rsidP="005629C3">
            <w:pPr>
              <w:keepNext/>
              <w:spacing w:after="0"/>
              <w:rPr>
                <w:rFonts w:ascii="Calibri" w:eastAsia="Times New Roman" w:hAnsi="Calibri" w:cs="Calibri"/>
                <w:color w:val="000000"/>
                <w:sz w:val="20"/>
                <w:szCs w:val="20"/>
              </w:rPr>
            </w:pPr>
            <w:r w:rsidRPr="00B86AC2">
              <w:rPr>
                <w:rFonts w:ascii="Calibri" w:eastAsia="Times New Roman" w:hAnsi="Calibri" w:cs="Calibri"/>
                <w:color w:val="000000"/>
                <w:sz w:val="20"/>
                <w:szCs w:val="20"/>
              </w:rPr>
              <w:t>GP</w:t>
            </w:r>
          </w:p>
        </w:tc>
        <w:tc>
          <w:tcPr>
            <w:tcW w:w="1345" w:type="dxa"/>
            <w:tcBorders>
              <w:top w:val="nil"/>
              <w:left w:val="nil"/>
              <w:bottom w:val="single" w:sz="4" w:space="0" w:color="auto"/>
              <w:right w:val="single" w:sz="4" w:space="0" w:color="auto"/>
            </w:tcBorders>
            <w:shd w:val="clear" w:color="auto" w:fill="auto"/>
            <w:noWrap/>
            <w:vAlign w:val="bottom"/>
            <w:hideMark/>
          </w:tcPr>
          <w:p w14:paraId="31761D44" w14:textId="77777777" w:rsidR="00B86AC2" w:rsidRPr="00B86AC2" w:rsidRDefault="00B86AC2" w:rsidP="005629C3">
            <w:pPr>
              <w:keepNext/>
              <w:spacing w:after="0"/>
              <w:jc w:val="right"/>
              <w:rPr>
                <w:rFonts w:ascii="Calibri" w:eastAsia="Times New Roman" w:hAnsi="Calibri" w:cs="Calibri"/>
                <w:color w:val="000000"/>
                <w:sz w:val="20"/>
                <w:szCs w:val="20"/>
              </w:rPr>
            </w:pPr>
            <w:r w:rsidRPr="00B86AC2">
              <w:rPr>
                <w:rFonts w:ascii="Calibri" w:eastAsia="Times New Roman" w:hAnsi="Calibri" w:cs="Calibri"/>
                <w:color w:val="000000"/>
                <w:sz w:val="20"/>
                <w:szCs w:val="20"/>
              </w:rPr>
              <w:t>114</w:t>
            </w:r>
          </w:p>
        </w:tc>
        <w:tc>
          <w:tcPr>
            <w:tcW w:w="1345" w:type="dxa"/>
            <w:tcBorders>
              <w:top w:val="nil"/>
              <w:left w:val="nil"/>
              <w:bottom w:val="single" w:sz="4" w:space="0" w:color="auto"/>
              <w:right w:val="single" w:sz="4" w:space="0" w:color="auto"/>
            </w:tcBorders>
            <w:shd w:val="clear" w:color="auto" w:fill="auto"/>
            <w:noWrap/>
            <w:vAlign w:val="bottom"/>
            <w:hideMark/>
          </w:tcPr>
          <w:p w14:paraId="1B4D7952" w14:textId="77777777" w:rsidR="00B86AC2" w:rsidRPr="00B86AC2" w:rsidRDefault="00B86AC2" w:rsidP="005629C3">
            <w:pPr>
              <w:keepNext/>
              <w:spacing w:after="0"/>
              <w:jc w:val="right"/>
              <w:rPr>
                <w:rFonts w:ascii="Calibri" w:eastAsia="Times New Roman" w:hAnsi="Calibri" w:cs="Calibri"/>
                <w:color w:val="000000"/>
                <w:sz w:val="20"/>
                <w:szCs w:val="20"/>
              </w:rPr>
            </w:pPr>
            <w:r w:rsidRPr="00B86AC2">
              <w:rPr>
                <w:rFonts w:ascii="Calibri" w:eastAsia="Times New Roman" w:hAnsi="Calibri" w:cs="Calibri"/>
                <w:color w:val="000000"/>
                <w:sz w:val="20"/>
                <w:szCs w:val="20"/>
              </w:rPr>
              <w:t>3%</w:t>
            </w:r>
          </w:p>
        </w:tc>
        <w:tc>
          <w:tcPr>
            <w:tcW w:w="1345" w:type="dxa"/>
            <w:tcBorders>
              <w:top w:val="nil"/>
              <w:left w:val="nil"/>
              <w:bottom w:val="single" w:sz="4" w:space="0" w:color="auto"/>
              <w:right w:val="single" w:sz="4" w:space="0" w:color="auto"/>
            </w:tcBorders>
            <w:shd w:val="clear" w:color="auto" w:fill="auto"/>
            <w:noWrap/>
            <w:vAlign w:val="bottom"/>
            <w:hideMark/>
          </w:tcPr>
          <w:p w14:paraId="0633FA70" w14:textId="77777777" w:rsidR="00B86AC2" w:rsidRPr="00B86AC2" w:rsidRDefault="00B86AC2" w:rsidP="005629C3">
            <w:pPr>
              <w:keepNext/>
              <w:spacing w:after="0"/>
              <w:jc w:val="right"/>
              <w:rPr>
                <w:rFonts w:ascii="Calibri" w:eastAsia="Times New Roman" w:hAnsi="Calibri" w:cs="Calibri"/>
                <w:color w:val="000000"/>
                <w:sz w:val="20"/>
                <w:szCs w:val="20"/>
              </w:rPr>
            </w:pPr>
            <w:r w:rsidRPr="00B86AC2">
              <w:rPr>
                <w:rFonts w:ascii="Calibri" w:eastAsia="Times New Roman" w:hAnsi="Calibri" w:cs="Calibri"/>
                <w:color w:val="000000"/>
                <w:sz w:val="20"/>
                <w:szCs w:val="20"/>
              </w:rPr>
              <w:t>787</w:t>
            </w:r>
          </w:p>
        </w:tc>
        <w:tc>
          <w:tcPr>
            <w:tcW w:w="1345" w:type="dxa"/>
            <w:tcBorders>
              <w:top w:val="nil"/>
              <w:left w:val="nil"/>
              <w:bottom w:val="single" w:sz="4" w:space="0" w:color="auto"/>
              <w:right w:val="single" w:sz="4" w:space="0" w:color="auto"/>
            </w:tcBorders>
            <w:shd w:val="clear" w:color="auto" w:fill="auto"/>
            <w:noWrap/>
            <w:vAlign w:val="bottom"/>
            <w:hideMark/>
          </w:tcPr>
          <w:p w14:paraId="131B3E48" w14:textId="77777777" w:rsidR="00B86AC2" w:rsidRPr="00B86AC2" w:rsidRDefault="00B86AC2" w:rsidP="005629C3">
            <w:pPr>
              <w:keepNext/>
              <w:spacing w:after="0"/>
              <w:jc w:val="right"/>
              <w:rPr>
                <w:rFonts w:ascii="Calibri" w:eastAsia="Times New Roman" w:hAnsi="Calibri" w:cs="Calibri"/>
                <w:color w:val="000000"/>
                <w:sz w:val="20"/>
                <w:szCs w:val="20"/>
              </w:rPr>
            </w:pPr>
            <w:r w:rsidRPr="00B86AC2">
              <w:rPr>
                <w:rFonts w:ascii="Calibri" w:eastAsia="Times New Roman" w:hAnsi="Calibri" w:cs="Calibri"/>
                <w:color w:val="000000"/>
                <w:sz w:val="20"/>
                <w:szCs w:val="20"/>
              </w:rPr>
              <w:t>2%</w:t>
            </w:r>
          </w:p>
        </w:tc>
      </w:tr>
      <w:tr w:rsidR="00B86AC2" w:rsidRPr="00B86AC2" w14:paraId="7E517027" w14:textId="77777777" w:rsidTr="00C54AF0">
        <w:trPr>
          <w:trHeight w:val="300"/>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50003D07" w14:textId="77777777" w:rsidR="00B86AC2" w:rsidRPr="00B86AC2" w:rsidRDefault="00B86AC2" w:rsidP="005629C3">
            <w:pPr>
              <w:keepNext/>
              <w:spacing w:after="0"/>
              <w:rPr>
                <w:rFonts w:ascii="Calibri" w:eastAsia="Times New Roman" w:hAnsi="Calibri" w:cs="Calibri"/>
                <w:color w:val="000000"/>
                <w:sz w:val="20"/>
                <w:szCs w:val="20"/>
              </w:rPr>
            </w:pPr>
            <w:r w:rsidRPr="00B86AC2">
              <w:rPr>
                <w:rFonts w:ascii="Calibri" w:eastAsia="Times New Roman" w:hAnsi="Calibri" w:cs="Calibri"/>
                <w:color w:val="000000"/>
                <w:sz w:val="20"/>
                <w:szCs w:val="20"/>
              </w:rPr>
              <w:t>Pathology</w:t>
            </w:r>
          </w:p>
        </w:tc>
        <w:tc>
          <w:tcPr>
            <w:tcW w:w="1345" w:type="dxa"/>
            <w:tcBorders>
              <w:top w:val="nil"/>
              <w:left w:val="nil"/>
              <w:bottom w:val="single" w:sz="4" w:space="0" w:color="auto"/>
              <w:right w:val="single" w:sz="4" w:space="0" w:color="auto"/>
            </w:tcBorders>
            <w:shd w:val="clear" w:color="auto" w:fill="auto"/>
            <w:noWrap/>
            <w:vAlign w:val="bottom"/>
            <w:hideMark/>
          </w:tcPr>
          <w:p w14:paraId="3432276F" w14:textId="77777777" w:rsidR="00B86AC2" w:rsidRPr="00B86AC2" w:rsidRDefault="00B86AC2" w:rsidP="005629C3">
            <w:pPr>
              <w:keepNext/>
              <w:spacing w:after="0"/>
              <w:jc w:val="right"/>
              <w:rPr>
                <w:rFonts w:ascii="Calibri" w:eastAsia="Times New Roman" w:hAnsi="Calibri" w:cs="Calibri"/>
                <w:color w:val="000000"/>
                <w:sz w:val="20"/>
                <w:szCs w:val="20"/>
              </w:rPr>
            </w:pPr>
            <w:r w:rsidRPr="00B86AC2">
              <w:rPr>
                <w:rFonts w:ascii="Calibri" w:eastAsia="Times New Roman" w:hAnsi="Calibri" w:cs="Calibri"/>
                <w:color w:val="000000"/>
                <w:sz w:val="20"/>
                <w:szCs w:val="20"/>
              </w:rPr>
              <w:t>65</w:t>
            </w:r>
          </w:p>
        </w:tc>
        <w:tc>
          <w:tcPr>
            <w:tcW w:w="1345" w:type="dxa"/>
            <w:tcBorders>
              <w:top w:val="nil"/>
              <w:left w:val="nil"/>
              <w:bottom w:val="single" w:sz="4" w:space="0" w:color="auto"/>
              <w:right w:val="single" w:sz="4" w:space="0" w:color="auto"/>
            </w:tcBorders>
            <w:shd w:val="clear" w:color="auto" w:fill="auto"/>
            <w:noWrap/>
            <w:vAlign w:val="bottom"/>
            <w:hideMark/>
          </w:tcPr>
          <w:p w14:paraId="031FAAC4" w14:textId="77777777" w:rsidR="00B86AC2" w:rsidRPr="00B86AC2" w:rsidRDefault="00B86AC2" w:rsidP="005629C3">
            <w:pPr>
              <w:keepNext/>
              <w:spacing w:after="0"/>
              <w:jc w:val="right"/>
              <w:rPr>
                <w:rFonts w:ascii="Calibri" w:eastAsia="Times New Roman" w:hAnsi="Calibri" w:cs="Calibri"/>
                <w:color w:val="000000"/>
                <w:sz w:val="20"/>
                <w:szCs w:val="20"/>
              </w:rPr>
            </w:pPr>
            <w:r w:rsidRPr="00B86AC2">
              <w:rPr>
                <w:rFonts w:ascii="Calibri" w:eastAsia="Times New Roman" w:hAnsi="Calibri" w:cs="Calibri"/>
                <w:color w:val="000000"/>
                <w:sz w:val="20"/>
                <w:szCs w:val="20"/>
              </w:rPr>
              <w:t>1%</w:t>
            </w:r>
          </w:p>
        </w:tc>
        <w:tc>
          <w:tcPr>
            <w:tcW w:w="1345" w:type="dxa"/>
            <w:tcBorders>
              <w:top w:val="nil"/>
              <w:left w:val="nil"/>
              <w:bottom w:val="single" w:sz="4" w:space="0" w:color="auto"/>
              <w:right w:val="single" w:sz="4" w:space="0" w:color="auto"/>
            </w:tcBorders>
            <w:shd w:val="clear" w:color="auto" w:fill="auto"/>
            <w:noWrap/>
            <w:vAlign w:val="bottom"/>
            <w:hideMark/>
          </w:tcPr>
          <w:p w14:paraId="70E6C1B8" w14:textId="77777777" w:rsidR="00B86AC2" w:rsidRPr="00B86AC2" w:rsidRDefault="00B86AC2" w:rsidP="005629C3">
            <w:pPr>
              <w:keepNext/>
              <w:spacing w:after="0"/>
              <w:jc w:val="right"/>
              <w:rPr>
                <w:rFonts w:ascii="Calibri" w:eastAsia="Times New Roman" w:hAnsi="Calibri" w:cs="Calibri"/>
                <w:color w:val="000000"/>
                <w:sz w:val="20"/>
                <w:szCs w:val="20"/>
              </w:rPr>
            </w:pPr>
            <w:r w:rsidRPr="00B86AC2">
              <w:rPr>
                <w:rFonts w:ascii="Calibri" w:eastAsia="Times New Roman" w:hAnsi="Calibri" w:cs="Calibri"/>
                <w:color w:val="000000"/>
                <w:sz w:val="20"/>
                <w:szCs w:val="20"/>
              </w:rPr>
              <w:t>356</w:t>
            </w:r>
          </w:p>
        </w:tc>
        <w:tc>
          <w:tcPr>
            <w:tcW w:w="1345" w:type="dxa"/>
            <w:tcBorders>
              <w:top w:val="nil"/>
              <w:left w:val="nil"/>
              <w:bottom w:val="single" w:sz="4" w:space="0" w:color="auto"/>
              <w:right w:val="single" w:sz="4" w:space="0" w:color="auto"/>
            </w:tcBorders>
            <w:shd w:val="clear" w:color="auto" w:fill="auto"/>
            <w:noWrap/>
            <w:vAlign w:val="bottom"/>
            <w:hideMark/>
          </w:tcPr>
          <w:p w14:paraId="5FA2A99A" w14:textId="77777777" w:rsidR="00B86AC2" w:rsidRPr="00B86AC2" w:rsidRDefault="00B86AC2" w:rsidP="005629C3">
            <w:pPr>
              <w:keepNext/>
              <w:spacing w:after="0"/>
              <w:jc w:val="right"/>
              <w:rPr>
                <w:rFonts w:ascii="Calibri" w:eastAsia="Times New Roman" w:hAnsi="Calibri" w:cs="Calibri"/>
                <w:color w:val="000000"/>
                <w:sz w:val="20"/>
                <w:szCs w:val="20"/>
              </w:rPr>
            </w:pPr>
            <w:r w:rsidRPr="00B86AC2">
              <w:rPr>
                <w:rFonts w:ascii="Calibri" w:eastAsia="Times New Roman" w:hAnsi="Calibri" w:cs="Calibri"/>
                <w:color w:val="000000"/>
                <w:sz w:val="20"/>
                <w:szCs w:val="20"/>
              </w:rPr>
              <w:t>1%</w:t>
            </w:r>
          </w:p>
        </w:tc>
      </w:tr>
      <w:tr w:rsidR="00B86AC2" w:rsidRPr="00B86AC2" w14:paraId="487C5929" w14:textId="77777777" w:rsidTr="00C54AF0">
        <w:trPr>
          <w:trHeight w:val="300"/>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15488800" w14:textId="77777777" w:rsidR="00B86AC2" w:rsidRPr="00B86AC2" w:rsidRDefault="00B86AC2" w:rsidP="005629C3">
            <w:pPr>
              <w:keepNext/>
              <w:spacing w:after="0"/>
              <w:rPr>
                <w:rFonts w:ascii="Calibri" w:eastAsia="Times New Roman" w:hAnsi="Calibri" w:cs="Calibri"/>
                <w:color w:val="000000"/>
                <w:sz w:val="20"/>
                <w:szCs w:val="20"/>
              </w:rPr>
            </w:pPr>
            <w:r w:rsidRPr="00B86AC2">
              <w:rPr>
                <w:rFonts w:ascii="Calibri" w:eastAsia="Times New Roman" w:hAnsi="Calibri" w:cs="Calibri"/>
                <w:color w:val="000000"/>
                <w:sz w:val="20"/>
                <w:szCs w:val="20"/>
              </w:rPr>
              <w:t>Paediatric Medicine</w:t>
            </w:r>
          </w:p>
        </w:tc>
        <w:tc>
          <w:tcPr>
            <w:tcW w:w="1345" w:type="dxa"/>
            <w:tcBorders>
              <w:top w:val="nil"/>
              <w:left w:val="nil"/>
              <w:bottom w:val="single" w:sz="4" w:space="0" w:color="auto"/>
              <w:right w:val="single" w:sz="4" w:space="0" w:color="auto"/>
            </w:tcBorders>
            <w:shd w:val="clear" w:color="auto" w:fill="auto"/>
            <w:noWrap/>
            <w:vAlign w:val="bottom"/>
            <w:hideMark/>
          </w:tcPr>
          <w:p w14:paraId="1A9616FC" w14:textId="77777777" w:rsidR="00B86AC2" w:rsidRPr="00B86AC2" w:rsidRDefault="00B86AC2" w:rsidP="005629C3">
            <w:pPr>
              <w:keepNext/>
              <w:spacing w:after="0"/>
              <w:jc w:val="right"/>
              <w:rPr>
                <w:rFonts w:ascii="Calibri" w:eastAsia="Times New Roman" w:hAnsi="Calibri" w:cs="Calibri"/>
                <w:color w:val="000000"/>
                <w:sz w:val="20"/>
                <w:szCs w:val="20"/>
              </w:rPr>
            </w:pPr>
            <w:r w:rsidRPr="00B86AC2">
              <w:rPr>
                <w:rFonts w:ascii="Calibri" w:eastAsia="Times New Roman" w:hAnsi="Calibri" w:cs="Calibri"/>
                <w:color w:val="000000"/>
                <w:sz w:val="20"/>
                <w:szCs w:val="20"/>
              </w:rPr>
              <w:t>54</w:t>
            </w:r>
          </w:p>
        </w:tc>
        <w:tc>
          <w:tcPr>
            <w:tcW w:w="1345" w:type="dxa"/>
            <w:tcBorders>
              <w:top w:val="nil"/>
              <w:left w:val="nil"/>
              <w:bottom w:val="single" w:sz="4" w:space="0" w:color="auto"/>
              <w:right w:val="single" w:sz="4" w:space="0" w:color="auto"/>
            </w:tcBorders>
            <w:shd w:val="clear" w:color="auto" w:fill="auto"/>
            <w:noWrap/>
            <w:vAlign w:val="bottom"/>
            <w:hideMark/>
          </w:tcPr>
          <w:p w14:paraId="0AFC70C1" w14:textId="77777777" w:rsidR="00B86AC2" w:rsidRPr="00B86AC2" w:rsidRDefault="00B86AC2" w:rsidP="005629C3">
            <w:pPr>
              <w:keepNext/>
              <w:spacing w:after="0"/>
              <w:jc w:val="right"/>
              <w:rPr>
                <w:rFonts w:ascii="Calibri" w:eastAsia="Times New Roman" w:hAnsi="Calibri" w:cs="Calibri"/>
                <w:color w:val="000000"/>
                <w:sz w:val="20"/>
                <w:szCs w:val="20"/>
              </w:rPr>
            </w:pPr>
            <w:r w:rsidRPr="00B86AC2">
              <w:rPr>
                <w:rFonts w:ascii="Calibri" w:eastAsia="Times New Roman" w:hAnsi="Calibri" w:cs="Calibri"/>
                <w:color w:val="000000"/>
                <w:sz w:val="20"/>
                <w:szCs w:val="20"/>
              </w:rPr>
              <w:t>1%</w:t>
            </w:r>
          </w:p>
        </w:tc>
        <w:tc>
          <w:tcPr>
            <w:tcW w:w="1345" w:type="dxa"/>
            <w:tcBorders>
              <w:top w:val="nil"/>
              <w:left w:val="nil"/>
              <w:bottom w:val="single" w:sz="4" w:space="0" w:color="auto"/>
              <w:right w:val="single" w:sz="4" w:space="0" w:color="auto"/>
            </w:tcBorders>
            <w:shd w:val="clear" w:color="auto" w:fill="auto"/>
            <w:noWrap/>
            <w:vAlign w:val="bottom"/>
            <w:hideMark/>
          </w:tcPr>
          <w:p w14:paraId="117E603A" w14:textId="77777777" w:rsidR="00B86AC2" w:rsidRPr="00B86AC2" w:rsidRDefault="00B86AC2" w:rsidP="005629C3">
            <w:pPr>
              <w:keepNext/>
              <w:spacing w:after="0"/>
              <w:jc w:val="right"/>
              <w:rPr>
                <w:rFonts w:ascii="Calibri" w:eastAsia="Times New Roman" w:hAnsi="Calibri" w:cs="Calibri"/>
                <w:color w:val="000000"/>
                <w:sz w:val="20"/>
                <w:szCs w:val="20"/>
              </w:rPr>
            </w:pPr>
            <w:r w:rsidRPr="00B86AC2">
              <w:rPr>
                <w:rFonts w:ascii="Calibri" w:eastAsia="Times New Roman" w:hAnsi="Calibri" w:cs="Calibri"/>
                <w:color w:val="000000"/>
                <w:sz w:val="20"/>
                <w:szCs w:val="20"/>
              </w:rPr>
              <w:t>630</w:t>
            </w:r>
          </w:p>
        </w:tc>
        <w:tc>
          <w:tcPr>
            <w:tcW w:w="1345" w:type="dxa"/>
            <w:tcBorders>
              <w:top w:val="nil"/>
              <w:left w:val="nil"/>
              <w:bottom w:val="single" w:sz="4" w:space="0" w:color="auto"/>
              <w:right w:val="single" w:sz="4" w:space="0" w:color="auto"/>
            </w:tcBorders>
            <w:shd w:val="clear" w:color="auto" w:fill="auto"/>
            <w:noWrap/>
            <w:vAlign w:val="bottom"/>
            <w:hideMark/>
          </w:tcPr>
          <w:p w14:paraId="383E48D1" w14:textId="77777777" w:rsidR="00B86AC2" w:rsidRPr="00B86AC2" w:rsidRDefault="00B86AC2" w:rsidP="005629C3">
            <w:pPr>
              <w:keepNext/>
              <w:spacing w:after="0"/>
              <w:jc w:val="right"/>
              <w:rPr>
                <w:rFonts w:ascii="Calibri" w:eastAsia="Times New Roman" w:hAnsi="Calibri" w:cs="Calibri"/>
                <w:color w:val="000000"/>
                <w:sz w:val="20"/>
                <w:szCs w:val="20"/>
              </w:rPr>
            </w:pPr>
            <w:r w:rsidRPr="00B86AC2">
              <w:rPr>
                <w:rFonts w:ascii="Calibri" w:eastAsia="Times New Roman" w:hAnsi="Calibri" w:cs="Calibri"/>
                <w:color w:val="000000"/>
                <w:sz w:val="20"/>
                <w:szCs w:val="20"/>
              </w:rPr>
              <w:t>2%</w:t>
            </w:r>
          </w:p>
        </w:tc>
      </w:tr>
      <w:tr w:rsidR="00B86AC2" w:rsidRPr="00B86AC2" w14:paraId="16B081A9" w14:textId="77777777" w:rsidTr="00C54AF0">
        <w:trPr>
          <w:trHeight w:val="300"/>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65754E90" w14:textId="77777777" w:rsidR="00B86AC2" w:rsidRPr="00B86AC2" w:rsidRDefault="00B86AC2" w:rsidP="005629C3">
            <w:pPr>
              <w:keepNext/>
              <w:spacing w:after="0"/>
              <w:rPr>
                <w:rFonts w:ascii="Calibri" w:eastAsia="Times New Roman" w:hAnsi="Calibri" w:cs="Calibri"/>
                <w:color w:val="000000"/>
                <w:sz w:val="20"/>
                <w:szCs w:val="20"/>
              </w:rPr>
            </w:pPr>
            <w:r w:rsidRPr="00B86AC2">
              <w:rPr>
                <w:rFonts w:ascii="Calibri" w:eastAsia="Times New Roman" w:hAnsi="Calibri" w:cs="Calibri"/>
                <w:color w:val="000000"/>
                <w:sz w:val="20"/>
                <w:szCs w:val="20"/>
              </w:rPr>
              <w:t>ENT</w:t>
            </w:r>
          </w:p>
        </w:tc>
        <w:tc>
          <w:tcPr>
            <w:tcW w:w="1345" w:type="dxa"/>
            <w:tcBorders>
              <w:top w:val="nil"/>
              <w:left w:val="nil"/>
              <w:bottom w:val="single" w:sz="4" w:space="0" w:color="auto"/>
              <w:right w:val="single" w:sz="4" w:space="0" w:color="auto"/>
            </w:tcBorders>
            <w:shd w:val="clear" w:color="auto" w:fill="auto"/>
            <w:noWrap/>
            <w:vAlign w:val="bottom"/>
            <w:hideMark/>
          </w:tcPr>
          <w:p w14:paraId="6053CDE4" w14:textId="77777777" w:rsidR="00B86AC2" w:rsidRPr="00B86AC2" w:rsidRDefault="00B86AC2" w:rsidP="005629C3">
            <w:pPr>
              <w:keepNext/>
              <w:spacing w:after="0"/>
              <w:jc w:val="right"/>
              <w:rPr>
                <w:rFonts w:ascii="Calibri" w:eastAsia="Times New Roman" w:hAnsi="Calibri" w:cs="Calibri"/>
                <w:color w:val="000000"/>
                <w:sz w:val="20"/>
                <w:szCs w:val="20"/>
              </w:rPr>
            </w:pPr>
            <w:r w:rsidRPr="00B86AC2">
              <w:rPr>
                <w:rFonts w:ascii="Calibri" w:eastAsia="Times New Roman" w:hAnsi="Calibri" w:cs="Calibri"/>
                <w:color w:val="000000"/>
                <w:sz w:val="20"/>
                <w:szCs w:val="20"/>
              </w:rPr>
              <w:t>21</w:t>
            </w:r>
          </w:p>
        </w:tc>
        <w:tc>
          <w:tcPr>
            <w:tcW w:w="1345" w:type="dxa"/>
            <w:tcBorders>
              <w:top w:val="nil"/>
              <w:left w:val="nil"/>
              <w:bottom w:val="single" w:sz="4" w:space="0" w:color="auto"/>
              <w:right w:val="single" w:sz="4" w:space="0" w:color="auto"/>
            </w:tcBorders>
            <w:shd w:val="clear" w:color="auto" w:fill="auto"/>
            <w:noWrap/>
            <w:vAlign w:val="bottom"/>
            <w:hideMark/>
          </w:tcPr>
          <w:p w14:paraId="0A0E8D08" w14:textId="77777777" w:rsidR="00B86AC2" w:rsidRPr="00B86AC2" w:rsidRDefault="00B86AC2" w:rsidP="005629C3">
            <w:pPr>
              <w:keepNext/>
              <w:spacing w:after="0"/>
              <w:jc w:val="right"/>
              <w:rPr>
                <w:rFonts w:ascii="Calibri" w:eastAsia="Times New Roman" w:hAnsi="Calibri" w:cs="Calibri"/>
                <w:color w:val="000000"/>
                <w:sz w:val="20"/>
                <w:szCs w:val="20"/>
              </w:rPr>
            </w:pPr>
            <w:r w:rsidRPr="00B86AC2">
              <w:rPr>
                <w:rFonts w:ascii="Calibri" w:eastAsia="Times New Roman" w:hAnsi="Calibri" w:cs="Calibri"/>
                <w:color w:val="000000"/>
                <w:sz w:val="20"/>
                <w:szCs w:val="20"/>
              </w:rPr>
              <w:t>0.5%</w:t>
            </w:r>
          </w:p>
        </w:tc>
        <w:tc>
          <w:tcPr>
            <w:tcW w:w="1345" w:type="dxa"/>
            <w:tcBorders>
              <w:top w:val="nil"/>
              <w:left w:val="nil"/>
              <w:bottom w:val="single" w:sz="4" w:space="0" w:color="auto"/>
              <w:right w:val="single" w:sz="4" w:space="0" w:color="auto"/>
            </w:tcBorders>
            <w:shd w:val="clear" w:color="auto" w:fill="auto"/>
            <w:noWrap/>
            <w:vAlign w:val="bottom"/>
            <w:hideMark/>
          </w:tcPr>
          <w:p w14:paraId="6B452047" w14:textId="77777777" w:rsidR="00B86AC2" w:rsidRPr="00B86AC2" w:rsidRDefault="00B86AC2" w:rsidP="005629C3">
            <w:pPr>
              <w:keepNext/>
              <w:spacing w:after="0"/>
              <w:jc w:val="right"/>
              <w:rPr>
                <w:rFonts w:ascii="Calibri" w:eastAsia="Times New Roman" w:hAnsi="Calibri" w:cs="Calibri"/>
                <w:color w:val="000000"/>
                <w:sz w:val="20"/>
                <w:szCs w:val="20"/>
              </w:rPr>
            </w:pPr>
            <w:r w:rsidRPr="00B86AC2">
              <w:rPr>
                <w:rFonts w:ascii="Calibri" w:eastAsia="Times New Roman" w:hAnsi="Calibri" w:cs="Calibri"/>
                <w:color w:val="000000"/>
                <w:sz w:val="20"/>
                <w:szCs w:val="20"/>
              </w:rPr>
              <w:t>253</w:t>
            </w:r>
          </w:p>
        </w:tc>
        <w:tc>
          <w:tcPr>
            <w:tcW w:w="1345" w:type="dxa"/>
            <w:tcBorders>
              <w:top w:val="nil"/>
              <w:left w:val="nil"/>
              <w:bottom w:val="single" w:sz="4" w:space="0" w:color="auto"/>
              <w:right w:val="single" w:sz="4" w:space="0" w:color="auto"/>
            </w:tcBorders>
            <w:shd w:val="clear" w:color="auto" w:fill="auto"/>
            <w:noWrap/>
            <w:vAlign w:val="bottom"/>
            <w:hideMark/>
          </w:tcPr>
          <w:p w14:paraId="55F442B8" w14:textId="77777777" w:rsidR="00B86AC2" w:rsidRPr="00B86AC2" w:rsidRDefault="00B86AC2" w:rsidP="005629C3">
            <w:pPr>
              <w:keepNext/>
              <w:spacing w:after="0"/>
              <w:jc w:val="right"/>
              <w:rPr>
                <w:rFonts w:ascii="Calibri" w:eastAsia="Times New Roman" w:hAnsi="Calibri" w:cs="Calibri"/>
                <w:color w:val="000000"/>
                <w:sz w:val="20"/>
                <w:szCs w:val="20"/>
              </w:rPr>
            </w:pPr>
            <w:r w:rsidRPr="00B86AC2">
              <w:rPr>
                <w:rFonts w:ascii="Calibri" w:eastAsia="Times New Roman" w:hAnsi="Calibri" w:cs="Calibri"/>
                <w:color w:val="000000"/>
                <w:sz w:val="20"/>
                <w:szCs w:val="20"/>
              </w:rPr>
              <w:t>1%</w:t>
            </w:r>
          </w:p>
        </w:tc>
      </w:tr>
      <w:tr w:rsidR="00B86AC2" w:rsidRPr="00B86AC2" w14:paraId="189476F1" w14:textId="77777777" w:rsidTr="00C54AF0">
        <w:trPr>
          <w:trHeight w:val="300"/>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0C6AEAB1" w14:textId="77777777" w:rsidR="00B86AC2" w:rsidRPr="00B86AC2" w:rsidRDefault="00B86AC2" w:rsidP="005629C3">
            <w:pPr>
              <w:keepNext/>
              <w:spacing w:after="0"/>
              <w:rPr>
                <w:rFonts w:ascii="Calibri" w:eastAsia="Times New Roman" w:hAnsi="Calibri" w:cs="Calibri"/>
                <w:color w:val="000000"/>
                <w:sz w:val="20"/>
                <w:szCs w:val="20"/>
              </w:rPr>
            </w:pPr>
            <w:r w:rsidRPr="00B86AC2">
              <w:rPr>
                <w:rFonts w:ascii="Calibri" w:eastAsia="Times New Roman" w:hAnsi="Calibri" w:cs="Calibri"/>
                <w:color w:val="000000"/>
                <w:sz w:val="20"/>
                <w:szCs w:val="20"/>
              </w:rPr>
              <w:t>Intensive Care</w:t>
            </w:r>
          </w:p>
        </w:tc>
        <w:tc>
          <w:tcPr>
            <w:tcW w:w="1345" w:type="dxa"/>
            <w:tcBorders>
              <w:top w:val="nil"/>
              <w:left w:val="nil"/>
              <w:bottom w:val="single" w:sz="4" w:space="0" w:color="auto"/>
              <w:right w:val="single" w:sz="4" w:space="0" w:color="auto"/>
            </w:tcBorders>
            <w:shd w:val="clear" w:color="auto" w:fill="auto"/>
            <w:noWrap/>
            <w:vAlign w:val="bottom"/>
            <w:hideMark/>
          </w:tcPr>
          <w:p w14:paraId="7CBA47E9" w14:textId="77777777" w:rsidR="00B86AC2" w:rsidRPr="00B86AC2" w:rsidRDefault="00B86AC2" w:rsidP="005629C3">
            <w:pPr>
              <w:keepNext/>
              <w:spacing w:after="0"/>
              <w:jc w:val="right"/>
              <w:rPr>
                <w:rFonts w:ascii="Calibri" w:eastAsia="Times New Roman" w:hAnsi="Calibri" w:cs="Calibri"/>
                <w:color w:val="000000"/>
                <w:sz w:val="20"/>
                <w:szCs w:val="20"/>
              </w:rPr>
            </w:pPr>
            <w:r w:rsidRPr="00B86AC2">
              <w:rPr>
                <w:rFonts w:ascii="Calibri" w:eastAsia="Times New Roman" w:hAnsi="Calibri" w:cs="Calibri"/>
                <w:color w:val="000000"/>
                <w:sz w:val="20"/>
                <w:szCs w:val="20"/>
              </w:rPr>
              <w:t>14</w:t>
            </w:r>
          </w:p>
        </w:tc>
        <w:tc>
          <w:tcPr>
            <w:tcW w:w="1345" w:type="dxa"/>
            <w:tcBorders>
              <w:top w:val="nil"/>
              <w:left w:val="nil"/>
              <w:bottom w:val="single" w:sz="4" w:space="0" w:color="auto"/>
              <w:right w:val="single" w:sz="4" w:space="0" w:color="auto"/>
            </w:tcBorders>
            <w:shd w:val="clear" w:color="auto" w:fill="auto"/>
            <w:noWrap/>
            <w:vAlign w:val="bottom"/>
            <w:hideMark/>
          </w:tcPr>
          <w:p w14:paraId="1165BE04" w14:textId="77777777" w:rsidR="00B86AC2" w:rsidRPr="00B86AC2" w:rsidRDefault="00B86AC2" w:rsidP="005629C3">
            <w:pPr>
              <w:keepNext/>
              <w:spacing w:after="0"/>
              <w:jc w:val="right"/>
              <w:rPr>
                <w:rFonts w:ascii="Calibri" w:eastAsia="Times New Roman" w:hAnsi="Calibri" w:cs="Calibri"/>
                <w:color w:val="000000"/>
                <w:sz w:val="20"/>
                <w:szCs w:val="20"/>
              </w:rPr>
            </w:pPr>
            <w:r w:rsidRPr="00B86AC2">
              <w:rPr>
                <w:rFonts w:ascii="Calibri" w:eastAsia="Times New Roman" w:hAnsi="Calibri" w:cs="Calibri"/>
                <w:color w:val="000000"/>
                <w:sz w:val="20"/>
                <w:szCs w:val="20"/>
              </w:rPr>
              <w:t>0.3%</w:t>
            </w:r>
          </w:p>
        </w:tc>
        <w:tc>
          <w:tcPr>
            <w:tcW w:w="1345" w:type="dxa"/>
            <w:tcBorders>
              <w:top w:val="nil"/>
              <w:left w:val="nil"/>
              <w:bottom w:val="single" w:sz="4" w:space="0" w:color="auto"/>
              <w:right w:val="single" w:sz="4" w:space="0" w:color="auto"/>
            </w:tcBorders>
            <w:shd w:val="clear" w:color="auto" w:fill="auto"/>
            <w:noWrap/>
            <w:vAlign w:val="bottom"/>
            <w:hideMark/>
          </w:tcPr>
          <w:p w14:paraId="07376969" w14:textId="77777777" w:rsidR="00B86AC2" w:rsidRPr="00B86AC2" w:rsidRDefault="00B86AC2" w:rsidP="005629C3">
            <w:pPr>
              <w:keepNext/>
              <w:spacing w:after="0"/>
              <w:jc w:val="right"/>
              <w:rPr>
                <w:rFonts w:ascii="Calibri" w:eastAsia="Times New Roman" w:hAnsi="Calibri" w:cs="Calibri"/>
                <w:color w:val="000000"/>
                <w:sz w:val="20"/>
                <w:szCs w:val="20"/>
              </w:rPr>
            </w:pPr>
            <w:r w:rsidRPr="00B86AC2">
              <w:rPr>
                <w:rFonts w:ascii="Calibri" w:eastAsia="Times New Roman" w:hAnsi="Calibri" w:cs="Calibri"/>
                <w:color w:val="000000"/>
                <w:sz w:val="20"/>
                <w:szCs w:val="20"/>
              </w:rPr>
              <w:t>182</w:t>
            </w:r>
          </w:p>
        </w:tc>
        <w:tc>
          <w:tcPr>
            <w:tcW w:w="1345" w:type="dxa"/>
            <w:tcBorders>
              <w:top w:val="nil"/>
              <w:left w:val="nil"/>
              <w:bottom w:val="single" w:sz="4" w:space="0" w:color="auto"/>
              <w:right w:val="single" w:sz="4" w:space="0" w:color="auto"/>
            </w:tcBorders>
            <w:shd w:val="clear" w:color="auto" w:fill="auto"/>
            <w:noWrap/>
            <w:vAlign w:val="bottom"/>
            <w:hideMark/>
          </w:tcPr>
          <w:p w14:paraId="73D39F55" w14:textId="77777777" w:rsidR="00B86AC2" w:rsidRPr="00B86AC2" w:rsidRDefault="00B86AC2" w:rsidP="005629C3">
            <w:pPr>
              <w:keepNext/>
              <w:spacing w:after="0"/>
              <w:jc w:val="right"/>
              <w:rPr>
                <w:rFonts w:ascii="Calibri" w:eastAsia="Times New Roman" w:hAnsi="Calibri" w:cs="Calibri"/>
                <w:color w:val="000000"/>
                <w:sz w:val="20"/>
                <w:szCs w:val="20"/>
              </w:rPr>
            </w:pPr>
            <w:r w:rsidRPr="00B86AC2">
              <w:rPr>
                <w:rFonts w:ascii="Calibri" w:eastAsia="Times New Roman" w:hAnsi="Calibri" w:cs="Calibri"/>
                <w:color w:val="000000"/>
                <w:sz w:val="20"/>
                <w:szCs w:val="20"/>
              </w:rPr>
              <w:t>0.4%</w:t>
            </w:r>
          </w:p>
        </w:tc>
      </w:tr>
      <w:tr w:rsidR="00B86AC2" w:rsidRPr="00B86AC2" w14:paraId="21D04A5C" w14:textId="77777777" w:rsidTr="00C54AF0">
        <w:trPr>
          <w:trHeight w:val="300"/>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12A3C728" w14:textId="77777777" w:rsidR="00B86AC2" w:rsidRPr="00B86AC2" w:rsidRDefault="00B86AC2" w:rsidP="005629C3">
            <w:pPr>
              <w:keepNext/>
              <w:spacing w:after="0"/>
              <w:rPr>
                <w:rFonts w:ascii="Calibri" w:eastAsia="Times New Roman" w:hAnsi="Calibri" w:cs="Calibri"/>
                <w:color w:val="000000"/>
                <w:sz w:val="20"/>
                <w:szCs w:val="20"/>
              </w:rPr>
            </w:pPr>
            <w:r w:rsidRPr="00B86AC2">
              <w:rPr>
                <w:rFonts w:ascii="Calibri" w:eastAsia="Times New Roman" w:hAnsi="Calibri" w:cs="Calibri"/>
                <w:color w:val="000000"/>
                <w:sz w:val="20"/>
                <w:szCs w:val="20"/>
              </w:rPr>
              <w:t>Medical Oncology</w:t>
            </w:r>
          </w:p>
        </w:tc>
        <w:tc>
          <w:tcPr>
            <w:tcW w:w="1345" w:type="dxa"/>
            <w:tcBorders>
              <w:top w:val="nil"/>
              <w:left w:val="nil"/>
              <w:bottom w:val="single" w:sz="4" w:space="0" w:color="auto"/>
              <w:right w:val="single" w:sz="4" w:space="0" w:color="auto"/>
            </w:tcBorders>
            <w:shd w:val="clear" w:color="auto" w:fill="auto"/>
            <w:noWrap/>
            <w:vAlign w:val="bottom"/>
            <w:hideMark/>
          </w:tcPr>
          <w:p w14:paraId="301C0793" w14:textId="77777777" w:rsidR="00B86AC2" w:rsidRPr="00B86AC2" w:rsidRDefault="00B86AC2" w:rsidP="005629C3">
            <w:pPr>
              <w:keepNext/>
              <w:spacing w:after="0"/>
              <w:jc w:val="right"/>
              <w:rPr>
                <w:rFonts w:ascii="Calibri" w:eastAsia="Times New Roman" w:hAnsi="Calibri" w:cs="Calibri"/>
                <w:color w:val="000000"/>
                <w:sz w:val="20"/>
                <w:szCs w:val="20"/>
              </w:rPr>
            </w:pPr>
            <w:r w:rsidRPr="00B86AC2">
              <w:rPr>
                <w:rFonts w:ascii="Calibri" w:eastAsia="Times New Roman" w:hAnsi="Calibri" w:cs="Calibri"/>
                <w:color w:val="000000"/>
                <w:sz w:val="20"/>
                <w:szCs w:val="20"/>
              </w:rPr>
              <w:t>10</w:t>
            </w:r>
          </w:p>
        </w:tc>
        <w:tc>
          <w:tcPr>
            <w:tcW w:w="1345" w:type="dxa"/>
            <w:tcBorders>
              <w:top w:val="nil"/>
              <w:left w:val="nil"/>
              <w:bottom w:val="single" w:sz="4" w:space="0" w:color="auto"/>
              <w:right w:val="single" w:sz="4" w:space="0" w:color="auto"/>
            </w:tcBorders>
            <w:shd w:val="clear" w:color="auto" w:fill="auto"/>
            <w:noWrap/>
            <w:vAlign w:val="bottom"/>
            <w:hideMark/>
          </w:tcPr>
          <w:p w14:paraId="3E5B552A" w14:textId="77777777" w:rsidR="00B86AC2" w:rsidRPr="00B86AC2" w:rsidRDefault="00B86AC2" w:rsidP="005629C3">
            <w:pPr>
              <w:keepNext/>
              <w:spacing w:after="0"/>
              <w:jc w:val="right"/>
              <w:rPr>
                <w:rFonts w:ascii="Calibri" w:eastAsia="Times New Roman" w:hAnsi="Calibri" w:cs="Calibri"/>
                <w:color w:val="000000"/>
                <w:sz w:val="20"/>
                <w:szCs w:val="20"/>
              </w:rPr>
            </w:pPr>
            <w:r w:rsidRPr="00B86AC2">
              <w:rPr>
                <w:rFonts w:ascii="Calibri" w:eastAsia="Times New Roman" w:hAnsi="Calibri" w:cs="Calibri"/>
                <w:color w:val="000000"/>
                <w:sz w:val="20"/>
                <w:szCs w:val="20"/>
              </w:rPr>
              <w:t>0.2%</w:t>
            </w:r>
          </w:p>
        </w:tc>
        <w:tc>
          <w:tcPr>
            <w:tcW w:w="1345" w:type="dxa"/>
            <w:tcBorders>
              <w:top w:val="nil"/>
              <w:left w:val="nil"/>
              <w:bottom w:val="single" w:sz="4" w:space="0" w:color="auto"/>
              <w:right w:val="single" w:sz="4" w:space="0" w:color="auto"/>
            </w:tcBorders>
            <w:shd w:val="clear" w:color="auto" w:fill="auto"/>
            <w:noWrap/>
            <w:vAlign w:val="bottom"/>
            <w:hideMark/>
          </w:tcPr>
          <w:p w14:paraId="50DF0007" w14:textId="77777777" w:rsidR="00B86AC2" w:rsidRPr="00B86AC2" w:rsidRDefault="00B86AC2" w:rsidP="005629C3">
            <w:pPr>
              <w:keepNext/>
              <w:spacing w:after="0"/>
              <w:jc w:val="right"/>
              <w:rPr>
                <w:rFonts w:ascii="Calibri" w:eastAsia="Times New Roman" w:hAnsi="Calibri" w:cs="Calibri"/>
                <w:color w:val="000000"/>
                <w:sz w:val="20"/>
                <w:szCs w:val="20"/>
              </w:rPr>
            </w:pPr>
            <w:r w:rsidRPr="00B86AC2">
              <w:rPr>
                <w:rFonts w:ascii="Calibri" w:eastAsia="Times New Roman" w:hAnsi="Calibri" w:cs="Calibri"/>
                <w:color w:val="000000"/>
                <w:sz w:val="20"/>
                <w:szCs w:val="20"/>
              </w:rPr>
              <w:t>139</w:t>
            </w:r>
          </w:p>
        </w:tc>
        <w:tc>
          <w:tcPr>
            <w:tcW w:w="1345" w:type="dxa"/>
            <w:tcBorders>
              <w:top w:val="nil"/>
              <w:left w:val="nil"/>
              <w:bottom w:val="single" w:sz="4" w:space="0" w:color="auto"/>
              <w:right w:val="single" w:sz="4" w:space="0" w:color="auto"/>
            </w:tcBorders>
            <w:shd w:val="clear" w:color="auto" w:fill="auto"/>
            <w:noWrap/>
            <w:vAlign w:val="bottom"/>
            <w:hideMark/>
          </w:tcPr>
          <w:p w14:paraId="1610E93B" w14:textId="77777777" w:rsidR="00B86AC2" w:rsidRPr="00B86AC2" w:rsidRDefault="00B86AC2" w:rsidP="005629C3">
            <w:pPr>
              <w:keepNext/>
              <w:spacing w:after="0"/>
              <w:jc w:val="right"/>
              <w:rPr>
                <w:rFonts w:ascii="Calibri" w:eastAsia="Times New Roman" w:hAnsi="Calibri" w:cs="Calibri"/>
                <w:color w:val="000000"/>
                <w:sz w:val="20"/>
                <w:szCs w:val="20"/>
              </w:rPr>
            </w:pPr>
            <w:r w:rsidRPr="00B86AC2">
              <w:rPr>
                <w:rFonts w:ascii="Calibri" w:eastAsia="Times New Roman" w:hAnsi="Calibri" w:cs="Calibri"/>
                <w:color w:val="000000"/>
                <w:sz w:val="20"/>
                <w:szCs w:val="20"/>
              </w:rPr>
              <w:t>0.3%</w:t>
            </w:r>
          </w:p>
        </w:tc>
      </w:tr>
      <w:tr w:rsidR="00B86AC2" w:rsidRPr="00B86AC2" w14:paraId="5605666A" w14:textId="77777777" w:rsidTr="00C54AF0">
        <w:trPr>
          <w:trHeight w:val="300"/>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4EC181AA" w14:textId="77777777" w:rsidR="00B86AC2" w:rsidRPr="00B86AC2" w:rsidRDefault="00B86AC2" w:rsidP="005629C3">
            <w:pPr>
              <w:keepNext/>
              <w:spacing w:after="0"/>
              <w:rPr>
                <w:rFonts w:ascii="Calibri" w:eastAsia="Times New Roman" w:hAnsi="Calibri" w:cs="Calibri"/>
                <w:color w:val="000000"/>
                <w:sz w:val="20"/>
                <w:szCs w:val="20"/>
              </w:rPr>
            </w:pPr>
            <w:r w:rsidRPr="00B86AC2">
              <w:rPr>
                <w:rFonts w:ascii="Calibri" w:eastAsia="Times New Roman" w:hAnsi="Calibri" w:cs="Calibri"/>
                <w:color w:val="000000"/>
                <w:sz w:val="20"/>
                <w:szCs w:val="20"/>
              </w:rPr>
              <w:t>Other</w:t>
            </w:r>
          </w:p>
        </w:tc>
        <w:tc>
          <w:tcPr>
            <w:tcW w:w="1345" w:type="dxa"/>
            <w:tcBorders>
              <w:top w:val="nil"/>
              <w:left w:val="nil"/>
              <w:bottom w:val="single" w:sz="4" w:space="0" w:color="auto"/>
              <w:right w:val="single" w:sz="4" w:space="0" w:color="auto"/>
            </w:tcBorders>
            <w:shd w:val="clear" w:color="auto" w:fill="auto"/>
            <w:noWrap/>
            <w:vAlign w:val="bottom"/>
            <w:hideMark/>
          </w:tcPr>
          <w:p w14:paraId="70983337" w14:textId="77777777" w:rsidR="00B86AC2" w:rsidRPr="00B86AC2" w:rsidRDefault="00B86AC2" w:rsidP="005629C3">
            <w:pPr>
              <w:keepNext/>
              <w:spacing w:after="0"/>
              <w:jc w:val="right"/>
              <w:rPr>
                <w:rFonts w:ascii="Calibri" w:eastAsia="Times New Roman" w:hAnsi="Calibri" w:cs="Calibri"/>
                <w:color w:val="000000"/>
                <w:sz w:val="20"/>
                <w:szCs w:val="20"/>
              </w:rPr>
            </w:pPr>
            <w:r w:rsidRPr="00B86AC2">
              <w:rPr>
                <w:rFonts w:ascii="Calibri" w:eastAsia="Times New Roman" w:hAnsi="Calibri" w:cs="Calibri"/>
                <w:color w:val="000000"/>
                <w:sz w:val="20"/>
                <w:szCs w:val="20"/>
              </w:rPr>
              <w:t>9</w:t>
            </w:r>
          </w:p>
        </w:tc>
        <w:tc>
          <w:tcPr>
            <w:tcW w:w="1345" w:type="dxa"/>
            <w:tcBorders>
              <w:top w:val="nil"/>
              <w:left w:val="nil"/>
              <w:bottom w:val="single" w:sz="4" w:space="0" w:color="auto"/>
              <w:right w:val="single" w:sz="4" w:space="0" w:color="auto"/>
            </w:tcBorders>
            <w:shd w:val="clear" w:color="auto" w:fill="auto"/>
            <w:noWrap/>
            <w:vAlign w:val="bottom"/>
            <w:hideMark/>
          </w:tcPr>
          <w:p w14:paraId="19F1CABB" w14:textId="77777777" w:rsidR="00B86AC2" w:rsidRPr="00B86AC2" w:rsidRDefault="00B86AC2" w:rsidP="005629C3">
            <w:pPr>
              <w:keepNext/>
              <w:spacing w:after="0"/>
              <w:jc w:val="right"/>
              <w:rPr>
                <w:rFonts w:ascii="Calibri" w:eastAsia="Times New Roman" w:hAnsi="Calibri" w:cs="Calibri"/>
                <w:color w:val="000000"/>
                <w:sz w:val="20"/>
                <w:szCs w:val="20"/>
              </w:rPr>
            </w:pPr>
            <w:r w:rsidRPr="00B86AC2">
              <w:rPr>
                <w:rFonts w:ascii="Calibri" w:eastAsia="Times New Roman" w:hAnsi="Calibri" w:cs="Calibri"/>
                <w:color w:val="000000"/>
                <w:sz w:val="20"/>
                <w:szCs w:val="20"/>
              </w:rPr>
              <w:t>0.2%</w:t>
            </w:r>
          </w:p>
        </w:tc>
        <w:tc>
          <w:tcPr>
            <w:tcW w:w="1345" w:type="dxa"/>
            <w:tcBorders>
              <w:top w:val="nil"/>
              <w:left w:val="nil"/>
              <w:bottom w:val="single" w:sz="4" w:space="0" w:color="auto"/>
              <w:right w:val="single" w:sz="4" w:space="0" w:color="auto"/>
            </w:tcBorders>
            <w:shd w:val="clear" w:color="auto" w:fill="auto"/>
            <w:noWrap/>
            <w:vAlign w:val="bottom"/>
            <w:hideMark/>
          </w:tcPr>
          <w:p w14:paraId="6BFB2440" w14:textId="77777777" w:rsidR="00B86AC2" w:rsidRPr="00B86AC2" w:rsidRDefault="00B86AC2" w:rsidP="005629C3">
            <w:pPr>
              <w:keepNext/>
              <w:spacing w:after="0"/>
              <w:jc w:val="right"/>
              <w:rPr>
                <w:rFonts w:ascii="Calibri" w:eastAsia="Times New Roman" w:hAnsi="Calibri" w:cs="Calibri"/>
                <w:color w:val="000000"/>
                <w:sz w:val="20"/>
                <w:szCs w:val="20"/>
              </w:rPr>
            </w:pPr>
            <w:r w:rsidRPr="00B86AC2">
              <w:rPr>
                <w:rFonts w:ascii="Calibri" w:eastAsia="Times New Roman" w:hAnsi="Calibri" w:cs="Calibri"/>
                <w:color w:val="000000"/>
                <w:sz w:val="20"/>
                <w:szCs w:val="20"/>
              </w:rPr>
              <w:t>65</w:t>
            </w:r>
          </w:p>
        </w:tc>
        <w:tc>
          <w:tcPr>
            <w:tcW w:w="1345" w:type="dxa"/>
            <w:tcBorders>
              <w:top w:val="nil"/>
              <w:left w:val="nil"/>
              <w:bottom w:val="single" w:sz="4" w:space="0" w:color="auto"/>
              <w:right w:val="single" w:sz="4" w:space="0" w:color="auto"/>
            </w:tcBorders>
            <w:shd w:val="clear" w:color="auto" w:fill="auto"/>
            <w:noWrap/>
            <w:vAlign w:val="bottom"/>
            <w:hideMark/>
          </w:tcPr>
          <w:p w14:paraId="1CAA8D8F" w14:textId="77777777" w:rsidR="00B86AC2" w:rsidRPr="00B86AC2" w:rsidRDefault="00B86AC2" w:rsidP="005629C3">
            <w:pPr>
              <w:keepNext/>
              <w:spacing w:after="0"/>
              <w:jc w:val="right"/>
              <w:rPr>
                <w:rFonts w:ascii="Calibri" w:eastAsia="Times New Roman" w:hAnsi="Calibri" w:cs="Calibri"/>
                <w:color w:val="000000"/>
                <w:sz w:val="20"/>
                <w:szCs w:val="20"/>
              </w:rPr>
            </w:pPr>
            <w:r w:rsidRPr="00B86AC2">
              <w:rPr>
                <w:rFonts w:ascii="Calibri" w:eastAsia="Times New Roman" w:hAnsi="Calibri" w:cs="Calibri"/>
                <w:color w:val="000000"/>
                <w:sz w:val="20"/>
                <w:szCs w:val="20"/>
              </w:rPr>
              <w:t>0.2%</w:t>
            </w:r>
          </w:p>
        </w:tc>
      </w:tr>
      <w:tr w:rsidR="00B86AC2" w:rsidRPr="00B86AC2" w14:paraId="2F6A859B" w14:textId="77777777" w:rsidTr="00C54AF0">
        <w:trPr>
          <w:trHeight w:val="300"/>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2836C494" w14:textId="77777777" w:rsidR="00B86AC2" w:rsidRPr="00B86AC2" w:rsidRDefault="00B86AC2" w:rsidP="00B86AC2">
            <w:pPr>
              <w:spacing w:after="0"/>
              <w:rPr>
                <w:rFonts w:ascii="Calibri" w:eastAsia="Times New Roman" w:hAnsi="Calibri" w:cs="Calibri"/>
                <w:color w:val="000000"/>
                <w:sz w:val="20"/>
                <w:szCs w:val="20"/>
              </w:rPr>
            </w:pPr>
            <w:r w:rsidRPr="00B86AC2">
              <w:rPr>
                <w:rFonts w:ascii="Calibri" w:eastAsia="Times New Roman" w:hAnsi="Calibri" w:cs="Calibri"/>
                <w:color w:val="000000"/>
                <w:sz w:val="20"/>
                <w:szCs w:val="20"/>
              </w:rPr>
              <w:t>Total</w:t>
            </w:r>
          </w:p>
        </w:tc>
        <w:tc>
          <w:tcPr>
            <w:tcW w:w="1345" w:type="dxa"/>
            <w:tcBorders>
              <w:top w:val="nil"/>
              <w:left w:val="nil"/>
              <w:bottom w:val="single" w:sz="4" w:space="0" w:color="auto"/>
              <w:right w:val="single" w:sz="4" w:space="0" w:color="auto"/>
            </w:tcBorders>
            <w:shd w:val="clear" w:color="auto" w:fill="auto"/>
            <w:noWrap/>
            <w:vAlign w:val="bottom"/>
            <w:hideMark/>
          </w:tcPr>
          <w:p w14:paraId="582033F6" w14:textId="10B54D82" w:rsidR="00B86AC2" w:rsidRPr="00B86AC2" w:rsidRDefault="00B86AC2" w:rsidP="00B86AC2">
            <w:pPr>
              <w:spacing w:after="0"/>
              <w:jc w:val="right"/>
              <w:rPr>
                <w:rFonts w:ascii="Calibri" w:eastAsia="Times New Roman" w:hAnsi="Calibri" w:cs="Calibri"/>
                <w:color w:val="000000"/>
                <w:sz w:val="20"/>
                <w:szCs w:val="20"/>
              </w:rPr>
            </w:pPr>
            <w:r w:rsidRPr="00B86AC2">
              <w:rPr>
                <w:rFonts w:ascii="Calibri" w:eastAsia="Times New Roman" w:hAnsi="Calibri" w:cs="Calibri"/>
                <w:color w:val="000000"/>
                <w:sz w:val="20"/>
                <w:szCs w:val="20"/>
              </w:rPr>
              <w:t>4</w:t>
            </w:r>
            <w:r w:rsidR="000B77DC">
              <w:rPr>
                <w:rFonts w:ascii="Calibri" w:eastAsia="Times New Roman" w:hAnsi="Calibri" w:cs="Calibri"/>
                <w:color w:val="000000"/>
                <w:sz w:val="20"/>
                <w:szCs w:val="20"/>
              </w:rPr>
              <w:t>,</w:t>
            </w:r>
            <w:r w:rsidRPr="00B86AC2">
              <w:rPr>
                <w:rFonts w:ascii="Calibri" w:eastAsia="Times New Roman" w:hAnsi="Calibri" w:cs="Calibri"/>
                <w:color w:val="000000"/>
                <w:sz w:val="20"/>
                <w:szCs w:val="20"/>
              </w:rPr>
              <w:t>446</w:t>
            </w:r>
          </w:p>
        </w:tc>
        <w:tc>
          <w:tcPr>
            <w:tcW w:w="1345" w:type="dxa"/>
            <w:tcBorders>
              <w:top w:val="nil"/>
              <w:left w:val="nil"/>
              <w:bottom w:val="single" w:sz="4" w:space="0" w:color="auto"/>
              <w:right w:val="single" w:sz="4" w:space="0" w:color="auto"/>
            </w:tcBorders>
            <w:shd w:val="clear" w:color="auto" w:fill="auto"/>
            <w:noWrap/>
            <w:vAlign w:val="bottom"/>
            <w:hideMark/>
          </w:tcPr>
          <w:p w14:paraId="6676482B" w14:textId="77777777" w:rsidR="00B86AC2" w:rsidRPr="00B86AC2" w:rsidRDefault="00B86AC2" w:rsidP="00B86AC2">
            <w:pPr>
              <w:spacing w:after="0"/>
              <w:rPr>
                <w:rFonts w:ascii="Calibri" w:eastAsia="Times New Roman" w:hAnsi="Calibri" w:cs="Calibri"/>
                <w:color w:val="000000"/>
                <w:sz w:val="20"/>
                <w:szCs w:val="20"/>
              </w:rPr>
            </w:pPr>
            <w:r w:rsidRPr="00B86AC2">
              <w:rPr>
                <w:rFonts w:ascii="Calibri" w:eastAsia="Times New Roman" w:hAnsi="Calibri" w:cs="Calibri"/>
                <w:color w:val="000000"/>
                <w:sz w:val="20"/>
                <w:szCs w:val="20"/>
              </w:rPr>
              <w:t> </w:t>
            </w:r>
          </w:p>
        </w:tc>
        <w:tc>
          <w:tcPr>
            <w:tcW w:w="1345" w:type="dxa"/>
            <w:tcBorders>
              <w:top w:val="nil"/>
              <w:left w:val="nil"/>
              <w:bottom w:val="single" w:sz="4" w:space="0" w:color="auto"/>
              <w:right w:val="single" w:sz="4" w:space="0" w:color="auto"/>
            </w:tcBorders>
            <w:shd w:val="clear" w:color="auto" w:fill="auto"/>
            <w:noWrap/>
            <w:vAlign w:val="bottom"/>
            <w:hideMark/>
          </w:tcPr>
          <w:p w14:paraId="62BB97B9" w14:textId="166B2FCC" w:rsidR="00B86AC2" w:rsidRPr="00B86AC2" w:rsidRDefault="00B86AC2" w:rsidP="00B86AC2">
            <w:pPr>
              <w:spacing w:after="0"/>
              <w:jc w:val="right"/>
              <w:rPr>
                <w:rFonts w:ascii="Calibri" w:eastAsia="Times New Roman" w:hAnsi="Calibri" w:cs="Calibri"/>
                <w:color w:val="000000"/>
                <w:sz w:val="20"/>
                <w:szCs w:val="20"/>
              </w:rPr>
            </w:pPr>
            <w:r w:rsidRPr="00B86AC2">
              <w:rPr>
                <w:rFonts w:ascii="Calibri" w:eastAsia="Times New Roman" w:hAnsi="Calibri" w:cs="Calibri"/>
                <w:color w:val="000000"/>
                <w:sz w:val="20"/>
                <w:szCs w:val="20"/>
              </w:rPr>
              <w:t>41</w:t>
            </w:r>
            <w:r w:rsidR="000B77DC">
              <w:rPr>
                <w:rFonts w:ascii="Calibri" w:eastAsia="Times New Roman" w:hAnsi="Calibri" w:cs="Calibri"/>
                <w:color w:val="000000"/>
                <w:sz w:val="20"/>
                <w:szCs w:val="20"/>
              </w:rPr>
              <w:t>,</w:t>
            </w:r>
            <w:r w:rsidRPr="00B86AC2">
              <w:rPr>
                <w:rFonts w:ascii="Calibri" w:eastAsia="Times New Roman" w:hAnsi="Calibri" w:cs="Calibri"/>
                <w:color w:val="000000"/>
                <w:sz w:val="20"/>
                <w:szCs w:val="20"/>
              </w:rPr>
              <w:t>557</w:t>
            </w:r>
          </w:p>
        </w:tc>
        <w:tc>
          <w:tcPr>
            <w:tcW w:w="1345" w:type="dxa"/>
            <w:tcBorders>
              <w:top w:val="nil"/>
              <w:left w:val="nil"/>
              <w:bottom w:val="single" w:sz="4" w:space="0" w:color="auto"/>
              <w:right w:val="single" w:sz="4" w:space="0" w:color="auto"/>
            </w:tcBorders>
            <w:shd w:val="clear" w:color="auto" w:fill="auto"/>
            <w:noWrap/>
            <w:vAlign w:val="bottom"/>
            <w:hideMark/>
          </w:tcPr>
          <w:p w14:paraId="51B888F2" w14:textId="77777777" w:rsidR="00B86AC2" w:rsidRPr="00B86AC2" w:rsidRDefault="00B86AC2" w:rsidP="00B86AC2">
            <w:pPr>
              <w:spacing w:after="0"/>
              <w:rPr>
                <w:rFonts w:ascii="Calibri" w:eastAsia="Times New Roman" w:hAnsi="Calibri" w:cs="Calibri"/>
                <w:color w:val="000000"/>
                <w:sz w:val="20"/>
                <w:szCs w:val="20"/>
              </w:rPr>
            </w:pPr>
            <w:r w:rsidRPr="00B86AC2">
              <w:rPr>
                <w:rFonts w:ascii="Calibri" w:eastAsia="Times New Roman" w:hAnsi="Calibri" w:cs="Calibri"/>
                <w:color w:val="000000"/>
                <w:sz w:val="20"/>
                <w:szCs w:val="20"/>
              </w:rPr>
              <w:t> </w:t>
            </w:r>
          </w:p>
        </w:tc>
      </w:tr>
    </w:tbl>
    <w:p w14:paraId="1EA0DC4A" w14:textId="77777777" w:rsidR="00406325" w:rsidRDefault="00406325" w:rsidP="00A35800"/>
    <w:p w14:paraId="64B0B125" w14:textId="7E100AE4" w:rsidR="00B937FF" w:rsidRDefault="00010DCE" w:rsidP="00A35800">
      <w:r w:rsidRPr="00010DCE">
        <w:t xml:space="preserve">Prescriber type is shown above for initiating patients and all supplied prescriptions. Respiratory and </w:t>
      </w:r>
      <w:r w:rsidR="00C5111E">
        <w:t>s</w:t>
      </w:r>
      <w:r w:rsidRPr="00010DCE">
        <w:t xml:space="preserve">leep </w:t>
      </w:r>
      <w:r w:rsidR="00C5111E">
        <w:t>m</w:t>
      </w:r>
      <w:r w:rsidRPr="00010DCE">
        <w:t xml:space="preserve">edicine </w:t>
      </w:r>
      <w:r w:rsidR="00C5111E">
        <w:t xml:space="preserve">specialists </w:t>
      </w:r>
      <w:r>
        <w:t xml:space="preserve">accounted for </w:t>
      </w:r>
      <w:r w:rsidR="00077F98">
        <w:t>51% of supplies to patients</w:t>
      </w:r>
      <w:r w:rsidR="002465B9">
        <w:t xml:space="preserve"> initiating dupilumab either as the first or subsequent treatment</w:t>
      </w:r>
      <w:r w:rsidR="00077F98">
        <w:t xml:space="preserve">, and </w:t>
      </w:r>
      <w:r w:rsidR="002465B9">
        <w:t>67% of supplied prescriptions.</w:t>
      </w:r>
    </w:p>
    <w:p w14:paraId="4BA2EAC3" w14:textId="62BE7684" w:rsidR="004135C9" w:rsidRDefault="004135C9" w:rsidP="00597DD0">
      <w:pPr>
        <w:pStyle w:val="Heading3"/>
        <w:keepNext/>
      </w:pPr>
      <w:r w:rsidRPr="004135C9">
        <w:lastRenderedPageBreak/>
        <w:t>Duration and number of treatments</w:t>
      </w:r>
    </w:p>
    <w:p w14:paraId="795C76A5" w14:textId="0DD5400C" w:rsidR="004135C9" w:rsidRDefault="005E6533" w:rsidP="00A35800">
      <w:r>
        <w:rPr>
          <w:noProof/>
        </w:rPr>
        <w:drawing>
          <wp:inline distT="0" distB="0" distL="0" distR="0" wp14:anchorId="4906C5FB" wp14:editId="13339BB6">
            <wp:extent cx="5687695" cy="4265930"/>
            <wp:effectExtent l="0" t="0" r="8255" b="1270"/>
            <wp:docPr id="8" name="Graphic 8" descr="Kaplan Meier curve of the length of time on treatment in yea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descr="Kaplan Meier curve of the length of time on treatment in years&#10;"/>
                    <pic:cNvPicPr/>
                  </pic:nvPicPr>
                  <pic:blipFill>
                    <a:blip r:embed="rId25">
                      <a:extLst>
                        <a:ext uri="{96DAC541-7B7A-43D3-8B79-37D633B846F1}">
                          <asvg:svgBlip xmlns:asvg="http://schemas.microsoft.com/office/drawing/2016/SVG/main" r:embed="rId26"/>
                        </a:ext>
                      </a:extLst>
                    </a:blip>
                    <a:stretch>
                      <a:fillRect/>
                    </a:stretch>
                  </pic:blipFill>
                  <pic:spPr>
                    <a:xfrm>
                      <a:off x="0" y="0"/>
                      <a:ext cx="5687695" cy="4265930"/>
                    </a:xfrm>
                    <a:prstGeom prst="rect">
                      <a:avLst/>
                    </a:prstGeom>
                  </pic:spPr>
                </pic:pic>
              </a:graphicData>
            </a:graphic>
          </wp:inline>
        </w:drawing>
      </w:r>
    </w:p>
    <w:p w14:paraId="1B290EA8" w14:textId="71EC75BC" w:rsidR="00DD4449" w:rsidRDefault="00807F53" w:rsidP="00807F53">
      <w:pPr>
        <w:pStyle w:val="Figuretitle"/>
      </w:pPr>
      <w:r w:rsidRPr="00807F53">
        <w:t>Figure</w:t>
      </w:r>
      <w:r w:rsidR="000D7EDE">
        <w:t xml:space="preserve"> 8</w:t>
      </w:r>
      <w:r w:rsidRPr="00807F53">
        <w:t xml:space="preserve">: Length of </w:t>
      </w:r>
      <w:r w:rsidR="00B274B0">
        <w:t xml:space="preserve">time on </w:t>
      </w:r>
      <w:r w:rsidRPr="00807F53">
        <w:t>treatment</w:t>
      </w:r>
    </w:p>
    <w:p w14:paraId="7F90C221" w14:textId="77777777" w:rsidR="00807F53" w:rsidRDefault="00807F53" w:rsidP="00DD4449"/>
    <w:p w14:paraId="395C5E58" w14:textId="735F88D8" w:rsidR="00DD4449" w:rsidRDefault="00DD4449" w:rsidP="00DD4449">
      <w:r>
        <w:t xml:space="preserve">Of the </w:t>
      </w:r>
      <w:r w:rsidR="0008112B">
        <w:t>4,44</w:t>
      </w:r>
      <w:r w:rsidR="000E04E3">
        <w:t>6</w:t>
      </w:r>
      <w:r>
        <w:t xml:space="preserve"> patients who were supplied dupilumab under an item code for </w:t>
      </w:r>
      <w:r w:rsidR="00807F53">
        <w:t>severe asthma</w:t>
      </w:r>
      <w:r>
        <w:t xml:space="preserve">, </w:t>
      </w:r>
      <w:r w:rsidR="000E04E3">
        <w:t>57</w:t>
      </w:r>
      <w:r>
        <w:t>% (</w:t>
      </w:r>
      <w:r w:rsidR="000E04E3">
        <w:t>2,</w:t>
      </w:r>
      <w:r w:rsidR="008D5361">
        <w:t>534</w:t>
      </w:r>
      <w:r>
        <w:t xml:space="preserve">) were supplied a prescription within 84 days (3 × median resupply of 28 days) of the last date of extracted data (30 </w:t>
      </w:r>
      <w:r w:rsidR="00807F53">
        <w:t>September</w:t>
      </w:r>
      <w:r>
        <w:t xml:space="preserve"> 2023) and were considered to be continuing treatment.</w:t>
      </w:r>
    </w:p>
    <w:p w14:paraId="279C1A9B" w14:textId="1C5F3C00" w:rsidR="00DD4449" w:rsidRDefault="00DD4449" w:rsidP="00DD4449">
      <w:r>
        <w:t xml:space="preserve">Of these </w:t>
      </w:r>
      <w:r w:rsidR="000E04E3">
        <w:t>4,446</w:t>
      </w:r>
      <w:r>
        <w:t xml:space="preserve"> patients, 16% (</w:t>
      </w:r>
      <w:r w:rsidR="002D6EE9">
        <w:t>690</w:t>
      </w:r>
      <w:r>
        <w:t>) were considered to have had a break in therapy as there was more than 84 days between supplies of dupilumab at least once during their course of treatment, and 84% (</w:t>
      </w:r>
      <w:r w:rsidR="007434BE">
        <w:t>3,7</w:t>
      </w:r>
      <w:r w:rsidR="00552014">
        <w:t>56</w:t>
      </w:r>
      <w:r>
        <w:t xml:space="preserve">) did not. There were </w:t>
      </w:r>
      <w:r w:rsidR="009F04EF">
        <w:t>2,</w:t>
      </w:r>
      <w:r w:rsidR="008D5361">
        <w:t>048</w:t>
      </w:r>
      <w:r>
        <w:t xml:space="preserve"> patients (</w:t>
      </w:r>
      <w:r w:rsidR="008D5361">
        <w:t>46</w:t>
      </w:r>
      <w:r>
        <w:t>%) who did not have a break and were considered to be continuing treatment.</w:t>
      </w:r>
    </w:p>
    <w:p w14:paraId="2730BFBE" w14:textId="79989D80" w:rsidR="004135C9" w:rsidRDefault="00EF395E" w:rsidP="00DD4449">
      <w:r>
        <w:t xml:space="preserve">The median length of time on treatment was estimated to be </w:t>
      </w:r>
      <w:r w:rsidR="00A9008E" w:rsidRPr="00A9008E">
        <w:t>1.2</w:t>
      </w:r>
      <w:r w:rsidR="00C47868">
        <w:t xml:space="preserve"> years</w:t>
      </w:r>
      <w:r w:rsidR="00A9008E">
        <w:t xml:space="preserve"> </w:t>
      </w:r>
      <w:r>
        <w:t xml:space="preserve">with a lower 95% confidence interval of </w:t>
      </w:r>
      <w:r w:rsidR="00A9008E" w:rsidRPr="00A9008E">
        <w:t>1.1</w:t>
      </w:r>
      <w:r w:rsidR="00A9008E">
        <w:t xml:space="preserve"> </w:t>
      </w:r>
      <w:r>
        <w:t xml:space="preserve">and an upper </w:t>
      </w:r>
      <w:r w:rsidRPr="00EF395E">
        <w:t xml:space="preserve">95% confidence interval of </w:t>
      </w:r>
      <w:r w:rsidR="001776A1" w:rsidRPr="001776A1">
        <w:t>1.4</w:t>
      </w:r>
      <w:r w:rsidR="00DD4449">
        <w:t xml:space="preserve">. Using data to the end of </w:t>
      </w:r>
      <w:r w:rsidR="0066523E">
        <w:t>September</w:t>
      </w:r>
      <w:r w:rsidR="00DD4449">
        <w:t xml:space="preserve"> 2023, the mean length of treatment was estimated to be </w:t>
      </w:r>
      <w:r w:rsidR="00A9008E" w:rsidRPr="00A9008E">
        <w:t>1.2</w:t>
      </w:r>
      <w:r w:rsidR="00412401">
        <w:t xml:space="preserve"> </w:t>
      </w:r>
      <w:r w:rsidR="00DD4449">
        <w:t xml:space="preserve">years with a standard error of </w:t>
      </w:r>
      <w:r w:rsidR="00412401" w:rsidRPr="00412401">
        <w:t>0</w:t>
      </w:r>
      <w:r w:rsidR="00A9008E" w:rsidRPr="00A9008E">
        <w:t>.01</w:t>
      </w:r>
      <w:r w:rsidR="00A9008E">
        <w:t xml:space="preserve"> </w:t>
      </w:r>
      <w:r w:rsidR="00DD4449">
        <w:t>years.</w:t>
      </w:r>
    </w:p>
    <w:p w14:paraId="7BDA44A1" w14:textId="77777777" w:rsidR="00194ACD" w:rsidRPr="00055516" w:rsidRDefault="00194ACD" w:rsidP="00DD4449"/>
    <w:p w14:paraId="4F8723A6" w14:textId="3B792516" w:rsidR="00736041" w:rsidRPr="005E22C2" w:rsidRDefault="001B5D37" w:rsidP="00234FBC">
      <w:pPr>
        <w:pStyle w:val="Heading2"/>
        <w:keepNext/>
      </w:pPr>
      <w:r w:rsidRPr="005E22C2">
        <w:lastRenderedPageBreak/>
        <w:t xml:space="preserve">Analysis </w:t>
      </w:r>
      <w:r w:rsidR="00481108" w:rsidRPr="005E22C2">
        <w:t xml:space="preserve">of </w:t>
      </w:r>
      <w:r w:rsidR="0063631C">
        <w:t>e</w:t>
      </w:r>
      <w:r w:rsidR="00736041" w:rsidRPr="005E22C2">
        <w:t>xpenditure</w:t>
      </w:r>
    </w:p>
    <w:p w14:paraId="014443C2" w14:textId="2EE0DA0B" w:rsidR="00472B50" w:rsidRDefault="000E7411" w:rsidP="000E7411">
      <w:pPr>
        <w:pStyle w:val="Tabletitle"/>
      </w:pPr>
      <w:r w:rsidRPr="000E7411">
        <w:t xml:space="preserve">Table </w:t>
      </w:r>
      <w:r w:rsidR="00516AC5">
        <w:t>8</w:t>
      </w:r>
      <w:r w:rsidRPr="000E7411">
        <w:t>: Expenditure by quarter and year of supply</w:t>
      </w:r>
    </w:p>
    <w:tbl>
      <w:tblPr>
        <w:tblW w:w="4020" w:type="dxa"/>
        <w:tblInd w:w="113" w:type="dxa"/>
        <w:tblLook w:val="04A0" w:firstRow="1" w:lastRow="0" w:firstColumn="1" w:lastColumn="0" w:noHBand="0" w:noVBand="1"/>
      </w:tblPr>
      <w:tblGrid>
        <w:gridCol w:w="1720"/>
        <w:gridCol w:w="2300"/>
      </w:tblGrid>
      <w:tr w:rsidR="00E02B75" w:rsidRPr="00381070" w14:paraId="0B3E9010" w14:textId="77777777" w:rsidTr="00E02B75">
        <w:trPr>
          <w:trHeight w:val="300"/>
        </w:trPr>
        <w:tc>
          <w:tcPr>
            <w:tcW w:w="172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9C24668" w14:textId="77777777" w:rsidR="00E02B75" w:rsidRPr="00381070" w:rsidRDefault="00E02B75" w:rsidP="00E02B75">
            <w:pPr>
              <w:spacing w:after="0"/>
              <w:rPr>
                <w:rFonts w:ascii="Calibri" w:eastAsia="Times New Roman" w:hAnsi="Calibri" w:cs="Calibri"/>
                <w:b/>
                <w:bCs/>
                <w:color w:val="000000"/>
                <w:sz w:val="20"/>
                <w:szCs w:val="20"/>
              </w:rPr>
            </w:pPr>
            <w:r w:rsidRPr="00381070">
              <w:rPr>
                <w:rFonts w:ascii="Calibri" w:eastAsia="Times New Roman" w:hAnsi="Calibri" w:cs="Calibri"/>
                <w:b/>
                <w:bCs/>
                <w:color w:val="000000"/>
                <w:sz w:val="20"/>
                <w:szCs w:val="20"/>
              </w:rPr>
              <w:t>Supply quarter</w:t>
            </w:r>
          </w:p>
        </w:tc>
        <w:tc>
          <w:tcPr>
            <w:tcW w:w="2300" w:type="dxa"/>
            <w:tcBorders>
              <w:top w:val="single" w:sz="4" w:space="0" w:color="auto"/>
              <w:left w:val="nil"/>
              <w:bottom w:val="single" w:sz="4" w:space="0" w:color="auto"/>
              <w:right w:val="single" w:sz="4" w:space="0" w:color="auto"/>
            </w:tcBorders>
            <w:shd w:val="clear" w:color="000000" w:fill="BFBFBF"/>
            <w:noWrap/>
            <w:vAlign w:val="center"/>
            <w:hideMark/>
          </w:tcPr>
          <w:p w14:paraId="4D13CA23" w14:textId="77777777" w:rsidR="00E02B75" w:rsidRPr="00381070" w:rsidRDefault="00E02B75" w:rsidP="00E02B75">
            <w:pPr>
              <w:spacing w:after="0"/>
              <w:rPr>
                <w:rFonts w:ascii="Calibri" w:eastAsia="Times New Roman" w:hAnsi="Calibri" w:cs="Calibri"/>
                <w:b/>
                <w:bCs/>
                <w:color w:val="000000"/>
                <w:sz w:val="20"/>
                <w:szCs w:val="20"/>
              </w:rPr>
            </w:pPr>
            <w:r w:rsidRPr="00381070">
              <w:rPr>
                <w:rFonts w:ascii="Calibri" w:eastAsia="Times New Roman" w:hAnsi="Calibri" w:cs="Calibri"/>
                <w:b/>
                <w:bCs/>
                <w:color w:val="000000"/>
                <w:sz w:val="20"/>
                <w:szCs w:val="20"/>
              </w:rPr>
              <w:t>Benefit paid</w:t>
            </w:r>
          </w:p>
        </w:tc>
      </w:tr>
      <w:tr w:rsidR="00E02B75" w:rsidRPr="00381070" w14:paraId="3BBC7A91" w14:textId="77777777" w:rsidTr="00E02B75">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7A296623" w14:textId="77777777" w:rsidR="00E02B75" w:rsidRPr="00381070" w:rsidRDefault="00E02B75" w:rsidP="00E02B75">
            <w:pPr>
              <w:spacing w:after="0"/>
              <w:rPr>
                <w:rFonts w:ascii="Calibri" w:eastAsia="Times New Roman" w:hAnsi="Calibri" w:cs="Calibri"/>
                <w:color w:val="000000"/>
                <w:sz w:val="20"/>
                <w:szCs w:val="20"/>
              </w:rPr>
            </w:pPr>
            <w:r w:rsidRPr="00381070">
              <w:rPr>
                <w:rFonts w:ascii="Calibri" w:eastAsia="Times New Roman" w:hAnsi="Calibri" w:cs="Calibri"/>
                <w:color w:val="000000"/>
                <w:sz w:val="20"/>
                <w:szCs w:val="20"/>
              </w:rPr>
              <w:t>2021Q2</w:t>
            </w:r>
          </w:p>
        </w:tc>
        <w:tc>
          <w:tcPr>
            <w:tcW w:w="2300" w:type="dxa"/>
            <w:tcBorders>
              <w:top w:val="nil"/>
              <w:left w:val="nil"/>
              <w:bottom w:val="single" w:sz="4" w:space="0" w:color="auto"/>
              <w:right w:val="single" w:sz="4" w:space="0" w:color="auto"/>
            </w:tcBorders>
            <w:shd w:val="clear" w:color="auto" w:fill="auto"/>
            <w:noWrap/>
            <w:vAlign w:val="bottom"/>
            <w:hideMark/>
          </w:tcPr>
          <w:p w14:paraId="214052FD" w14:textId="77777777" w:rsidR="00E02B75" w:rsidRPr="00381070" w:rsidRDefault="00E02B75" w:rsidP="00E02B75">
            <w:pPr>
              <w:spacing w:after="0"/>
              <w:jc w:val="right"/>
              <w:rPr>
                <w:rFonts w:ascii="Calibri" w:eastAsia="Times New Roman" w:hAnsi="Calibri" w:cs="Calibri"/>
                <w:color w:val="000000"/>
                <w:sz w:val="20"/>
                <w:szCs w:val="20"/>
              </w:rPr>
            </w:pPr>
            <w:r w:rsidRPr="00381070">
              <w:rPr>
                <w:rFonts w:ascii="Calibri" w:eastAsia="Times New Roman" w:hAnsi="Calibri" w:cs="Calibri"/>
                <w:color w:val="000000"/>
                <w:sz w:val="20"/>
                <w:szCs w:val="20"/>
              </w:rPr>
              <w:t>$1,257,436</w:t>
            </w:r>
          </w:p>
        </w:tc>
      </w:tr>
      <w:tr w:rsidR="00E02B75" w:rsidRPr="00381070" w14:paraId="5889CC71" w14:textId="77777777" w:rsidTr="00E02B75">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48B6F187" w14:textId="77777777" w:rsidR="00E02B75" w:rsidRPr="00381070" w:rsidRDefault="00E02B75" w:rsidP="00E02B75">
            <w:pPr>
              <w:spacing w:after="0"/>
              <w:rPr>
                <w:rFonts w:ascii="Calibri" w:eastAsia="Times New Roman" w:hAnsi="Calibri" w:cs="Calibri"/>
                <w:color w:val="000000"/>
                <w:sz w:val="20"/>
                <w:szCs w:val="20"/>
              </w:rPr>
            </w:pPr>
            <w:r w:rsidRPr="00381070">
              <w:rPr>
                <w:rFonts w:ascii="Calibri" w:eastAsia="Times New Roman" w:hAnsi="Calibri" w:cs="Calibri"/>
                <w:color w:val="000000"/>
                <w:sz w:val="20"/>
                <w:szCs w:val="20"/>
              </w:rPr>
              <w:t>2021Q3</w:t>
            </w:r>
          </w:p>
        </w:tc>
        <w:tc>
          <w:tcPr>
            <w:tcW w:w="2300" w:type="dxa"/>
            <w:tcBorders>
              <w:top w:val="nil"/>
              <w:left w:val="nil"/>
              <w:bottom w:val="single" w:sz="4" w:space="0" w:color="auto"/>
              <w:right w:val="single" w:sz="4" w:space="0" w:color="auto"/>
            </w:tcBorders>
            <w:shd w:val="clear" w:color="auto" w:fill="auto"/>
            <w:noWrap/>
            <w:vAlign w:val="bottom"/>
            <w:hideMark/>
          </w:tcPr>
          <w:p w14:paraId="2D5CB49E" w14:textId="77777777" w:rsidR="00E02B75" w:rsidRPr="00381070" w:rsidRDefault="00E02B75" w:rsidP="00E02B75">
            <w:pPr>
              <w:spacing w:after="0"/>
              <w:jc w:val="right"/>
              <w:rPr>
                <w:rFonts w:ascii="Calibri" w:eastAsia="Times New Roman" w:hAnsi="Calibri" w:cs="Calibri"/>
                <w:color w:val="000000"/>
                <w:sz w:val="20"/>
                <w:szCs w:val="20"/>
              </w:rPr>
            </w:pPr>
            <w:r w:rsidRPr="00381070">
              <w:rPr>
                <w:rFonts w:ascii="Calibri" w:eastAsia="Times New Roman" w:hAnsi="Calibri" w:cs="Calibri"/>
                <w:color w:val="000000"/>
                <w:sz w:val="20"/>
                <w:szCs w:val="20"/>
              </w:rPr>
              <w:t>$3,065,464</w:t>
            </w:r>
          </w:p>
        </w:tc>
      </w:tr>
      <w:tr w:rsidR="00E02B75" w:rsidRPr="00381070" w14:paraId="4468B874" w14:textId="77777777" w:rsidTr="00E02B75">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3974E9FC" w14:textId="77777777" w:rsidR="00E02B75" w:rsidRPr="00381070" w:rsidRDefault="00E02B75" w:rsidP="00E02B75">
            <w:pPr>
              <w:spacing w:after="0"/>
              <w:rPr>
                <w:rFonts w:ascii="Calibri" w:eastAsia="Times New Roman" w:hAnsi="Calibri" w:cs="Calibri"/>
                <w:color w:val="000000"/>
                <w:sz w:val="20"/>
                <w:szCs w:val="20"/>
              </w:rPr>
            </w:pPr>
            <w:r w:rsidRPr="00381070">
              <w:rPr>
                <w:rFonts w:ascii="Calibri" w:eastAsia="Times New Roman" w:hAnsi="Calibri" w:cs="Calibri"/>
                <w:color w:val="000000"/>
                <w:sz w:val="20"/>
                <w:szCs w:val="20"/>
              </w:rPr>
              <w:t>2021Q4</w:t>
            </w:r>
          </w:p>
        </w:tc>
        <w:tc>
          <w:tcPr>
            <w:tcW w:w="2300" w:type="dxa"/>
            <w:tcBorders>
              <w:top w:val="nil"/>
              <w:left w:val="nil"/>
              <w:bottom w:val="single" w:sz="4" w:space="0" w:color="auto"/>
              <w:right w:val="single" w:sz="4" w:space="0" w:color="auto"/>
            </w:tcBorders>
            <w:shd w:val="clear" w:color="auto" w:fill="auto"/>
            <w:noWrap/>
            <w:vAlign w:val="bottom"/>
            <w:hideMark/>
          </w:tcPr>
          <w:p w14:paraId="554147B4" w14:textId="77777777" w:rsidR="00E02B75" w:rsidRPr="00381070" w:rsidRDefault="00E02B75" w:rsidP="00E02B75">
            <w:pPr>
              <w:spacing w:after="0"/>
              <w:jc w:val="right"/>
              <w:rPr>
                <w:rFonts w:ascii="Calibri" w:eastAsia="Times New Roman" w:hAnsi="Calibri" w:cs="Calibri"/>
                <w:color w:val="000000"/>
                <w:sz w:val="20"/>
                <w:szCs w:val="20"/>
              </w:rPr>
            </w:pPr>
            <w:r w:rsidRPr="00381070">
              <w:rPr>
                <w:rFonts w:ascii="Calibri" w:eastAsia="Times New Roman" w:hAnsi="Calibri" w:cs="Calibri"/>
                <w:color w:val="000000"/>
                <w:sz w:val="20"/>
                <w:szCs w:val="20"/>
              </w:rPr>
              <w:t>$4,554,275</w:t>
            </w:r>
          </w:p>
        </w:tc>
      </w:tr>
      <w:tr w:rsidR="00E02B75" w:rsidRPr="00381070" w14:paraId="18CD11BA" w14:textId="77777777" w:rsidTr="00E02B75">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007921D8" w14:textId="77777777" w:rsidR="00E02B75" w:rsidRPr="00381070" w:rsidRDefault="00E02B75" w:rsidP="00E02B75">
            <w:pPr>
              <w:spacing w:after="0"/>
              <w:rPr>
                <w:rFonts w:ascii="Calibri" w:eastAsia="Times New Roman" w:hAnsi="Calibri" w:cs="Calibri"/>
                <w:b/>
                <w:bCs/>
                <w:color w:val="000000"/>
                <w:sz w:val="20"/>
                <w:szCs w:val="20"/>
              </w:rPr>
            </w:pPr>
            <w:r w:rsidRPr="00381070">
              <w:rPr>
                <w:rFonts w:ascii="Calibri" w:eastAsia="Times New Roman" w:hAnsi="Calibri" w:cs="Calibri"/>
                <w:b/>
                <w:bCs/>
                <w:color w:val="000000"/>
                <w:sz w:val="20"/>
                <w:szCs w:val="20"/>
              </w:rPr>
              <w:t>2021 total</w:t>
            </w:r>
          </w:p>
        </w:tc>
        <w:tc>
          <w:tcPr>
            <w:tcW w:w="2300" w:type="dxa"/>
            <w:tcBorders>
              <w:top w:val="nil"/>
              <w:left w:val="nil"/>
              <w:bottom w:val="single" w:sz="4" w:space="0" w:color="auto"/>
              <w:right w:val="single" w:sz="4" w:space="0" w:color="auto"/>
            </w:tcBorders>
            <w:shd w:val="clear" w:color="auto" w:fill="auto"/>
            <w:noWrap/>
            <w:vAlign w:val="bottom"/>
            <w:hideMark/>
          </w:tcPr>
          <w:p w14:paraId="42141DEE" w14:textId="77777777" w:rsidR="00E02B75" w:rsidRPr="00381070" w:rsidRDefault="00E02B75" w:rsidP="00E02B75">
            <w:pPr>
              <w:spacing w:after="0"/>
              <w:jc w:val="right"/>
              <w:rPr>
                <w:rFonts w:ascii="Calibri" w:eastAsia="Times New Roman" w:hAnsi="Calibri" w:cs="Calibri"/>
                <w:b/>
                <w:bCs/>
                <w:color w:val="000000"/>
                <w:sz w:val="20"/>
                <w:szCs w:val="20"/>
              </w:rPr>
            </w:pPr>
            <w:r w:rsidRPr="00381070">
              <w:rPr>
                <w:rFonts w:ascii="Calibri" w:eastAsia="Times New Roman" w:hAnsi="Calibri" w:cs="Calibri"/>
                <w:b/>
                <w:bCs/>
                <w:color w:val="000000"/>
                <w:sz w:val="20"/>
                <w:szCs w:val="20"/>
              </w:rPr>
              <w:t>$8,877,175</w:t>
            </w:r>
          </w:p>
        </w:tc>
      </w:tr>
      <w:tr w:rsidR="00E02B75" w:rsidRPr="00381070" w14:paraId="41B56B57" w14:textId="77777777" w:rsidTr="00E02B75">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0E2DB87B" w14:textId="77777777" w:rsidR="00E02B75" w:rsidRPr="00381070" w:rsidRDefault="00E02B75" w:rsidP="00E02B75">
            <w:pPr>
              <w:spacing w:after="0"/>
              <w:rPr>
                <w:rFonts w:ascii="Calibri" w:eastAsia="Times New Roman" w:hAnsi="Calibri" w:cs="Calibri"/>
                <w:color w:val="000000"/>
                <w:sz w:val="20"/>
                <w:szCs w:val="20"/>
              </w:rPr>
            </w:pPr>
            <w:r w:rsidRPr="00381070">
              <w:rPr>
                <w:rFonts w:ascii="Calibri" w:eastAsia="Times New Roman" w:hAnsi="Calibri" w:cs="Calibri"/>
                <w:color w:val="000000"/>
                <w:sz w:val="20"/>
                <w:szCs w:val="20"/>
              </w:rPr>
              <w:t>2022Q1</w:t>
            </w:r>
          </w:p>
        </w:tc>
        <w:tc>
          <w:tcPr>
            <w:tcW w:w="2300" w:type="dxa"/>
            <w:tcBorders>
              <w:top w:val="nil"/>
              <w:left w:val="nil"/>
              <w:bottom w:val="single" w:sz="4" w:space="0" w:color="auto"/>
              <w:right w:val="single" w:sz="4" w:space="0" w:color="auto"/>
            </w:tcBorders>
            <w:shd w:val="clear" w:color="auto" w:fill="auto"/>
            <w:noWrap/>
            <w:vAlign w:val="bottom"/>
            <w:hideMark/>
          </w:tcPr>
          <w:p w14:paraId="0B0B0B19" w14:textId="77777777" w:rsidR="00E02B75" w:rsidRPr="00381070" w:rsidRDefault="00E02B75" w:rsidP="00E02B75">
            <w:pPr>
              <w:spacing w:after="0"/>
              <w:jc w:val="right"/>
              <w:rPr>
                <w:rFonts w:ascii="Calibri" w:eastAsia="Times New Roman" w:hAnsi="Calibri" w:cs="Calibri"/>
                <w:color w:val="000000"/>
                <w:sz w:val="20"/>
                <w:szCs w:val="20"/>
              </w:rPr>
            </w:pPr>
            <w:r w:rsidRPr="00381070">
              <w:rPr>
                <w:rFonts w:ascii="Calibri" w:eastAsia="Times New Roman" w:hAnsi="Calibri" w:cs="Calibri"/>
                <w:color w:val="000000"/>
                <w:sz w:val="20"/>
                <w:szCs w:val="20"/>
              </w:rPr>
              <w:t>$5,191,610</w:t>
            </w:r>
          </w:p>
        </w:tc>
      </w:tr>
      <w:tr w:rsidR="00E02B75" w:rsidRPr="00381070" w14:paraId="1A8F2A91" w14:textId="77777777" w:rsidTr="00E02B75">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67E3B75A" w14:textId="77777777" w:rsidR="00E02B75" w:rsidRPr="00381070" w:rsidRDefault="00E02B75" w:rsidP="00E02B75">
            <w:pPr>
              <w:spacing w:after="0"/>
              <w:rPr>
                <w:rFonts w:ascii="Calibri" w:eastAsia="Times New Roman" w:hAnsi="Calibri" w:cs="Calibri"/>
                <w:color w:val="000000"/>
                <w:sz w:val="20"/>
                <w:szCs w:val="20"/>
              </w:rPr>
            </w:pPr>
            <w:r w:rsidRPr="00381070">
              <w:rPr>
                <w:rFonts w:ascii="Calibri" w:eastAsia="Times New Roman" w:hAnsi="Calibri" w:cs="Calibri"/>
                <w:color w:val="000000"/>
                <w:sz w:val="20"/>
                <w:szCs w:val="20"/>
              </w:rPr>
              <w:t>2022Q2</w:t>
            </w:r>
          </w:p>
        </w:tc>
        <w:tc>
          <w:tcPr>
            <w:tcW w:w="2300" w:type="dxa"/>
            <w:tcBorders>
              <w:top w:val="nil"/>
              <w:left w:val="nil"/>
              <w:bottom w:val="single" w:sz="4" w:space="0" w:color="auto"/>
              <w:right w:val="single" w:sz="4" w:space="0" w:color="auto"/>
            </w:tcBorders>
            <w:shd w:val="clear" w:color="auto" w:fill="auto"/>
            <w:noWrap/>
            <w:vAlign w:val="bottom"/>
            <w:hideMark/>
          </w:tcPr>
          <w:p w14:paraId="25FDF43A" w14:textId="77777777" w:rsidR="00E02B75" w:rsidRPr="00381070" w:rsidRDefault="00E02B75" w:rsidP="00E02B75">
            <w:pPr>
              <w:spacing w:after="0"/>
              <w:jc w:val="right"/>
              <w:rPr>
                <w:rFonts w:ascii="Calibri" w:eastAsia="Times New Roman" w:hAnsi="Calibri" w:cs="Calibri"/>
                <w:color w:val="000000"/>
                <w:sz w:val="20"/>
                <w:szCs w:val="20"/>
              </w:rPr>
            </w:pPr>
            <w:r w:rsidRPr="00381070">
              <w:rPr>
                <w:rFonts w:ascii="Calibri" w:eastAsia="Times New Roman" w:hAnsi="Calibri" w:cs="Calibri"/>
                <w:color w:val="000000"/>
                <w:sz w:val="20"/>
                <w:szCs w:val="20"/>
              </w:rPr>
              <w:t>$6,421,296</w:t>
            </w:r>
          </w:p>
        </w:tc>
      </w:tr>
      <w:tr w:rsidR="00E02B75" w:rsidRPr="00381070" w14:paraId="0E600265" w14:textId="77777777" w:rsidTr="00E02B75">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0160B9D2" w14:textId="77777777" w:rsidR="00E02B75" w:rsidRPr="00381070" w:rsidRDefault="00E02B75" w:rsidP="00E02B75">
            <w:pPr>
              <w:spacing w:after="0"/>
              <w:rPr>
                <w:rFonts w:ascii="Calibri" w:eastAsia="Times New Roman" w:hAnsi="Calibri" w:cs="Calibri"/>
                <w:color w:val="000000"/>
                <w:sz w:val="20"/>
                <w:szCs w:val="20"/>
              </w:rPr>
            </w:pPr>
            <w:r w:rsidRPr="00381070">
              <w:rPr>
                <w:rFonts w:ascii="Calibri" w:eastAsia="Times New Roman" w:hAnsi="Calibri" w:cs="Calibri"/>
                <w:color w:val="000000"/>
                <w:sz w:val="20"/>
                <w:szCs w:val="20"/>
              </w:rPr>
              <w:t>2022Q3</w:t>
            </w:r>
          </w:p>
        </w:tc>
        <w:tc>
          <w:tcPr>
            <w:tcW w:w="2300" w:type="dxa"/>
            <w:tcBorders>
              <w:top w:val="nil"/>
              <w:left w:val="nil"/>
              <w:bottom w:val="single" w:sz="4" w:space="0" w:color="auto"/>
              <w:right w:val="single" w:sz="4" w:space="0" w:color="auto"/>
            </w:tcBorders>
            <w:shd w:val="clear" w:color="auto" w:fill="auto"/>
            <w:noWrap/>
            <w:vAlign w:val="bottom"/>
            <w:hideMark/>
          </w:tcPr>
          <w:p w14:paraId="76C56927" w14:textId="77777777" w:rsidR="00E02B75" w:rsidRPr="00381070" w:rsidRDefault="00E02B75" w:rsidP="00E02B75">
            <w:pPr>
              <w:spacing w:after="0"/>
              <w:jc w:val="right"/>
              <w:rPr>
                <w:rFonts w:ascii="Calibri" w:eastAsia="Times New Roman" w:hAnsi="Calibri" w:cs="Calibri"/>
                <w:color w:val="000000"/>
                <w:sz w:val="20"/>
                <w:szCs w:val="20"/>
              </w:rPr>
            </w:pPr>
            <w:r w:rsidRPr="00381070">
              <w:rPr>
                <w:rFonts w:ascii="Calibri" w:eastAsia="Times New Roman" w:hAnsi="Calibri" w:cs="Calibri"/>
                <w:color w:val="000000"/>
                <w:sz w:val="20"/>
                <w:szCs w:val="20"/>
              </w:rPr>
              <w:t>$7,545,259</w:t>
            </w:r>
          </w:p>
        </w:tc>
      </w:tr>
      <w:tr w:rsidR="00E02B75" w:rsidRPr="00381070" w14:paraId="18A11735" w14:textId="77777777" w:rsidTr="00E02B75">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14489A10" w14:textId="77777777" w:rsidR="00E02B75" w:rsidRPr="00381070" w:rsidRDefault="00E02B75" w:rsidP="00E02B75">
            <w:pPr>
              <w:spacing w:after="0"/>
              <w:rPr>
                <w:rFonts w:ascii="Calibri" w:eastAsia="Times New Roman" w:hAnsi="Calibri" w:cs="Calibri"/>
                <w:color w:val="000000"/>
                <w:sz w:val="20"/>
                <w:szCs w:val="20"/>
              </w:rPr>
            </w:pPr>
            <w:r w:rsidRPr="00381070">
              <w:rPr>
                <w:rFonts w:ascii="Calibri" w:eastAsia="Times New Roman" w:hAnsi="Calibri" w:cs="Calibri"/>
                <w:color w:val="000000"/>
                <w:sz w:val="20"/>
                <w:szCs w:val="20"/>
              </w:rPr>
              <w:t>2022Q4</w:t>
            </w:r>
          </w:p>
        </w:tc>
        <w:tc>
          <w:tcPr>
            <w:tcW w:w="2300" w:type="dxa"/>
            <w:tcBorders>
              <w:top w:val="nil"/>
              <w:left w:val="nil"/>
              <w:bottom w:val="single" w:sz="4" w:space="0" w:color="auto"/>
              <w:right w:val="single" w:sz="4" w:space="0" w:color="auto"/>
            </w:tcBorders>
            <w:shd w:val="clear" w:color="auto" w:fill="auto"/>
            <w:noWrap/>
            <w:vAlign w:val="bottom"/>
            <w:hideMark/>
          </w:tcPr>
          <w:p w14:paraId="404B0239" w14:textId="77777777" w:rsidR="00E02B75" w:rsidRPr="00381070" w:rsidRDefault="00E02B75" w:rsidP="00E02B75">
            <w:pPr>
              <w:spacing w:after="0"/>
              <w:jc w:val="right"/>
              <w:rPr>
                <w:rFonts w:ascii="Calibri" w:eastAsia="Times New Roman" w:hAnsi="Calibri" w:cs="Calibri"/>
                <w:color w:val="000000"/>
                <w:sz w:val="20"/>
                <w:szCs w:val="20"/>
              </w:rPr>
            </w:pPr>
            <w:r w:rsidRPr="00381070">
              <w:rPr>
                <w:rFonts w:ascii="Calibri" w:eastAsia="Times New Roman" w:hAnsi="Calibri" w:cs="Calibri"/>
                <w:color w:val="000000"/>
                <w:sz w:val="20"/>
                <w:szCs w:val="20"/>
              </w:rPr>
              <w:t>$8,971,901</w:t>
            </w:r>
          </w:p>
        </w:tc>
      </w:tr>
      <w:tr w:rsidR="00E02B75" w:rsidRPr="00381070" w14:paraId="2B5D808A" w14:textId="77777777" w:rsidTr="00E02B75">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7703FF34" w14:textId="77777777" w:rsidR="00E02B75" w:rsidRPr="00381070" w:rsidRDefault="00E02B75" w:rsidP="00E02B75">
            <w:pPr>
              <w:spacing w:after="0"/>
              <w:rPr>
                <w:rFonts w:ascii="Calibri" w:eastAsia="Times New Roman" w:hAnsi="Calibri" w:cs="Calibri"/>
                <w:b/>
                <w:bCs/>
                <w:color w:val="000000"/>
                <w:sz w:val="20"/>
                <w:szCs w:val="20"/>
              </w:rPr>
            </w:pPr>
            <w:r w:rsidRPr="00381070">
              <w:rPr>
                <w:rFonts w:ascii="Calibri" w:eastAsia="Times New Roman" w:hAnsi="Calibri" w:cs="Calibri"/>
                <w:b/>
                <w:bCs/>
                <w:color w:val="000000"/>
                <w:sz w:val="20"/>
                <w:szCs w:val="20"/>
              </w:rPr>
              <w:t>2022 total</w:t>
            </w:r>
          </w:p>
        </w:tc>
        <w:tc>
          <w:tcPr>
            <w:tcW w:w="2300" w:type="dxa"/>
            <w:tcBorders>
              <w:top w:val="nil"/>
              <w:left w:val="nil"/>
              <w:bottom w:val="single" w:sz="4" w:space="0" w:color="auto"/>
              <w:right w:val="single" w:sz="4" w:space="0" w:color="auto"/>
            </w:tcBorders>
            <w:shd w:val="clear" w:color="auto" w:fill="auto"/>
            <w:noWrap/>
            <w:vAlign w:val="bottom"/>
            <w:hideMark/>
          </w:tcPr>
          <w:p w14:paraId="6F625B82" w14:textId="77777777" w:rsidR="00E02B75" w:rsidRPr="00381070" w:rsidRDefault="00E02B75" w:rsidP="00E02B75">
            <w:pPr>
              <w:spacing w:after="0"/>
              <w:jc w:val="right"/>
              <w:rPr>
                <w:rFonts w:ascii="Calibri" w:eastAsia="Times New Roman" w:hAnsi="Calibri" w:cs="Calibri"/>
                <w:b/>
                <w:bCs/>
                <w:color w:val="000000"/>
                <w:sz w:val="20"/>
                <w:szCs w:val="20"/>
              </w:rPr>
            </w:pPr>
            <w:r w:rsidRPr="00381070">
              <w:rPr>
                <w:rFonts w:ascii="Calibri" w:eastAsia="Times New Roman" w:hAnsi="Calibri" w:cs="Calibri"/>
                <w:b/>
                <w:bCs/>
                <w:color w:val="000000"/>
                <w:sz w:val="20"/>
                <w:szCs w:val="20"/>
              </w:rPr>
              <w:t>$28,130,066</w:t>
            </w:r>
          </w:p>
        </w:tc>
      </w:tr>
      <w:tr w:rsidR="00E02B75" w:rsidRPr="00381070" w14:paraId="3EBDEEE0" w14:textId="77777777" w:rsidTr="00E02B75">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3D1900C7" w14:textId="77777777" w:rsidR="00E02B75" w:rsidRPr="00381070" w:rsidRDefault="00E02B75" w:rsidP="00E02B75">
            <w:pPr>
              <w:spacing w:after="0"/>
              <w:rPr>
                <w:rFonts w:ascii="Calibri" w:eastAsia="Times New Roman" w:hAnsi="Calibri" w:cs="Calibri"/>
                <w:color w:val="000000"/>
                <w:sz w:val="20"/>
                <w:szCs w:val="20"/>
              </w:rPr>
            </w:pPr>
            <w:r w:rsidRPr="00381070">
              <w:rPr>
                <w:rFonts w:ascii="Calibri" w:eastAsia="Times New Roman" w:hAnsi="Calibri" w:cs="Calibri"/>
                <w:color w:val="000000"/>
                <w:sz w:val="20"/>
                <w:szCs w:val="20"/>
              </w:rPr>
              <w:t>2023Q1</w:t>
            </w:r>
          </w:p>
        </w:tc>
        <w:tc>
          <w:tcPr>
            <w:tcW w:w="2300" w:type="dxa"/>
            <w:tcBorders>
              <w:top w:val="nil"/>
              <w:left w:val="nil"/>
              <w:bottom w:val="single" w:sz="4" w:space="0" w:color="auto"/>
              <w:right w:val="single" w:sz="4" w:space="0" w:color="auto"/>
            </w:tcBorders>
            <w:shd w:val="clear" w:color="auto" w:fill="auto"/>
            <w:noWrap/>
            <w:vAlign w:val="bottom"/>
            <w:hideMark/>
          </w:tcPr>
          <w:p w14:paraId="033FB98C" w14:textId="77777777" w:rsidR="00E02B75" w:rsidRPr="00381070" w:rsidRDefault="00E02B75" w:rsidP="00E02B75">
            <w:pPr>
              <w:spacing w:after="0"/>
              <w:jc w:val="right"/>
              <w:rPr>
                <w:rFonts w:ascii="Calibri" w:eastAsia="Times New Roman" w:hAnsi="Calibri" w:cs="Calibri"/>
                <w:color w:val="000000"/>
                <w:sz w:val="20"/>
                <w:szCs w:val="20"/>
              </w:rPr>
            </w:pPr>
            <w:r w:rsidRPr="00381070">
              <w:rPr>
                <w:rFonts w:ascii="Calibri" w:eastAsia="Times New Roman" w:hAnsi="Calibri" w:cs="Calibri"/>
                <w:color w:val="000000"/>
                <w:sz w:val="20"/>
                <w:szCs w:val="20"/>
              </w:rPr>
              <w:t>$9,123,178</w:t>
            </w:r>
          </w:p>
        </w:tc>
      </w:tr>
      <w:tr w:rsidR="00E02B75" w:rsidRPr="00381070" w14:paraId="50BA93CD" w14:textId="77777777" w:rsidTr="00E02B75">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1781D801" w14:textId="77777777" w:rsidR="00E02B75" w:rsidRPr="00381070" w:rsidRDefault="00E02B75" w:rsidP="00E02B75">
            <w:pPr>
              <w:spacing w:after="0"/>
              <w:rPr>
                <w:rFonts w:ascii="Calibri" w:eastAsia="Times New Roman" w:hAnsi="Calibri" w:cs="Calibri"/>
                <w:color w:val="000000"/>
                <w:sz w:val="20"/>
                <w:szCs w:val="20"/>
              </w:rPr>
            </w:pPr>
            <w:r w:rsidRPr="00381070">
              <w:rPr>
                <w:rFonts w:ascii="Calibri" w:eastAsia="Times New Roman" w:hAnsi="Calibri" w:cs="Calibri"/>
                <w:color w:val="000000"/>
                <w:sz w:val="20"/>
                <w:szCs w:val="20"/>
              </w:rPr>
              <w:t>2023Q2</w:t>
            </w:r>
          </w:p>
        </w:tc>
        <w:tc>
          <w:tcPr>
            <w:tcW w:w="2300" w:type="dxa"/>
            <w:tcBorders>
              <w:top w:val="nil"/>
              <w:left w:val="nil"/>
              <w:bottom w:val="single" w:sz="4" w:space="0" w:color="auto"/>
              <w:right w:val="single" w:sz="4" w:space="0" w:color="auto"/>
            </w:tcBorders>
            <w:shd w:val="clear" w:color="auto" w:fill="auto"/>
            <w:noWrap/>
            <w:vAlign w:val="bottom"/>
            <w:hideMark/>
          </w:tcPr>
          <w:p w14:paraId="6B48538F" w14:textId="77777777" w:rsidR="00E02B75" w:rsidRPr="00381070" w:rsidRDefault="00E02B75" w:rsidP="00E02B75">
            <w:pPr>
              <w:spacing w:after="0"/>
              <w:jc w:val="right"/>
              <w:rPr>
                <w:rFonts w:ascii="Calibri" w:eastAsia="Times New Roman" w:hAnsi="Calibri" w:cs="Calibri"/>
                <w:color w:val="000000"/>
                <w:sz w:val="20"/>
                <w:szCs w:val="20"/>
              </w:rPr>
            </w:pPr>
            <w:r w:rsidRPr="00381070">
              <w:rPr>
                <w:rFonts w:ascii="Calibri" w:eastAsia="Times New Roman" w:hAnsi="Calibri" w:cs="Calibri"/>
                <w:color w:val="000000"/>
                <w:sz w:val="20"/>
                <w:szCs w:val="20"/>
              </w:rPr>
              <w:t>$10,320,808</w:t>
            </w:r>
          </w:p>
        </w:tc>
      </w:tr>
      <w:tr w:rsidR="00E02B75" w:rsidRPr="00381070" w14:paraId="2466639B" w14:textId="77777777" w:rsidTr="00E02B75">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20C50D3F" w14:textId="77777777" w:rsidR="00E02B75" w:rsidRPr="00381070" w:rsidRDefault="00E02B75" w:rsidP="00E02B75">
            <w:pPr>
              <w:spacing w:after="0"/>
              <w:rPr>
                <w:rFonts w:ascii="Calibri" w:eastAsia="Times New Roman" w:hAnsi="Calibri" w:cs="Calibri"/>
                <w:color w:val="000000"/>
                <w:sz w:val="20"/>
                <w:szCs w:val="20"/>
              </w:rPr>
            </w:pPr>
            <w:r w:rsidRPr="00381070">
              <w:rPr>
                <w:rFonts w:ascii="Calibri" w:eastAsia="Times New Roman" w:hAnsi="Calibri" w:cs="Calibri"/>
                <w:color w:val="000000"/>
                <w:sz w:val="20"/>
                <w:szCs w:val="20"/>
              </w:rPr>
              <w:t>2023Q3</w:t>
            </w:r>
          </w:p>
        </w:tc>
        <w:tc>
          <w:tcPr>
            <w:tcW w:w="2300" w:type="dxa"/>
            <w:tcBorders>
              <w:top w:val="nil"/>
              <w:left w:val="nil"/>
              <w:bottom w:val="single" w:sz="4" w:space="0" w:color="auto"/>
              <w:right w:val="single" w:sz="4" w:space="0" w:color="auto"/>
            </w:tcBorders>
            <w:shd w:val="clear" w:color="auto" w:fill="auto"/>
            <w:noWrap/>
            <w:vAlign w:val="bottom"/>
            <w:hideMark/>
          </w:tcPr>
          <w:p w14:paraId="4299E155" w14:textId="77777777" w:rsidR="00E02B75" w:rsidRPr="00381070" w:rsidRDefault="00E02B75" w:rsidP="00E02B75">
            <w:pPr>
              <w:spacing w:after="0"/>
              <w:jc w:val="right"/>
              <w:rPr>
                <w:rFonts w:ascii="Calibri" w:eastAsia="Times New Roman" w:hAnsi="Calibri" w:cs="Calibri"/>
                <w:color w:val="000000"/>
                <w:sz w:val="20"/>
                <w:szCs w:val="20"/>
              </w:rPr>
            </w:pPr>
            <w:r w:rsidRPr="00381070">
              <w:rPr>
                <w:rFonts w:ascii="Calibri" w:eastAsia="Times New Roman" w:hAnsi="Calibri" w:cs="Calibri"/>
                <w:color w:val="000000"/>
                <w:sz w:val="20"/>
                <w:szCs w:val="20"/>
              </w:rPr>
              <w:t>$11,192,259</w:t>
            </w:r>
          </w:p>
        </w:tc>
      </w:tr>
      <w:tr w:rsidR="00E02B75" w:rsidRPr="00381070" w14:paraId="596F092E" w14:textId="77777777" w:rsidTr="00E02B75">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0707F01A" w14:textId="77777777" w:rsidR="00E02B75" w:rsidRPr="00381070" w:rsidRDefault="00E02B75" w:rsidP="00E02B75">
            <w:pPr>
              <w:spacing w:after="0"/>
              <w:rPr>
                <w:rFonts w:ascii="Calibri" w:eastAsia="Times New Roman" w:hAnsi="Calibri" w:cs="Calibri"/>
                <w:b/>
                <w:bCs/>
                <w:color w:val="000000"/>
                <w:sz w:val="20"/>
                <w:szCs w:val="20"/>
              </w:rPr>
            </w:pPr>
            <w:r w:rsidRPr="00381070">
              <w:rPr>
                <w:rFonts w:ascii="Calibri" w:eastAsia="Times New Roman" w:hAnsi="Calibri" w:cs="Calibri"/>
                <w:b/>
                <w:bCs/>
                <w:color w:val="000000"/>
                <w:sz w:val="20"/>
                <w:szCs w:val="20"/>
              </w:rPr>
              <w:t>2023 total</w:t>
            </w:r>
          </w:p>
        </w:tc>
        <w:tc>
          <w:tcPr>
            <w:tcW w:w="2300" w:type="dxa"/>
            <w:tcBorders>
              <w:top w:val="nil"/>
              <w:left w:val="nil"/>
              <w:bottom w:val="single" w:sz="4" w:space="0" w:color="auto"/>
              <w:right w:val="single" w:sz="4" w:space="0" w:color="auto"/>
            </w:tcBorders>
            <w:shd w:val="clear" w:color="auto" w:fill="auto"/>
            <w:noWrap/>
            <w:vAlign w:val="bottom"/>
            <w:hideMark/>
          </w:tcPr>
          <w:p w14:paraId="5692D12A" w14:textId="77777777" w:rsidR="00E02B75" w:rsidRPr="00381070" w:rsidRDefault="00E02B75" w:rsidP="00E02B75">
            <w:pPr>
              <w:spacing w:after="0"/>
              <w:jc w:val="right"/>
              <w:rPr>
                <w:rFonts w:ascii="Calibri" w:eastAsia="Times New Roman" w:hAnsi="Calibri" w:cs="Calibri"/>
                <w:b/>
                <w:bCs/>
                <w:color w:val="000000"/>
                <w:sz w:val="20"/>
                <w:szCs w:val="20"/>
              </w:rPr>
            </w:pPr>
            <w:r w:rsidRPr="00381070">
              <w:rPr>
                <w:rFonts w:ascii="Calibri" w:eastAsia="Times New Roman" w:hAnsi="Calibri" w:cs="Calibri"/>
                <w:b/>
                <w:bCs/>
                <w:color w:val="000000"/>
                <w:sz w:val="20"/>
                <w:szCs w:val="20"/>
              </w:rPr>
              <w:t>$30,636,246</w:t>
            </w:r>
          </w:p>
        </w:tc>
      </w:tr>
      <w:tr w:rsidR="00E02B75" w:rsidRPr="00381070" w14:paraId="699DD5F5" w14:textId="77777777" w:rsidTr="00E02B75">
        <w:trPr>
          <w:trHeight w:val="300"/>
        </w:trPr>
        <w:tc>
          <w:tcPr>
            <w:tcW w:w="1720" w:type="dxa"/>
            <w:tcBorders>
              <w:top w:val="nil"/>
              <w:left w:val="single" w:sz="4" w:space="0" w:color="auto"/>
              <w:bottom w:val="single" w:sz="4" w:space="0" w:color="auto"/>
              <w:right w:val="single" w:sz="4" w:space="0" w:color="auto"/>
            </w:tcBorders>
            <w:shd w:val="clear" w:color="auto" w:fill="auto"/>
            <w:noWrap/>
            <w:vAlign w:val="bottom"/>
            <w:hideMark/>
          </w:tcPr>
          <w:p w14:paraId="13C00A26" w14:textId="77777777" w:rsidR="00E02B75" w:rsidRPr="00381070" w:rsidRDefault="00E02B75" w:rsidP="00E02B75">
            <w:pPr>
              <w:spacing w:after="0"/>
              <w:rPr>
                <w:rFonts w:ascii="Calibri" w:eastAsia="Times New Roman" w:hAnsi="Calibri" w:cs="Calibri"/>
                <w:b/>
                <w:bCs/>
                <w:color w:val="000000"/>
                <w:sz w:val="20"/>
                <w:szCs w:val="20"/>
              </w:rPr>
            </w:pPr>
            <w:r w:rsidRPr="00381070">
              <w:rPr>
                <w:rFonts w:ascii="Calibri" w:eastAsia="Times New Roman" w:hAnsi="Calibri" w:cs="Calibri"/>
                <w:b/>
                <w:bCs/>
                <w:color w:val="000000"/>
                <w:sz w:val="20"/>
                <w:szCs w:val="20"/>
              </w:rPr>
              <w:t>Total since listing</w:t>
            </w:r>
          </w:p>
        </w:tc>
        <w:tc>
          <w:tcPr>
            <w:tcW w:w="2300" w:type="dxa"/>
            <w:tcBorders>
              <w:top w:val="nil"/>
              <w:left w:val="nil"/>
              <w:bottom w:val="single" w:sz="4" w:space="0" w:color="auto"/>
              <w:right w:val="single" w:sz="4" w:space="0" w:color="auto"/>
            </w:tcBorders>
            <w:shd w:val="clear" w:color="auto" w:fill="auto"/>
            <w:noWrap/>
            <w:vAlign w:val="bottom"/>
            <w:hideMark/>
          </w:tcPr>
          <w:p w14:paraId="4951FE83" w14:textId="77777777" w:rsidR="00E02B75" w:rsidRPr="00381070" w:rsidRDefault="00E02B75" w:rsidP="00E02B75">
            <w:pPr>
              <w:spacing w:after="0"/>
              <w:jc w:val="right"/>
              <w:rPr>
                <w:rFonts w:ascii="Calibri" w:eastAsia="Times New Roman" w:hAnsi="Calibri" w:cs="Calibri"/>
                <w:b/>
                <w:bCs/>
                <w:color w:val="000000"/>
                <w:sz w:val="20"/>
                <w:szCs w:val="20"/>
              </w:rPr>
            </w:pPr>
            <w:r w:rsidRPr="00381070">
              <w:rPr>
                <w:rFonts w:ascii="Calibri" w:eastAsia="Times New Roman" w:hAnsi="Calibri" w:cs="Calibri"/>
                <w:b/>
                <w:bCs/>
                <w:color w:val="000000"/>
                <w:sz w:val="20"/>
                <w:szCs w:val="20"/>
              </w:rPr>
              <w:t>$67,643,487</w:t>
            </w:r>
          </w:p>
        </w:tc>
      </w:tr>
    </w:tbl>
    <w:p w14:paraId="0DD3E381" w14:textId="1CC334D7" w:rsidR="00472B50" w:rsidRDefault="00C3590E" w:rsidP="00C3590E">
      <w:pPr>
        <w:pStyle w:val="Notes"/>
      </w:pPr>
      <w:r w:rsidRPr="00DA39DC">
        <w:t xml:space="preserve">Note: 2023 includes January to </w:t>
      </w:r>
      <w:r>
        <w:t>September</w:t>
      </w:r>
      <w:r w:rsidRPr="00DA39DC">
        <w:t xml:space="preserve"> 2023</w:t>
      </w:r>
      <w:r w:rsidR="002A4456">
        <w:br/>
      </w:r>
      <w:r w:rsidR="00927548">
        <w:t>Based on the published list price.</w:t>
      </w:r>
      <w:r>
        <w:br/>
        <w:t>Benefits are based on the</w:t>
      </w:r>
      <w:r w:rsidRPr="00180D58">
        <w:t xml:space="preserve"> date of supply, there may be small differences between publicly available Medicare Australia date of processing data</w:t>
      </w:r>
      <w:r>
        <w:t>.</w:t>
      </w:r>
    </w:p>
    <w:p w14:paraId="07551C4E" w14:textId="4CB473A0" w:rsidR="00BC3286" w:rsidRDefault="00BC3286" w:rsidP="000E7F4C">
      <w:r w:rsidRPr="00BC3286">
        <w:t xml:space="preserve">The total benefit paid for dupilumab for </w:t>
      </w:r>
      <w:r w:rsidR="00621B61">
        <w:t>severe asthma</w:t>
      </w:r>
      <w:r w:rsidRPr="00BC3286">
        <w:t xml:space="preserve"> since PBS listing to the end of June 2023 is $</w:t>
      </w:r>
      <w:r w:rsidR="00C3590E">
        <w:t>67.</w:t>
      </w:r>
      <w:r w:rsidR="00A476C4">
        <w:t>6</w:t>
      </w:r>
      <w:r w:rsidRPr="00BC3286">
        <w:t xml:space="preserve"> million, based on published prices. A special pricing arrangement is in place.</w:t>
      </w:r>
    </w:p>
    <w:p w14:paraId="5A896E48" w14:textId="77777777" w:rsidR="00472B50" w:rsidRDefault="00472B50" w:rsidP="000E7F4C"/>
    <w:p w14:paraId="4ECB2F6C" w14:textId="77777777" w:rsidR="005151FE" w:rsidRDefault="005151FE">
      <w:pPr>
        <w:spacing w:line="276" w:lineRule="auto"/>
        <w:rPr>
          <w:b/>
          <w:sz w:val="28"/>
        </w:rPr>
      </w:pPr>
      <w:r>
        <w:rPr>
          <w:b/>
          <w:sz w:val="28"/>
        </w:rPr>
        <w:br w:type="page"/>
      </w:r>
    </w:p>
    <w:p w14:paraId="62667B32" w14:textId="457C5B66" w:rsidR="00967C97" w:rsidRPr="00967C97" w:rsidRDefault="00967C97" w:rsidP="00967C97">
      <w:pPr>
        <w:spacing w:before="240"/>
        <w:outlineLvl w:val="1"/>
        <w:rPr>
          <w:b/>
          <w:sz w:val="28"/>
        </w:rPr>
      </w:pPr>
      <w:r w:rsidRPr="00967C97">
        <w:rPr>
          <w:b/>
          <w:sz w:val="28"/>
        </w:rPr>
        <w:lastRenderedPageBreak/>
        <w:t>Approach taken to estimate utilisation</w:t>
      </w:r>
    </w:p>
    <w:p w14:paraId="10911218" w14:textId="6DD632DA" w:rsidR="00967C97" w:rsidRPr="00967C97" w:rsidRDefault="00967C97" w:rsidP="00967C97">
      <w:r w:rsidRPr="00967C97">
        <w:t xml:space="preserve">The submission </w:t>
      </w:r>
      <w:r w:rsidR="00E3290B">
        <w:t>used</w:t>
      </w:r>
      <w:r w:rsidRPr="00967C97">
        <w:t xml:space="preserve"> a market share approach to estimate the extent of use and financial implications associated with the listing of dupilumab, and stated that the listing of dupilumab was not expected to increase the size of the asthma biologic market more than would otherwise be expected. The submission used a 10% sample from July 2011 to March 2020 to estimate the predicted market growth, and to estimate the market share by product. </w:t>
      </w:r>
    </w:p>
    <w:p w14:paraId="286FEFE6" w14:textId="7CF13196" w:rsidR="00967C97" w:rsidRPr="00967C97" w:rsidRDefault="00967C97" w:rsidP="00967C97">
      <w:r w:rsidRPr="00967C97">
        <w:t xml:space="preserve">The predicted market share with and without dupilumab is summarised in Table </w:t>
      </w:r>
      <w:r w:rsidR="00ED545B">
        <w:t>9</w:t>
      </w:r>
      <w:r w:rsidRPr="00967C97">
        <w:t>. The submission assumed the predicted uptake of dupilumab and predicted the utilisation of the 200 mg versus 300 mg doses would be 60%</w:t>
      </w:r>
      <w:r w:rsidR="00C75871">
        <w:t xml:space="preserve"> </w:t>
      </w:r>
      <w:r w:rsidR="002D577A">
        <w:t>and</w:t>
      </w:r>
      <w:r w:rsidRPr="00967C97">
        <w:t xml:space="preserve"> 40%</w:t>
      </w:r>
      <w:r w:rsidR="00C75871">
        <w:t xml:space="preserve"> respectively</w:t>
      </w:r>
      <w:r w:rsidRPr="00967C97">
        <w:t xml:space="preserve">. </w:t>
      </w:r>
    </w:p>
    <w:p w14:paraId="6953017A" w14:textId="7F1778CA" w:rsidR="00967C97" w:rsidRPr="00967C97" w:rsidRDefault="00967C97" w:rsidP="003C4E04">
      <w:pPr>
        <w:pStyle w:val="Tabletitle"/>
      </w:pPr>
      <w:r w:rsidRPr="00967C97">
        <w:t xml:space="preserve">Table </w:t>
      </w:r>
      <w:r w:rsidR="00516AC5">
        <w:t>9</w:t>
      </w:r>
      <w:r w:rsidRPr="00967C97">
        <w:t>: Predicted market share with and without dupilumab</w:t>
      </w:r>
    </w:p>
    <w:tbl>
      <w:tblPr>
        <w:tblW w:w="9060" w:type="dxa"/>
        <w:tblInd w:w="113" w:type="dxa"/>
        <w:tblLayout w:type="fixed"/>
        <w:tblLook w:val="04A0" w:firstRow="1" w:lastRow="0" w:firstColumn="1" w:lastColumn="0" w:noHBand="0" w:noVBand="1"/>
      </w:tblPr>
      <w:tblGrid>
        <w:gridCol w:w="1838"/>
        <w:gridCol w:w="902"/>
        <w:gridCol w:w="903"/>
        <w:gridCol w:w="903"/>
        <w:gridCol w:w="903"/>
        <w:gridCol w:w="902"/>
        <w:gridCol w:w="903"/>
        <w:gridCol w:w="903"/>
        <w:gridCol w:w="903"/>
      </w:tblGrid>
      <w:tr w:rsidR="00967C97" w:rsidRPr="00967C97" w14:paraId="6EC91266" w14:textId="77777777" w:rsidTr="00E20268">
        <w:trPr>
          <w:trHeight w:val="255"/>
        </w:trPr>
        <w:tc>
          <w:tcPr>
            <w:tcW w:w="183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06C84A1" w14:textId="77777777" w:rsidR="00967C97" w:rsidRPr="00967C97" w:rsidRDefault="00967C97" w:rsidP="00967C97">
            <w:pPr>
              <w:spacing w:after="0"/>
              <w:rPr>
                <w:rFonts w:eastAsia="Times New Roman" w:cstheme="minorHAnsi"/>
                <w:b/>
                <w:bCs/>
                <w:color w:val="000000"/>
                <w:sz w:val="20"/>
                <w:szCs w:val="20"/>
              </w:rPr>
            </w:pPr>
          </w:p>
        </w:tc>
        <w:tc>
          <w:tcPr>
            <w:tcW w:w="902"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4E28F020" w14:textId="77777777" w:rsidR="00967C97" w:rsidRPr="00967C97" w:rsidRDefault="00967C97" w:rsidP="00967C97">
            <w:pPr>
              <w:spacing w:after="0"/>
              <w:rPr>
                <w:rFonts w:eastAsia="Times New Roman" w:cstheme="minorHAnsi"/>
                <w:b/>
                <w:bCs/>
                <w:color w:val="000000"/>
                <w:sz w:val="20"/>
                <w:szCs w:val="20"/>
              </w:rPr>
            </w:pPr>
            <w:r w:rsidRPr="00967C97">
              <w:rPr>
                <w:rFonts w:cstheme="minorHAnsi"/>
                <w:b/>
                <w:bCs/>
                <w:color w:val="000000"/>
                <w:sz w:val="20"/>
                <w:szCs w:val="20"/>
              </w:rPr>
              <w:t>Apr-19 to Mar-20</w:t>
            </w:r>
          </w:p>
        </w:tc>
        <w:tc>
          <w:tcPr>
            <w:tcW w:w="903"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1390DB16" w14:textId="77777777" w:rsidR="00967C97" w:rsidRPr="00967C97" w:rsidRDefault="00967C97" w:rsidP="00967C97">
            <w:pPr>
              <w:spacing w:after="0"/>
              <w:rPr>
                <w:rFonts w:eastAsia="Times New Roman" w:cstheme="minorHAnsi"/>
                <w:b/>
                <w:bCs/>
                <w:color w:val="000000"/>
                <w:sz w:val="20"/>
                <w:szCs w:val="20"/>
              </w:rPr>
            </w:pPr>
            <w:r w:rsidRPr="00967C97">
              <w:rPr>
                <w:rFonts w:cstheme="minorHAnsi"/>
                <w:b/>
                <w:bCs/>
                <w:color w:val="000000"/>
                <w:sz w:val="20"/>
                <w:szCs w:val="20"/>
              </w:rPr>
              <w:t>Apr-20 to Mar-21</w:t>
            </w:r>
          </w:p>
        </w:tc>
        <w:tc>
          <w:tcPr>
            <w:tcW w:w="903"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37319E34" w14:textId="77777777" w:rsidR="00967C97" w:rsidRPr="00967C97" w:rsidRDefault="00967C97" w:rsidP="00967C97">
            <w:pPr>
              <w:spacing w:after="0"/>
              <w:rPr>
                <w:rFonts w:eastAsia="Times New Roman" w:cstheme="minorHAnsi"/>
                <w:b/>
                <w:bCs/>
                <w:color w:val="000000"/>
                <w:sz w:val="20"/>
                <w:szCs w:val="20"/>
              </w:rPr>
            </w:pPr>
            <w:r w:rsidRPr="00967C97">
              <w:rPr>
                <w:rFonts w:cstheme="minorHAnsi"/>
                <w:b/>
                <w:bCs/>
                <w:color w:val="000000"/>
                <w:sz w:val="20"/>
                <w:szCs w:val="20"/>
              </w:rPr>
              <w:t>Apr-21 to Mar-22</w:t>
            </w:r>
          </w:p>
        </w:tc>
        <w:tc>
          <w:tcPr>
            <w:tcW w:w="903"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058F081C" w14:textId="77777777" w:rsidR="00967C97" w:rsidRPr="00967C97" w:rsidRDefault="00967C97" w:rsidP="00967C97">
            <w:pPr>
              <w:spacing w:after="0"/>
              <w:rPr>
                <w:rFonts w:eastAsia="Times New Roman" w:cstheme="minorHAnsi"/>
                <w:b/>
                <w:bCs/>
                <w:color w:val="000000"/>
                <w:sz w:val="20"/>
                <w:szCs w:val="20"/>
              </w:rPr>
            </w:pPr>
            <w:r w:rsidRPr="00967C97">
              <w:rPr>
                <w:rFonts w:cstheme="minorHAnsi"/>
                <w:b/>
                <w:bCs/>
                <w:color w:val="000000"/>
                <w:sz w:val="20"/>
                <w:szCs w:val="20"/>
              </w:rPr>
              <w:t>Apr-22 to Mar-23</w:t>
            </w:r>
          </w:p>
        </w:tc>
        <w:tc>
          <w:tcPr>
            <w:tcW w:w="902"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5B36DE21" w14:textId="77777777" w:rsidR="00967C97" w:rsidRPr="00967C97" w:rsidRDefault="00967C97" w:rsidP="00967C97">
            <w:pPr>
              <w:spacing w:after="0"/>
              <w:rPr>
                <w:rFonts w:eastAsia="Times New Roman" w:cstheme="minorHAnsi"/>
                <w:b/>
                <w:bCs/>
                <w:color w:val="000000"/>
                <w:sz w:val="20"/>
                <w:szCs w:val="20"/>
              </w:rPr>
            </w:pPr>
            <w:r w:rsidRPr="00967C97">
              <w:rPr>
                <w:rFonts w:cstheme="minorHAnsi"/>
                <w:b/>
                <w:bCs/>
                <w:color w:val="000000"/>
                <w:sz w:val="20"/>
                <w:szCs w:val="20"/>
              </w:rPr>
              <w:t>Apr-23 to Mar-24</w:t>
            </w:r>
          </w:p>
        </w:tc>
        <w:tc>
          <w:tcPr>
            <w:tcW w:w="903"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62F48E86" w14:textId="77777777" w:rsidR="00967C97" w:rsidRPr="00967C97" w:rsidRDefault="00967C97" w:rsidP="00967C97">
            <w:pPr>
              <w:spacing w:after="0"/>
              <w:rPr>
                <w:rFonts w:eastAsia="Times New Roman" w:cstheme="minorHAnsi"/>
                <w:b/>
                <w:bCs/>
                <w:color w:val="000000"/>
                <w:sz w:val="20"/>
                <w:szCs w:val="20"/>
              </w:rPr>
            </w:pPr>
            <w:r w:rsidRPr="00967C97">
              <w:rPr>
                <w:rFonts w:cstheme="minorHAnsi"/>
                <w:b/>
                <w:bCs/>
                <w:color w:val="000000"/>
                <w:sz w:val="20"/>
                <w:szCs w:val="20"/>
              </w:rPr>
              <w:t>Apr-24 to Mar-25</w:t>
            </w:r>
          </w:p>
        </w:tc>
        <w:tc>
          <w:tcPr>
            <w:tcW w:w="903"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5B0C9228" w14:textId="77777777" w:rsidR="00967C97" w:rsidRPr="00967C97" w:rsidRDefault="00967C97" w:rsidP="00967C97">
            <w:pPr>
              <w:spacing w:after="0"/>
              <w:rPr>
                <w:rFonts w:eastAsia="Times New Roman" w:cstheme="minorHAnsi"/>
                <w:b/>
                <w:bCs/>
                <w:color w:val="000000"/>
                <w:sz w:val="20"/>
                <w:szCs w:val="20"/>
              </w:rPr>
            </w:pPr>
            <w:r w:rsidRPr="00967C97">
              <w:rPr>
                <w:rFonts w:cstheme="minorHAnsi"/>
                <w:b/>
                <w:bCs/>
                <w:color w:val="000000"/>
                <w:sz w:val="20"/>
                <w:szCs w:val="20"/>
              </w:rPr>
              <w:t>Apr-25 to Mar-26</w:t>
            </w:r>
          </w:p>
        </w:tc>
        <w:tc>
          <w:tcPr>
            <w:tcW w:w="903"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0C4FDC74" w14:textId="77777777" w:rsidR="00967C97" w:rsidRPr="00967C97" w:rsidRDefault="00967C97" w:rsidP="00967C97">
            <w:pPr>
              <w:spacing w:after="0"/>
              <w:rPr>
                <w:rFonts w:eastAsia="Times New Roman" w:cstheme="minorHAnsi"/>
                <w:b/>
                <w:bCs/>
                <w:color w:val="000000"/>
                <w:sz w:val="20"/>
                <w:szCs w:val="20"/>
              </w:rPr>
            </w:pPr>
            <w:r w:rsidRPr="00967C97">
              <w:rPr>
                <w:rFonts w:cstheme="minorHAnsi"/>
                <w:b/>
                <w:bCs/>
                <w:color w:val="000000"/>
                <w:sz w:val="20"/>
                <w:szCs w:val="20"/>
              </w:rPr>
              <w:t>Apr-27 to Mar-28</w:t>
            </w:r>
          </w:p>
        </w:tc>
      </w:tr>
      <w:tr w:rsidR="00967C97" w:rsidRPr="00967C97" w14:paraId="00571F97" w14:textId="77777777" w:rsidTr="00E96C58">
        <w:trPr>
          <w:trHeight w:val="255"/>
        </w:trPr>
        <w:tc>
          <w:tcPr>
            <w:tcW w:w="9060"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D3BF1A" w14:textId="77777777" w:rsidR="00967C97" w:rsidRPr="00967C97" w:rsidRDefault="00967C97" w:rsidP="00967C97">
            <w:pPr>
              <w:spacing w:after="0"/>
              <w:rPr>
                <w:rFonts w:eastAsia="Times New Roman" w:cstheme="minorHAnsi"/>
                <w:color w:val="000000"/>
                <w:sz w:val="20"/>
                <w:szCs w:val="20"/>
              </w:rPr>
            </w:pPr>
            <w:r w:rsidRPr="00967C97">
              <w:rPr>
                <w:rFonts w:eastAsia="Times New Roman" w:cstheme="minorHAnsi"/>
                <w:color w:val="000000"/>
                <w:sz w:val="20"/>
                <w:szCs w:val="20"/>
              </w:rPr>
              <w:t>Market Share (no dupilumab)</w:t>
            </w:r>
          </w:p>
        </w:tc>
      </w:tr>
      <w:tr w:rsidR="00F44604" w:rsidRPr="00967C97" w14:paraId="08CCD2CC" w14:textId="77777777" w:rsidTr="00E96C58">
        <w:trPr>
          <w:trHeight w:val="25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963A0D9" w14:textId="77777777" w:rsidR="00F44604" w:rsidRPr="00967C97" w:rsidRDefault="00F44604" w:rsidP="00F44604">
            <w:pPr>
              <w:spacing w:after="0"/>
              <w:rPr>
                <w:rFonts w:eastAsia="Times New Roman" w:cstheme="minorHAnsi"/>
                <w:color w:val="000000"/>
                <w:sz w:val="20"/>
                <w:szCs w:val="20"/>
              </w:rPr>
            </w:pPr>
            <w:r w:rsidRPr="00967C97">
              <w:rPr>
                <w:rFonts w:eastAsia="Times New Roman" w:cstheme="minorHAnsi"/>
                <w:color w:val="000000"/>
                <w:sz w:val="20"/>
                <w:szCs w:val="20"/>
              </w:rPr>
              <w:t>Benralizumab MS</w:t>
            </w:r>
          </w:p>
        </w:tc>
        <w:tc>
          <w:tcPr>
            <w:tcW w:w="902" w:type="dxa"/>
            <w:tcBorders>
              <w:top w:val="nil"/>
              <w:left w:val="nil"/>
              <w:bottom w:val="single" w:sz="4" w:space="0" w:color="auto"/>
              <w:right w:val="single" w:sz="4" w:space="0" w:color="auto"/>
            </w:tcBorders>
            <w:shd w:val="clear" w:color="auto" w:fill="auto"/>
            <w:noWrap/>
            <w:vAlign w:val="center"/>
            <w:hideMark/>
          </w:tcPr>
          <w:p w14:paraId="6E1E7920" w14:textId="2A032C0B"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903" w:type="dxa"/>
            <w:tcBorders>
              <w:top w:val="nil"/>
              <w:left w:val="nil"/>
              <w:bottom w:val="single" w:sz="4" w:space="0" w:color="auto"/>
              <w:right w:val="single" w:sz="4" w:space="0" w:color="auto"/>
            </w:tcBorders>
            <w:shd w:val="clear" w:color="auto" w:fill="auto"/>
            <w:noWrap/>
            <w:vAlign w:val="center"/>
            <w:hideMark/>
          </w:tcPr>
          <w:p w14:paraId="2219B61D" w14:textId="455E687F"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903" w:type="dxa"/>
            <w:tcBorders>
              <w:top w:val="nil"/>
              <w:left w:val="nil"/>
              <w:bottom w:val="single" w:sz="4" w:space="0" w:color="auto"/>
              <w:right w:val="single" w:sz="4" w:space="0" w:color="auto"/>
            </w:tcBorders>
            <w:shd w:val="clear" w:color="auto" w:fill="auto"/>
            <w:noWrap/>
            <w:vAlign w:val="center"/>
            <w:hideMark/>
          </w:tcPr>
          <w:p w14:paraId="4F6C492E" w14:textId="7090CA75"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903" w:type="dxa"/>
            <w:tcBorders>
              <w:top w:val="nil"/>
              <w:left w:val="nil"/>
              <w:bottom w:val="single" w:sz="4" w:space="0" w:color="auto"/>
              <w:right w:val="single" w:sz="4" w:space="0" w:color="auto"/>
            </w:tcBorders>
            <w:shd w:val="clear" w:color="auto" w:fill="auto"/>
            <w:noWrap/>
            <w:vAlign w:val="center"/>
            <w:hideMark/>
          </w:tcPr>
          <w:p w14:paraId="084050F7" w14:textId="7A8AB023"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902" w:type="dxa"/>
            <w:tcBorders>
              <w:top w:val="nil"/>
              <w:left w:val="nil"/>
              <w:bottom w:val="single" w:sz="4" w:space="0" w:color="auto"/>
              <w:right w:val="single" w:sz="4" w:space="0" w:color="auto"/>
            </w:tcBorders>
            <w:shd w:val="clear" w:color="auto" w:fill="auto"/>
            <w:noWrap/>
            <w:vAlign w:val="center"/>
            <w:hideMark/>
          </w:tcPr>
          <w:p w14:paraId="266ED2BF" w14:textId="0D46A83F"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903" w:type="dxa"/>
            <w:tcBorders>
              <w:top w:val="nil"/>
              <w:left w:val="nil"/>
              <w:bottom w:val="single" w:sz="4" w:space="0" w:color="auto"/>
              <w:right w:val="single" w:sz="4" w:space="0" w:color="auto"/>
            </w:tcBorders>
            <w:shd w:val="clear" w:color="auto" w:fill="auto"/>
            <w:noWrap/>
            <w:vAlign w:val="center"/>
            <w:hideMark/>
          </w:tcPr>
          <w:p w14:paraId="0497BA03" w14:textId="2BE5879A"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903" w:type="dxa"/>
            <w:tcBorders>
              <w:top w:val="nil"/>
              <w:left w:val="nil"/>
              <w:bottom w:val="single" w:sz="4" w:space="0" w:color="auto"/>
              <w:right w:val="single" w:sz="4" w:space="0" w:color="auto"/>
            </w:tcBorders>
            <w:shd w:val="clear" w:color="auto" w:fill="auto"/>
            <w:noWrap/>
            <w:vAlign w:val="center"/>
            <w:hideMark/>
          </w:tcPr>
          <w:p w14:paraId="4BC7C9A6" w14:textId="7053B3AE"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903" w:type="dxa"/>
            <w:tcBorders>
              <w:top w:val="nil"/>
              <w:left w:val="nil"/>
              <w:bottom w:val="single" w:sz="4" w:space="0" w:color="auto"/>
              <w:right w:val="single" w:sz="4" w:space="0" w:color="auto"/>
            </w:tcBorders>
            <w:shd w:val="clear" w:color="auto" w:fill="auto"/>
            <w:noWrap/>
            <w:vAlign w:val="center"/>
            <w:hideMark/>
          </w:tcPr>
          <w:p w14:paraId="4A8FC6DC" w14:textId="4FAE7E4A"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r>
      <w:tr w:rsidR="00F44604" w:rsidRPr="00967C97" w14:paraId="40C49D49" w14:textId="77777777" w:rsidTr="00E96C58">
        <w:trPr>
          <w:trHeight w:val="25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4BF8CAA" w14:textId="77777777" w:rsidR="00F44604" w:rsidRPr="00967C97" w:rsidRDefault="00F44604" w:rsidP="00F44604">
            <w:pPr>
              <w:spacing w:after="0"/>
              <w:rPr>
                <w:rFonts w:eastAsia="Times New Roman" w:cstheme="minorHAnsi"/>
                <w:color w:val="000000"/>
                <w:sz w:val="20"/>
                <w:szCs w:val="20"/>
              </w:rPr>
            </w:pPr>
            <w:r w:rsidRPr="00967C97">
              <w:rPr>
                <w:rFonts w:eastAsia="Times New Roman" w:cstheme="minorHAnsi"/>
                <w:color w:val="000000"/>
                <w:sz w:val="20"/>
                <w:szCs w:val="20"/>
              </w:rPr>
              <w:t>Mepolizumab MS</w:t>
            </w:r>
          </w:p>
        </w:tc>
        <w:tc>
          <w:tcPr>
            <w:tcW w:w="902" w:type="dxa"/>
            <w:tcBorders>
              <w:top w:val="nil"/>
              <w:left w:val="nil"/>
              <w:bottom w:val="single" w:sz="4" w:space="0" w:color="auto"/>
              <w:right w:val="single" w:sz="4" w:space="0" w:color="auto"/>
            </w:tcBorders>
            <w:shd w:val="clear" w:color="auto" w:fill="auto"/>
            <w:noWrap/>
            <w:vAlign w:val="center"/>
            <w:hideMark/>
          </w:tcPr>
          <w:p w14:paraId="33842435" w14:textId="1BB658E3"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903" w:type="dxa"/>
            <w:tcBorders>
              <w:top w:val="nil"/>
              <w:left w:val="nil"/>
              <w:bottom w:val="single" w:sz="4" w:space="0" w:color="auto"/>
              <w:right w:val="single" w:sz="4" w:space="0" w:color="auto"/>
            </w:tcBorders>
            <w:shd w:val="clear" w:color="auto" w:fill="auto"/>
            <w:noWrap/>
            <w:vAlign w:val="center"/>
            <w:hideMark/>
          </w:tcPr>
          <w:p w14:paraId="6F6DE5E9" w14:textId="7719D851"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903" w:type="dxa"/>
            <w:tcBorders>
              <w:top w:val="nil"/>
              <w:left w:val="nil"/>
              <w:bottom w:val="single" w:sz="4" w:space="0" w:color="auto"/>
              <w:right w:val="single" w:sz="4" w:space="0" w:color="auto"/>
            </w:tcBorders>
            <w:shd w:val="clear" w:color="auto" w:fill="auto"/>
            <w:noWrap/>
            <w:vAlign w:val="center"/>
            <w:hideMark/>
          </w:tcPr>
          <w:p w14:paraId="661A019F" w14:textId="6F497513"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903" w:type="dxa"/>
            <w:tcBorders>
              <w:top w:val="nil"/>
              <w:left w:val="nil"/>
              <w:bottom w:val="single" w:sz="4" w:space="0" w:color="auto"/>
              <w:right w:val="single" w:sz="4" w:space="0" w:color="auto"/>
            </w:tcBorders>
            <w:shd w:val="clear" w:color="auto" w:fill="auto"/>
            <w:noWrap/>
            <w:vAlign w:val="center"/>
            <w:hideMark/>
          </w:tcPr>
          <w:p w14:paraId="0EBD12D9" w14:textId="3180EAB2"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902" w:type="dxa"/>
            <w:tcBorders>
              <w:top w:val="nil"/>
              <w:left w:val="nil"/>
              <w:bottom w:val="single" w:sz="4" w:space="0" w:color="auto"/>
              <w:right w:val="single" w:sz="4" w:space="0" w:color="auto"/>
            </w:tcBorders>
            <w:shd w:val="clear" w:color="auto" w:fill="auto"/>
            <w:noWrap/>
            <w:vAlign w:val="center"/>
            <w:hideMark/>
          </w:tcPr>
          <w:p w14:paraId="0688B965" w14:textId="77708D7F"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903" w:type="dxa"/>
            <w:tcBorders>
              <w:top w:val="nil"/>
              <w:left w:val="nil"/>
              <w:bottom w:val="single" w:sz="4" w:space="0" w:color="auto"/>
              <w:right w:val="single" w:sz="4" w:space="0" w:color="auto"/>
            </w:tcBorders>
            <w:shd w:val="clear" w:color="auto" w:fill="auto"/>
            <w:noWrap/>
            <w:vAlign w:val="center"/>
            <w:hideMark/>
          </w:tcPr>
          <w:p w14:paraId="463D11C3" w14:textId="4A222FD1"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903" w:type="dxa"/>
            <w:tcBorders>
              <w:top w:val="nil"/>
              <w:left w:val="nil"/>
              <w:bottom w:val="single" w:sz="4" w:space="0" w:color="auto"/>
              <w:right w:val="single" w:sz="4" w:space="0" w:color="auto"/>
            </w:tcBorders>
            <w:shd w:val="clear" w:color="auto" w:fill="auto"/>
            <w:noWrap/>
            <w:vAlign w:val="center"/>
            <w:hideMark/>
          </w:tcPr>
          <w:p w14:paraId="2FDF36EA" w14:textId="0B979193"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903" w:type="dxa"/>
            <w:tcBorders>
              <w:top w:val="nil"/>
              <w:left w:val="nil"/>
              <w:bottom w:val="single" w:sz="4" w:space="0" w:color="auto"/>
              <w:right w:val="single" w:sz="4" w:space="0" w:color="auto"/>
            </w:tcBorders>
            <w:shd w:val="clear" w:color="auto" w:fill="auto"/>
            <w:noWrap/>
            <w:vAlign w:val="center"/>
            <w:hideMark/>
          </w:tcPr>
          <w:p w14:paraId="214A7704" w14:textId="50D16DBE"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r>
      <w:tr w:rsidR="00F44604" w:rsidRPr="00967C97" w14:paraId="48707750" w14:textId="77777777" w:rsidTr="00E96C58">
        <w:trPr>
          <w:trHeight w:val="25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1D2C246" w14:textId="77777777" w:rsidR="00F44604" w:rsidRPr="00967C97" w:rsidRDefault="00F44604" w:rsidP="00F44604">
            <w:pPr>
              <w:spacing w:after="0"/>
              <w:rPr>
                <w:rFonts w:eastAsia="Times New Roman" w:cstheme="minorHAnsi"/>
                <w:color w:val="000000"/>
                <w:sz w:val="20"/>
                <w:szCs w:val="20"/>
              </w:rPr>
            </w:pPr>
            <w:r w:rsidRPr="00967C97">
              <w:rPr>
                <w:rFonts w:eastAsia="Times New Roman" w:cstheme="minorHAnsi"/>
                <w:color w:val="000000"/>
                <w:sz w:val="20"/>
                <w:szCs w:val="20"/>
              </w:rPr>
              <w:t>Omalizumab MS</w:t>
            </w:r>
          </w:p>
        </w:tc>
        <w:tc>
          <w:tcPr>
            <w:tcW w:w="902" w:type="dxa"/>
            <w:tcBorders>
              <w:top w:val="nil"/>
              <w:left w:val="nil"/>
              <w:bottom w:val="single" w:sz="4" w:space="0" w:color="auto"/>
              <w:right w:val="single" w:sz="4" w:space="0" w:color="auto"/>
            </w:tcBorders>
            <w:shd w:val="clear" w:color="auto" w:fill="auto"/>
            <w:noWrap/>
            <w:vAlign w:val="center"/>
            <w:hideMark/>
          </w:tcPr>
          <w:p w14:paraId="1D73DF95" w14:textId="7F83B79E"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903" w:type="dxa"/>
            <w:tcBorders>
              <w:top w:val="nil"/>
              <w:left w:val="nil"/>
              <w:bottom w:val="single" w:sz="4" w:space="0" w:color="auto"/>
              <w:right w:val="single" w:sz="4" w:space="0" w:color="auto"/>
            </w:tcBorders>
            <w:shd w:val="clear" w:color="auto" w:fill="auto"/>
            <w:noWrap/>
            <w:vAlign w:val="center"/>
            <w:hideMark/>
          </w:tcPr>
          <w:p w14:paraId="01551D0B" w14:textId="4FBB817B"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903" w:type="dxa"/>
            <w:tcBorders>
              <w:top w:val="nil"/>
              <w:left w:val="nil"/>
              <w:bottom w:val="single" w:sz="4" w:space="0" w:color="auto"/>
              <w:right w:val="single" w:sz="4" w:space="0" w:color="auto"/>
            </w:tcBorders>
            <w:shd w:val="clear" w:color="auto" w:fill="auto"/>
            <w:noWrap/>
            <w:vAlign w:val="center"/>
            <w:hideMark/>
          </w:tcPr>
          <w:p w14:paraId="3947CE2B" w14:textId="627DCD85"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903" w:type="dxa"/>
            <w:tcBorders>
              <w:top w:val="nil"/>
              <w:left w:val="nil"/>
              <w:bottom w:val="single" w:sz="4" w:space="0" w:color="auto"/>
              <w:right w:val="single" w:sz="4" w:space="0" w:color="auto"/>
            </w:tcBorders>
            <w:shd w:val="clear" w:color="auto" w:fill="auto"/>
            <w:noWrap/>
            <w:vAlign w:val="center"/>
            <w:hideMark/>
          </w:tcPr>
          <w:p w14:paraId="12BD10AE" w14:textId="008776A2"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902" w:type="dxa"/>
            <w:tcBorders>
              <w:top w:val="nil"/>
              <w:left w:val="nil"/>
              <w:bottom w:val="single" w:sz="4" w:space="0" w:color="auto"/>
              <w:right w:val="single" w:sz="4" w:space="0" w:color="auto"/>
            </w:tcBorders>
            <w:shd w:val="clear" w:color="auto" w:fill="auto"/>
            <w:noWrap/>
            <w:vAlign w:val="center"/>
            <w:hideMark/>
          </w:tcPr>
          <w:p w14:paraId="7A35A5F8" w14:textId="6923F6F3"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903" w:type="dxa"/>
            <w:tcBorders>
              <w:top w:val="nil"/>
              <w:left w:val="nil"/>
              <w:bottom w:val="single" w:sz="4" w:space="0" w:color="auto"/>
              <w:right w:val="single" w:sz="4" w:space="0" w:color="auto"/>
            </w:tcBorders>
            <w:shd w:val="clear" w:color="auto" w:fill="auto"/>
            <w:noWrap/>
            <w:vAlign w:val="center"/>
            <w:hideMark/>
          </w:tcPr>
          <w:p w14:paraId="772D1539" w14:textId="7105BDC4"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903" w:type="dxa"/>
            <w:tcBorders>
              <w:top w:val="nil"/>
              <w:left w:val="nil"/>
              <w:bottom w:val="single" w:sz="4" w:space="0" w:color="auto"/>
              <w:right w:val="single" w:sz="4" w:space="0" w:color="auto"/>
            </w:tcBorders>
            <w:shd w:val="clear" w:color="auto" w:fill="auto"/>
            <w:noWrap/>
            <w:vAlign w:val="center"/>
            <w:hideMark/>
          </w:tcPr>
          <w:p w14:paraId="17942EE9" w14:textId="3CEDDA43"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903" w:type="dxa"/>
            <w:tcBorders>
              <w:top w:val="nil"/>
              <w:left w:val="nil"/>
              <w:bottom w:val="single" w:sz="4" w:space="0" w:color="auto"/>
              <w:right w:val="single" w:sz="4" w:space="0" w:color="auto"/>
            </w:tcBorders>
            <w:shd w:val="clear" w:color="auto" w:fill="auto"/>
            <w:noWrap/>
            <w:vAlign w:val="center"/>
            <w:hideMark/>
          </w:tcPr>
          <w:p w14:paraId="2AD85638" w14:textId="6C50F283"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r>
      <w:tr w:rsidR="00967C97" w:rsidRPr="00967C97" w14:paraId="5404DDE2" w14:textId="77777777" w:rsidTr="00E96C58">
        <w:trPr>
          <w:trHeight w:val="255"/>
        </w:trPr>
        <w:tc>
          <w:tcPr>
            <w:tcW w:w="9060" w:type="dxa"/>
            <w:gridSpan w:val="9"/>
            <w:tcBorders>
              <w:top w:val="nil"/>
              <w:left w:val="single" w:sz="4" w:space="0" w:color="auto"/>
              <w:bottom w:val="single" w:sz="4" w:space="0" w:color="auto"/>
              <w:right w:val="single" w:sz="4" w:space="0" w:color="auto"/>
            </w:tcBorders>
            <w:shd w:val="clear" w:color="auto" w:fill="auto"/>
            <w:noWrap/>
            <w:vAlign w:val="center"/>
            <w:hideMark/>
          </w:tcPr>
          <w:p w14:paraId="1D9E1128" w14:textId="77777777" w:rsidR="00967C97" w:rsidRPr="00967C97" w:rsidRDefault="00967C97" w:rsidP="00967C97">
            <w:pPr>
              <w:spacing w:after="0"/>
              <w:rPr>
                <w:rFonts w:eastAsia="Times New Roman" w:cstheme="minorHAnsi"/>
                <w:color w:val="000000"/>
                <w:sz w:val="20"/>
                <w:szCs w:val="20"/>
              </w:rPr>
            </w:pPr>
            <w:r w:rsidRPr="00967C97">
              <w:rPr>
                <w:rFonts w:eastAsia="Times New Roman" w:cstheme="minorHAnsi"/>
                <w:color w:val="000000"/>
                <w:sz w:val="20"/>
                <w:szCs w:val="20"/>
              </w:rPr>
              <w:t>Market Share (with dupilumab)</w:t>
            </w:r>
          </w:p>
        </w:tc>
      </w:tr>
      <w:tr w:rsidR="00F44604" w:rsidRPr="00967C97" w14:paraId="7D7F7190" w14:textId="77777777" w:rsidTr="00E96C58">
        <w:trPr>
          <w:trHeight w:val="25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59C10356" w14:textId="77777777" w:rsidR="00F44604" w:rsidRPr="00967C97" w:rsidRDefault="00F44604" w:rsidP="00F44604">
            <w:pPr>
              <w:spacing w:after="0"/>
              <w:rPr>
                <w:rFonts w:eastAsia="Times New Roman" w:cstheme="minorHAnsi"/>
                <w:color w:val="000000"/>
                <w:sz w:val="20"/>
                <w:szCs w:val="20"/>
              </w:rPr>
            </w:pPr>
            <w:r w:rsidRPr="00967C97">
              <w:rPr>
                <w:rFonts w:eastAsia="Times New Roman" w:cstheme="minorHAnsi"/>
                <w:color w:val="000000"/>
                <w:sz w:val="20"/>
                <w:szCs w:val="20"/>
              </w:rPr>
              <w:t>Benralizumab MS</w:t>
            </w:r>
          </w:p>
        </w:tc>
        <w:tc>
          <w:tcPr>
            <w:tcW w:w="902" w:type="dxa"/>
            <w:tcBorders>
              <w:top w:val="nil"/>
              <w:left w:val="nil"/>
              <w:bottom w:val="single" w:sz="4" w:space="0" w:color="auto"/>
              <w:right w:val="single" w:sz="4" w:space="0" w:color="auto"/>
            </w:tcBorders>
            <w:shd w:val="clear" w:color="auto" w:fill="auto"/>
            <w:noWrap/>
            <w:vAlign w:val="center"/>
            <w:hideMark/>
          </w:tcPr>
          <w:p w14:paraId="5CA9EB15" w14:textId="6F073CC5"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903" w:type="dxa"/>
            <w:tcBorders>
              <w:top w:val="nil"/>
              <w:left w:val="nil"/>
              <w:bottom w:val="single" w:sz="4" w:space="0" w:color="auto"/>
              <w:right w:val="single" w:sz="4" w:space="0" w:color="auto"/>
            </w:tcBorders>
            <w:shd w:val="clear" w:color="auto" w:fill="auto"/>
            <w:noWrap/>
            <w:vAlign w:val="center"/>
            <w:hideMark/>
          </w:tcPr>
          <w:p w14:paraId="7DAC7398" w14:textId="0F40FC51"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903" w:type="dxa"/>
            <w:tcBorders>
              <w:top w:val="nil"/>
              <w:left w:val="nil"/>
              <w:bottom w:val="single" w:sz="4" w:space="0" w:color="auto"/>
              <w:right w:val="single" w:sz="4" w:space="0" w:color="auto"/>
            </w:tcBorders>
            <w:shd w:val="clear" w:color="auto" w:fill="auto"/>
            <w:noWrap/>
            <w:vAlign w:val="center"/>
            <w:hideMark/>
          </w:tcPr>
          <w:p w14:paraId="5BDB8ECB" w14:textId="1C559AB8"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903" w:type="dxa"/>
            <w:tcBorders>
              <w:top w:val="nil"/>
              <w:left w:val="nil"/>
              <w:bottom w:val="single" w:sz="4" w:space="0" w:color="auto"/>
              <w:right w:val="single" w:sz="4" w:space="0" w:color="auto"/>
            </w:tcBorders>
            <w:shd w:val="clear" w:color="auto" w:fill="auto"/>
            <w:noWrap/>
            <w:vAlign w:val="center"/>
            <w:hideMark/>
          </w:tcPr>
          <w:p w14:paraId="1101F643" w14:textId="4EACA96E"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902" w:type="dxa"/>
            <w:tcBorders>
              <w:top w:val="nil"/>
              <w:left w:val="nil"/>
              <w:bottom w:val="single" w:sz="4" w:space="0" w:color="auto"/>
              <w:right w:val="single" w:sz="4" w:space="0" w:color="auto"/>
            </w:tcBorders>
            <w:shd w:val="clear" w:color="auto" w:fill="auto"/>
            <w:noWrap/>
            <w:vAlign w:val="center"/>
            <w:hideMark/>
          </w:tcPr>
          <w:p w14:paraId="13512D21" w14:textId="2537371A"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903" w:type="dxa"/>
            <w:tcBorders>
              <w:top w:val="nil"/>
              <w:left w:val="nil"/>
              <w:bottom w:val="single" w:sz="4" w:space="0" w:color="auto"/>
              <w:right w:val="single" w:sz="4" w:space="0" w:color="auto"/>
            </w:tcBorders>
            <w:shd w:val="clear" w:color="auto" w:fill="auto"/>
            <w:noWrap/>
            <w:vAlign w:val="center"/>
            <w:hideMark/>
          </w:tcPr>
          <w:p w14:paraId="2C3CF4BA" w14:textId="70544182"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903" w:type="dxa"/>
            <w:tcBorders>
              <w:top w:val="nil"/>
              <w:left w:val="nil"/>
              <w:bottom w:val="single" w:sz="4" w:space="0" w:color="auto"/>
              <w:right w:val="single" w:sz="4" w:space="0" w:color="auto"/>
            </w:tcBorders>
            <w:shd w:val="clear" w:color="auto" w:fill="auto"/>
            <w:noWrap/>
            <w:vAlign w:val="center"/>
            <w:hideMark/>
          </w:tcPr>
          <w:p w14:paraId="39853DB7" w14:textId="2D9DA24B"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903" w:type="dxa"/>
            <w:tcBorders>
              <w:top w:val="nil"/>
              <w:left w:val="nil"/>
              <w:bottom w:val="single" w:sz="4" w:space="0" w:color="auto"/>
              <w:right w:val="single" w:sz="4" w:space="0" w:color="auto"/>
            </w:tcBorders>
            <w:shd w:val="clear" w:color="auto" w:fill="auto"/>
            <w:noWrap/>
            <w:vAlign w:val="center"/>
            <w:hideMark/>
          </w:tcPr>
          <w:p w14:paraId="479D6D85" w14:textId="1273CEE1"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r>
      <w:tr w:rsidR="00F44604" w:rsidRPr="00967C97" w14:paraId="28280642" w14:textId="77777777" w:rsidTr="00E96C58">
        <w:trPr>
          <w:trHeight w:val="25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D3490E2" w14:textId="77777777" w:rsidR="00F44604" w:rsidRPr="00967C97" w:rsidRDefault="00F44604" w:rsidP="00F44604">
            <w:pPr>
              <w:spacing w:after="0"/>
              <w:rPr>
                <w:rFonts w:eastAsia="Times New Roman" w:cstheme="minorHAnsi"/>
                <w:color w:val="000000"/>
                <w:sz w:val="20"/>
                <w:szCs w:val="20"/>
              </w:rPr>
            </w:pPr>
            <w:r w:rsidRPr="00967C97">
              <w:rPr>
                <w:rFonts w:eastAsia="Times New Roman" w:cstheme="minorHAnsi"/>
                <w:color w:val="000000"/>
                <w:sz w:val="20"/>
                <w:szCs w:val="20"/>
              </w:rPr>
              <w:t>Mepolizumab MS</w:t>
            </w:r>
          </w:p>
        </w:tc>
        <w:tc>
          <w:tcPr>
            <w:tcW w:w="902" w:type="dxa"/>
            <w:tcBorders>
              <w:top w:val="nil"/>
              <w:left w:val="nil"/>
              <w:bottom w:val="single" w:sz="4" w:space="0" w:color="auto"/>
              <w:right w:val="single" w:sz="4" w:space="0" w:color="auto"/>
            </w:tcBorders>
            <w:shd w:val="clear" w:color="auto" w:fill="auto"/>
            <w:noWrap/>
            <w:vAlign w:val="center"/>
            <w:hideMark/>
          </w:tcPr>
          <w:p w14:paraId="04A6F36A" w14:textId="0D386842"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903" w:type="dxa"/>
            <w:tcBorders>
              <w:top w:val="nil"/>
              <w:left w:val="nil"/>
              <w:bottom w:val="single" w:sz="4" w:space="0" w:color="auto"/>
              <w:right w:val="single" w:sz="4" w:space="0" w:color="auto"/>
            </w:tcBorders>
            <w:shd w:val="clear" w:color="auto" w:fill="auto"/>
            <w:noWrap/>
            <w:vAlign w:val="center"/>
            <w:hideMark/>
          </w:tcPr>
          <w:p w14:paraId="13D4DDA9" w14:textId="6CBD2091"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903" w:type="dxa"/>
            <w:tcBorders>
              <w:top w:val="nil"/>
              <w:left w:val="nil"/>
              <w:bottom w:val="single" w:sz="4" w:space="0" w:color="auto"/>
              <w:right w:val="single" w:sz="4" w:space="0" w:color="auto"/>
            </w:tcBorders>
            <w:shd w:val="clear" w:color="auto" w:fill="auto"/>
            <w:noWrap/>
            <w:vAlign w:val="center"/>
            <w:hideMark/>
          </w:tcPr>
          <w:p w14:paraId="6848600D" w14:textId="7CB79BD0"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903" w:type="dxa"/>
            <w:tcBorders>
              <w:top w:val="nil"/>
              <w:left w:val="nil"/>
              <w:bottom w:val="single" w:sz="4" w:space="0" w:color="auto"/>
              <w:right w:val="single" w:sz="4" w:space="0" w:color="auto"/>
            </w:tcBorders>
            <w:shd w:val="clear" w:color="auto" w:fill="auto"/>
            <w:noWrap/>
            <w:vAlign w:val="center"/>
            <w:hideMark/>
          </w:tcPr>
          <w:p w14:paraId="3B99D3C0" w14:textId="2754E132"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902" w:type="dxa"/>
            <w:tcBorders>
              <w:top w:val="nil"/>
              <w:left w:val="nil"/>
              <w:bottom w:val="single" w:sz="4" w:space="0" w:color="auto"/>
              <w:right w:val="single" w:sz="4" w:space="0" w:color="auto"/>
            </w:tcBorders>
            <w:shd w:val="clear" w:color="auto" w:fill="auto"/>
            <w:noWrap/>
            <w:vAlign w:val="center"/>
            <w:hideMark/>
          </w:tcPr>
          <w:p w14:paraId="175D3E5A" w14:textId="5EE9D410"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903" w:type="dxa"/>
            <w:tcBorders>
              <w:top w:val="nil"/>
              <w:left w:val="nil"/>
              <w:bottom w:val="single" w:sz="4" w:space="0" w:color="auto"/>
              <w:right w:val="single" w:sz="4" w:space="0" w:color="auto"/>
            </w:tcBorders>
            <w:shd w:val="clear" w:color="auto" w:fill="auto"/>
            <w:noWrap/>
            <w:vAlign w:val="center"/>
            <w:hideMark/>
          </w:tcPr>
          <w:p w14:paraId="6F2DAEC0" w14:textId="08AED21E"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903" w:type="dxa"/>
            <w:tcBorders>
              <w:top w:val="nil"/>
              <w:left w:val="nil"/>
              <w:bottom w:val="single" w:sz="4" w:space="0" w:color="auto"/>
              <w:right w:val="single" w:sz="4" w:space="0" w:color="auto"/>
            </w:tcBorders>
            <w:shd w:val="clear" w:color="auto" w:fill="auto"/>
            <w:noWrap/>
            <w:vAlign w:val="center"/>
            <w:hideMark/>
          </w:tcPr>
          <w:p w14:paraId="4695F476" w14:textId="0C69D3B1"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903" w:type="dxa"/>
            <w:tcBorders>
              <w:top w:val="nil"/>
              <w:left w:val="nil"/>
              <w:bottom w:val="single" w:sz="4" w:space="0" w:color="auto"/>
              <w:right w:val="single" w:sz="4" w:space="0" w:color="auto"/>
            </w:tcBorders>
            <w:shd w:val="clear" w:color="auto" w:fill="auto"/>
            <w:noWrap/>
            <w:vAlign w:val="center"/>
            <w:hideMark/>
          </w:tcPr>
          <w:p w14:paraId="01D01E53" w14:textId="17174B78"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r>
      <w:tr w:rsidR="00F44604" w:rsidRPr="00967C97" w14:paraId="782BFF87" w14:textId="77777777" w:rsidTr="00E96C58">
        <w:trPr>
          <w:trHeight w:val="25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284DCFC" w14:textId="77777777" w:rsidR="00F44604" w:rsidRPr="00967C97" w:rsidRDefault="00F44604" w:rsidP="00F44604">
            <w:pPr>
              <w:spacing w:after="0"/>
              <w:rPr>
                <w:rFonts w:eastAsia="Times New Roman" w:cstheme="minorHAnsi"/>
                <w:color w:val="000000"/>
                <w:sz w:val="20"/>
                <w:szCs w:val="20"/>
              </w:rPr>
            </w:pPr>
            <w:r w:rsidRPr="00967C97">
              <w:rPr>
                <w:rFonts w:eastAsia="Times New Roman" w:cstheme="minorHAnsi"/>
                <w:color w:val="000000"/>
                <w:sz w:val="20"/>
                <w:szCs w:val="20"/>
              </w:rPr>
              <w:t>Omalizumab MS</w:t>
            </w:r>
          </w:p>
        </w:tc>
        <w:tc>
          <w:tcPr>
            <w:tcW w:w="902" w:type="dxa"/>
            <w:tcBorders>
              <w:top w:val="nil"/>
              <w:left w:val="nil"/>
              <w:bottom w:val="single" w:sz="4" w:space="0" w:color="auto"/>
              <w:right w:val="single" w:sz="4" w:space="0" w:color="auto"/>
            </w:tcBorders>
            <w:shd w:val="clear" w:color="auto" w:fill="auto"/>
            <w:noWrap/>
            <w:vAlign w:val="center"/>
            <w:hideMark/>
          </w:tcPr>
          <w:p w14:paraId="5E1E7335" w14:textId="4D19EBBA"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903" w:type="dxa"/>
            <w:tcBorders>
              <w:top w:val="nil"/>
              <w:left w:val="nil"/>
              <w:bottom w:val="single" w:sz="4" w:space="0" w:color="auto"/>
              <w:right w:val="single" w:sz="4" w:space="0" w:color="auto"/>
            </w:tcBorders>
            <w:shd w:val="clear" w:color="auto" w:fill="auto"/>
            <w:noWrap/>
            <w:vAlign w:val="center"/>
            <w:hideMark/>
          </w:tcPr>
          <w:p w14:paraId="513692EB" w14:textId="04FCC868"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903" w:type="dxa"/>
            <w:tcBorders>
              <w:top w:val="nil"/>
              <w:left w:val="nil"/>
              <w:bottom w:val="single" w:sz="4" w:space="0" w:color="auto"/>
              <w:right w:val="single" w:sz="4" w:space="0" w:color="auto"/>
            </w:tcBorders>
            <w:shd w:val="clear" w:color="auto" w:fill="auto"/>
            <w:noWrap/>
            <w:vAlign w:val="center"/>
            <w:hideMark/>
          </w:tcPr>
          <w:p w14:paraId="35AF12F8" w14:textId="6A233956"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903" w:type="dxa"/>
            <w:tcBorders>
              <w:top w:val="nil"/>
              <w:left w:val="nil"/>
              <w:bottom w:val="single" w:sz="4" w:space="0" w:color="auto"/>
              <w:right w:val="single" w:sz="4" w:space="0" w:color="auto"/>
            </w:tcBorders>
            <w:shd w:val="clear" w:color="auto" w:fill="auto"/>
            <w:noWrap/>
            <w:vAlign w:val="center"/>
            <w:hideMark/>
          </w:tcPr>
          <w:p w14:paraId="18778685" w14:textId="24AFD03B"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902" w:type="dxa"/>
            <w:tcBorders>
              <w:top w:val="nil"/>
              <w:left w:val="nil"/>
              <w:bottom w:val="single" w:sz="4" w:space="0" w:color="auto"/>
              <w:right w:val="single" w:sz="4" w:space="0" w:color="auto"/>
            </w:tcBorders>
            <w:shd w:val="clear" w:color="auto" w:fill="auto"/>
            <w:noWrap/>
            <w:vAlign w:val="center"/>
            <w:hideMark/>
          </w:tcPr>
          <w:p w14:paraId="3C70484D" w14:textId="73BF38C6"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903" w:type="dxa"/>
            <w:tcBorders>
              <w:top w:val="nil"/>
              <w:left w:val="nil"/>
              <w:bottom w:val="single" w:sz="4" w:space="0" w:color="auto"/>
              <w:right w:val="single" w:sz="4" w:space="0" w:color="auto"/>
            </w:tcBorders>
            <w:shd w:val="clear" w:color="auto" w:fill="auto"/>
            <w:noWrap/>
            <w:vAlign w:val="center"/>
            <w:hideMark/>
          </w:tcPr>
          <w:p w14:paraId="3A927D5A" w14:textId="21CC7E2C"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903" w:type="dxa"/>
            <w:tcBorders>
              <w:top w:val="nil"/>
              <w:left w:val="nil"/>
              <w:bottom w:val="single" w:sz="4" w:space="0" w:color="auto"/>
              <w:right w:val="single" w:sz="4" w:space="0" w:color="auto"/>
            </w:tcBorders>
            <w:shd w:val="clear" w:color="auto" w:fill="auto"/>
            <w:noWrap/>
            <w:vAlign w:val="center"/>
            <w:hideMark/>
          </w:tcPr>
          <w:p w14:paraId="20DFB532" w14:textId="578097DE"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903" w:type="dxa"/>
            <w:tcBorders>
              <w:top w:val="nil"/>
              <w:left w:val="nil"/>
              <w:bottom w:val="single" w:sz="4" w:space="0" w:color="auto"/>
              <w:right w:val="single" w:sz="4" w:space="0" w:color="auto"/>
            </w:tcBorders>
            <w:shd w:val="clear" w:color="auto" w:fill="auto"/>
            <w:noWrap/>
            <w:vAlign w:val="center"/>
            <w:hideMark/>
          </w:tcPr>
          <w:p w14:paraId="41370E4A" w14:textId="221EC70E"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r>
      <w:tr w:rsidR="00F44604" w:rsidRPr="00967C97" w14:paraId="218D9308" w14:textId="77777777" w:rsidTr="00E96C58">
        <w:trPr>
          <w:trHeight w:val="25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4AF6C54B" w14:textId="77777777" w:rsidR="00F44604" w:rsidRPr="00967C97" w:rsidRDefault="00F44604" w:rsidP="00F44604">
            <w:pPr>
              <w:spacing w:after="0"/>
              <w:rPr>
                <w:rFonts w:eastAsia="Times New Roman" w:cstheme="minorHAnsi"/>
                <w:color w:val="000000"/>
                <w:sz w:val="20"/>
                <w:szCs w:val="20"/>
              </w:rPr>
            </w:pPr>
            <w:r w:rsidRPr="00967C97">
              <w:rPr>
                <w:rFonts w:eastAsia="Times New Roman" w:cstheme="minorHAnsi"/>
                <w:color w:val="000000"/>
                <w:sz w:val="20"/>
                <w:szCs w:val="20"/>
              </w:rPr>
              <w:t>Dupilumab MS</w:t>
            </w:r>
          </w:p>
        </w:tc>
        <w:tc>
          <w:tcPr>
            <w:tcW w:w="902" w:type="dxa"/>
            <w:tcBorders>
              <w:top w:val="nil"/>
              <w:left w:val="nil"/>
              <w:bottom w:val="single" w:sz="4" w:space="0" w:color="auto"/>
              <w:right w:val="single" w:sz="4" w:space="0" w:color="auto"/>
            </w:tcBorders>
            <w:shd w:val="clear" w:color="auto" w:fill="auto"/>
            <w:noWrap/>
            <w:vAlign w:val="center"/>
            <w:hideMark/>
          </w:tcPr>
          <w:p w14:paraId="77FBB3C5" w14:textId="20F91D4B"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903" w:type="dxa"/>
            <w:tcBorders>
              <w:top w:val="nil"/>
              <w:left w:val="nil"/>
              <w:bottom w:val="single" w:sz="4" w:space="0" w:color="auto"/>
              <w:right w:val="single" w:sz="4" w:space="0" w:color="auto"/>
            </w:tcBorders>
            <w:shd w:val="clear" w:color="auto" w:fill="auto"/>
            <w:noWrap/>
            <w:vAlign w:val="center"/>
            <w:hideMark/>
          </w:tcPr>
          <w:p w14:paraId="0E2C917E" w14:textId="736FA960"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903" w:type="dxa"/>
            <w:tcBorders>
              <w:top w:val="nil"/>
              <w:left w:val="nil"/>
              <w:bottom w:val="single" w:sz="4" w:space="0" w:color="auto"/>
              <w:right w:val="single" w:sz="4" w:space="0" w:color="auto"/>
            </w:tcBorders>
            <w:shd w:val="clear" w:color="auto" w:fill="auto"/>
            <w:noWrap/>
            <w:vAlign w:val="center"/>
            <w:hideMark/>
          </w:tcPr>
          <w:p w14:paraId="5ED64B3D" w14:textId="2A1AA792"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903" w:type="dxa"/>
            <w:tcBorders>
              <w:top w:val="nil"/>
              <w:left w:val="nil"/>
              <w:bottom w:val="single" w:sz="4" w:space="0" w:color="auto"/>
              <w:right w:val="single" w:sz="4" w:space="0" w:color="auto"/>
            </w:tcBorders>
            <w:shd w:val="clear" w:color="auto" w:fill="auto"/>
            <w:noWrap/>
            <w:vAlign w:val="center"/>
            <w:hideMark/>
          </w:tcPr>
          <w:p w14:paraId="5E115367" w14:textId="72B764E2"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902" w:type="dxa"/>
            <w:tcBorders>
              <w:top w:val="nil"/>
              <w:left w:val="nil"/>
              <w:bottom w:val="single" w:sz="4" w:space="0" w:color="auto"/>
              <w:right w:val="single" w:sz="4" w:space="0" w:color="auto"/>
            </w:tcBorders>
            <w:shd w:val="clear" w:color="auto" w:fill="auto"/>
            <w:noWrap/>
            <w:vAlign w:val="center"/>
            <w:hideMark/>
          </w:tcPr>
          <w:p w14:paraId="59B97401" w14:textId="011BA093"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903" w:type="dxa"/>
            <w:tcBorders>
              <w:top w:val="nil"/>
              <w:left w:val="nil"/>
              <w:bottom w:val="single" w:sz="4" w:space="0" w:color="auto"/>
              <w:right w:val="single" w:sz="4" w:space="0" w:color="auto"/>
            </w:tcBorders>
            <w:shd w:val="clear" w:color="auto" w:fill="auto"/>
            <w:noWrap/>
            <w:vAlign w:val="center"/>
            <w:hideMark/>
          </w:tcPr>
          <w:p w14:paraId="3AA41F2F" w14:textId="429D6262"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903" w:type="dxa"/>
            <w:tcBorders>
              <w:top w:val="nil"/>
              <w:left w:val="nil"/>
              <w:bottom w:val="single" w:sz="4" w:space="0" w:color="auto"/>
              <w:right w:val="single" w:sz="4" w:space="0" w:color="auto"/>
            </w:tcBorders>
            <w:shd w:val="clear" w:color="auto" w:fill="auto"/>
            <w:noWrap/>
            <w:vAlign w:val="center"/>
            <w:hideMark/>
          </w:tcPr>
          <w:p w14:paraId="454D193A" w14:textId="2770470D"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903" w:type="dxa"/>
            <w:tcBorders>
              <w:top w:val="nil"/>
              <w:left w:val="nil"/>
              <w:bottom w:val="single" w:sz="4" w:space="0" w:color="auto"/>
              <w:right w:val="single" w:sz="4" w:space="0" w:color="auto"/>
            </w:tcBorders>
            <w:shd w:val="clear" w:color="auto" w:fill="auto"/>
            <w:noWrap/>
            <w:vAlign w:val="center"/>
            <w:hideMark/>
          </w:tcPr>
          <w:p w14:paraId="39CDA707" w14:textId="736C22DD" w:rsidR="00F44604" w:rsidRPr="00967C97" w:rsidRDefault="00F44604" w:rsidP="00F44604">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r>
    </w:tbl>
    <w:p w14:paraId="4F4E6B6D" w14:textId="77777777" w:rsidR="00967C97" w:rsidRDefault="00967C97" w:rsidP="00967C97"/>
    <w:p w14:paraId="09B0A3E6" w14:textId="77777777" w:rsidR="003C4E04" w:rsidRPr="005E22C2" w:rsidRDefault="003C4E04" w:rsidP="003C4E04">
      <w:pPr>
        <w:pStyle w:val="Heading2"/>
      </w:pPr>
      <w:r>
        <w:t xml:space="preserve">Analysis </w:t>
      </w:r>
      <w:r w:rsidRPr="005E22C2">
        <w:t xml:space="preserve">of </w:t>
      </w:r>
      <w:r>
        <w:t>a</w:t>
      </w:r>
      <w:r w:rsidRPr="005E22C2">
        <w:t xml:space="preserve">ctual versus </w:t>
      </w:r>
      <w:r>
        <w:t>p</w:t>
      </w:r>
      <w:r w:rsidRPr="005E22C2">
        <w:t xml:space="preserve">redicted </w:t>
      </w:r>
      <w:r>
        <w:t>u</w:t>
      </w:r>
      <w:r w:rsidRPr="005E22C2">
        <w:t>tilisation</w:t>
      </w:r>
    </w:p>
    <w:p w14:paraId="21606925" w14:textId="0A6C64B1" w:rsidR="009C012C" w:rsidRDefault="009C012C" w:rsidP="009C012C">
      <w:r>
        <w:t xml:space="preserve">The </w:t>
      </w:r>
      <w:r w:rsidR="0034179B">
        <w:t>table below shows the prescri</w:t>
      </w:r>
      <w:r w:rsidR="00233E67">
        <w:t>p</w:t>
      </w:r>
      <w:r w:rsidR="0034179B">
        <w:t>tio</w:t>
      </w:r>
      <w:r w:rsidR="00233E67">
        <w:t xml:space="preserve">ns supplied for severe asthma since 2021, compared to the estimated number of </w:t>
      </w:r>
      <w:r w:rsidR="009A6AC8">
        <w:t xml:space="preserve">prescriptions in the final estimates for dupilumab. </w:t>
      </w:r>
      <w:r w:rsidR="00DC2A98">
        <w:t xml:space="preserve">It appears that the market </w:t>
      </w:r>
      <w:r w:rsidR="00AA6AD8">
        <w:t xml:space="preserve">grew further than </w:t>
      </w:r>
      <w:r w:rsidR="007205BE">
        <w:t xml:space="preserve">was </w:t>
      </w:r>
      <w:r w:rsidR="00AA6AD8">
        <w:t>predicted</w:t>
      </w:r>
      <w:r w:rsidR="004655FC">
        <w:t xml:space="preserve">, as the total number of supplied prescriptions was </w:t>
      </w:r>
      <w:r w:rsidR="002C3EA2">
        <w:t xml:space="preserve">35% higher than estimated. The use of each medicine was underestimated, </w:t>
      </w:r>
      <w:r w:rsidR="000B4FB4">
        <w:t>and the use of</w:t>
      </w:r>
      <w:r w:rsidR="002C3EA2">
        <w:t xml:space="preserve"> dupilumab was </w:t>
      </w:r>
      <w:r w:rsidR="000B4FB4">
        <w:t xml:space="preserve">the </w:t>
      </w:r>
      <w:r w:rsidR="002F0603">
        <w:t>furthest</w:t>
      </w:r>
      <w:r w:rsidR="000B4FB4">
        <w:t xml:space="preserve"> </w:t>
      </w:r>
      <w:r w:rsidR="002C3EA2">
        <w:t>under</w:t>
      </w:r>
      <w:r w:rsidR="000B4FB4">
        <w:t>estimated</w:t>
      </w:r>
      <w:r w:rsidR="002F0603">
        <w:t xml:space="preserve">, as there were 17,292 prescriptions supplied in 2022 compared to </w:t>
      </w:r>
      <w:r w:rsidR="004757D4">
        <w:t>an estimated 7,924.</w:t>
      </w:r>
      <w:r w:rsidR="00640B24">
        <w:t xml:space="preserve"> </w:t>
      </w:r>
      <w:r w:rsidR="00640B24" w:rsidRPr="00640B24">
        <w:t xml:space="preserve">The numbers presented for 2023 includes nine months of data and use is approximately equal to the estimated number of prescriptions, therefore use in 2023 will also be higher than estimated. </w:t>
      </w:r>
      <w:bookmarkStart w:id="5" w:name="_Hlk159584525"/>
      <w:r w:rsidR="00640B24" w:rsidRPr="00640B24">
        <w:t>Overall it appears the market is larger than predicted and the uptake of dupilumab within the market has been higher than predicted.</w:t>
      </w:r>
      <w:bookmarkEnd w:id="5"/>
    </w:p>
    <w:p w14:paraId="4A5692CA" w14:textId="091310C5" w:rsidR="007B7D9D" w:rsidRPr="006E5B6B" w:rsidRDefault="006E5B6B" w:rsidP="00C80536">
      <w:pPr>
        <w:pStyle w:val="Tabletitle"/>
        <w:keepNext/>
      </w:pPr>
      <w:r w:rsidRPr="006E5B6B">
        <w:lastRenderedPageBreak/>
        <w:t xml:space="preserve">Table </w:t>
      </w:r>
      <w:r w:rsidR="00086A79">
        <w:t>1</w:t>
      </w:r>
      <w:r w:rsidR="00516AC5">
        <w:t>0</w:t>
      </w:r>
      <w:r w:rsidRPr="006E5B6B">
        <w:t>: Predicted versus actual prescriptions by year</w:t>
      </w: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2"/>
        <w:gridCol w:w="1543"/>
        <w:gridCol w:w="1722"/>
        <w:gridCol w:w="1722"/>
        <w:gridCol w:w="1723"/>
      </w:tblGrid>
      <w:tr w:rsidR="00FB2BC9" w:rsidRPr="008F21EB" w14:paraId="615423E8" w14:textId="77777777" w:rsidTr="00372C56">
        <w:trPr>
          <w:trHeight w:val="810"/>
        </w:trPr>
        <w:tc>
          <w:tcPr>
            <w:tcW w:w="1682" w:type="dxa"/>
            <w:shd w:val="clear" w:color="auto" w:fill="BFBFBF" w:themeFill="background1" w:themeFillShade="BF"/>
            <w:noWrap/>
            <w:vAlign w:val="bottom"/>
            <w:hideMark/>
          </w:tcPr>
          <w:p w14:paraId="33ADE09E" w14:textId="77777777" w:rsidR="000B08A4" w:rsidRPr="000B08A4" w:rsidRDefault="000B08A4" w:rsidP="00C80536">
            <w:pPr>
              <w:keepNext/>
              <w:spacing w:after="0"/>
              <w:rPr>
                <w:rFonts w:eastAsia="Times New Roman" w:cstheme="minorHAnsi"/>
                <w:b/>
                <w:bCs/>
                <w:sz w:val="20"/>
                <w:szCs w:val="20"/>
              </w:rPr>
            </w:pPr>
          </w:p>
        </w:tc>
        <w:tc>
          <w:tcPr>
            <w:tcW w:w="1543" w:type="dxa"/>
            <w:shd w:val="clear" w:color="auto" w:fill="BFBFBF" w:themeFill="background1" w:themeFillShade="BF"/>
            <w:noWrap/>
            <w:vAlign w:val="bottom"/>
            <w:hideMark/>
          </w:tcPr>
          <w:p w14:paraId="308ED40F" w14:textId="77777777" w:rsidR="000B08A4" w:rsidRPr="000B08A4" w:rsidRDefault="000B08A4" w:rsidP="00C80536">
            <w:pPr>
              <w:keepNext/>
              <w:spacing w:after="0"/>
              <w:rPr>
                <w:rFonts w:eastAsia="Times New Roman" w:cstheme="minorHAnsi"/>
                <w:b/>
                <w:bCs/>
                <w:sz w:val="20"/>
                <w:szCs w:val="20"/>
              </w:rPr>
            </w:pPr>
          </w:p>
        </w:tc>
        <w:tc>
          <w:tcPr>
            <w:tcW w:w="1722" w:type="dxa"/>
            <w:shd w:val="clear" w:color="auto" w:fill="BFBFBF" w:themeFill="background1" w:themeFillShade="BF"/>
            <w:noWrap/>
            <w:vAlign w:val="bottom"/>
            <w:hideMark/>
          </w:tcPr>
          <w:p w14:paraId="726A01F0" w14:textId="77777777" w:rsidR="000B08A4" w:rsidRPr="000B08A4" w:rsidRDefault="000B08A4" w:rsidP="00C80536">
            <w:pPr>
              <w:keepNext/>
              <w:spacing w:after="0"/>
              <w:jc w:val="right"/>
              <w:rPr>
                <w:rFonts w:eastAsia="Times New Roman" w:cstheme="minorHAnsi"/>
                <w:b/>
                <w:bCs/>
                <w:color w:val="000000"/>
                <w:sz w:val="20"/>
                <w:szCs w:val="20"/>
              </w:rPr>
            </w:pPr>
            <w:r w:rsidRPr="000B08A4">
              <w:rPr>
                <w:rFonts w:eastAsia="Times New Roman" w:cstheme="minorHAnsi"/>
                <w:b/>
                <w:bCs/>
                <w:color w:val="000000"/>
                <w:sz w:val="20"/>
                <w:szCs w:val="20"/>
              </w:rPr>
              <w:t>2021</w:t>
            </w:r>
          </w:p>
        </w:tc>
        <w:tc>
          <w:tcPr>
            <w:tcW w:w="1722" w:type="dxa"/>
            <w:shd w:val="clear" w:color="auto" w:fill="BFBFBF" w:themeFill="background1" w:themeFillShade="BF"/>
            <w:noWrap/>
            <w:vAlign w:val="bottom"/>
            <w:hideMark/>
          </w:tcPr>
          <w:p w14:paraId="67D940C2" w14:textId="77777777" w:rsidR="000B08A4" w:rsidRPr="000B08A4" w:rsidRDefault="000B08A4" w:rsidP="00C80536">
            <w:pPr>
              <w:keepNext/>
              <w:spacing w:after="0"/>
              <w:jc w:val="right"/>
              <w:rPr>
                <w:rFonts w:eastAsia="Times New Roman" w:cstheme="minorHAnsi"/>
                <w:b/>
                <w:bCs/>
                <w:color w:val="000000"/>
                <w:sz w:val="20"/>
                <w:szCs w:val="20"/>
              </w:rPr>
            </w:pPr>
            <w:r w:rsidRPr="000B08A4">
              <w:rPr>
                <w:rFonts w:eastAsia="Times New Roman" w:cstheme="minorHAnsi"/>
                <w:b/>
                <w:bCs/>
                <w:color w:val="000000"/>
                <w:sz w:val="20"/>
                <w:szCs w:val="20"/>
              </w:rPr>
              <w:t>2022</w:t>
            </w:r>
          </w:p>
        </w:tc>
        <w:tc>
          <w:tcPr>
            <w:tcW w:w="1723" w:type="dxa"/>
            <w:shd w:val="clear" w:color="auto" w:fill="BFBFBF" w:themeFill="background1" w:themeFillShade="BF"/>
            <w:noWrap/>
            <w:vAlign w:val="bottom"/>
            <w:hideMark/>
          </w:tcPr>
          <w:p w14:paraId="149633F6" w14:textId="77777777" w:rsidR="000B08A4" w:rsidRPr="000B08A4" w:rsidRDefault="000B08A4" w:rsidP="00C80536">
            <w:pPr>
              <w:keepNext/>
              <w:spacing w:after="0"/>
              <w:jc w:val="right"/>
              <w:rPr>
                <w:rFonts w:eastAsia="Times New Roman" w:cstheme="minorHAnsi"/>
                <w:b/>
                <w:bCs/>
                <w:color w:val="000000"/>
                <w:sz w:val="20"/>
                <w:szCs w:val="20"/>
              </w:rPr>
            </w:pPr>
            <w:r w:rsidRPr="000B08A4">
              <w:rPr>
                <w:rFonts w:eastAsia="Times New Roman" w:cstheme="minorHAnsi"/>
                <w:b/>
                <w:bCs/>
                <w:color w:val="000000"/>
                <w:sz w:val="20"/>
                <w:szCs w:val="20"/>
              </w:rPr>
              <w:t>2023</w:t>
            </w:r>
          </w:p>
        </w:tc>
      </w:tr>
      <w:tr w:rsidR="00B33DCA" w:rsidRPr="008F21EB" w14:paraId="7246559C" w14:textId="77777777" w:rsidTr="00BB1D36">
        <w:trPr>
          <w:trHeight w:val="300"/>
        </w:trPr>
        <w:tc>
          <w:tcPr>
            <w:tcW w:w="1682" w:type="dxa"/>
            <w:shd w:val="clear" w:color="auto" w:fill="auto"/>
            <w:noWrap/>
            <w:vAlign w:val="bottom"/>
            <w:hideMark/>
          </w:tcPr>
          <w:p w14:paraId="73F25651" w14:textId="77777777" w:rsidR="00B33DCA" w:rsidRPr="000B08A4" w:rsidRDefault="00B33DCA" w:rsidP="00B33DCA">
            <w:pPr>
              <w:keepNext/>
              <w:spacing w:after="0"/>
              <w:rPr>
                <w:rFonts w:eastAsia="Times New Roman" w:cstheme="minorHAnsi"/>
                <w:color w:val="000000"/>
                <w:sz w:val="20"/>
                <w:szCs w:val="20"/>
              </w:rPr>
            </w:pPr>
            <w:r w:rsidRPr="000B08A4">
              <w:rPr>
                <w:rFonts w:eastAsia="Times New Roman" w:cstheme="minorHAnsi"/>
                <w:color w:val="000000"/>
                <w:sz w:val="20"/>
                <w:szCs w:val="20"/>
              </w:rPr>
              <w:t>Benralizumab</w:t>
            </w:r>
          </w:p>
        </w:tc>
        <w:tc>
          <w:tcPr>
            <w:tcW w:w="1543" w:type="dxa"/>
            <w:shd w:val="clear" w:color="auto" w:fill="auto"/>
            <w:noWrap/>
            <w:vAlign w:val="bottom"/>
            <w:hideMark/>
          </w:tcPr>
          <w:p w14:paraId="32E655DE" w14:textId="77777777" w:rsidR="00B33DCA" w:rsidRPr="000B08A4" w:rsidRDefault="00B33DCA" w:rsidP="00B33DCA">
            <w:pPr>
              <w:keepNext/>
              <w:spacing w:after="0"/>
              <w:rPr>
                <w:rFonts w:eastAsia="Times New Roman" w:cstheme="minorHAnsi"/>
                <w:color w:val="000000"/>
                <w:sz w:val="20"/>
                <w:szCs w:val="20"/>
              </w:rPr>
            </w:pPr>
            <w:r w:rsidRPr="000B08A4">
              <w:rPr>
                <w:rFonts w:eastAsia="Times New Roman" w:cstheme="minorHAnsi"/>
                <w:color w:val="000000"/>
                <w:sz w:val="20"/>
                <w:szCs w:val="20"/>
              </w:rPr>
              <w:t>Predicted</w:t>
            </w:r>
          </w:p>
        </w:tc>
        <w:tc>
          <w:tcPr>
            <w:tcW w:w="1722" w:type="dxa"/>
            <w:shd w:val="clear" w:color="auto" w:fill="auto"/>
            <w:noWrap/>
            <w:vAlign w:val="bottom"/>
            <w:hideMark/>
          </w:tcPr>
          <w:p w14:paraId="4978E39D" w14:textId="4D7ADA4A" w:rsidR="00B33DCA" w:rsidRPr="000B08A4" w:rsidRDefault="00B33DCA" w:rsidP="00B33DCA">
            <w:pPr>
              <w:keepNext/>
              <w:spacing w:after="0"/>
              <w:jc w:val="right"/>
              <w:rPr>
                <w:rFonts w:eastAsia="Times New Roman" w:cstheme="minorHAnsi"/>
                <w:color w:val="000000"/>
                <w:sz w:val="20"/>
                <w:szCs w:val="20"/>
              </w:rPr>
            </w:pPr>
            <w:proofErr w:type="spellStart"/>
            <w:r w:rsidRPr="00B33DCA">
              <w:rPr>
                <w:rFonts w:eastAsia="Times New Roman" w:cstheme="minorHAnsi"/>
                <w:color w:val="000000"/>
                <w:sz w:val="20"/>
                <w:szCs w:val="20"/>
                <w:highlight w:val="black"/>
              </w:rPr>
              <w:t>xxxxxx</w:t>
            </w:r>
            <w:proofErr w:type="spellEnd"/>
          </w:p>
        </w:tc>
        <w:tc>
          <w:tcPr>
            <w:tcW w:w="1722" w:type="dxa"/>
            <w:shd w:val="clear" w:color="auto" w:fill="auto"/>
            <w:noWrap/>
            <w:vAlign w:val="center"/>
            <w:hideMark/>
          </w:tcPr>
          <w:p w14:paraId="3DC0E031" w14:textId="04A12AF2" w:rsidR="00B33DCA" w:rsidRPr="000B08A4" w:rsidRDefault="00B33DCA" w:rsidP="00B33DCA">
            <w:pPr>
              <w:keepNext/>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1723" w:type="dxa"/>
            <w:shd w:val="clear" w:color="auto" w:fill="auto"/>
            <w:noWrap/>
            <w:vAlign w:val="center"/>
            <w:hideMark/>
          </w:tcPr>
          <w:p w14:paraId="2B658FB1" w14:textId="32E81C59" w:rsidR="00B33DCA" w:rsidRPr="000B08A4" w:rsidRDefault="00B33DCA" w:rsidP="00B33DCA">
            <w:pPr>
              <w:keepNext/>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r>
      <w:tr w:rsidR="00FB2BC9" w:rsidRPr="008F21EB" w14:paraId="1ACCD703" w14:textId="77777777" w:rsidTr="00372C56">
        <w:trPr>
          <w:trHeight w:val="300"/>
        </w:trPr>
        <w:tc>
          <w:tcPr>
            <w:tcW w:w="1682" w:type="dxa"/>
            <w:shd w:val="clear" w:color="auto" w:fill="auto"/>
            <w:noWrap/>
            <w:vAlign w:val="bottom"/>
            <w:hideMark/>
          </w:tcPr>
          <w:p w14:paraId="0F4F397C" w14:textId="77777777" w:rsidR="000B08A4" w:rsidRPr="000B08A4" w:rsidRDefault="000B08A4" w:rsidP="00C80536">
            <w:pPr>
              <w:keepNext/>
              <w:spacing w:after="0"/>
              <w:jc w:val="right"/>
              <w:rPr>
                <w:rFonts w:eastAsia="Times New Roman" w:cstheme="minorHAnsi"/>
                <w:color w:val="000000"/>
                <w:sz w:val="20"/>
                <w:szCs w:val="20"/>
              </w:rPr>
            </w:pPr>
          </w:p>
        </w:tc>
        <w:tc>
          <w:tcPr>
            <w:tcW w:w="1543" w:type="dxa"/>
            <w:shd w:val="clear" w:color="auto" w:fill="auto"/>
            <w:noWrap/>
            <w:vAlign w:val="bottom"/>
            <w:hideMark/>
          </w:tcPr>
          <w:p w14:paraId="6D5D0E9B" w14:textId="77777777" w:rsidR="000B08A4" w:rsidRPr="000B08A4" w:rsidRDefault="000B08A4" w:rsidP="00C80536">
            <w:pPr>
              <w:keepNext/>
              <w:spacing w:after="0"/>
              <w:rPr>
                <w:rFonts w:eastAsia="Times New Roman" w:cstheme="minorHAnsi"/>
                <w:color w:val="000000"/>
                <w:sz w:val="20"/>
                <w:szCs w:val="20"/>
              </w:rPr>
            </w:pPr>
            <w:r w:rsidRPr="000B08A4">
              <w:rPr>
                <w:rFonts w:eastAsia="Times New Roman" w:cstheme="minorHAnsi"/>
                <w:color w:val="000000"/>
                <w:sz w:val="20"/>
                <w:szCs w:val="20"/>
              </w:rPr>
              <w:t>Actual</w:t>
            </w:r>
          </w:p>
        </w:tc>
        <w:tc>
          <w:tcPr>
            <w:tcW w:w="1722" w:type="dxa"/>
            <w:shd w:val="clear" w:color="auto" w:fill="auto"/>
            <w:noWrap/>
            <w:vAlign w:val="bottom"/>
            <w:hideMark/>
          </w:tcPr>
          <w:p w14:paraId="260631DE" w14:textId="4584BF99" w:rsidR="000B08A4" w:rsidRPr="000B08A4" w:rsidRDefault="000B08A4" w:rsidP="00C80536">
            <w:pPr>
              <w:keepNext/>
              <w:spacing w:after="0"/>
              <w:jc w:val="right"/>
              <w:rPr>
                <w:rFonts w:eastAsia="Times New Roman" w:cstheme="minorHAnsi"/>
                <w:color w:val="000000"/>
                <w:sz w:val="20"/>
                <w:szCs w:val="20"/>
              </w:rPr>
            </w:pPr>
            <w:r w:rsidRPr="000B08A4">
              <w:rPr>
                <w:rFonts w:eastAsia="Times New Roman" w:cstheme="minorHAnsi"/>
                <w:color w:val="000000"/>
                <w:sz w:val="20"/>
                <w:szCs w:val="20"/>
              </w:rPr>
              <w:t>15</w:t>
            </w:r>
            <w:r w:rsidR="003F0FB7" w:rsidRPr="008F21EB">
              <w:rPr>
                <w:rFonts w:eastAsia="Times New Roman" w:cstheme="minorHAnsi"/>
                <w:color w:val="000000"/>
                <w:sz w:val="20"/>
                <w:szCs w:val="20"/>
              </w:rPr>
              <w:t>,</w:t>
            </w:r>
            <w:r w:rsidRPr="000B08A4">
              <w:rPr>
                <w:rFonts w:eastAsia="Times New Roman" w:cstheme="minorHAnsi"/>
                <w:color w:val="000000"/>
                <w:sz w:val="20"/>
                <w:szCs w:val="20"/>
              </w:rPr>
              <w:t>050</w:t>
            </w:r>
          </w:p>
        </w:tc>
        <w:tc>
          <w:tcPr>
            <w:tcW w:w="1722" w:type="dxa"/>
            <w:shd w:val="clear" w:color="auto" w:fill="auto"/>
            <w:noWrap/>
            <w:vAlign w:val="bottom"/>
            <w:hideMark/>
          </w:tcPr>
          <w:p w14:paraId="56B3D84E" w14:textId="1794CB89" w:rsidR="000B08A4" w:rsidRPr="000B08A4" w:rsidRDefault="000B08A4" w:rsidP="00C80536">
            <w:pPr>
              <w:keepNext/>
              <w:spacing w:after="0"/>
              <w:jc w:val="right"/>
              <w:rPr>
                <w:rFonts w:eastAsia="Times New Roman" w:cstheme="minorHAnsi"/>
                <w:color w:val="000000"/>
                <w:sz w:val="20"/>
                <w:szCs w:val="20"/>
              </w:rPr>
            </w:pPr>
            <w:r w:rsidRPr="000B08A4">
              <w:rPr>
                <w:rFonts w:eastAsia="Times New Roman" w:cstheme="minorHAnsi"/>
                <w:color w:val="000000"/>
                <w:sz w:val="20"/>
                <w:szCs w:val="20"/>
              </w:rPr>
              <w:t>17</w:t>
            </w:r>
            <w:r w:rsidR="003F0FB7" w:rsidRPr="008F21EB">
              <w:rPr>
                <w:rFonts w:eastAsia="Times New Roman" w:cstheme="minorHAnsi"/>
                <w:color w:val="000000"/>
                <w:sz w:val="20"/>
                <w:szCs w:val="20"/>
              </w:rPr>
              <w:t>,</w:t>
            </w:r>
            <w:r w:rsidRPr="000B08A4">
              <w:rPr>
                <w:rFonts w:eastAsia="Times New Roman" w:cstheme="minorHAnsi"/>
                <w:color w:val="000000"/>
                <w:sz w:val="20"/>
                <w:szCs w:val="20"/>
              </w:rPr>
              <w:t>639</w:t>
            </w:r>
          </w:p>
        </w:tc>
        <w:tc>
          <w:tcPr>
            <w:tcW w:w="1723" w:type="dxa"/>
            <w:shd w:val="clear" w:color="auto" w:fill="auto"/>
            <w:noWrap/>
            <w:vAlign w:val="bottom"/>
            <w:hideMark/>
          </w:tcPr>
          <w:p w14:paraId="4C7E0D30" w14:textId="15BE9B45" w:rsidR="000B08A4" w:rsidRPr="000B08A4" w:rsidRDefault="000B08A4" w:rsidP="00C80536">
            <w:pPr>
              <w:keepNext/>
              <w:spacing w:after="0"/>
              <w:jc w:val="right"/>
              <w:rPr>
                <w:rFonts w:eastAsia="Times New Roman" w:cstheme="minorHAnsi"/>
                <w:color w:val="000000"/>
                <w:sz w:val="20"/>
                <w:szCs w:val="20"/>
              </w:rPr>
            </w:pPr>
            <w:r w:rsidRPr="000B08A4">
              <w:rPr>
                <w:rFonts w:eastAsia="Times New Roman" w:cstheme="minorHAnsi"/>
                <w:color w:val="000000"/>
                <w:sz w:val="20"/>
                <w:szCs w:val="20"/>
              </w:rPr>
              <w:t>14</w:t>
            </w:r>
            <w:r w:rsidR="003F0FB7" w:rsidRPr="008F21EB">
              <w:rPr>
                <w:rFonts w:eastAsia="Times New Roman" w:cstheme="minorHAnsi"/>
                <w:color w:val="000000"/>
                <w:sz w:val="20"/>
                <w:szCs w:val="20"/>
              </w:rPr>
              <w:t>,</w:t>
            </w:r>
            <w:r w:rsidRPr="000B08A4">
              <w:rPr>
                <w:rFonts w:eastAsia="Times New Roman" w:cstheme="minorHAnsi"/>
                <w:color w:val="000000"/>
                <w:sz w:val="20"/>
                <w:szCs w:val="20"/>
              </w:rPr>
              <w:t>599</w:t>
            </w:r>
          </w:p>
        </w:tc>
      </w:tr>
      <w:tr w:rsidR="00B33DCA" w:rsidRPr="008F21EB" w14:paraId="687289CB" w14:textId="77777777" w:rsidTr="005455BF">
        <w:trPr>
          <w:trHeight w:val="300"/>
        </w:trPr>
        <w:tc>
          <w:tcPr>
            <w:tcW w:w="1682" w:type="dxa"/>
            <w:shd w:val="clear" w:color="auto" w:fill="auto"/>
            <w:noWrap/>
            <w:vAlign w:val="bottom"/>
            <w:hideMark/>
          </w:tcPr>
          <w:p w14:paraId="3F614922" w14:textId="77777777" w:rsidR="00B33DCA" w:rsidRPr="000B08A4" w:rsidRDefault="00B33DCA" w:rsidP="00B33DCA">
            <w:pPr>
              <w:keepNext/>
              <w:spacing w:after="0"/>
              <w:jc w:val="right"/>
              <w:rPr>
                <w:rFonts w:eastAsia="Times New Roman" w:cstheme="minorHAnsi"/>
                <w:color w:val="000000"/>
                <w:sz w:val="20"/>
                <w:szCs w:val="20"/>
              </w:rPr>
            </w:pPr>
          </w:p>
        </w:tc>
        <w:tc>
          <w:tcPr>
            <w:tcW w:w="1543" w:type="dxa"/>
            <w:shd w:val="clear" w:color="auto" w:fill="auto"/>
            <w:noWrap/>
            <w:vAlign w:val="bottom"/>
            <w:hideMark/>
          </w:tcPr>
          <w:p w14:paraId="123F7C4A" w14:textId="77777777" w:rsidR="00B33DCA" w:rsidRPr="000B08A4" w:rsidRDefault="00B33DCA" w:rsidP="00B33DCA">
            <w:pPr>
              <w:keepNext/>
              <w:spacing w:after="0"/>
              <w:rPr>
                <w:rFonts w:eastAsia="Times New Roman" w:cstheme="minorHAnsi"/>
                <w:color w:val="000000"/>
                <w:sz w:val="20"/>
                <w:szCs w:val="20"/>
              </w:rPr>
            </w:pPr>
            <w:r w:rsidRPr="000B08A4">
              <w:rPr>
                <w:rFonts w:eastAsia="Times New Roman" w:cstheme="minorHAnsi"/>
                <w:color w:val="000000"/>
                <w:sz w:val="20"/>
                <w:szCs w:val="20"/>
              </w:rPr>
              <w:t>Difference</w:t>
            </w:r>
          </w:p>
        </w:tc>
        <w:tc>
          <w:tcPr>
            <w:tcW w:w="1722" w:type="dxa"/>
            <w:shd w:val="clear" w:color="auto" w:fill="auto"/>
            <w:noWrap/>
            <w:vAlign w:val="bottom"/>
            <w:hideMark/>
          </w:tcPr>
          <w:p w14:paraId="288FDBAE" w14:textId="705DDB46" w:rsidR="00B33DCA" w:rsidRPr="000B08A4" w:rsidRDefault="00B33DCA" w:rsidP="00B33DCA">
            <w:pPr>
              <w:keepNext/>
              <w:spacing w:after="0"/>
              <w:jc w:val="right"/>
              <w:rPr>
                <w:rFonts w:eastAsia="Times New Roman" w:cstheme="minorHAnsi"/>
                <w:color w:val="000000"/>
                <w:sz w:val="20"/>
                <w:szCs w:val="20"/>
              </w:rPr>
            </w:pPr>
            <w:proofErr w:type="spellStart"/>
            <w:r w:rsidRPr="00B33DCA">
              <w:rPr>
                <w:rFonts w:eastAsia="Times New Roman" w:cstheme="minorHAnsi"/>
                <w:color w:val="000000"/>
                <w:sz w:val="20"/>
                <w:szCs w:val="20"/>
                <w:highlight w:val="black"/>
              </w:rPr>
              <w:t>xxxxxx</w:t>
            </w:r>
            <w:proofErr w:type="spellEnd"/>
          </w:p>
        </w:tc>
        <w:tc>
          <w:tcPr>
            <w:tcW w:w="1722" w:type="dxa"/>
            <w:shd w:val="clear" w:color="auto" w:fill="auto"/>
            <w:noWrap/>
            <w:vAlign w:val="center"/>
            <w:hideMark/>
          </w:tcPr>
          <w:p w14:paraId="31EB6FEA" w14:textId="54880378" w:rsidR="00B33DCA" w:rsidRPr="000B08A4" w:rsidRDefault="00B33DCA" w:rsidP="00B33DCA">
            <w:pPr>
              <w:keepNext/>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1723" w:type="dxa"/>
            <w:shd w:val="clear" w:color="auto" w:fill="auto"/>
            <w:noWrap/>
            <w:vAlign w:val="center"/>
            <w:hideMark/>
          </w:tcPr>
          <w:p w14:paraId="30312559" w14:textId="0ED6512A" w:rsidR="00B33DCA" w:rsidRPr="000B08A4" w:rsidRDefault="00B33DCA" w:rsidP="00B33DCA">
            <w:pPr>
              <w:keepNext/>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r>
      <w:tr w:rsidR="00B33DCA" w:rsidRPr="008F21EB" w14:paraId="4C8A555A" w14:textId="77777777" w:rsidTr="00C4512F">
        <w:trPr>
          <w:trHeight w:val="300"/>
        </w:trPr>
        <w:tc>
          <w:tcPr>
            <w:tcW w:w="1682" w:type="dxa"/>
            <w:shd w:val="clear" w:color="auto" w:fill="auto"/>
            <w:noWrap/>
            <w:vAlign w:val="bottom"/>
            <w:hideMark/>
          </w:tcPr>
          <w:p w14:paraId="0D1D0F02" w14:textId="77777777" w:rsidR="00B33DCA" w:rsidRPr="000B08A4" w:rsidRDefault="00B33DCA" w:rsidP="00B33DCA">
            <w:pPr>
              <w:keepNext/>
              <w:spacing w:after="0"/>
              <w:rPr>
                <w:rFonts w:eastAsia="Times New Roman" w:cstheme="minorHAnsi"/>
                <w:color w:val="000000"/>
                <w:sz w:val="20"/>
                <w:szCs w:val="20"/>
              </w:rPr>
            </w:pPr>
            <w:r w:rsidRPr="000B08A4">
              <w:rPr>
                <w:rFonts w:eastAsia="Times New Roman" w:cstheme="minorHAnsi"/>
                <w:color w:val="000000"/>
                <w:sz w:val="20"/>
                <w:szCs w:val="20"/>
              </w:rPr>
              <w:t>Mepolizumab</w:t>
            </w:r>
          </w:p>
        </w:tc>
        <w:tc>
          <w:tcPr>
            <w:tcW w:w="1543" w:type="dxa"/>
            <w:shd w:val="clear" w:color="auto" w:fill="auto"/>
            <w:noWrap/>
            <w:vAlign w:val="bottom"/>
            <w:hideMark/>
          </w:tcPr>
          <w:p w14:paraId="2ED58689" w14:textId="77777777" w:rsidR="00B33DCA" w:rsidRPr="000B08A4" w:rsidRDefault="00B33DCA" w:rsidP="00B33DCA">
            <w:pPr>
              <w:keepNext/>
              <w:spacing w:after="0"/>
              <w:rPr>
                <w:rFonts w:eastAsia="Times New Roman" w:cstheme="minorHAnsi"/>
                <w:color w:val="000000"/>
                <w:sz w:val="20"/>
                <w:szCs w:val="20"/>
              </w:rPr>
            </w:pPr>
            <w:r w:rsidRPr="000B08A4">
              <w:rPr>
                <w:rFonts w:eastAsia="Times New Roman" w:cstheme="minorHAnsi"/>
                <w:color w:val="000000"/>
                <w:sz w:val="20"/>
                <w:szCs w:val="20"/>
              </w:rPr>
              <w:t>Predicted</w:t>
            </w:r>
          </w:p>
        </w:tc>
        <w:tc>
          <w:tcPr>
            <w:tcW w:w="1722" w:type="dxa"/>
            <w:shd w:val="clear" w:color="auto" w:fill="auto"/>
            <w:noWrap/>
            <w:vAlign w:val="bottom"/>
            <w:hideMark/>
          </w:tcPr>
          <w:p w14:paraId="50970232" w14:textId="42A30FA2" w:rsidR="00B33DCA" w:rsidRPr="000B08A4" w:rsidRDefault="00B33DCA" w:rsidP="00B33DCA">
            <w:pPr>
              <w:keepNext/>
              <w:spacing w:after="0"/>
              <w:jc w:val="right"/>
              <w:rPr>
                <w:rFonts w:eastAsia="Times New Roman" w:cstheme="minorHAnsi"/>
                <w:color w:val="000000"/>
                <w:sz w:val="20"/>
                <w:szCs w:val="20"/>
              </w:rPr>
            </w:pPr>
            <w:proofErr w:type="spellStart"/>
            <w:r w:rsidRPr="00B33DCA">
              <w:rPr>
                <w:rFonts w:eastAsia="Times New Roman" w:cstheme="minorHAnsi"/>
                <w:color w:val="000000"/>
                <w:sz w:val="20"/>
                <w:szCs w:val="20"/>
                <w:highlight w:val="black"/>
              </w:rPr>
              <w:t>xxxxxx</w:t>
            </w:r>
            <w:proofErr w:type="spellEnd"/>
          </w:p>
        </w:tc>
        <w:tc>
          <w:tcPr>
            <w:tcW w:w="1722" w:type="dxa"/>
            <w:shd w:val="clear" w:color="auto" w:fill="auto"/>
            <w:noWrap/>
            <w:vAlign w:val="center"/>
            <w:hideMark/>
          </w:tcPr>
          <w:p w14:paraId="4C3C1C7E" w14:textId="5D363939" w:rsidR="00B33DCA" w:rsidRPr="000B08A4" w:rsidRDefault="00B33DCA" w:rsidP="00B33DCA">
            <w:pPr>
              <w:keepNext/>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1723" w:type="dxa"/>
            <w:shd w:val="clear" w:color="auto" w:fill="auto"/>
            <w:noWrap/>
            <w:vAlign w:val="center"/>
            <w:hideMark/>
          </w:tcPr>
          <w:p w14:paraId="391DEFEE" w14:textId="61F8CCE5" w:rsidR="00B33DCA" w:rsidRPr="000B08A4" w:rsidRDefault="00B33DCA" w:rsidP="00B33DCA">
            <w:pPr>
              <w:keepNext/>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r>
      <w:tr w:rsidR="00FB2BC9" w:rsidRPr="008F21EB" w14:paraId="482F2723" w14:textId="77777777" w:rsidTr="00372C56">
        <w:trPr>
          <w:trHeight w:val="300"/>
        </w:trPr>
        <w:tc>
          <w:tcPr>
            <w:tcW w:w="1682" w:type="dxa"/>
            <w:shd w:val="clear" w:color="auto" w:fill="auto"/>
            <w:noWrap/>
            <w:vAlign w:val="bottom"/>
            <w:hideMark/>
          </w:tcPr>
          <w:p w14:paraId="71F93A01" w14:textId="77777777" w:rsidR="000B08A4" w:rsidRPr="000B08A4" w:rsidRDefault="000B08A4" w:rsidP="00C80536">
            <w:pPr>
              <w:keepNext/>
              <w:spacing w:after="0"/>
              <w:jc w:val="right"/>
              <w:rPr>
                <w:rFonts w:eastAsia="Times New Roman" w:cstheme="minorHAnsi"/>
                <w:color w:val="000000"/>
                <w:sz w:val="20"/>
                <w:szCs w:val="20"/>
              </w:rPr>
            </w:pPr>
          </w:p>
        </w:tc>
        <w:tc>
          <w:tcPr>
            <w:tcW w:w="1543" w:type="dxa"/>
            <w:shd w:val="clear" w:color="auto" w:fill="auto"/>
            <w:noWrap/>
            <w:vAlign w:val="bottom"/>
            <w:hideMark/>
          </w:tcPr>
          <w:p w14:paraId="0133302E" w14:textId="77777777" w:rsidR="000B08A4" w:rsidRPr="000B08A4" w:rsidRDefault="000B08A4" w:rsidP="00C80536">
            <w:pPr>
              <w:keepNext/>
              <w:spacing w:after="0"/>
              <w:rPr>
                <w:rFonts w:eastAsia="Times New Roman" w:cstheme="minorHAnsi"/>
                <w:color w:val="000000"/>
                <w:sz w:val="20"/>
                <w:szCs w:val="20"/>
              </w:rPr>
            </w:pPr>
            <w:r w:rsidRPr="000B08A4">
              <w:rPr>
                <w:rFonts w:eastAsia="Times New Roman" w:cstheme="minorHAnsi"/>
                <w:color w:val="000000"/>
                <w:sz w:val="20"/>
                <w:szCs w:val="20"/>
              </w:rPr>
              <w:t>Actual</w:t>
            </w:r>
          </w:p>
        </w:tc>
        <w:tc>
          <w:tcPr>
            <w:tcW w:w="1722" w:type="dxa"/>
            <w:shd w:val="clear" w:color="auto" w:fill="auto"/>
            <w:noWrap/>
            <w:vAlign w:val="bottom"/>
            <w:hideMark/>
          </w:tcPr>
          <w:p w14:paraId="23CBF2E9" w14:textId="606FC58C" w:rsidR="000B08A4" w:rsidRPr="000B08A4" w:rsidRDefault="000B08A4" w:rsidP="00C80536">
            <w:pPr>
              <w:keepNext/>
              <w:spacing w:after="0"/>
              <w:jc w:val="right"/>
              <w:rPr>
                <w:rFonts w:eastAsia="Times New Roman" w:cstheme="minorHAnsi"/>
                <w:color w:val="000000"/>
                <w:sz w:val="20"/>
                <w:szCs w:val="20"/>
              </w:rPr>
            </w:pPr>
            <w:r w:rsidRPr="000B08A4">
              <w:rPr>
                <w:rFonts w:eastAsia="Times New Roman" w:cstheme="minorHAnsi"/>
                <w:color w:val="000000"/>
                <w:sz w:val="20"/>
                <w:szCs w:val="20"/>
              </w:rPr>
              <w:t>22</w:t>
            </w:r>
            <w:r w:rsidR="003F0FB7" w:rsidRPr="008F21EB">
              <w:rPr>
                <w:rFonts w:eastAsia="Times New Roman" w:cstheme="minorHAnsi"/>
                <w:color w:val="000000"/>
                <w:sz w:val="20"/>
                <w:szCs w:val="20"/>
              </w:rPr>
              <w:t>,</w:t>
            </w:r>
            <w:r w:rsidRPr="000B08A4">
              <w:rPr>
                <w:rFonts w:eastAsia="Times New Roman" w:cstheme="minorHAnsi"/>
                <w:color w:val="000000"/>
                <w:sz w:val="20"/>
                <w:szCs w:val="20"/>
              </w:rPr>
              <w:t>818</w:t>
            </w:r>
          </w:p>
        </w:tc>
        <w:tc>
          <w:tcPr>
            <w:tcW w:w="1722" w:type="dxa"/>
            <w:shd w:val="clear" w:color="auto" w:fill="auto"/>
            <w:noWrap/>
            <w:vAlign w:val="bottom"/>
            <w:hideMark/>
          </w:tcPr>
          <w:p w14:paraId="62328FD6" w14:textId="376956E3" w:rsidR="000B08A4" w:rsidRPr="000B08A4" w:rsidRDefault="000B08A4" w:rsidP="00C80536">
            <w:pPr>
              <w:keepNext/>
              <w:spacing w:after="0"/>
              <w:jc w:val="right"/>
              <w:rPr>
                <w:rFonts w:eastAsia="Times New Roman" w:cstheme="minorHAnsi"/>
                <w:color w:val="000000"/>
                <w:sz w:val="20"/>
                <w:szCs w:val="20"/>
              </w:rPr>
            </w:pPr>
            <w:r w:rsidRPr="000B08A4">
              <w:rPr>
                <w:rFonts w:eastAsia="Times New Roman" w:cstheme="minorHAnsi"/>
                <w:color w:val="000000"/>
                <w:sz w:val="20"/>
                <w:szCs w:val="20"/>
              </w:rPr>
              <w:t>25</w:t>
            </w:r>
            <w:r w:rsidR="003F0FB7" w:rsidRPr="008F21EB">
              <w:rPr>
                <w:rFonts w:eastAsia="Times New Roman" w:cstheme="minorHAnsi"/>
                <w:color w:val="000000"/>
                <w:sz w:val="20"/>
                <w:szCs w:val="20"/>
              </w:rPr>
              <w:t>,</w:t>
            </w:r>
            <w:r w:rsidRPr="000B08A4">
              <w:rPr>
                <w:rFonts w:eastAsia="Times New Roman" w:cstheme="minorHAnsi"/>
                <w:color w:val="000000"/>
                <w:sz w:val="20"/>
                <w:szCs w:val="20"/>
              </w:rPr>
              <w:t>577</w:t>
            </w:r>
          </w:p>
        </w:tc>
        <w:tc>
          <w:tcPr>
            <w:tcW w:w="1723" w:type="dxa"/>
            <w:shd w:val="clear" w:color="auto" w:fill="auto"/>
            <w:noWrap/>
            <w:vAlign w:val="bottom"/>
            <w:hideMark/>
          </w:tcPr>
          <w:p w14:paraId="48C4FD1D" w14:textId="4F26EEC1" w:rsidR="000B08A4" w:rsidRPr="000B08A4" w:rsidRDefault="000B08A4" w:rsidP="00C80536">
            <w:pPr>
              <w:keepNext/>
              <w:spacing w:after="0"/>
              <w:jc w:val="right"/>
              <w:rPr>
                <w:rFonts w:eastAsia="Times New Roman" w:cstheme="minorHAnsi"/>
                <w:color w:val="000000"/>
                <w:sz w:val="20"/>
                <w:szCs w:val="20"/>
              </w:rPr>
            </w:pPr>
            <w:r w:rsidRPr="000B08A4">
              <w:rPr>
                <w:rFonts w:eastAsia="Times New Roman" w:cstheme="minorHAnsi"/>
                <w:color w:val="000000"/>
                <w:sz w:val="20"/>
                <w:szCs w:val="20"/>
              </w:rPr>
              <w:t>20</w:t>
            </w:r>
            <w:r w:rsidR="003F0FB7" w:rsidRPr="008F21EB">
              <w:rPr>
                <w:rFonts w:eastAsia="Times New Roman" w:cstheme="minorHAnsi"/>
                <w:color w:val="000000"/>
                <w:sz w:val="20"/>
                <w:szCs w:val="20"/>
              </w:rPr>
              <w:t>,</w:t>
            </w:r>
            <w:r w:rsidRPr="000B08A4">
              <w:rPr>
                <w:rFonts w:eastAsia="Times New Roman" w:cstheme="minorHAnsi"/>
                <w:color w:val="000000"/>
                <w:sz w:val="20"/>
                <w:szCs w:val="20"/>
              </w:rPr>
              <w:t>875</w:t>
            </w:r>
          </w:p>
        </w:tc>
      </w:tr>
      <w:tr w:rsidR="00B33DCA" w:rsidRPr="008F21EB" w14:paraId="33448CDF" w14:textId="77777777" w:rsidTr="00E56254">
        <w:trPr>
          <w:trHeight w:val="300"/>
        </w:trPr>
        <w:tc>
          <w:tcPr>
            <w:tcW w:w="1682" w:type="dxa"/>
            <w:shd w:val="clear" w:color="auto" w:fill="auto"/>
            <w:noWrap/>
            <w:vAlign w:val="bottom"/>
            <w:hideMark/>
          </w:tcPr>
          <w:p w14:paraId="53FD4F3E" w14:textId="77777777" w:rsidR="00B33DCA" w:rsidRPr="000B08A4" w:rsidRDefault="00B33DCA" w:rsidP="00B33DCA">
            <w:pPr>
              <w:keepNext/>
              <w:spacing w:after="0"/>
              <w:jc w:val="right"/>
              <w:rPr>
                <w:rFonts w:eastAsia="Times New Roman" w:cstheme="minorHAnsi"/>
                <w:color w:val="000000"/>
                <w:sz w:val="20"/>
                <w:szCs w:val="20"/>
              </w:rPr>
            </w:pPr>
          </w:p>
        </w:tc>
        <w:tc>
          <w:tcPr>
            <w:tcW w:w="1543" w:type="dxa"/>
            <w:shd w:val="clear" w:color="auto" w:fill="auto"/>
            <w:noWrap/>
            <w:vAlign w:val="bottom"/>
            <w:hideMark/>
          </w:tcPr>
          <w:p w14:paraId="37D5DC15" w14:textId="77777777" w:rsidR="00B33DCA" w:rsidRPr="000B08A4" w:rsidRDefault="00B33DCA" w:rsidP="00B33DCA">
            <w:pPr>
              <w:keepNext/>
              <w:spacing w:after="0"/>
              <w:rPr>
                <w:rFonts w:eastAsia="Times New Roman" w:cstheme="minorHAnsi"/>
                <w:color w:val="000000"/>
                <w:sz w:val="20"/>
                <w:szCs w:val="20"/>
              </w:rPr>
            </w:pPr>
            <w:r w:rsidRPr="000B08A4">
              <w:rPr>
                <w:rFonts w:eastAsia="Times New Roman" w:cstheme="minorHAnsi"/>
                <w:color w:val="000000"/>
                <w:sz w:val="20"/>
                <w:szCs w:val="20"/>
              </w:rPr>
              <w:t>Difference</w:t>
            </w:r>
          </w:p>
        </w:tc>
        <w:tc>
          <w:tcPr>
            <w:tcW w:w="1722" w:type="dxa"/>
            <w:shd w:val="clear" w:color="auto" w:fill="auto"/>
            <w:noWrap/>
            <w:vAlign w:val="bottom"/>
            <w:hideMark/>
          </w:tcPr>
          <w:p w14:paraId="2268F450" w14:textId="19A339CE" w:rsidR="00B33DCA" w:rsidRPr="000B08A4" w:rsidRDefault="00B33DCA" w:rsidP="00B33DCA">
            <w:pPr>
              <w:keepNext/>
              <w:spacing w:after="0"/>
              <w:jc w:val="right"/>
              <w:rPr>
                <w:rFonts w:eastAsia="Times New Roman" w:cstheme="minorHAnsi"/>
                <w:color w:val="000000"/>
                <w:sz w:val="20"/>
                <w:szCs w:val="20"/>
              </w:rPr>
            </w:pPr>
            <w:proofErr w:type="spellStart"/>
            <w:r w:rsidRPr="00B33DCA">
              <w:rPr>
                <w:rFonts w:eastAsia="Times New Roman" w:cstheme="minorHAnsi"/>
                <w:color w:val="000000"/>
                <w:sz w:val="20"/>
                <w:szCs w:val="20"/>
                <w:highlight w:val="black"/>
              </w:rPr>
              <w:t>xxxxxx</w:t>
            </w:r>
            <w:proofErr w:type="spellEnd"/>
          </w:p>
        </w:tc>
        <w:tc>
          <w:tcPr>
            <w:tcW w:w="1722" w:type="dxa"/>
            <w:shd w:val="clear" w:color="auto" w:fill="auto"/>
            <w:noWrap/>
            <w:vAlign w:val="center"/>
            <w:hideMark/>
          </w:tcPr>
          <w:p w14:paraId="2F715D02" w14:textId="1D92FA2E" w:rsidR="00B33DCA" w:rsidRPr="000B08A4" w:rsidRDefault="00B33DCA" w:rsidP="00B33DCA">
            <w:pPr>
              <w:keepNext/>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1723" w:type="dxa"/>
            <w:shd w:val="clear" w:color="auto" w:fill="auto"/>
            <w:noWrap/>
            <w:vAlign w:val="center"/>
            <w:hideMark/>
          </w:tcPr>
          <w:p w14:paraId="2B09D531" w14:textId="1F3291A4" w:rsidR="00B33DCA" w:rsidRPr="000B08A4" w:rsidRDefault="00B33DCA" w:rsidP="00B33DCA">
            <w:pPr>
              <w:keepNext/>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r>
      <w:tr w:rsidR="00B33DCA" w:rsidRPr="008F21EB" w14:paraId="3EA68E1C" w14:textId="77777777" w:rsidTr="00E56254">
        <w:trPr>
          <w:trHeight w:val="300"/>
        </w:trPr>
        <w:tc>
          <w:tcPr>
            <w:tcW w:w="1682" w:type="dxa"/>
            <w:shd w:val="clear" w:color="auto" w:fill="auto"/>
            <w:noWrap/>
            <w:vAlign w:val="bottom"/>
            <w:hideMark/>
          </w:tcPr>
          <w:p w14:paraId="67DD1935" w14:textId="77777777" w:rsidR="00B33DCA" w:rsidRPr="000B08A4" w:rsidRDefault="00B33DCA" w:rsidP="00B33DCA">
            <w:pPr>
              <w:keepNext/>
              <w:spacing w:after="0"/>
              <w:rPr>
                <w:rFonts w:eastAsia="Times New Roman" w:cstheme="minorHAnsi"/>
                <w:color w:val="000000"/>
                <w:sz w:val="20"/>
                <w:szCs w:val="20"/>
              </w:rPr>
            </w:pPr>
            <w:r w:rsidRPr="000B08A4">
              <w:rPr>
                <w:rFonts w:eastAsia="Times New Roman" w:cstheme="minorHAnsi"/>
                <w:color w:val="000000"/>
                <w:sz w:val="20"/>
                <w:szCs w:val="20"/>
              </w:rPr>
              <w:t>Omalizumab</w:t>
            </w:r>
          </w:p>
        </w:tc>
        <w:tc>
          <w:tcPr>
            <w:tcW w:w="1543" w:type="dxa"/>
            <w:shd w:val="clear" w:color="auto" w:fill="auto"/>
            <w:noWrap/>
            <w:vAlign w:val="bottom"/>
            <w:hideMark/>
          </w:tcPr>
          <w:p w14:paraId="281CEA0F" w14:textId="77777777" w:rsidR="00B33DCA" w:rsidRPr="000B08A4" w:rsidRDefault="00B33DCA" w:rsidP="00B33DCA">
            <w:pPr>
              <w:keepNext/>
              <w:spacing w:after="0"/>
              <w:rPr>
                <w:rFonts w:eastAsia="Times New Roman" w:cstheme="minorHAnsi"/>
                <w:color w:val="000000"/>
                <w:sz w:val="20"/>
                <w:szCs w:val="20"/>
              </w:rPr>
            </w:pPr>
            <w:r w:rsidRPr="000B08A4">
              <w:rPr>
                <w:rFonts w:eastAsia="Times New Roman" w:cstheme="minorHAnsi"/>
                <w:color w:val="000000"/>
                <w:sz w:val="20"/>
                <w:szCs w:val="20"/>
              </w:rPr>
              <w:t>Predicted</w:t>
            </w:r>
          </w:p>
        </w:tc>
        <w:tc>
          <w:tcPr>
            <w:tcW w:w="1722" w:type="dxa"/>
            <w:shd w:val="clear" w:color="auto" w:fill="auto"/>
            <w:noWrap/>
            <w:vAlign w:val="bottom"/>
            <w:hideMark/>
          </w:tcPr>
          <w:p w14:paraId="784C1930" w14:textId="043D7F3E" w:rsidR="00B33DCA" w:rsidRPr="000B08A4" w:rsidRDefault="00B33DCA" w:rsidP="00B33DCA">
            <w:pPr>
              <w:keepNext/>
              <w:spacing w:after="0"/>
              <w:jc w:val="right"/>
              <w:rPr>
                <w:rFonts w:eastAsia="Times New Roman" w:cstheme="minorHAnsi"/>
                <w:color w:val="000000"/>
                <w:sz w:val="20"/>
                <w:szCs w:val="20"/>
              </w:rPr>
            </w:pPr>
            <w:proofErr w:type="spellStart"/>
            <w:r w:rsidRPr="00B33DCA">
              <w:rPr>
                <w:rFonts w:eastAsia="Times New Roman" w:cstheme="minorHAnsi"/>
                <w:color w:val="000000"/>
                <w:sz w:val="20"/>
                <w:szCs w:val="20"/>
                <w:highlight w:val="black"/>
              </w:rPr>
              <w:t>xxxxxx</w:t>
            </w:r>
            <w:proofErr w:type="spellEnd"/>
          </w:p>
        </w:tc>
        <w:tc>
          <w:tcPr>
            <w:tcW w:w="1722" w:type="dxa"/>
            <w:shd w:val="clear" w:color="auto" w:fill="auto"/>
            <w:noWrap/>
            <w:vAlign w:val="center"/>
            <w:hideMark/>
          </w:tcPr>
          <w:p w14:paraId="1A6F3B2E" w14:textId="325F47F3" w:rsidR="00B33DCA" w:rsidRPr="000B08A4" w:rsidRDefault="00B33DCA" w:rsidP="00B33DCA">
            <w:pPr>
              <w:keepNext/>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1723" w:type="dxa"/>
            <w:shd w:val="clear" w:color="auto" w:fill="auto"/>
            <w:noWrap/>
            <w:vAlign w:val="center"/>
            <w:hideMark/>
          </w:tcPr>
          <w:p w14:paraId="383E0730" w14:textId="25D92B25" w:rsidR="00B33DCA" w:rsidRPr="000B08A4" w:rsidRDefault="00B33DCA" w:rsidP="00B33DCA">
            <w:pPr>
              <w:keepNext/>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r>
      <w:tr w:rsidR="00FB2BC9" w:rsidRPr="008F21EB" w14:paraId="63445415" w14:textId="77777777" w:rsidTr="00372C56">
        <w:trPr>
          <w:trHeight w:val="300"/>
        </w:trPr>
        <w:tc>
          <w:tcPr>
            <w:tcW w:w="1682" w:type="dxa"/>
            <w:shd w:val="clear" w:color="auto" w:fill="auto"/>
            <w:noWrap/>
            <w:vAlign w:val="bottom"/>
            <w:hideMark/>
          </w:tcPr>
          <w:p w14:paraId="16A6A190" w14:textId="77777777" w:rsidR="000B08A4" w:rsidRPr="000B08A4" w:rsidRDefault="000B08A4" w:rsidP="000B08A4">
            <w:pPr>
              <w:spacing w:after="0"/>
              <w:jc w:val="right"/>
              <w:rPr>
                <w:rFonts w:eastAsia="Times New Roman" w:cstheme="minorHAnsi"/>
                <w:color w:val="000000"/>
                <w:sz w:val="20"/>
                <w:szCs w:val="20"/>
              </w:rPr>
            </w:pPr>
          </w:p>
        </w:tc>
        <w:tc>
          <w:tcPr>
            <w:tcW w:w="1543" w:type="dxa"/>
            <w:shd w:val="clear" w:color="auto" w:fill="auto"/>
            <w:noWrap/>
            <w:vAlign w:val="bottom"/>
            <w:hideMark/>
          </w:tcPr>
          <w:p w14:paraId="1190DF8A" w14:textId="77777777" w:rsidR="000B08A4" w:rsidRPr="000B08A4" w:rsidRDefault="000B08A4" w:rsidP="000B08A4">
            <w:pPr>
              <w:spacing w:after="0"/>
              <w:rPr>
                <w:rFonts w:eastAsia="Times New Roman" w:cstheme="minorHAnsi"/>
                <w:color w:val="000000"/>
                <w:sz w:val="20"/>
                <w:szCs w:val="20"/>
              </w:rPr>
            </w:pPr>
            <w:r w:rsidRPr="000B08A4">
              <w:rPr>
                <w:rFonts w:eastAsia="Times New Roman" w:cstheme="minorHAnsi"/>
                <w:color w:val="000000"/>
                <w:sz w:val="20"/>
                <w:szCs w:val="20"/>
              </w:rPr>
              <w:t>Actual</w:t>
            </w:r>
          </w:p>
        </w:tc>
        <w:tc>
          <w:tcPr>
            <w:tcW w:w="1722" w:type="dxa"/>
            <w:shd w:val="clear" w:color="auto" w:fill="auto"/>
            <w:noWrap/>
            <w:vAlign w:val="bottom"/>
            <w:hideMark/>
          </w:tcPr>
          <w:p w14:paraId="7DDC7CE2" w14:textId="36948DBD" w:rsidR="000B08A4" w:rsidRPr="000B08A4" w:rsidRDefault="000B08A4" w:rsidP="000B08A4">
            <w:pPr>
              <w:spacing w:after="0"/>
              <w:jc w:val="right"/>
              <w:rPr>
                <w:rFonts w:eastAsia="Times New Roman" w:cstheme="minorHAnsi"/>
                <w:color w:val="000000"/>
                <w:sz w:val="20"/>
                <w:szCs w:val="20"/>
              </w:rPr>
            </w:pPr>
            <w:r w:rsidRPr="000B08A4">
              <w:rPr>
                <w:rFonts w:eastAsia="Times New Roman" w:cstheme="minorHAnsi"/>
                <w:color w:val="000000"/>
                <w:sz w:val="20"/>
                <w:szCs w:val="20"/>
              </w:rPr>
              <w:t>25</w:t>
            </w:r>
            <w:r w:rsidR="003F0FB7" w:rsidRPr="008F21EB">
              <w:rPr>
                <w:rFonts w:eastAsia="Times New Roman" w:cstheme="minorHAnsi"/>
                <w:color w:val="000000"/>
                <w:sz w:val="20"/>
                <w:szCs w:val="20"/>
              </w:rPr>
              <w:t>,</w:t>
            </w:r>
            <w:r w:rsidRPr="000B08A4">
              <w:rPr>
                <w:rFonts w:eastAsia="Times New Roman" w:cstheme="minorHAnsi"/>
                <w:color w:val="000000"/>
                <w:sz w:val="20"/>
                <w:szCs w:val="20"/>
              </w:rPr>
              <w:t>955</w:t>
            </w:r>
          </w:p>
        </w:tc>
        <w:tc>
          <w:tcPr>
            <w:tcW w:w="1722" w:type="dxa"/>
            <w:shd w:val="clear" w:color="auto" w:fill="auto"/>
            <w:noWrap/>
            <w:vAlign w:val="bottom"/>
            <w:hideMark/>
          </w:tcPr>
          <w:p w14:paraId="0EAFDC72" w14:textId="5FD2B32E" w:rsidR="000B08A4" w:rsidRPr="000B08A4" w:rsidRDefault="000B08A4" w:rsidP="000B08A4">
            <w:pPr>
              <w:spacing w:after="0"/>
              <w:jc w:val="right"/>
              <w:rPr>
                <w:rFonts w:eastAsia="Times New Roman" w:cstheme="minorHAnsi"/>
                <w:color w:val="000000"/>
                <w:sz w:val="20"/>
                <w:szCs w:val="20"/>
              </w:rPr>
            </w:pPr>
            <w:r w:rsidRPr="000B08A4">
              <w:rPr>
                <w:rFonts w:eastAsia="Times New Roman" w:cstheme="minorHAnsi"/>
                <w:color w:val="000000"/>
                <w:sz w:val="20"/>
                <w:szCs w:val="20"/>
              </w:rPr>
              <w:t>24</w:t>
            </w:r>
            <w:r w:rsidR="003F0FB7" w:rsidRPr="008F21EB">
              <w:rPr>
                <w:rFonts w:eastAsia="Times New Roman" w:cstheme="minorHAnsi"/>
                <w:color w:val="000000"/>
                <w:sz w:val="20"/>
                <w:szCs w:val="20"/>
              </w:rPr>
              <w:t>,</w:t>
            </w:r>
            <w:r w:rsidRPr="000B08A4">
              <w:rPr>
                <w:rFonts w:eastAsia="Times New Roman" w:cstheme="minorHAnsi"/>
                <w:color w:val="000000"/>
                <w:sz w:val="20"/>
                <w:szCs w:val="20"/>
              </w:rPr>
              <w:t>291</w:t>
            </w:r>
          </w:p>
        </w:tc>
        <w:tc>
          <w:tcPr>
            <w:tcW w:w="1723" w:type="dxa"/>
            <w:shd w:val="clear" w:color="auto" w:fill="auto"/>
            <w:noWrap/>
            <w:vAlign w:val="bottom"/>
            <w:hideMark/>
          </w:tcPr>
          <w:p w14:paraId="0BA8BC16" w14:textId="2005A6C8" w:rsidR="000B08A4" w:rsidRPr="000B08A4" w:rsidRDefault="000B08A4" w:rsidP="000B08A4">
            <w:pPr>
              <w:spacing w:after="0"/>
              <w:jc w:val="right"/>
              <w:rPr>
                <w:rFonts w:eastAsia="Times New Roman" w:cstheme="minorHAnsi"/>
                <w:color w:val="000000"/>
                <w:sz w:val="20"/>
                <w:szCs w:val="20"/>
              </w:rPr>
            </w:pPr>
            <w:r w:rsidRPr="000B08A4">
              <w:rPr>
                <w:rFonts w:eastAsia="Times New Roman" w:cstheme="minorHAnsi"/>
                <w:color w:val="000000"/>
                <w:sz w:val="20"/>
                <w:szCs w:val="20"/>
              </w:rPr>
              <w:t>17</w:t>
            </w:r>
            <w:r w:rsidR="003F0FB7" w:rsidRPr="008F21EB">
              <w:rPr>
                <w:rFonts w:eastAsia="Times New Roman" w:cstheme="minorHAnsi"/>
                <w:color w:val="000000"/>
                <w:sz w:val="20"/>
                <w:szCs w:val="20"/>
              </w:rPr>
              <w:t>,</w:t>
            </w:r>
            <w:r w:rsidRPr="000B08A4">
              <w:rPr>
                <w:rFonts w:eastAsia="Times New Roman" w:cstheme="minorHAnsi"/>
                <w:color w:val="000000"/>
                <w:sz w:val="20"/>
                <w:szCs w:val="20"/>
              </w:rPr>
              <w:t>590</w:t>
            </w:r>
          </w:p>
        </w:tc>
      </w:tr>
      <w:tr w:rsidR="00B33DCA" w:rsidRPr="008F21EB" w14:paraId="7A7FF877" w14:textId="77777777" w:rsidTr="003934B5">
        <w:trPr>
          <w:trHeight w:val="300"/>
        </w:trPr>
        <w:tc>
          <w:tcPr>
            <w:tcW w:w="1682" w:type="dxa"/>
            <w:shd w:val="clear" w:color="auto" w:fill="auto"/>
            <w:noWrap/>
            <w:vAlign w:val="bottom"/>
            <w:hideMark/>
          </w:tcPr>
          <w:p w14:paraId="4F5A9D64" w14:textId="77777777" w:rsidR="00B33DCA" w:rsidRPr="000B08A4" w:rsidRDefault="00B33DCA" w:rsidP="00B33DCA">
            <w:pPr>
              <w:spacing w:after="0"/>
              <w:jc w:val="right"/>
              <w:rPr>
                <w:rFonts w:eastAsia="Times New Roman" w:cstheme="minorHAnsi"/>
                <w:color w:val="000000"/>
                <w:sz w:val="20"/>
                <w:szCs w:val="20"/>
              </w:rPr>
            </w:pPr>
          </w:p>
        </w:tc>
        <w:tc>
          <w:tcPr>
            <w:tcW w:w="1543" w:type="dxa"/>
            <w:shd w:val="clear" w:color="auto" w:fill="auto"/>
            <w:noWrap/>
            <w:vAlign w:val="bottom"/>
            <w:hideMark/>
          </w:tcPr>
          <w:p w14:paraId="6254F784" w14:textId="77777777" w:rsidR="00B33DCA" w:rsidRPr="000B08A4" w:rsidRDefault="00B33DCA" w:rsidP="00B33DCA">
            <w:pPr>
              <w:spacing w:after="0"/>
              <w:rPr>
                <w:rFonts w:eastAsia="Times New Roman" w:cstheme="minorHAnsi"/>
                <w:color w:val="000000"/>
                <w:sz w:val="20"/>
                <w:szCs w:val="20"/>
              </w:rPr>
            </w:pPr>
            <w:r w:rsidRPr="000B08A4">
              <w:rPr>
                <w:rFonts w:eastAsia="Times New Roman" w:cstheme="minorHAnsi"/>
                <w:color w:val="000000"/>
                <w:sz w:val="20"/>
                <w:szCs w:val="20"/>
              </w:rPr>
              <w:t>Difference</w:t>
            </w:r>
          </w:p>
        </w:tc>
        <w:tc>
          <w:tcPr>
            <w:tcW w:w="1722" w:type="dxa"/>
            <w:shd w:val="clear" w:color="auto" w:fill="auto"/>
            <w:noWrap/>
            <w:vAlign w:val="bottom"/>
            <w:hideMark/>
          </w:tcPr>
          <w:p w14:paraId="70A87C42" w14:textId="42ACEC38" w:rsidR="00B33DCA" w:rsidRPr="000B08A4" w:rsidRDefault="00B33DCA" w:rsidP="00B33DCA">
            <w:pPr>
              <w:spacing w:after="0"/>
              <w:jc w:val="right"/>
              <w:rPr>
                <w:rFonts w:eastAsia="Times New Roman" w:cstheme="minorHAnsi"/>
                <w:color w:val="000000"/>
                <w:sz w:val="20"/>
                <w:szCs w:val="20"/>
              </w:rPr>
            </w:pPr>
            <w:proofErr w:type="spellStart"/>
            <w:r w:rsidRPr="00B33DCA">
              <w:rPr>
                <w:rFonts w:eastAsia="Times New Roman" w:cstheme="minorHAnsi"/>
                <w:color w:val="000000"/>
                <w:sz w:val="20"/>
                <w:szCs w:val="20"/>
                <w:highlight w:val="black"/>
              </w:rPr>
              <w:t>xxxxxx</w:t>
            </w:r>
            <w:proofErr w:type="spellEnd"/>
          </w:p>
        </w:tc>
        <w:tc>
          <w:tcPr>
            <w:tcW w:w="1722" w:type="dxa"/>
            <w:shd w:val="clear" w:color="auto" w:fill="auto"/>
            <w:noWrap/>
            <w:vAlign w:val="center"/>
            <w:hideMark/>
          </w:tcPr>
          <w:p w14:paraId="0AB3F31B" w14:textId="334B145D" w:rsidR="00B33DCA" w:rsidRPr="000B08A4" w:rsidRDefault="00B33DCA" w:rsidP="00B33DCA">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1723" w:type="dxa"/>
            <w:shd w:val="clear" w:color="auto" w:fill="auto"/>
            <w:noWrap/>
            <w:vAlign w:val="center"/>
            <w:hideMark/>
          </w:tcPr>
          <w:p w14:paraId="3482017D" w14:textId="0DDF7FA1" w:rsidR="00B33DCA" w:rsidRPr="000B08A4" w:rsidRDefault="00B33DCA" w:rsidP="00B33DCA">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r>
      <w:tr w:rsidR="00B33DCA" w:rsidRPr="008F21EB" w14:paraId="60C3B48E" w14:textId="77777777" w:rsidTr="003934B5">
        <w:trPr>
          <w:trHeight w:val="300"/>
        </w:trPr>
        <w:tc>
          <w:tcPr>
            <w:tcW w:w="1682" w:type="dxa"/>
            <w:shd w:val="clear" w:color="auto" w:fill="auto"/>
            <w:noWrap/>
            <w:vAlign w:val="bottom"/>
            <w:hideMark/>
          </w:tcPr>
          <w:p w14:paraId="1A6BE831" w14:textId="77777777" w:rsidR="00B33DCA" w:rsidRPr="000B08A4" w:rsidRDefault="00B33DCA" w:rsidP="00B33DCA">
            <w:pPr>
              <w:spacing w:after="0"/>
              <w:rPr>
                <w:rFonts w:eastAsia="Times New Roman" w:cstheme="minorHAnsi"/>
                <w:color w:val="000000"/>
                <w:sz w:val="20"/>
                <w:szCs w:val="20"/>
              </w:rPr>
            </w:pPr>
            <w:r w:rsidRPr="000B08A4">
              <w:rPr>
                <w:rFonts w:eastAsia="Times New Roman" w:cstheme="minorHAnsi"/>
                <w:color w:val="000000"/>
                <w:sz w:val="20"/>
                <w:szCs w:val="20"/>
              </w:rPr>
              <w:t>Dupilumab</w:t>
            </w:r>
          </w:p>
        </w:tc>
        <w:tc>
          <w:tcPr>
            <w:tcW w:w="1543" w:type="dxa"/>
            <w:shd w:val="clear" w:color="auto" w:fill="auto"/>
            <w:noWrap/>
            <w:vAlign w:val="bottom"/>
            <w:hideMark/>
          </w:tcPr>
          <w:p w14:paraId="38B75620" w14:textId="77777777" w:rsidR="00B33DCA" w:rsidRPr="000B08A4" w:rsidRDefault="00B33DCA" w:rsidP="00B33DCA">
            <w:pPr>
              <w:spacing w:after="0"/>
              <w:rPr>
                <w:rFonts w:eastAsia="Times New Roman" w:cstheme="minorHAnsi"/>
                <w:color w:val="000000"/>
                <w:sz w:val="20"/>
                <w:szCs w:val="20"/>
              </w:rPr>
            </w:pPr>
            <w:r w:rsidRPr="000B08A4">
              <w:rPr>
                <w:rFonts w:eastAsia="Times New Roman" w:cstheme="minorHAnsi"/>
                <w:color w:val="000000"/>
                <w:sz w:val="20"/>
                <w:szCs w:val="20"/>
              </w:rPr>
              <w:t>Predicted</w:t>
            </w:r>
          </w:p>
        </w:tc>
        <w:tc>
          <w:tcPr>
            <w:tcW w:w="1722" w:type="dxa"/>
            <w:shd w:val="clear" w:color="auto" w:fill="auto"/>
            <w:noWrap/>
            <w:vAlign w:val="bottom"/>
            <w:hideMark/>
          </w:tcPr>
          <w:p w14:paraId="6C6FD78C" w14:textId="135C07D7" w:rsidR="00B33DCA" w:rsidRPr="000B08A4" w:rsidRDefault="00B33DCA" w:rsidP="00B33DCA">
            <w:pPr>
              <w:spacing w:after="0"/>
              <w:jc w:val="right"/>
              <w:rPr>
                <w:rFonts w:eastAsia="Times New Roman" w:cstheme="minorHAnsi"/>
                <w:color w:val="000000"/>
                <w:sz w:val="20"/>
                <w:szCs w:val="20"/>
              </w:rPr>
            </w:pPr>
            <w:proofErr w:type="spellStart"/>
            <w:r w:rsidRPr="00B33DCA">
              <w:rPr>
                <w:rFonts w:eastAsia="Times New Roman" w:cstheme="minorHAnsi"/>
                <w:color w:val="000000"/>
                <w:sz w:val="20"/>
                <w:szCs w:val="20"/>
                <w:highlight w:val="black"/>
              </w:rPr>
              <w:t>xxxxxx</w:t>
            </w:r>
            <w:proofErr w:type="spellEnd"/>
          </w:p>
        </w:tc>
        <w:tc>
          <w:tcPr>
            <w:tcW w:w="1722" w:type="dxa"/>
            <w:shd w:val="clear" w:color="auto" w:fill="auto"/>
            <w:noWrap/>
            <w:vAlign w:val="center"/>
            <w:hideMark/>
          </w:tcPr>
          <w:p w14:paraId="19AD1278" w14:textId="02898664" w:rsidR="00B33DCA" w:rsidRPr="000B08A4" w:rsidRDefault="00B33DCA" w:rsidP="00B33DCA">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1723" w:type="dxa"/>
            <w:shd w:val="clear" w:color="auto" w:fill="auto"/>
            <w:noWrap/>
            <w:vAlign w:val="center"/>
            <w:hideMark/>
          </w:tcPr>
          <w:p w14:paraId="1FAA3BC5" w14:textId="10E5B076" w:rsidR="00B33DCA" w:rsidRPr="000B08A4" w:rsidRDefault="00B33DCA" w:rsidP="00B33DCA">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r>
      <w:tr w:rsidR="00FB2BC9" w:rsidRPr="008F21EB" w14:paraId="73B7BB1C" w14:textId="77777777" w:rsidTr="00372C56">
        <w:trPr>
          <w:trHeight w:val="300"/>
        </w:trPr>
        <w:tc>
          <w:tcPr>
            <w:tcW w:w="1682" w:type="dxa"/>
            <w:shd w:val="clear" w:color="auto" w:fill="auto"/>
            <w:noWrap/>
            <w:vAlign w:val="bottom"/>
            <w:hideMark/>
          </w:tcPr>
          <w:p w14:paraId="4EF28A12" w14:textId="77777777" w:rsidR="000B08A4" w:rsidRPr="000B08A4" w:rsidRDefault="000B08A4" w:rsidP="000B08A4">
            <w:pPr>
              <w:spacing w:after="0"/>
              <w:jc w:val="right"/>
              <w:rPr>
                <w:rFonts w:eastAsia="Times New Roman" w:cstheme="minorHAnsi"/>
                <w:color w:val="000000"/>
                <w:sz w:val="20"/>
                <w:szCs w:val="20"/>
              </w:rPr>
            </w:pPr>
          </w:p>
        </w:tc>
        <w:tc>
          <w:tcPr>
            <w:tcW w:w="1543" w:type="dxa"/>
            <w:shd w:val="clear" w:color="auto" w:fill="auto"/>
            <w:noWrap/>
            <w:vAlign w:val="bottom"/>
            <w:hideMark/>
          </w:tcPr>
          <w:p w14:paraId="49A7B040" w14:textId="77777777" w:rsidR="000B08A4" w:rsidRPr="000B08A4" w:rsidRDefault="000B08A4" w:rsidP="000B08A4">
            <w:pPr>
              <w:spacing w:after="0"/>
              <w:rPr>
                <w:rFonts w:eastAsia="Times New Roman" w:cstheme="minorHAnsi"/>
                <w:color w:val="000000"/>
                <w:sz w:val="20"/>
                <w:szCs w:val="20"/>
              </w:rPr>
            </w:pPr>
            <w:r w:rsidRPr="000B08A4">
              <w:rPr>
                <w:rFonts w:eastAsia="Times New Roman" w:cstheme="minorHAnsi"/>
                <w:color w:val="000000"/>
                <w:sz w:val="20"/>
                <w:szCs w:val="20"/>
              </w:rPr>
              <w:t>Actual</w:t>
            </w:r>
          </w:p>
        </w:tc>
        <w:tc>
          <w:tcPr>
            <w:tcW w:w="1722" w:type="dxa"/>
            <w:shd w:val="clear" w:color="auto" w:fill="auto"/>
            <w:noWrap/>
            <w:vAlign w:val="bottom"/>
            <w:hideMark/>
          </w:tcPr>
          <w:p w14:paraId="41216DAD" w14:textId="4E2ADEC0" w:rsidR="000B08A4" w:rsidRPr="000B08A4" w:rsidRDefault="000B08A4" w:rsidP="000B08A4">
            <w:pPr>
              <w:spacing w:after="0"/>
              <w:jc w:val="right"/>
              <w:rPr>
                <w:rFonts w:eastAsia="Times New Roman" w:cstheme="minorHAnsi"/>
                <w:color w:val="000000"/>
                <w:sz w:val="20"/>
                <w:szCs w:val="20"/>
              </w:rPr>
            </w:pPr>
            <w:r w:rsidRPr="000B08A4">
              <w:rPr>
                <w:rFonts w:eastAsia="Times New Roman" w:cstheme="minorHAnsi"/>
                <w:color w:val="000000"/>
                <w:sz w:val="20"/>
                <w:szCs w:val="20"/>
              </w:rPr>
              <w:t>5</w:t>
            </w:r>
            <w:r w:rsidR="003F0FB7" w:rsidRPr="008F21EB">
              <w:rPr>
                <w:rFonts w:eastAsia="Times New Roman" w:cstheme="minorHAnsi"/>
                <w:color w:val="000000"/>
                <w:sz w:val="20"/>
                <w:szCs w:val="20"/>
              </w:rPr>
              <w:t>,</w:t>
            </w:r>
            <w:r w:rsidRPr="000B08A4">
              <w:rPr>
                <w:rFonts w:eastAsia="Times New Roman" w:cstheme="minorHAnsi"/>
                <w:color w:val="000000"/>
                <w:sz w:val="20"/>
                <w:szCs w:val="20"/>
              </w:rPr>
              <w:t>491</w:t>
            </w:r>
          </w:p>
        </w:tc>
        <w:tc>
          <w:tcPr>
            <w:tcW w:w="1722" w:type="dxa"/>
            <w:shd w:val="clear" w:color="auto" w:fill="auto"/>
            <w:noWrap/>
            <w:vAlign w:val="bottom"/>
            <w:hideMark/>
          </w:tcPr>
          <w:p w14:paraId="3A796B4D" w14:textId="38BB3104" w:rsidR="000B08A4" w:rsidRPr="000B08A4" w:rsidRDefault="000B08A4" w:rsidP="000B08A4">
            <w:pPr>
              <w:spacing w:after="0"/>
              <w:jc w:val="right"/>
              <w:rPr>
                <w:rFonts w:eastAsia="Times New Roman" w:cstheme="minorHAnsi"/>
                <w:color w:val="000000"/>
                <w:sz w:val="20"/>
                <w:szCs w:val="20"/>
              </w:rPr>
            </w:pPr>
            <w:r w:rsidRPr="000B08A4">
              <w:rPr>
                <w:rFonts w:eastAsia="Times New Roman" w:cstheme="minorHAnsi"/>
                <w:color w:val="000000"/>
                <w:sz w:val="20"/>
                <w:szCs w:val="20"/>
              </w:rPr>
              <w:t>17</w:t>
            </w:r>
            <w:r w:rsidR="003F0FB7" w:rsidRPr="008F21EB">
              <w:rPr>
                <w:rFonts w:eastAsia="Times New Roman" w:cstheme="minorHAnsi"/>
                <w:color w:val="000000"/>
                <w:sz w:val="20"/>
                <w:szCs w:val="20"/>
              </w:rPr>
              <w:t>,</w:t>
            </w:r>
            <w:r w:rsidRPr="000B08A4">
              <w:rPr>
                <w:rFonts w:eastAsia="Times New Roman" w:cstheme="minorHAnsi"/>
                <w:color w:val="000000"/>
                <w:sz w:val="20"/>
                <w:szCs w:val="20"/>
              </w:rPr>
              <w:t>292</w:t>
            </w:r>
          </w:p>
        </w:tc>
        <w:tc>
          <w:tcPr>
            <w:tcW w:w="1723" w:type="dxa"/>
            <w:shd w:val="clear" w:color="auto" w:fill="auto"/>
            <w:noWrap/>
            <w:vAlign w:val="bottom"/>
            <w:hideMark/>
          </w:tcPr>
          <w:p w14:paraId="5F164090" w14:textId="7DCF05B4" w:rsidR="000B08A4" w:rsidRPr="000B08A4" w:rsidRDefault="000B08A4" w:rsidP="000B08A4">
            <w:pPr>
              <w:spacing w:after="0"/>
              <w:jc w:val="right"/>
              <w:rPr>
                <w:rFonts w:eastAsia="Times New Roman" w:cstheme="minorHAnsi"/>
                <w:color w:val="000000"/>
                <w:sz w:val="20"/>
                <w:szCs w:val="20"/>
              </w:rPr>
            </w:pPr>
            <w:r w:rsidRPr="000B08A4">
              <w:rPr>
                <w:rFonts w:eastAsia="Times New Roman" w:cstheme="minorHAnsi"/>
                <w:color w:val="000000"/>
                <w:sz w:val="20"/>
                <w:szCs w:val="20"/>
              </w:rPr>
              <w:t>18</w:t>
            </w:r>
            <w:r w:rsidR="003F0FB7" w:rsidRPr="008F21EB">
              <w:rPr>
                <w:rFonts w:eastAsia="Times New Roman" w:cstheme="minorHAnsi"/>
                <w:color w:val="000000"/>
                <w:sz w:val="20"/>
                <w:szCs w:val="20"/>
              </w:rPr>
              <w:t>,</w:t>
            </w:r>
            <w:r w:rsidRPr="000B08A4">
              <w:rPr>
                <w:rFonts w:eastAsia="Times New Roman" w:cstheme="minorHAnsi"/>
                <w:color w:val="000000"/>
                <w:sz w:val="20"/>
                <w:szCs w:val="20"/>
              </w:rPr>
              <w:t>774</w:t>
            </w:r>
          </w:p>
        </w:tc>
      </w:tr>
      <w:tr w:rsidR="00B33DCA" w:rsidRPr="008F21EB" w14:paraId="782C6C24" w14:textId="77777777" w:rsidTr="00DA40F6">
        <w:trPr>
          <w:trHeight w:val="300"/>
        </w:trPr>
        <w:tc>
          <w:tcPr>
            <w:tcW w:w="1682" w:type="dxa"/>
            <w:shd w:val="clear" w:color="auto" w:fill="auto"/>
            <w:noWrap/>
            <w:vAlign w:val="bottom"/>
            <w:hideMark/>
          </w:tcPr>
          <w:p w14:paraId="6A922977" w14:textId="77777777" w:rsidR="00B33DCA" w:rsidRPr="000B08A4" w:rsidRDefault="00B33DCA" w:rsidP="00B33DCA">
            <w:pPr>
              <w:spacing w:after="0"/>
              <w:jc w:val="right"/>
              <w:rPr>
                <w:rFonts w:eastAsia="Times New Roman" w:cstheme="minorHAnsi"/>
                <w:color w:val="000000"/>
                <w:sz w:val="20"/>
                <w:szCs w:val="20"/>
              </w:rPr>
            </w:pPr>
          </w:p>
        </w:tc>
        <w:tc>
          <w:tcPr>
            <w:tcW w:w="1543" w:type="dxa"/>
            <w:shd w:val="clear" w:color="auto" w:fill="auto"/>
            <w:noWrap/>
            <w:vAlign w:val="bottom"/>
            <w:hideMark/>
          </w:tcPr>
          <w:p w14:paraId="044DA3A9" w14:textId="77777777" w:rsidR="00B33DCA" w:rsidRPr="000B08A4" w:rsidRDefault="00B33DCA" w:rsidP="00B33DCA">
            <w:pPr>
              <w:spacing w:after="0"/>
              <w:rPr>
                <w:rFonts w:eastAsia="Times New Roman" w:cstheme="minorHAnsi"/>
                <w:color w:val="000000"/>
                <w:sz w:val="20"/>
                <w:szCs w:val="20"/>
              </w:rPr>
            </w:pPr>
            <w:r w:rsidRPr="000B08A4">
              <w:rPr>
                <w:rFonts w:eastAsia="Times New Roman" w:cstheme="minorHAnsi"/>
                <w:color w:val="000000"/>
                <w:sz w:val="20"/>
                <w:szCs w:val="20"/>
              </w:rPr>
              <w:t>Difference</w:t>
            </w:r>
          </w:p>
        </w:tc>
        <w:tc>
          <w:tcPr>
            <w:tcW w:w="1722" w:type="dxa"/>
            <w:shd w:val="clear" w:color="auto" w:fill="auto"/>
            <w:noWrap/>
            <w:vAlign w:val="bottom"/>
            <w:hideMark/>
          </w:tcPr>
          <w:p w14:paraId="318C2D50" w14:textId="2B27E576" w:rsidR="00B33DCA" w:rsidRPr="000B08A4" w:rsidRDefault="00B33DCA" w:rsidP="00B33DCA">
            <w:pPr>
              <w:spacing w:after="0"/>
              <w:jc w:val="right"/>
              <w:rPr>
                <w:rFonts w:eastAsia="Times New Roman" w:cstheme="minorHAnsi"/>
                <w:color w:val="000000"/>
                <w:sz w:val="20"/>
                <w:szCs w:val="20"/>
              </w:rPr>
            </w:pPr>
            <w:proofErr w:type="spellStart"/>
            <w:r w:rsidRPr="00B33DCA">
              <w:rPr>
                <w:rFonts w:eastAsia="Times New Roman" w:cstheme="minorHAnsi"/>
                <w:color w:val="000000"/>
                <w:sz w:val="20"/>
                <w:szCs w:val="20"/>
                <w:highlight w:val="black"/>
              </w:rPr>
              <w:t>xxxxxx</w:t>
            </w:r>
            <w:proofErr w:type="spellEnd"/>
          </w:p>
        </w:tc>
        <w:tc>
          <w:tcPr>
            <w:tcW w:w="1722" w:type="dxa"/>
            <w:shd w:val="clear" w:color="auto" w:fill="auto"/>
            <w:noWrap/>
            <w:vAlign w:val="center"/>
            <w:hideMark/>
          </w:tcPr>
          <w:p w14:paraId="69B32243" w14:textId="29C8807F" w:rsidR="00B33DCA" w:rsidRPr="000B08A4" w:rsidRDefault="00B33DCA" w:rsidP="00B33DCA">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1723" w:type="dxa"/>
            <w:shd w:val="clear" w:color="auto" w:fill="auto"/>
            <w:noWrap/>
            <w:vAlign w:val="center"/>
            <w:hideMark/>
          </w:tcPr>
          <w:p w14:paraId="18365A21" w14:textId="019E9919" w:rsidR="00B33DCA" w:rsidRPr="000B08A4" w:rsidRDefault="00B33DCA" w:rsidP="00B33DCA">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r>
      <w:tr w:rsidR="00B33DCA" w:rsidRPr="008F21EB" w14:paraId="73AC1C3B" w14:textId="77777777" w:rsidTr="00DA40F6">
        <w:trPr>
          <w:trHeight w:val="300"/>
        </w:trPr>
        <w:tc>
          <w:tcPr>
            <w:tcW w:w="1682" w:type="dxa"/>
            <w:shd w:val="clear" w:color="auto" w:fill="auto"/>
            <w:noWrap/>
            <w:vAlign w:val="bottom"/>
            <w:hideMark/>
          </w:tcPr>
          <w:p w14:paraId="5B3D9E35" w14:textId="77777777" w:rsidR="00B33DCA" w:rsidRPr="000B08A4" w:rsidRDefault="00B33DCA" w:rsidP="00B33DCA">
            <w:pPr>
              <w:spacing w:after="0"/>
              <w:rPr>
                <w:rFonts w:eastAsia="Times New Roman" w:cstheme="minorHAnsi"/>
                <w:color w:val="000000"/>
                <w:sz w:val="20"/>
                <w:szCs w:val="20"/>
              </w:rPr>
            </w:pPr>
            <w:r w:rsidRPr="000B08A4">
              <w:rPr>
                <w:rFonts w:eastAsia="Times New Roman" w:cstheme="minorHAnsi"/>
                <w:color w:val="000000"/>
                <w:sz w:val="20"/>
                <w:szCs w:val="20"/>
              </w:rPr>
              <w:t>Total market</w:t>
            </w:r>
          </w:p>
        </w:tc>
        <w:tc>
          <w:tcPr>
            <w:tcW w:w="1543" w:type="dxa"/>
            <w:shd w:val="clear" w:color="auto" w:fill="auto"/>
            <w:noWrap/>
            <w:vAlign w:val="bottom"/>
            <w:hideMark/>
          </w:tcPr>
          <w:p w14:paraId="65EB3E47" w14:textId="77777777" w:rsidR="00B33DCA" w:rsidRPr="000B08A4" w:rsidRDefault="00B33DCA" w:rsidP="00B33DCA">
            <w:pPr>
              <w:spacing w:after="0"/>
              <w:rPr>
                <w:rFonts w:eastAsia="Times New Roman" w:cstheme="minorHAnsi"/>
                <w:color w:val="000000"/>
                <w:sz w:val="20"/>
                <w:szCs w:val="20"/>
              </w:rPr>
            </w:pPr>
            <w:r w:rsidRPr="000B08A4">
              <w:rPr>
                <w:rFonts w:eastAsia="Times New Roman" w:cstheme="minorHAnsi"/>
                <w:color w:val="000000"/>
                <w:sz w:val="20"/>
                <w:szCs w:val="20"/>
              </w:rPr>
              <w:t>Predicted</w:t>
            </w:r>
          </w:p>
        </w:tc>
        <w:tc>
          <w:tcPr>
            <w:tcW w:w="1722" w:type="dxa"/>
            <w:shd w:val="clear" w:color="auto" w:fill="auto"/>
            <w:noWrap/>
            <w:vAlign w:val="bottom"/>
            <w:hideMark/>
          </w:tcPr>
          <w:p w14:paraId="0CC120A2" w14:textId="63A57494" w:rsidR="00B33DCA" w:rsidRPr="000B08A4" w:rsidRDefault="00B33DCA" w:rsidP="00B33DCA">
            <w:pPr>
              <w:spacing w:after="0"/>
              <w:jc w:val="right"/>
              <w:rPr>
                <w:rFonts w:eastAsia="Times New Roman" w:cstheme="minorHAnsi"/>
                <w:color w:val="000000"/>
                <w:sz w:val="20"/>
                <w:szCs w:val="20"/>
              </w:rPr>
            </w:pPr>
            <w:proofErr w:type="spellStart"/>
            <w:r w:rsidRPr="00B33DCA">
              <w:rPr>
                <w:rFonts w:eastAsia="Times New Roman" w:cstheme="minorHAnsi"/>
                <w:color w:val="000000"/>
                <w:sz w:val="20"/>
                <w:szCs w:val="20"/>
                <w:highlight w:val="black"/>
              </w:rPr>
              <w:t>xxxxxx</w:t>
            </w:r>
            <w:proofErr w:type="spellEnd"/>
          </w:p>
        </w:tc>
        <w:tc>
          <w:tcPr>
            <w:tcW w:w="1722" w:type="dxa"/>
            <w:shd w:val="clear" w:color="auto" w:fill="auto"/>
            <w:noWrap/>
            <w:vAlign w:val="center"/>
            <w:hideMark/>
          </w:tcPr>
          <w:p w14:paraId="680D9D79" w14:textId="1CA9C5FF" w:rsidR="00B33DCA" w:rsidRPr="000B08A4" w:rsidRDefault="00B33DCA" w:rsidP="00B33DCA">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1723" w:type="dxa"/>
            <w:shd w:val="clear" w:color="auto" w:fill="auto"/>
            <w:noWrap/>
            <w:vAlign w:val="center"/>
            <w:hideMark/>
          </w:tcPr>
          <w:p w14:paraId="6D5F14C1" w14:textId="5F8FC79E" w:rsidR="00B33DCA" w:rsidRPr="000B08A4" w:rsidRDefault="00B33DCA" w:rsidP="00B33DCA">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r>
      <w:tr w:rsidR="00FB2BC9" w:rsidRPr="008F21EB" w14:paraId="56D554D1" w14:textId="77777777" w:rsidTr="00372C56">
        <w:trPr>
          <w:trHeight w:val="300"/>
        </w:trPr>
        <w:tc>
          <w:tcPr>
            <w:tcW w:w="1682" w:type="dxa"/>
            <w:shd w:val="clear" w:color="auto" w:fill="auto"/>
            <w:noWrap/>
            <w:vAlign w:val="bottom"/>
            <w:hideMark/>
          </w:tcPr>
          <w:p w14:paraId="2CC407D5" w14:textId="77777777" w:rsidR="000B08A4" w:rsidRPr="000B08A4" w:rsidRDefault="000B08A4" w:rsidP="000B08A4">
            <w:pPr>
              <w:spacing w:after="0"/>
              <w:jc w:val="right"/>
              <w:rPr>
                <w:rFonts w:eastAsia="Times New Roman" w:cstheme="minorHAnsi"/>
                <w:color w:val="000000"/>
                <w:sz w:val="20"/>
                <w:szCs w:val="20"/>
              </w:rPr>
            </w:pPr>
          </w:p>
        </w:tc>
        <w:tc>
          <w:tcPr>
            <w:tcW w:w="1543" w:type="dxa"/>
            <w:shd w:val="clear" w:color="auto" w:fill="auto"/>
            <w:noWrap/>
            <w:vAlign w:val="bottom"/>
            <w:hideMark/>
          </w:tcPr>
          <w:p w14:paraId="776D4EB7" w14:textId="77777777" w:rsidR="000B08A4" w:rsidRPr="000B08A4" w:rsidRDefault="000B08A4" w:rsidP="000B08A4">
            <w:pPr>
              <w:spacing w:after="0"/>
              <w:rPr>
                <w:rFonts w:eastAsia="Times New Roman" w:cstheme="minorHAnsi"/>
                <w:color w:val="000000"/>
                <w:sz w:val="20"/>
                <w:szCs w:val="20"/>
              </w:rPr>
            </w:pPr>
            <w:r w:rsidRPr="000B08A4">
              <w:rPr>
                <w:rFonts w:eastAsia="Times New Roman" w:cstheme="minorHAnsi"/>
                <w:color w:val="000000"/>
                <w:sz w:val="20"/>
                <w:szCs w:val="20"/>
              </w:rPr>
              <w:t>Actual</w:t>
            </w:r>
          </w:p>
        </w:tc>
        <w:tc>
          <w:tcPr>
            <w:tcW w:w="1722" w:type="dxa"/>
            <w:shd w:val="clear" w:color="auto" w:fill="auto"/>
            <w:noWrap/>
            <w:vAlign w:val="bottom"/>
            <w:hideMark/>
          </w:tcPr>
          <w:p w14:paraId="3771C89A" w14:textId="4FF731AE" w:rsidR="000B08A4" w:rsidRPr="000B08A4" w:rsidRDefault="000B08A4" w:rsidP="000B08A4">
            <w:pPr>
              <w:spacing w:after="0"/>
              <w:jc w:val="right"/>
              <w:rPr>
                <w:rFonts w:eastAsia="Times New Roman" w:cstheme="minorHAnsi"/>
                <w:color w:val="000000"/>
                <w:sz w:val="20"/>
                <w:szCs w:val="20"/>
              </w:rPr>
            </w:pPr>
            <w:r w:rsidRPr="000B08A4">
              <w:rPr>
                <w:rFonts w:eastAsia="Times New Roman" w:cstheme="minorHAnsi"/>
                <w:color w:val="000000"/>
                <w:sz w:val="20"/>
                <w:szCs w:val="20"/>
              </w:rPr>
              <w:t>69</w:t>
            </w:r>
            <w:r w:rsidR="003F0FB7" w:rsidRPr="008F21EB">
              <w:rPr>
                <w:rFonts w:eastAsia="Times New Roman" w:cstheme="minorHAnsi"/>
                <w:color w:val="000000"/>
                <w:sz w:val="20"/>
                <w:szCs w:val="20"/>
              </w:rPr>
              <w:t>,</w:t>
            </w:r>
            <w:r w:rsidRPr="000B08A4">
              <w:rPr>
                <w:rFonts w:eastAsia="Times New Roman" w:cstheme="minorHAnsi"/>
                <w:color w:val="000000"/>
                <w:sz w:val="20"/>
                <w:szCs w:val="20"/>
              </w:rPr>
              <w:t>314</w:t>
            </w:r>
          </w:p>
        </w:tc>
        <w:tc>
          <w:tcPr>
            <w:tcW w:w="1722" w:type="dxa"/>
            <w:shd w:val="clear" w:color="auto" w:fill="auto"/>
            <w:noWrap/>
            <w:vAlign w:val="bottom"/>
            <w:hideMark/>
          </w:tcPr>
          <w:p w14:paraId="23299B2E" w14:textId="3733FCF5" w:rsidR="000B08A4" w:rsidRPr="000B08A4" w:rsidRDefault="000B08A4" w:rsidP="000B08A4">
            <w:pPr>
              <w:spacing w:after="0"/>
              <w:jc w:val="right"/>
              <w:rPr>
                <w:rFonts w:eastAsia="Times New Roman" w:cstheme="minorHAnsi"/>
                <w:color w:val="000000"/>
                <w:sz w:val="20"/>
                <w:szCs w:val="20"/>
              </w:rPr>
            </w:pPr>
            <w:r w:rsidRPr="000B08A4">
              <w:rPr>
                <w:rFonts w:eastAsia="Times New Roman" w:cstheme="minorHAnsi"/>
                <w:color w:val="000000"/>
                <w:sz w:val="20"/>
                <w:szCs w:val="20"/>
              </w:rPr>
              <w:t>84</w:t>
            </w:r>
            <w:r w:rsidR="003F0FB7" w:rsidRPr="008F21EB">
              <w:rPr>
                <w:rFonts w:eastAsia="Times New Roman" w:cstheme="minorHAnsi"/>
                <w:color w:val="000000"/>
                <w:sz w:val="20"/>
                <w:szCs w:val="20"/>
              </w:rPr>
              <w:t>,</w:t>
            </w:r>
            <w:r w:rsidRPr="000B08A4">
              <w:rPr>
                <w:rFonts w:eastAsia="Times New Roman" w:cstheme="minorHAnsi"/>
                <w:color w:val="000000"/>
                <w:sz w:val="20"/>
                <w:szCs w:val="20"/>
              </w:rPr>
              <w:t>799</w:t>
            </w:r>
          </w:p>
        </w:tc>
        <w:tc>
          <w:tcPr>
            <w:tcW w:w="1723" w:type="dxa"/>
            <w:shd w:val="clear" w:color="auto" w:fill="auto"/>
            <w:noWrap/>
            <w:vAlign w:val="bottom"/>
            <w:hideMark/>
          </w:tcPr>
          <w:p w14:paraId="0E330862" w14:textId="401D4380" w:rsidR="000B08A4" w:rsidRPr="000B08A4" w:rsidRDefault="000B08A4" w:rsidP="000B08A4">
            <w:pPr>
              <w:spacing w:after="0"/>
              <w:jc w:val="right"/>
              <w:rPr>
                <w:rFonts w:eastAsia="Times New Roman" w:cstheme="minorHAnsi"/>
                <w:color w:val="000000"/>
                <w:sz w:val="20"/>
                <w:szCs w:val="20"/>
              </w:rPr>
            </w:pPr>
            <w:r w:rsidRPr="000B08A4">
              <w:rPr>
                <w:rFonts w:eastAsia="Times New Roman" w:cstheme="minorHAnsi"/>
                <w:color w:val="000000"/>
                <w:sz w:val="20"/>
                <w:szCs w:val="20"/>
              </w:rPr>
              <w:t>71</w:t>
            </w:r>
            <w:r w:rsidR="003F0FB7" w:rsidRPr="008F21EB">
              <w:rPr>
                <w:rFonts w:eastAsia="Times New Roman" w:cstheme="minorHAnsi"/>
                <w:color w:val="000000"/>
                <w:sz w:val="20"/>
                <w:szCs w:val="20"/>
              </w:rPr>
              <w:t>,</w:t>
            </w:r>
            <w:r w:rsidRPr="000B08A4">
              <w:rPr>
                <w:rFonts w:eastAsia="Times New Roman" w:cstheme="minorHAnsi"/>
                <w:color w:val="000000"/>
                <w:sz w:val="20"/>
                <w:szCs w:val="20"/>
              </w:rPr>
              <w:t>838</w:t>
            </w:r>
          </w:p>
        </w:tc>
      </w:tr>
      <w:tr w:rsidR="00B33DCA" w:rsidRPr="008F21EB" w14:paraId="65953147" w14:textId="77777777" w:rsidTr="00373BE0">
        <w:trPr>
          <w:trHeight w:val="300"/>
        </w:trPr>
        <w:tc>
          <w:tcPr>
            <w:tcW w:w="1682" w:type="dxa"/>
            <w:shd w:val="clear" w:color="auto" w:fill="auto"/>
            <w:noWrap/>
            <w:vAlign w:val="bottom"/>
            <w:hideMark/>
          </w:tcPr>
          <w:p w14:paraId="5123BF20" w14:textId="77777777" w:rsidR="00B33DCA" w:rsidRPr="000B08A4" w:rsidRDefault="00B33DCA" w:rsidP="00B33DCA">
            <w:pPr>
              <w:spacing w:after="0"/>
              <w:jc w:val="right"/>
              <w:rPr>
                <w:rFonts w:eastAsia="Times New Roman" w:cstheme="minorHAnsi"/>
                <w:color w:val="000000"/>
                <w:sz w:val="20"/>
                <w:szCs w:val="20"/>
              </w:rPr>
            </w:pPr>
          </w:p>
        </w:tc>
        <w:tc>
          <w:tcPr>
            <w:tcW w:w="1543" w:type="dxa"/>
            <w:shd w:val="clear" w:color="auto" w:fill="auto"/>
            <w:noWrap/>
            <w:vAlign w:val="bottom"/>
            <w:hideMark/>
          </w:tcPr>
          <w:p w14:paraId="6368095C" w14:textId="77777777" w:rsidR="00B33DCA" w:rsidRPr="000B08A4" w:rsidRDefault="00B33DCA" w:rsidP="00B33DCA">
            <w:pPr>
              <w:spacing w:after="0"/>
              <w:rPr>
                <w:rFonts w:eastAsia="Times New Roman" w:cstheme="minorHAnsi"/>
                <w:color w:val="000000"/>
                <w:sz w:val="20"/>
                <w:szCs w:val="20"/>
              </w:rPr>
            </w:pPr>
            <w:r w:rsidRPr="000B08A4">
              <w:rPr>
                <w:rFonts w:eastAsia="Times New Roman" w:cstheme="minorHAnsi"/>
                <w:color w:val="000000"/>
                <w:sz w:val="20"/>
                <w:szCs w:val="20"/>
              </w:rPr>
              <w:t>Difference</w:t>
            </w:r>
          </w:p>
        </w:tc>
        <w:tc>
          <w:tcPr>
            <w:tcW w:w="1722" w:type="dxa"/>
            <w:shd w:val="clear" w:color="auto" w:fill="auto"/>
            <w:noWrap/>
            <w:vAlign w:val="bottom"/>
            <w:hideMark/>
          </w:tcPr>
          <w:p w14:paraId="293C0D5A" w14:textId="212CB196" w:rsidR="00B33DCA" w:rsidRPr="000B08A4" w:rsidRDefault="00B33DCA" w:rsidP="00B33DCA">
            <w:pPr>
              <w:spacing w:after="0"/>
              <w:jc w:val="right"/>
              <w:rPr>
                <w:rFonts w:eastAsia="Times New Roman" w:cstheme="minorHAnsi"/>
                <w:color w:val="000000"/>
                <w:sz w:val="20"/>
                <w:szCs w:val="20"/>
              </w:rPr>
            </w:pPr>
            <w:proofErr w:type="spellStart"/>
            <w:r w:rsidRPr="00B33DCA">
              <w:rPr>
                <w:rFonts w:eastAsia="Times New Roman" w:cstheme="minorHAnsi"/>
                <w:color w:val="000000"/>
                <w:sz w:val="20"/>
                <w:szCs w:val="20"/>
                <w:highlight w:val="black"/>
              </w:rPr>
              <w:t>xxxxxx</w:t>
            </w:r>
            <w:proofErr w:type="spellEnd"/>
          </w:p>
        </w:tc>
        <w:tc>
          <w:tcPr>
            <w:tcW w:w="1722" w:type="dxa"/>
            <w:shd w:val="clear" w:color="auto" w:fill="auto"/>
            <w:noWrap/>
            <w:vAlign w:val="center"/>
            <w:hideMark/>
          </w:tcPr>
          <w:p w14:paraId="7FD903FE" w14:textId="4AE99C91" w:rsidR="00B33DCA" w:rsidRPr="000B08A4" w:rsidRDefault="00B33DCA" w:rsidP="00B33DCA">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c>
          <w:tcPr>
            <w:tcW w:w="1723" w:type="dxa"/>
            <w:shd w:val="clear" w:color="auto" w:fill="auto"/>
            <w:noWrap/>
            <w:vAlign w:val="center"/>
            <w:hideMark/>
          </w:tcPr>
          <w:p w14:paraId="437B205C" w14:textId="44880D69" w:rsidR="00B33DCA" w:rsidRPr="000B08A4" w:rsidRDefault="00B33DCA" w:rsidP="00B33DCA">
            <w:pPr>
              <w:spacing w:after="0"/>
              <w:jc w:val="right"/>
              <w:rPr>
                <w:rFonts w:eastAsia="Times New Roman" w:cstheme="minorHAnsi"/>
                <w:color w:val="000000"/>
                <w:sz w:val="20"/>
                <w:szCs w:val="20"/>
              </w:rPr>
            </w:pPr>
            <w:proofErr w:type="spellStart"/>
            <w:r w:rsidRPr="00F44604">
              <w:rPr>
                <w:rFonts w:eastAsia="Times New Roman" w:cstheme="minorHAnsi"/>
                <w:color w:val="000000"/>
                <w:sz w:val="20"/>
                <w:szCs w:val="20"/>
                <w:highlight w:val="black"/>
              </w:rPr>
              <w:t>xxxxx</w:t>
            </w:r>
            <w:proofErr w:type="spellEnd"/>
          </w:p>
        </w:tc>
      </w:tr>
    </w:tbl>
    <w:p w14:paraId="75AC0C62" w14:textId="5E6E48F6" w:rsidR="000167D1" w:rsidRDefault="0076142F" w:rsidP="0076142F">
      <w:pPr>
        <w:pStyle w:val="Notes"/>
      </w:pPr>
      <w:r w:rsidRPr="0076142F">
        <w:t>Note: 2023 includes nine months of data to the end of September 2023.</w:t>
      </w:r>
    </w:p>
    <w:p w14:paraId="368D7769" w14:textId="2E3D427A" w:rsidR="000167D1" w:rsidRPr="005151FE" w:rsidRDefault="00B20461" w:rsidP="00A35800">
      <w:r>
        <w:t xml:space="preserve">The numbers presented for 2023 includes nine months of data </w:t>
      </w:r>
      <w:r w:rsidR="009323A8">
        <w:t xml:space="preserve">and use is approximately equal to the estimated number of prescriptions, therefore use in 2023 will also be higher than </w:t>
      </w:r>
      <w:r w:rsidR="00961F36">
        <w:t>estimated.</w:t>
      </w:r>
      <w:r w:rsidR="00E75F8D">
        <w:t xml:space="preserve"> </w:t>
      </w:r>
      <w:r w:rsidR="00961F36">
        <w:t xml:space="preserve">Overall it appears the market is larger than predicted and the uptake of dupilumab </w:t>
      </w:r>
      <w:r w:rsidR="00715594">
        <w:t xml:space="preserve">within the </w:t>
      </w:r>
      <w:r w:rsidR="00701D9F">
        <w:t xml:space="preserve">market </w:t>
      </w:r>
      <w:r w:rsidR="00961F36">
        <w:t xml:space="preserve">has been </w:t>
      </w:r>
      <w:r w:rsidR="00E6701A">
        <w:t>higher than predicted.</w:t>
      </w:r>
    </w:p>
    <w:p w14:paraId="22BA7595" w14:textId="77777777" w:rsidR="005151FE" w:rsidRDefault="005151FE">
      <w:pPr>
        <w:spacing w:line="276" w:lineRule="auto"/>
        <w:rPr>
          <w:rFonts w:eastAsiaTheme="majorEastAsia" w:cstheme="majorBidi"/>
          <w:b/>
          <w:bCs/>
          <w:sz w:val="32"/>
          <w:szCs w:val="32"/>
        </w:rPr>
      </w:pPr>
      <w:r>
        <w:br w:type="page"/>
      </w:r>
    </w:p>
    <w:p w14:paraId="3555DFBA" w14:textId="7DCFAA05" w:rsidR="00591512" w:rsidRDefault="00AB3733" w:rsidP="00F73113">
      <w:pPr>
        <w:pStyle w:val="Heading1"/>
      </w:pPr>
      <w:r>
        <w:lastRenderedPageBreak/>
        <w:t>D</w:t>
      </w:r>
      <w:r w:rsidR="007346C7" w:rsidRPr="005E22C2">
        <w:t>iscussion</w:t>
      </w:r>
    </w:p>
    <w:p w14:paraId="42D8748D" w14:textId="2E2EA03E" w:rsidR="002F38D7" w:rsidRDefault="00674401" w:rsidP="00F1132C">
      <w:r>
        <w:t>T</w:t>
      </w:r>
      <w:r w:rsidR="0070503C">
        <w:t xml:space="preserve">he </w:t>
      </w:r>
      <w:r w:rsidR="00181DA8">
        <w:t xml:space="preserve">number of prescriptions of </w:t>
      </w:r>
      <w:r w:rsidR="00B8181C">
        <w:t>biologic</w:t>
      </w:r>
      <w:r w:rsidR="00181DA8">
        <w:t xml:space="preserve"> medicines</w:t>
      </w:r>
      <w:r w:rsidR="00B8181C">
        <w:t xml:space="preserve"> </w:t>
      </w:r>
      <w:r>
        <w:t xml:space="preserve">supplied </w:t>
      </w:r>
      <w:r w:rsidR="00B8181C">
        <w:t xml:space="preserve">for severe asthma has increased over time, and its use is now affected by </w:t>
      </w:r>
      <w:r w:rsidR="00971DE0">
        <w:t>safety net</w:t>
      </w:r>
      <w:r w:rsidR="00504039">
        <w:t xml:space="preserve"> in </w:t>
      </w:r>
      <w:r w:rsidR="00D17F09">
        <w:t>the first and last quarters of the year.</w:t>
      </w:r>
      <w:r w:rsidR="00081E39">
        <w:t xml:space="preserve"> </w:t>
      </w:r>
      <w:r w:rsidR="00631E5E" w:rsidRPr="00631E5E">
        <w:t xml:space="preserve">The gradient of the line that represents the total number of treated patients appears to have increased with the listing of benralizumab, </w:t>
      </w:r>
      <w:r w:rsidR="00900AE4">
        <w:t>which confirms</w:t>
      </w:r>
      <w:r w:rsidR="00C00558">
        <w:t xml:space="preserve"> the </w:t>
      </w:r>
      <w:r w:rsidR="003113CB">
        <w:t xml:space="preserve">10% </w:t>
      </w:r>
      <w:r w:rsidR="00133AE3">
        <w:t xml:space="preserve">PBS </w:t>
      </w:r>
      <w:r w:rsidR="003113CB">
        <w:t>sample</w:t>
      </w:r>
      <w:r w:rsidR="00A33910">
        <w:t xml:space="preserve"> data</w:t>
      </w:r>
      <w:r w:rsidR="000078B5">
        <w:t xml:space="preserve"> used </w:t>
      </w:r>
      <w:r w:rsidR="00212408">
        <w:t xml:space="preserve">by the dupilumab submission </w:t>
      </w:r>
      <w:r w:rsidR="00BF52E6">
        <w:t>to estimate</w:t>
      </w:r>
      <w:r w:rsidR="003113CB">
        <w:t xml:space="preserve"> </w:t>
      </w:r>
      <w:r w:rsidR="00212408">
        <w:t xml:space="preserve">the financial impact of listing dupilumab. </w:t>
      </w:r>
      <w:r w:rsidR="00133BCD">
        <w:t xml:space="preserve">The rate of growth </w:t>
      </w:r>
      <w:r w:rsidR="00081E39">
        <w:t xml:space="preserve">of total </w:t>
      </w:r>
      <w:r w:rsidR="004339D5">
        <w:t xml:space="preserve">supplied </w:t>
      </w:r>
      <w:r w:rsidR="00181DA8">
        <w:t>prescriptions</w:t>
      </w:r>
      <w:r w:rsidR="00081E39">
        <w:t xml:space="preserve"> </w:t>
      </w:r>
      <w:r w:rsidR="00F41CD6">
        <w:t>and treated pat</w:t>
      </w:r>
      <w:r w:rsidR="001C4230">
        <w:t>ie</w:t>
      </w:r>
      <w:r w:rsidR="00F41CD6">
        <w:t xml:space="preserve">nts per quarter </w:t>
      </w:r>
      <w:r w:rsidR="00DB63E1">
        <w:t>do not appear to have increased</w:t>
      </w:r>
      <w:r w:rsidR="009E3267" w:rsidRPr="009E3267">
        <w:t xml:space="preserve"> following the </w:t>
      </w:r>
      <w:r w:rsidR="00DB63E1">
        <w:t>PBS listing of dupilumab.</w:t>
      </w:r>
      <w:r w:rsidR="007D0E53">
        <w:t xml:space="preserve"> </w:t>
      </w:r>
      <w:r w:rsidR="009E3267">
        <w:t xml:space="preserve">However, the </w:t>
      </w:r>
      <w:r w:rsidR="00471F1A">
        <w:t xml:space="preserve">comparison of </w:t>
      </w:r>
      <w:r w:rsidR="009E3267">
        <w:t>predicted versus actual uti</w:t>
      </w:r>
      <w:r w:rsidR="00471F1A">
        <w:t>lisation shows that the u</w:t>
      </w:r>
      <w:r w:rsidR="0086288A">
        <w:t xml:space="preserve">se of all four medicines was </w:t>
      </w:r>
      <w:r w:rsidR="0086288A" w:rsidRPr="00CA1280">
        <w:t>underestimated</w:t>
      </w:r>
      <w:r w:rsidR="0064715B">
        <w:t xml:space="preserve">, and dupilumab was the </w:t>
      </w:r>
      <w:r w:rsidR="0064715B" w:rsidRPr="00CA1280">
        <w:t>furthest underestimated</w:t>
      </w:r>
      <w:r w:rsidR="0064715B">
        <w:t xml:space="preserve">. </w:t>
      </w:r>
    </w:p>
    <w:p w14:paraId="6EBE4EE9" w14:textId="77777777" w:rsidR="00CB05B0" w:rsidRDefault="00CB05B0" w:rsidP="00CB05B0">
      <w:r>
        <w:t>The dupilumab submission p</w:t>
      </w:r>
      <w:r w:rsidRPr="00D00762">
        <w:t xml:space="preserve">redicted the utilisation of the 200 mg versus 300 mg doses would be 60% </w:t>
      </w:r>
      <w:r>
        <w:t>and</w:t>
      </w:r>
      <w:r w:rsidRPr="00D00762">
        <w:t xml:space="preserve"> 40%</w:t>
      </w:r>
      <w:r>
        <w:t xml:space="preserve"> respectively. S</w:t>
      </w:r>
      <w:r w:rsidRPr="00D00762">
        <w:t>ince PBS listing, there have been 23,818 (57%) supplies of dupilumab 200 mg and 17,739 (43%) supplies of dupilumab 300 mg.</w:t>
      </w:r>
    </w:p>
    <w:p w14:paraId="2916A304" w14:textId="25DB4B79" w:rsidR="0086288A" w:rsidRDefault="00CE1E73" w:rsidP="00F1132C">
      <w:r>
        <w:t xml:space="preserve">It </w:t>
      </w:r>
      <w:r w:rsidR="000F401B">
        <w:t xml:space="preserve">appears that </w:t>
      </w:r>
      <w:r w:rsidR="00C3323F">
        <w:t>prescribing of biologics for asthma moved from respiratory</w:t>
      </w:r>
      <w:r w:rsidR="00E73A9A">
        <w:t>, i</w:t>
      </w:r>
      <w:r w:rsidR="00440565">
        <w:t>mmunology</w:t>
      </w:r>
      <w:r w:rsidR="00C3323F">
        <w:t xml:space="preserve"> and allergy specialists to other specialists, including GPs, </w:t>
      </w:r>
      <w:r w:rsidR="00315096" w:rsidRPr="002C04AC">
        <w:t>in the second quarter of 2020</w:t>
      </w:r>
      <w:r w:rsidR="000F401B" w:rsidRPr="002C04AC">
        <w:t>, likely because patients had issues accessing specialists due to the start of the COVID-19 pandemic</w:t>
      </w:r>
      <w:r w:rsidR="000F401B">
        <w:t xml:space="preserve">. </w:t>
      </w:r>
      <w:r w:rsidR="00F535EC">
        <w:t xml:space="preserve">The analysis of prescriber type for dupilumab </w:t>
      </w:r>
      <w:r w:rsidR="00A449D8">
        <w:t xml:space="preserve">shows that respiratory and sleep medicine specialists </w:t>
      </w:r>
      <w:r w:rsidR="00C166D4" w:rsidRPr="00C166D4">
        <w:t>accounted for 51% of supplies to patients initiating dupilumab either as the first or subsequent treatment, and 67% of supplied prescriptions.</w:t>
      </w:r>
      <w:r w:rsidR="00C166D4">
        <w:t xml:space="preserve"> Dermatology specialists </w:t>
      </w:r>
      <w:r w:rsidR="004855EB">
        <w:t xml:space="preserve">were the second most </w:t>
      </w:r>
      <w:r w:rsidR="002404AF">
        <w:t xml:space="preserve">common </w:t>
      </w:r>
      <w:r w:rsidR="004855EB">
        <w:t xml:space="preserve">specialist, and </w:t>
      </w:r>
      <w:r w:rsidR="004855EB" w:rsidRPr="004855EB">
        <w:t xml:space="preserve">accounted for </w:t>
      </w:r>
      <w:r w:rsidR="004855EB">
        <w:t>29</w:t>
      </w:r>
      <w:r w:rsidR="004855EB" w:rsidRPr="004855EB">
        <w:t xml:space="preserve">% of supplies to patients initiating dupilumab either as the first or subsequent treatment, and </w:t>
      </w:r>
      <w:r w:rsidR="004855EB">
        <w:t>14</w:t>
      </w:r>
      <w:r w:rsidR="004855EB" w:rsidRPr="004855EB">
        <w:t>% of supplied prescriptions.</w:t>
      </w:r>
      <w:r w:rsidR="002C04AC" w:rsidRPr="002C04AC">
        <w:t xml:space="preserve"> </w:t>
      </w:r>
      <w:r w:rsidR="004605FE">
        <w:t>As PBS item code was used for these analyses, it is possible this could be due to miscoding for derma</w:t>
      </w:r>
      <w:r w:rsidR="000536A9">
        <w:t xml:space="preserve">titis, however as </w:t>
      </w:r>
      <w:r w:rsidR="002C04AC" w:rsidRPr="002C04AC">
        <w:t>every</w:t>
      </w:r>
      <w:r w:rsidR="000536A9">
        <w:t xml:space="preserve"> included</w:t>
      </w:r>
      <w:r w:rsidR="002C04AC" w:rsidRPr="002C04AC">
        <w:t xml:space="preserve"> patient had </w:t>
      </w:r>
      <w:r w:rsidR="004526B9">
        <w:t xml:space="preserve">a </w:t>
      </w:r>
      <w:r w:rsidR="002C04AC" w:rsidRPr="002C04AC">
        <w:t>previou</w:t>
      </w:r>
      <w:r w:rsidR="000536A9">
        <w:t>s supply of inhaled</w:t>
      </w:r>
      <w:r w:rsidR="002C04AC" w:rsidRPr="002C04AC">
        <w:t xml:space="preserve"> corticosteroids</w:t>
      </w:r>
      <w:r w:rsidR="000536A9">
        <w:t xml:space="preserve">, it is also possible </w:t>
      </w:r>
      <w:r w:rsidR="000F401B">
        <w:t xml:space="preserve">these patients </w:t>
      </w:r>
      <w:r w:rsidR="000D4F9B">
        <w:t>have</w:t>
      </w:r>
      <w:r w:rsidR="000F401B">
        <w:t xml:space="preserve"> </w:t>
      </w:r>
      <w:r w:rsidR="002C04AC" w:rsidRPr="002C04AC">
        <w:t>dermatitis and asthma</w:t>
      </w:r>
      <w:r w:rsidR="000F401B">
        <w:t>.</w:t>
      </w:r>
      <w:r w:rsidR="002C04AC" w:rsidRPr="002C04AC">
        <w:t xml:space="preserve"> </w:t>
      </w:r>
      <w:r w:rsidR="002C04AC">
        <w:t xml:space="preserve"> </w:t>
      </w:r>
    </w:p>
    <w:p w14:paraId="1938F83F" w14:textId="17254C33" w:rsidR="003970B5" w:rsidRDefault="006B3E9A" w:rsidP="00F1132C">
      <w:r>
        <w:t>The sequence of medicine use within the class since 2017 show</w:t>
      </w:r>
      <w:r w:rsidR="00F9347C">
        <w:t>ed</w:t>
      </w:r>
      <w:r>
        <w:t xml:space="preserve"> that</w:t>
      </w:r>
      <w:r w:rsidR="004553FB">
        <w:t xml:space="preserve"> </w:t>
      </w:r>
      <w:r w:rsidR="0002060E">
        <w:t>83% (</w:t>
      </w:r>
      <w:r w:rsidR="003314DA">
        <w:t xml:space="preserve">12,640) </w:t>
      </w:r>
      <w:r w:rsidR="0002060E">
        <w:t>of patients supplied a biologic medicine for severe asthma were only supplied one medicine</w:t>
      </w:r>
      <w:r w:rsidR="00294E21">
        <w:t>, and 0.32% (48) were supplied all four medicines</w:t>
      </w:r>
      <w:r w:rsidR="003314DA">
        <w:t xml:space="preserve">. </w:t>
      </w:r>
      <w:r w:rsidR="003970B5">
        <w:t xml:space="preserve">Of the </w:t>
      </w:r>
      <w:r w:rsidR="00DA110A">
        <w:t xml:space="preserve">15,238 patients supplied a </w:t>
      </w:r>
      <w:r w:rsidR="00DA110A" w:rsidRPr="00DA110A">
        <w:t>biologic medicine for severe asthma</w:t>
      </w:r>
      <w:r w:rsidR="00DA110A">
        <w:t xml:space="preserve"> since 2017, 87% have not had a break of </w:t>
      </w:r>
      <w:r w:rsidR="00DB0A46">
        <w:t>6 months or more and restarted treatment, although this count includes pa</w:t>
      </w:r>
      <w:r w:rsidR="00FA39A3">
        <w:t xml:space="preserve">tients </w:t>
      </w:r>
      <w:r w:rsidR="0083191A">
        <w:t xml:space="preserve">who </w:t>
      </w:r>
      <w:r w:rsidR="00FA39A3">
        <w:t>recently initiated</w:t>
      </w:r>
      <w:r w:rsidR="0083191A">
        <w:t xml:space="preserve"> dupilumab</w:t>
      </w:r>
      <w:r w:rsidR="00FA39A3">
        <w:t>.</w:t>
      </w:r>
    </w:p>
    <w:p w14:paraId="3EA648C0" w14:textId="18553E05" w:rsidR="00370035" w:rsidRDefault="003314DA" w:rsidP="00F1132C">
      <w:r>
        <w:t>Of the 4,446 patients supplied dupilumab</w:t>
      </w:r>
      <w:r w:rsidR="00370035">
        <w:t>:</w:t>
      </w:r>
    </w:p>
    <w:p w14:paraId="06634BE0" w14:textId="7CE0A818" w:rsidR="006B3E9A" w:rsidRDefault="003314DA" w:rsidP="00370035">
      <w:pPr>
        <w:pStyle w:val="ListParagraph"/>
        <w:numPr>
          <w:ilvl w:val="0"/>
          <w:numId w:val="10"/>
        </w:numPr>
      </w:pPr>
      <w:r>
        <w:t>65% (</w:t>
      </w:r>
      <w:r w:rsidR="0080378A">
        <w:t>2,898) were only supplied dupilumab</w:t>
      </w:r>
      <w:r w:rsidR="00A80BA0">
        <w:t>,</w:t>
      </w:r>
    </w:p>
    <w:p w14:paraId="0EE20BEA" w14:textId="5BE3E514" w:rsidR="00A80BA0" w:rsidRDefault="00A80BA0" w:rsidP="00370035">
      <w:pPr>
        <w:pStyle w:val="ListParagraph"/>
        <w:numPr>
          <w:ilvl w:val="0"/>
          <w:numId w:val="10"/>
        </w:numPr>
      </w:pPr>
      <w:r>
        <w:t>67% (2,983) were supplied dupilumab as their first biologic for asthma, and</w:t>
      </w:r>
    </w:p>
    <w:p w14:paraId="78FE12E2" w14:textId="08EAD6D9" w:rsidR="00A80BA0" w:rsidRDefault="00F23124" w:rsidP="00370035">
      <w:pPr>
        <w:pStyle w:val="ListParagraph"/>
        <w:numPr>
          <w:ilvl w:val="0"/>
          <w:numId w:val="10"/>
        </w:numPr>
      </w:pPr>
      <w:r>
        <w:t>33% (1,463) were supplied another biologic medicine prior to dupilumab.</w:t>
      </w:r>
    </w:p>
    <w:p w14:paraId="25BA3001" w14:textId="3258ECFF" w:rsidR="00F23124" w:rsidRDefault="00F23124" w:rsidP="00581FEF">
      <w:r>
        <w:t xml:space="preserve">Of the </w:t>
      </w:r>
      <w:r w:rsidR="00B77A1B">
        <w:t xml:space="preserve">2,983 patients supplied dupilumab </w:t>
      </w:r>
      <w:r w:rsidR="00B77A1B" w:rsidRPr="00B77A1B">
        <w:t>as the first biologic for asthma</w:t>
      </w:r>
      <w:r w:rsidR="00B77A1B">
        <w:t>, 97% (</w:t>
      </w:r>
      <w:r w:rsidR="00DA3078">
        <w:t xml:space="preserve">2,898) have not been supplied </w:t>
      </w:r>
      <w:r w:rsidR="001D513C">
        <w:t xml:space="preserve">any other biologics for asthma, although this </w:t>
      </w:r>
      <w:r w:rsidR="005224C7">
        <w:t xml:space="preserve">count </w:t>
      </w:r>
      <w:r w:rsidR="001D513C">
        <w:t>includes patients who have recently init</w:t>
      </w:r>
      <w:r w:rsidR="00314688">
        <w:t>i</w:t>
      </w:r>
      <w:r w:rsidR="001D513C">
        <w:t>ated.</w:t>
      </w:r>
      <w:r w:rsidR="005649DC">
        <w:t xml:space="preserve"> </w:t>
      </w:r>
      <w:r w:rsidR="009E52ED">
        <w:t xml:space="preserve">In recommending dupilumab, the </w:t>
      </w:r>
      <w:r w:rsidR="005D08D1">
        <w:t xml:space="preserve">PBAC noted that </w:t>
      </w:r>
      <w:r w:rsidR="00A15B28">
        <w:t>there may be patients who initiate dupilumab</w:t>
      </w:r>
      <w:r w:rsidR="00581FEF">
        <w:t xml:space="preserve"> who otherwise would not </w:t>
      </w:r>
      <w:r w:rsidR="00D42FC5">
        <w:t xml:space="preserve">have </w:t>
      </w:r>
      <w:r w:rsidR="00581FEF">
        <w:t>receive</w:t>
      </w:r>
      <w:r w:rsidR="00D42FC5">
        <w:t>d</w:t>
      </w:r>
      <w:r w:rsidR="00581FEF">
        <w:t xml:space="preserve"> asthma biologics, especially in the allergic asthma population, for whom only one treatment </w:t>
      </w:r>
      <w:r w:rsidR="00581FEF">
        <w:lastRenderedPageBreak/>
        <w:t xml:space="preserve">(omalizumab) </w:t>
      </w:r>
      <w:r w:rsidR="00E95C82">
        <w:t>was</w:t>
      </w:r>
      <w:r w:rsidR="00581FEF">
        <w:t xml:space="preserve"> available, and dupilumab therapy </w:t>
      </w:r>
      <w:r w:rsidR="00E95C82">
        <w:t>was</w:t>
      </w:r>
      <w:r w:rsidR="00581FEF">
        <w:t xml:space="preserve"> associated with a more straightforward posology with no need for post-injection monitoring of anaphylaxis events.</w:t>
      </w:r>
      <w:r w:rsidR="00C450D6">
        <w:t xml:space="preserve"> However,</w:t>
      </w:r>
      <w:r w:rsidR="00F06FC3">
        <w:t xml:space="preserve"> as the rate of growth does not appear to have increased, it</w:t>
      </w:r>
      <w:r w:rsidR="00C450D6">
        <w:t xml:space="preserve"> is unclear whether the patients </w:t>
      </w:r>
      <w:r w:rsidR="00F06FC3">
        <w:t xml:space="preserve">who have only received dupilumab would have been treated with a different </w:t>
      </w:r>
      <w:r w:rsidR="0029106E">
        <w:t>asthma biologic or whether there is a patient or prescriber preference for dupilumab.</w:t>
      </w:r>
    </w:p>
    <w:p w14:paraId="6933170B" w14:textId="10B1D40B" w:rsidR="00D00762" w:rsidRDefault="00DB69D9" w:rsidP="00F1132C">
      <w:r>
        <w:t>The</w:t>
      </w:r>
      <w:r w:rsidR="0006677D">
        <w:t xml:space="preserve"> mean</w:t>
      </w:r>
      <w:r>
        <w:t xml:space="preserve"> age of patients </w:t>
      </w:r>
      <w:r w:rsidR="0006677D">
        <w:t>who initiated</w:t>
      </w:r>
      <w:r>
        <w:t xml:space="preserve"> dupilumab</w:t>
      </w:r>
      <w:r w:rsidR="0006677D">
        <w:t xml:space="preserve"> </w:t>
      </w:r>
      <w:r w:rsidR="00642D59" w:rsidRPr="00642D59">
        <w:t>was 50 years old, and the median was 53 years old</w:t>
      </w:r>
      <w:r w:rsidR="0047039B">
        <w:t>, however p</w:t>
      </w:r>
      <w:r w:rsidR="0047039B" w:rsidRPr="0047039B">
        <w:t>atients who initiated therapy on dupilumab were younger, with a mean of 47 and a median of 49</w:t>
      </w:r>
      <w:r w:rsidR="00642D59" w:rsidRPr="00642D59">
        <w:t>.</w:t>
      </w:r>
      <w:r w:rsidR="00A73B60">
        <w:t xml:space="preserve"> </w:t>
      </w:r>
      <w:r w:rsidR="00A73B60" w:rsidRPr="00A73B60">
        <w:t>Of the 4,446 patients who initiated dupilumab, 29% (1,276) were aged 55 to 69 years old and 59% (2,608) were aged 45 to 79 years old.</w:t>
      </w:r>
      <w:r w:rsidR="00016755">
        <w:t xml:space="preserve"> There was negligible use in patients aged under the age of 12, in line with the PBS restriction that </w:t>
      </w:r>
      <w:r w:rsidR="0098291B">
        <w:t xml:space="preserve">states </w:t>
      </w:r>
      <w:r w:rsidR="00016755">
        <w:t>patients must be over the age of 12</w:t>
      </w:r>
      <w:r w:rsidR="00A54AEE">
        <w:t xml:space="preserve"> to access PBS listed dupilumab</w:t>
      </w:r>
      <w:r w:rsidR="00016755">
        <w:t>.</w:t>
      </w:r>
    </w:p>
    <w:p w14:paraId="3B0B8557" w14:textId="3097AA90" w:rsidR="00D00762" w:rsidRPr="00F1132C" w:rsidRDefault="00222DD2" w:rsidP="00F1132C">
      <w:r w:rsidRPr="00222DD2">
        <w:t>In recommending dupilumab, the PBAC</w:t>
      </w:r>
      <w:r w:rsidR="00242F35" w:rsidRPr="00242F35">
        <w:t xml:space="preserve"> </w:t>
      </w:r>
      <w:r w:rsidR="00242F35">
        <w:t xml:space="preserve">noted that therapies were costed over three years with loading dose(s) for dupilumab and benralizumab taken into account. The PBAC noted that the 3 year time frame was longer than the treatment duration in the dupilumab (24-52 weeks) and comparator (24-56 weeks) clinical trials. The PBAC recalled that it had recommended a one year time horizon in its March 2018 consideration of benralizumab as it aligned with the duration of the key trials. </w:t>
      </w:r>
      <w:r w:rsidR="00DE2FD3">
        <w:t>Using a Kaplan-Meier estimate, the</w:t>
      </w:r>
      <w:r w:rsidR="00242F35">
        <w:t xml:space="preserve"> median length of treatment </w:t>
      </w:r>
      <w:r w:rsidR="00DE2FD3" w:rsidRPr="00DE2FD3">
        <w:t>time on treatment was estimated to be 1.2 years with a lower 95% confidence interval of 1.1 and an upper 95% confidence interval of 1.4.</w:t>
      </w:r>
    </w:p>
    <w:p w14:paraId="033DE505" w14:textId="77777777" w:rsidR="00652002" w:rsidRDefault="00652002" w:rsidP="00652002">
      <w:pPr>
        <w:pStyle w:val="Heading1"/>
      </w:pPr>
      <w:r>
        <w:t>DUSC consideration</w:t>
      </w:r>
    </w:p>
    <w:p w14:paraId="03B30FD9" w14:textId="377B86B7" w:rsidR="00C013F5" w:rsidRDefault="00C013F5" w:rsidP="00C013F5">
      <w:r>
        <w:t>The report showed the number of supplied prescriptions and patients supplied biologic medicines for severe asthma over time. The report suggested that the total number of treated patients appears to have increased with the listing of benralizumab, however does not appear to have increased with the listing of dupilumab. DUSC commented that there may have been a small increase in the number of supplied prescriptions and patients with the listing of dupilumab. DUSC agreed that seasonal effects have affected the use over time, with more prescriptions supplied in quarter 4 of 2020, 2021 and 2022 and fewer in quarter 1 of 2021, 2022 and 2023.</w:t>
      </w:r>
    </w:p>
    <w:p w14:paraId="7A9CB196" w14:textId="55AFC60B" w:rsidR="00C013F5" w:rsidRDefault="00C013F5" w:rsidP="00C013F5">
      <w:r>
        <w:t>DUSC noted that the mean age at initiation of dupilumab was 50 years old, and the median was 53 years old. DUSC noted that more female than male patients initiated in nearly every age group, with the exception of the 0 to 14 and 60 to 64 age range, and patients aged 80 years or older. DUSC noted that the mean and median age of patients initiating therapy on omalizumab was younger than those initiating benralizumab or mepolizumab, which DUSC agreed was likely because omalizumab is the only one of the four asthma biologics PBS listed for patients aged younger than 12.</w:t>
      </w:r>
    </w:p>
    <w:p w14:paraId="3AD58C46" w14:textId="146F8D9E" w:rsidR="00C013F5" w:rsidRDefault="00C013F5" w:rsidP="00C013F5">
      <w:r>
        <w:t xml:space="preserve">DUSC noted there was variability in the use of dupilumab across States and Territories, with NSW having the highest number of initiating patients, and the standardised number of initiating patients highest in Tasmania, with Victoria and South Australia also above the national average. Northern Territory had the lowest number of initiating patients and the </w:t>
      </w:r>
      <w:r>
        <w:lastRenderedPageBreak/>
        <w:t xml:space="preserve">lowest standardised number of initiating patients. DUSC considered this suggested there may be a lack of equitable access across Australia. </w:t>
      </w:r>
    </w:p>
    <w:p w14:paraId="38EFBF51" w14:textId="4940AE42" w:rsidR="00C013F5" w:rsidRDefault="00C013F5" w:rsidP="00C013F5">
      <w:r>
        <w:t xml:space="preserve">DUSC suggested that there was a particular access issue for the Indigenous population. DUSC commented that the Remote Area Aboriginal Health Services Program, which provides free PBS medicines to patients of Aboriginal health services in remote areas under the section 100 program, is unable to supply medicines listed on the s100 Highly Specialised Drugs (HSD) program, including biologics for asthma. </w:t>
      </w:r>
    </w:p>
    <w:p w14:paraId="5A35EDB3" w14:textId="1C77E221" w:rsidR="00C013F5" w:rsidRDefault="00C013F5" w:rsidP="00C013F5">
      <w:r>
        <w:t>DUSC noted that respiratory and sleep medicine specialists accounted for 51% of supplies to patients initiating dupilumab either as the first or subsequent treatment, and 67% of supplied prescriptions. DUSC noted that Dermatology specialists accounted for 29% of supplies to patients initiating dupilumab either as the first or subsequent treatment, and 14% of supplied prescriptions. In its Pre-Sub-Committee Response (PSCR, p3) the sponsor noted that this indicated that approximately 98% of prescriptions representing 97% of treated patients were written either by clinicians included in the PBS restrictions for severe uncontrolled asthma or by dermatologists. DUSC commented that this could be due to miscoding of dupilumab for dermatitis, but noted that 100% of patients supplied dupilumab for severe asthma were supplied previous inhaled corticosteroids. DUSC commented that the database only records one specialty for each clinician although clinicians may have dual specialties, but DUSC questioned whether clinicians would be likely to be dual certified as respiratory and dermatology specialists. DUSC agreed with the PSCR (p4) which suggested that the patients supplied dupilumab by dermatitis specialists may be affected by both asthma and dermatitis.</w:t>
      </w:r>
    </w:p>
    <w:p w14:paraId="7887AACF" w14:textId="61ECC4E4" w:rsidR="00652002" w:rsidRDefault="00C013F5" w:rsidP="00C013F5">
      <w:r>
        <w:t xml:space="preserve">DUSC noted that it appeared that the number of supplied prescriptions of biologic medicines for severe asthma and the number of treated patients have not plateaued and are continuing to grow. DUSC noted that the PSCR (p5) suggested that the rate of growth may have peaked in 2022 and will more closely reflect the assumed annual rates of growth predicted in the submission from 2023 onwards. DUSC commented that dupilumab has already reached the market share it was predicted to have in 2027, and it appears dupilumab has taken market share from omalizumab. DUSC noted that the use of injectable biologics were originally estimated to have a slow uptake as patients may have been hesitant to use an injectable therapy, but that the mode of administration has not affected use as expected. DUSC commented that the length of time on treatment was also higher than predicted, and considered it is likely use will continue to grow in the coming years as more patients initiate therapy and are treated for many years.  </w:t>
      </w:r>
    </w:p>
    <w:p w14:paraId="07B0B7AC" w14:textId="77777777" w:rsidR="00652002" w:rsidRDefault="00652002" w:rsidP="00652002">
      <w:pPr>
        <w:pStyle w:val="Heading1"/>
      </w:pPr>
      <w:r>
        <w:lastRenderedPageBreak/>
        <w:t>DUSC actions</w:t>
      </w:r>
    </w:p>
    <w:p w14:paraId="378287ED" w14:textId="77777777" w:rsidR="00082E06" w:rsidRDefault="00082E06" w:rsidP="00652002">
      <w:pPr>
        <w:pStyle w:val="Heading1"/>
        <w:rPr>
          <w:rFonts w:eastAsiaTheme="minorEastAsia" w:cstheme="minorBidi"/>
          <w:b w:val="0"/>
          <w:bCs w:val="0"/>
          <w:sz w:val="24"/>
          <w:szCs w:val="24"/>
        </w:rPr>
      </w:pPr>
      <w:r w:rsidRPr="00082E06">
        <w:rPr>
          <w:rFonts w:eastAsiaTheme="minorEastAsia" w:cstheme="minorBidi"/>
          <w:b w:val="0"/>
          <w:bCs w:val="0"/>
          <w:sz w:val="24"/>
          <w:szCs w:val="24"/>
        </w:rPr>
        <w:t>DUSC requested that the report be provided to the PBAC for consideration.</w:t>
      </w:r>
    </w:p>
    <w:p w14:paraId="3960C301" w14:textId="5273975C" w:rsidR="00652002" w:rsidRDefault="00652002" w:rsidP="00652002">
      <w:pPr>
        <w:pStyle w:val="Heading1"/>
      </w:pPr>
      <w:r>
        <w:t>Context for analysis</w:t>
      </w:r>
    </w:p>
    <w:p w14:paraId="5025CA77" w14:textId="77777777" w:rsidR="00652002" w:rsidRDefault="00652002" w:rsidP="00652002">
      <w:r>
        <w:t>The DUSC is a Sub Committee of the Pharmaceutical Benefits Advisory Committee (PBAC). The DUSC assesses estimates on projected usage and financial cost of medicines.</w:t>
      </w:r>
    </w:p>
    <w:p w14:paraId="54D50D8C" w14:textId="77777777" w:rsidR="00652002" w:rsidRDefault="00652002" w:rsidP="00652002">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0C75974B" w14:textId="77777777" w:rsidR="00652002" w:rsidRDefault="00652002" w:rsidP="00652002">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1639CD26" w14:textId="77777777" w:rsidR="00652002" w:rsidRDefault="00652002" w:rsidP="00652002">
      <w:r>
        <w:t>The utilisation analysis report was provided to the pharmaceutical sponsors of each drug and comments on the report were provided to DUSC prior to its consideration of the analysis.</w:t>
      </w:r>
    </w:p>
    <w:p w14:paraId="427FE76C" w14:textId="77777777" w:rsidR="00652002" w:rsidRDefault="00652002" w:rsidP="00652002">
      <w:pPr>
        <w:pStyle w:val="Heading1"/>
      </w:pPr>
      <w:r>
        <w:t>Sponsors’ comments</w:t>
      </w:r>
    </w:p>
    <w:p w14:paraId="3FDDF20D" w14:textId="25E26EF8" w:rsidR="00652002" w:rsidRDefault="00F61899" w:rsidP="00652002">
      <w:r>
        <w:t>S</w:t>
      </w:r>
      <w:r w:rsidR="00040438" w:rsidRPr="00040438">
        <w:t>anofi-</w:t>
      </w:r>
      <w:r>
        <w:t>A</w:t>
      </w:r>
      <w:r w:rsidR="00040438" w:rsidRPr="00040438">
        <w:t>ventis Australia</w:t>
      </w:r>
      <w:r w:rsidR="00040438">
        <w:t xml:space="preserve">: </w:t>
      </w:r>
      <w:r w:rsidR="00652002" w:rsidRPr="006E0811">
        <w:t>The sponsor has no comment</w:t>
      </w:r>
      <w:r w:rsidR="00812E77" w:rsidRPr="006E0811">
        <w:t>.</w:t>
      </w:r>
    </w:p>
    <w:p w14:paraId="4A1BF339" w14:textId="7AC7EE04" w:rsidR="006E0811" w:rsidRDefault="006E0811" w:rsidP="00652002">
      <w:r w:rsidRPr="006E0811">
        <w:t>Novartis Pharmaceuticals Australia</w:t>
      </w:r>
      <w:r>
        <w:t xml:space="preserve">: </w:t>
      </w:r>
      <w:r w:rsidRPr="006E0811">
        <w:t>The sponsor has no comment.</w:t>
      </w:r>
    </w:p>
    <w:p w14:paraId="31E6AA45" w14:textId="63030C0F" w:rsidR="00812E77" w:rsidRDefault="00812E77" w:rsidP="00652002">
      <w:r w:rsidRPr="00812E77">
        <w:t>GlaxoSmithKline Australia</w:t>
      </w:r>
      <w:r w:rsidR="006E0811">
        <w:t xml:space="preserve">: </w:t>
      </w:r>
      <w:r w:rsidR="006E0811" w:rsidRPr="006E0811">
        <w:t>The sponsor has no comment.</w:t>
      </w:r>
    </w:p>
    <w:p w14:paraId="7C6B1C39" w14:textId="06F277FD" w:rsidR="006E0811" w:rsidRDefault="006E0811" w:rsidP="00652002">
      <w:r w:rsidRPr="006E0811">
        <w:t>AstraZeneca</w:t>
      </w:r>
      <w:r>
        <w:t xml:space="preserve">: </w:t>
      </w:r>
      <w:r w:rsidRPr="006E0811">
        <w:t>The sponsor has no comment.</w:t>
      </w:r>
    </w:p>
    <w:p w14:paraId="409BB211" w14:textId="77777777" w:rsidR="00652002" w:rsidRDefault="00652002" w:rsidP="00652002">
      <w:pPr>
        <w:pStyle w:val="Heading1"/>
      </w:pPr>
      <w:r>
        <w:t>Disclaimer</w:t>
      </w:r>
    </w:p>
    <w:p w14:paraId="300B0BBF" w14:textId="77777777" w:rsidR="00652002" w:rsidRDefault="00652002" w:rsidP="00652002">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32CE627F" w14:textId="77777777" w:rsidR="00652002" w:rsidRDefault="00652002" w:rsidP="00652002">
      <w:r>
        <w:t xml:space="preserve">The Department of Health and Aged Care has made all reasonable efforts to ensure that information provided in this report is accurate. The information provided in this report was up-to-date when it was considered by the Drug Utilisation Sub-committee of the </w:t>
      </w:r>
      <w:r>
        <w:lastRenderedPageBreak/>
        <w:t>Pharmaceutical Benefits Advisory Committee.  The context for that information may have changed since publication.</w:t>
      </w:r>
    </w:p>
    <w:p w14:paraId="32A5803F" w14:textId="77777777" w:rsidR="00652002" w:rsidRDefault="00652002" w:rsidP="00652002">
      <w:r>
        <w:t xml:space="preserve">To the extent provided by law, the Department of Health and Aged Care makes no warranties or representations as to accuracy or completeness of information contained in this report. </w:t>
      </w:r>
    </w:p>
    <w:p w14:paraId="1235D020" w14:textId="77777777" w:rsidR="00652002" w:rsidRDefault="00652002" w:rsidP="00652002">
      <w:r>
        <w:t>To the fullest extent permitted by law, neither the Department of Health and Aged Care nor any Department of Health and Aged Care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6B412438" w14:textId="633F0208" w:rsidR="008F21EB" w:rsidRPr="008F21EB" w:rsidRDefault="008F21EB" w:rsidP="00652002"/>
    <w:sectPr w:rsidR="008F21EB" w:rsidRPr="008F21EB" w:rsidSect="00DD188C">
      <w:headerReference w:type="even" r:id="rId27"/>
      <w:headerReference w:type="default" r:id="rId28"/>
      <w:footerReference w:type="even" r:id="rId29"/>
      <w:footerReference w:type="default" r:id="rId30"/>
      <w:headerReference w:type="first" r:id="rId31"/>
      <w:footerReference w:type="first" r:id="rId32"/>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6F17F" w14:textId="77777777" w:rsidR="00B87D0C" w:rsidRDefault="00B87D0C" w:rsidP="00A35800">
      <w:r>
        <w:separator/>
      </w:r>
    </w:p>
  </w:endnote>
  <w:endnote w:type="continuationSeparator" w:id="0">
    <w:p w14:paraId="4168CE87" w14:textId="77777777" w:rsidR="00B87D0C" w:rsidRDefault="00B87D0C"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9D5E5" w14:textId="77777777" w:rsidR="00214013" w:rsidRDefault="00214013"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214013" w:rsidRDefault="00214013"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965C4" w14:textId="77777777" w:rsidR="00372C56" w:rsidRDefault="00C22C34" w:rsidP="00C22C34">
    <w:pPr>
      <w:pStyle w:val="Footer"/>
      <w:jc w:val="center"/>
      <w:rPr>
        <w:i/>
        <w:iCs/>
        <w:sz w:val="20"/>
        <w:szCs w:val="20"/>
      </w:rPr>
    </w:pPr>
    <w:r w:rsidRPr="00B870F4">
      <w:rPr>
        <w:i/>
        <w:iCs/>
        <w:sz w:val="20"/>
        <w:szCs w:val="20"/>
      </w:rPr>
      <w:t>Public Release Document, February 2024 DUSC Meeting</w:t>
    </w:r>
  </w:p>
  <w:p w14:paraId="10292A9A" w14:textId="6701F3A2" w:rsidR="00214013" w:rsidRPr="00B870F4" w:rsidRDefault="00372C56" w:rsidP="00C22C34">
    <w:pPr>
      <w:pStyle w:val="Footer"/>
      <w:jc w:val="center"/>
      <w:rPr>
        <w:rStyle w:val="PageNumber"/>
        <w:i/>
        <w:iCs/>
        <w:sz w:val="20"/>
        <w:szCs w:val="20"/>
      </w:rPr>
    </w:pPr>
    <w:r>
      <w:rPr>
        <w:i/>
        <w:iCs/>
        <w:sz w:val="20"/>
        <w:szCs w:val="20"/>
      </w:rPr>
      <w:t>P</w:t>
    </w:r>
    <w:r w:rsidR="00C22C34" w:rsidRPr="00B870F4">
      <w:rPr>
        <w:i/>
        <w:iCs/>
        <w:sz w:val="20"/>
        <w:szCs w:val="20"/>
      </w:rPr>
      <w:t xml:space="preserve">age </w:t>
    </w:r>
    <w:r w:rsidR="00210FD7" w:rsidRPr="00B870F4">
      <w:rPr>
        <w:i/>
        <w:iCs/>
        <w:sz w:val="20"/>
        <w:szCs w:val="20"/>
      </w:rPr>
      <w:fldChar w:fldCharType="begin"/>
    </w:r>
    <w:r w:rsidR="00210FD7" w:rsidRPr="00B870F4">
      <w:rPr>
        <w:i/>
        <w:iCs/>
        <w:sz w:val="20"/>
        <w:szCs w:val="20"/>
      </w:rPr>
      <w:instrText xml:space="preserve"> PAGE   \* MERGEFORMAT </w:instrText>
    </w:r>
    <w:r w:rsidR="00210FD7" w:rsidRPr="00B870F4">
      <w:rPr>
        <w:i/>
        <w:iCs/>
        <w:sz w:val="20"/>
        <w:szCs w:val="20"/>
      </w:rPr>
      <w:fldChar w:fldCharType="separate"/>
    </w:r>
    <w:r w:rsidR="00210FD7" w:rsidRPr="00B870F4">
      <w:rPr>
        <w:i/>
        <w:iCs/>
        <w:noProof/>
        <w:sz w:val="20"/>
        <w:szCs w:val="20"/>
      </w:rPr>
      <w:t>1</w:t>
    </w:r>
    <w:r w:rsidR="00210FD7" w:rsidRPr="00B870F4">
      <w:rPr>
        <w:i/>
        <w:iCs/>
        <w:noProof/>
        <w:sz w:val="20"/>
        <w:szCs w:val="20"/>
      </w:rPr>
      <w:fldChar w:fldCharType="end"/>
    </w:r>
    <w:r w:rsidR="00C22C34" w:rsidRPr="00B870F4">
      <w:rPr>
        <w:i/>
        <w:iCs/>
        <w:sz w:val="20"/>
        <w:szCs w:val="20"/>
      </w:rPr>
      <w:t xml:space="preserve"> of </w:t>
    </w:r>
    <w:r w:rsidR="009F4A73">
      <w:rPr>
        <w:i/>
        <w:iCs/>
        <w:sz w:val="20"/>
        <w:szCs w:val="20"/>
      </w:rPr>
      <w:fldChar w:fldCharType="begin"/>
    </w:r>
    <w:r w:rsidR="009F4A73">
      <w:rPr>
        <w:i/>
        <w:iCs/>
        <w:sz w:val="20"/>
        <w:szCs w:val="20"/>
      </w:rPr>
      <w:instrText xml:space="preserve"> NUMPAGES   \* MERGEFORMAT </w:instrText>
    </w:r>
    <w:r w:rsidR="009F4A73">
      <w:rPr>
        <w:i/>
        <w:iCs/>
        <w:sz w:val="20"/>
        <w:szCs w:val="20"/>
      </w:rPr>
      <w:fldChar w:fldCharType="separate"/>
    </w:r>
    <w:r w:rsidR="009F4A73">
      <w:rPr>
        <w:i/>
        <w:iCs/>
        <w:noProof/>
        <w:sz w:val="20"/>
        <w:szCs w:val="20"/>
      </w:rPr>
      <w:t>25</w:t>
    </w:r>
    <w:r w:rsidR="009F4A73">
      <w:rPr>
        <w:i/>
        <w:i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22E1F" w14:textId="77777777" w:rsidR="007A5733" w:rsidRDefault="007A5733" w:rsidP="007A5733">
    <w:pPr>
      <w:pStyle w:val="Footer"/>
      <w:jc w:val="center"/>
      <w:rPr>
        <w:rStyle w:val="PageNumber"/>
      </w:rPr>
    </w:pPr>
    <w:r>
      <w:rPr>
        <w:rStyle w:val="PageNumber"/>
      </w:rPr>
      <w:t>Committee-in-Confidence</w:t>
    </w:r>
  </w:p>
  <w:p w14:paraId="3CE6880B" w14:textId="77777777" w:rsidR="00DD188C" w:rsidRDefault="00DD188C"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69A39" w14:textId="77777777" w:rsidR="00B87D0C" w:rsidRDefault="00B87D0C" w:rsidP="00A35800">
      <w:r>
        <w:separator/>
      </w:r>
    </w:p>
  </w:footnote>
  <w:footnote w:type="continuationSeparator" w:id="0">
    <w:p w14:paraId="05084479" w14:textId="77777777" w:rsidR="00B87D0C" w:rsidRDefault="00B87D0C" w:rsidP="00A35800">
      <w:r>
        <w:continuationSeparator/>
      </w:r>
    </w:p>
  </w:footnote>
  <w:footnote w:id="1">
    <w:p w14:paraId="38628F9D" w14:textId="5106724E" w:rsidR="00505756" w:rsidRDefault="00505756" w:rsidP="00B3085B">
      <w:pPr>
        <w:pStyle w:val="FootnoteText"/>
      </w:pPr>
      <w:r>
        <w:rPr>
          <w:rStyle w:val="FootnoteReference"/>
        </w:rPr>
        <w:footnoteRef/>
      </w:r>
      <w:r>
        <w:t xml:space="preserve"> </w:t>
      </w:r>
      <w:r w:rsidR="00BA021A">
        <w:t>Dupilumab (asthma)</w:t>
      </w:r>
      <w:r w:rsidR="00B3085B">
        <w:t xml:space="preserve"> Pharmaceutical Benefits Advisory Committee </w:t>
      </w:r>
      <w:r w:rsidR="005C19B6">
        <w:t>Public Summary Document, November 2020</w:t>
      </w:r>
      <w:r w:rsidR="00572010">
        <w:t>,</w:t>
      </w:r>
      <w:r>
        <w:t xml:space="preserve"> </w:t>
      </w:r>
      <w:r w:rsidRPr="00505756">
        <w:t>https://www.pbs.gov.au/industry/listing/elements/pbac-meetings/psd/2020-11/files/dupilumab-asthma-psd-nov-2020.pdf</w:t>
      </w:r>
    </w:p>
  </w:footnote>
  <w:footnote w:id="2">
    <w:p w14:paraId="3868FD9A" w14:textId="6A6A2C19" w:rsidR="00884C29" w:rsidRDefault="00884C29">
      <w:pPr>
        <w:pStyle w:val="FootnoteText"/>
      </w:pPr>
      <w:r>
        <w:rPr>
          <w:rStyle w:val="FootnoteReference"/>
        </w:rPr>
        <w:footnoteRef/>
      </w:r>
      <w:r>
        <w:t xml:space="preserve"> </w:t>
      </w:r>
      <w:r w:rsidRPr="00884C29">
        <w:t xml:space="preserve">Li Z, </w:t>
      </w:r>
      <w:proofErr w:type="spellStart"/>
      <w:r w:rsidRPr="00884C29">
        <w:t>Radin</w:t>
      </w:r>
      <w:proofErr w:type="spellEnd"/>
      <w:r w:rsidRPr="00884C29">
        <w:t xml:space="preserve"> A, Li M, Hamilton JD, </w:t>
      </w:r>
      <w:proofErr w:type="spellStart"/>
      <w:r w:rsidRPr="00884C29">
        <w:t>Kajiwara</w:t>
      </w:r>
      <w:proofErr w:type="spellEnd"/>
      <w:r w:rsidRPr="00884C29">
        <w:t xml:space="preserve"> M, Davis JD, et al. Pharmacokinetics, Pharmacodynamics, Safety, and Tolerability of Dupilumab in Healthy Adult Subjects. Clin </w:t>
      </w:r>
      <w:proofErr w:type="spellStart"/>
      <w:r w:rsidRPr="00884C29">
        <w:t>Pharmacol</w:t>
      </w:r>
      <w:proofErr w:type="spellEnd"/>
      <w:r w:rsidRPr="00884C29">
        <w:t xml:space="preserve"> Drug Dev. 2020 Aug;9(6):742-755. </w:t>
      </w:r>
      <w:proofErr w:type="spellStart"/>
      <w:r w:rsidRPr="00884C29">
        <w:t>doi</w:t>
      </w:r>
      <w:proofErr w:type="spellEnd"/>
      <w:r w:rsidRPr="00884C29">
        <w:t xml:space="preserve">: 10.1002/cpdd.798. </w:t>
      </w:r>
      <w:proofErr w:type="spellStart"/>
      <w:r w:rsidRPr="00884C29">
        <w:t>Epub</w:t>
      </w:r>
      <w:proofErr w:type="spellEnd"/>
      <w:r w:rsidRPr="00884C29">
        <w:t xml:space="preserve"> 2020 Apr 29. PMID: 32348036; PMCID: PMC7496261</w:t>
      </w:r>
    </w:p>
  </w:footnote>
  <w:footnote w:id="3">
    <w:p w14:paraId="0A4DD767" w14:textId="6B3A91EE" w:rsidR="00576B18" w:rsidRPr="00BC5AE2" w:rsidRDefault="00576B18" w:rsidP="00576B18">
      <w:pPr>
        <w:pStyle w:val="FootnoteText"/>
        <w:rPr>
          <w:sz w:val="20"/>
        </w:rPr>
      </w:pPr>
      <w:r w:rsidRPr="00BC5AE2">
        <w:rPr>
          <w:rStyle w:val="FootnoteReference"/>
          <w:sz w:val="20"/>
        </w:rPr>
        <w:footnoteRef/>
      </w:r>
      <w:r w:rsidRPr="00BC5AE2">
        <w:rPr>
          <w:sz w:val="20"/>
        </w:rPr>
        <w:t xml:space="preserve"> PBS statistics</w:t>
      </w:r>
      <w:r>
        <w:rPr>
          <w:sz w:val="20"/>
        </w:rPr>
        <w:t xml:space="preserve">. Australian Government </w:t>
      </w:r>
      <w:r w:rsidR="006804E0" w:rsidRPr="006804E0">
        <w:rPr>
          <w:sz w:val="20"/>
        </w:rPr>
        <w:t>Services Australia</w:t>
      </w:r>
      <w:r>
        <w:rPr>
          <w:sz w:val="20"/>
        </w:rPr>
        <w:t>. Canberra. Available from &lt;</w:t>
      </w:r>
      <w:hyperlink r:id="rId1" w:history="1">
        <w:r>
          <w:rPr>
            <w:rStyle w:val="Hyperlink"/>
            <w:sz w:val="20"/>
          </w:rPr>
          <w:t>http://www.medicareaustralia.gov.au/provider/pbs/stats.jsp</w:t>
        </w:r>
      </w:hyperlink>
      <w:r>
        <w:rPr>
          <w:sz w:val="20"/>
        </w:rPr>
        <w:t>&gt;.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3F878" w14:textId="77777777" w:rsidR="00DD188C" w:rsidRDefault="00DD18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6F15D" w14:textId="77777777" w:rsidR="00FB77FA" w:rsidRDefault="00FB77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87C54" w14:textId="77777777" w:rsidR="00DD188C" w:rsidRDefault="00DD18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A7A05"/>
    <w:multiLevelType w:val="hybridMultilevel"/>
    <w:tmpl w:val="1604DDA4"/>
    <w:lvl w:ilvl="0" w:tplc="61A20478">
      <w:numFmt w:val="bullet"/>
      <w:lvlText w:val="•"/>
      <w:lvlJc w:val="left"/>
      <w:pPr>
        <w:ind w:left="720" w:hanging="72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AE17FB"/>
    <w:multiLevelType w:val="hybridMultilevel"/>
    <w:tmpl w:val="6480DD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F9249E"/>
    <w:multiLevelType w:val="hybridMultilevel"/>
    <w:tmpl w:val="02A4C4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C155E2"/>
    <w:multiLevelType w:val="hybridMultilevel"/>
    <w:tmpl w:val="F38282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C4F2F52"/>
    <w:multiLevelType w:val="hybridMultilevel"/>
    <w:tmpl w:val="E848BB5E"/>
    <w:lvl w:ilvl="0" w:tplc="0C090001">
      <w:start w:val="1"/>
      <w:numFmt w:val="bullet"/>
      <w:lvlText w:val=""/>
      <w:lvlJc w:val="left"/>
      <w:pPr>
        <w:ind w:left="480" w:hanging="360"/>
      </w:pPr>
      <w:rPr>
        <w:rFonts w:ascii="Symbol" w:hAnsi="Symbol"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5"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96826AA"/>
    <w:multiLevelType w:val="hybridMultilevel"/>
    <w:tmpl w:val="0FA0D3DE"/>
    <w:lvl w:ilvl="0" w:tplc="27429B1C">
      <w:start w:val="2"/>
      <w:numFmt w:val="bullet"/>
      <w:lvlText w:val="-"/>
      <w:lvlJc w:val="left"/>
      <w:pPr>
        <w:ind w:left="480" w:hanging="360"/>
      </w:pPr>
      <w:rPr>
        <w:rFonts w:ascii="Calibri" w:eastAsiaTheme="minorEastAsia" w:hAnsi="Calibri" w:cs="Calibri"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7" w15:restartNumberingAfterBreak="0">
    <w:nsid w:val="343D4E6C"/>
    <w:multiLevelType w:val="hybridMultilevel"/>
    <w:tmpl w:val="A72E2C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87B122F"/>
    <w:multiLevelType w:val="hybridMultilevel"/>
    <w:tmpl w:val="9D2E77FC"/>
    <w:lvl w:ilvl="0" w:tplc="61A20478">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4E4081D"/>
    <w:multiLevelType w:val="hybridMultilevel"/>
    <w:tmpl w:val="00F05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F5E5D31"/>
    <w:multiLevelType w:val="hybridMultilevel"/>
    <w:tmpl w:val="F5541EAA"/>
    <w:lvl w:ilvl="0" w:tplc="27429B1C">
      <w:start w:val="2"/>
      <w:numFmt w:val="bullet"/>
      <w:lvlText w:val="-"/>
      <w:lvlJc w:val="left"/>
      <w:pPr>
        <w:ind w:left="420" w:hanging="360"/>
      </w:pPr>
      <w:rPr>
        <w:rFonts w:ascii="Calibri" w:eastAsiaTheme="minorEastAsia" w:hAnsi="Calibri" w:cs="Calibri"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11" w15:restartNumberingAfterBreak="0">
    <w:nsid w:val="5F6B468C"/>
    <w:multiLevelType w:val="hybridMultilevel"/>
    <w:tmpl w:val="404C2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72880EB7"/>
    <w:multiLevelType w:val="hybridMultilevel"/>
    <w:tmpl w:val="3DBA663E"/>
    <w:lvl w:ilvl="0" w:tplc="0C090001">
      <w:start w:val="1"/>
      <w:numFmt w:val="bullet"/>
      <w:lvlText w:val=""/>
      <w:lvlJc w:val="left"/>
      <w:pPr>
        <w:ind w:left="360" w:hanging="360"/>
      </w:pPr>
      <w:rPr>
        <w:rFonts w:ascii="Symbol" w:hAnsi="Symbol" w:hint="default"/>
      </w:rPr>
    </w:lvl>
    <w:lvl w:ilvl="1" w:tplc="61A20478">
      <w:numFmt w:val="bullet"/>
      <w:lvlText w:val="•"/>
      <w:lvlJc w:val="left"/>
      <w:pPr>
        <w:ind w:left="1080" w:hanging="360"/>
      </w:pPr>
      <w:rPr>
        <w:rFonts w:ascii="Calibri" w:eastAsiaTheme="minorEastAsia"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7F070569"/>
    <w:multiLevelType w:val="hybridMultilevel"/>
    <w:tmpl w:val="D742AE40"/>
    <w:lvl w:ilvl="0" w:tplc="61A20478">
      <w:numFmt w:val="bullet"/>
      <w:lvlText w:val="•"/>
      <w:lvlJc w:val="left"/>
      <w:pPr>
        <w:ind w:left="720" w:hanging="720"/>
      </w:pPr>
      <w:rPr>
        <w:rFonts w:ascii="Calibri" w:eastAsiaTheme="minorEastAsia"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143690527">
    <w:abstractNumId w:val="13"/>
  </w:num>
  <w:num w:numId="2" w16cid:durableId="134222114">
    <w:abstractNumId w:val="12"/>
  </w:num>
  <w:num w:numId="3" w16cid:durableId="985234371">
    <w:abstractNumId w:val="5"/>
  </w:num>
  <w:num w:numId="4" w16cid:durableId="1633364538">
    <w:abstractNumId w:val="14"/>
  </w:num>
  <w:num w:numId="5" w16cid:durableId="2037533587">
    <w:abstractNumId w:val="0"/>
  </w:num>
  <w:num w:numId="6" w16cid:durableId="1387997613">
    <w:abstractNumId w:val="10"/>
  </w:num>
  <w:num w:numId="7" w16cid:durableId="979531648">
    <w:abstractNumId w:val="6"/>
  </w:num>
  <w:num w:numId="8" w16cid:durableId="662464324">
    <w:abstractNumId w:val="4"/>
  </w:num>
  <w:num w:numId="9" w16cid:durableId="46148812">
    <w:abstractNumId w:val="8"/>
  </w:num>
  <w:num w:numId="10" w16cid:durableId="258610626">
    <w:abstractNumId w:val="11"/>
  </w:num>
  <w:num w:numId="11" w16cid:durableId="1762411634">
    <w:abstractNumId w:val="2"/>
  </w:num>
  <w:num w:numId="12" w16cid:durableId="1380742966">
    <w:abstractNumId w:val="7"/>
  </w:num>
  <w:num w:numId="13" w16cid:durableId="1302032291">
    <w:abstractNumId w:val="3"/>
  </w:num>
  <w:num w:numId="14" w16cid:durableId="1181505743">
    <w:abstractNumId w:val="9"/>
  </w:num>
  <w:num w:numId="15" w16cid:durableId="2105496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041"/>
    <w:rsid w:val="0000274D"/>
    <w:rsid w:val="000078B5"/>
    <w:rsid w:val="00007E85"/>
    <w:rsid w:val="00010DCE"/>
    <w:rsid w:val="000111B2"/>
    <w:rsid w:val="00013465"/>
    <w:rsid w:val="00015F56"/>
    <w:rsid w:val="000165A0"/>
    <w:rsid w:val="00016755"/>
    <w:rsid w:val="000167D1"/>
    <w:rsid w:val="0002060E"/>
    <w:rsid w:val="00020B10"/>
    <w:rsid w:val="000226B3"/>
    <w:rsid w:val="00024549"/>
    <w:rsid w:val="0002519D"/>
    <w:rsid w:val="00025488"/>
    <w:rsid w:val="000262C7"/>
    <w:rsid w:val="0003147E"/>
    <w:rsid w:val="00033D26"/>
    <w:rsid w:val="00040438"/>
    <w:rsid w:val="00045232"/>
    <w:rsid w:val="000464D8"/>
    <w:rsid w:val="000467C1"/>
    <w:rsid w:val="00046DB7"/>
    <w:rsid w:val="00051395"/>
    <w:rsid w:val="00052128"/>
    <w:rsid w:val="000536A9"/>
    <w:rsid w:val="000544B6"/>
    <w:rsid w:val="000551E8"/>
    <w:rsid w:val="000554F9"/>
    <w:rsid w:val="00055516"/>
    <w:rsid w:val="00056DA5"/>
    <w:rsid w:val="000604AF"/>
    <w:rsid w:val="00060A5A"/>
    <w:rsid w:val="0006677D"/>
    <w:rsid w:val="000676D1"/>
    <w:rsid w:val="00071879"/>
    <w:rsid w:val="00071ECD"/>
    <w:rsid w:val="00074A25"/>
    <w:rsid w:val="00077F98"/>
    <w:rsid w:val="000805A7"/>
    <w:rsid w:val="0008112B"/>
    <w:rsid w:val="00081E39"/>
    <w:rsid w:val="00082E06"/>
    <w:rsid w:val="00083072"/>
    <w:rsid w:val="00083514"/>
    <w:rsid w:val="00084511"/>
    <w:rsid w:val="00086A79"/>
    <w:rsid w:val="00086C11"/>
    <w:rsid w:val="00094C09"/>
    <w:rsid w:val="00094DCF"/>
    <w:rsid w:val="00095ED3"/>
    <w:rsid w:val="0009750A"/>
    <w:rsid w:val="000A6CFD"/>
    <w:rsid w:val="000B08A4"/>
    <w:rsid w:val="000B0982"/>
    <w:rsid w:val="000B2330"/>
    <w:rsid w:val="000B4FB4"/>
    <w:rsid w:val="000B5840"/>
    <w:rsid w:val="000B5E4A"/>
    <w:rsid w:val="000B77DC"/>
    <w:rsid w:val="000B796C"/>
    <w:rsid w:val="000C46BB"/>
    <w:rsid w:val="000C4BF6"/>
    <w:rsid w:val="000C4D9D"/>
    <w:rsid w:val="000C7C4B"/>
    <w:rsid w:val="000C7D8B"/>
    <w:rsid w:val="000D2806"/>
    <w:rsid w:val="000D39C2"/>
    <w:rsid w:val="000D4F9B"/>
    <w:rsid w:val="000D528A"/>
    <w:rsid w:val="000D7EDE"/>
    <w:rsid w:val="000E04E3"/>
    <w:rsid w:val="000E3021"/>
    <w:rsid w:val="000E485D"/>
    <w:rsid w:val="000E56EF"/>
    <w:rsid w:val="000E72C6"/>
    <w:rsid w:val="000E7411"/>
    <w:rsid w:val="000E7F4C"/>
    <w:rsid w:val="000F1893"/>
    <w:rsid w:val="000F2F51"/>
    <w:rsid w:val="000F401B"/>
    <w:rsid w:val="000F69BD"/>
    <w:rsid w:val="000F7351"/>
    <w:rsid w:val="00113CF8"/>
    <w:rsid w:val="00113D74"/>
    <w:rsid w:val="00115440"/>
    <w:rsid w:val="001177D6"/>
    <w:rsid w:val="00117C5C"/>
    <w:rsid w:val="00124A8C"/>
    <w:rsid w:val="001310AE"/>
    <w:rsid w:val="00133AE3"/>
    <w:rsid w:val="00133BCD"/>
    <w:rsid w:val="00136610"/>
    <w:rsid w:val="00136AD9"/>
    <w:rsid w:val="001420B3"/>
    <w:rsid w:val="00145843"/>
    <w:rsid w:val="001460C4"/>
    <w:rsid w:val="0014654A"/>
    <w:rsid w:val="001468AE"/>
    <w:rsid w:val="00151FF5"/>
    <w:rsid w:val="00153A4F"/>
    <w:rsid w:val="00154CDF"/>
    <w:rsid w:val="00155339"/>
    <w:rsid w:val="0015691C"/>
    <w:rsid w:val="001571E1"/>
    <w:rsid w:val="001621F7"/>
    <w:rsid w:val="001624D7"/>
    <w:rsid w:val="00162F39"/>
    <w:rsid w:val="001702F3"/>
    <w:rsid w:val="00171085"/>
    <w:rsid w:val="001776A1"/>
    <w:rsid w:val="00177B86"/>
    <w:rsid w:val="00181DA8"/>
    <w:rsid w:val="00182585"/>
    <w:rsid w:val="00184F51"/>
    <w:rsid w:val="00191182"/>
    <w:rsid w:val="00194737"/>
    <w:rsid w:val="00194ACD"/>
    <w:rsid w:val="0019664D"/>
    <w:rsid w:val="001A54D7"/>
    <w:rsid w:val="001A5B88"/>
    <w:rsid w:val="001A6103"/>
    <w:rsid w:val="001B0ECB"/>
    <w:rsid w:val="001B4F44"/>
    <w:rsid w:val="001B5D37"/>
    <w:rsid w:val="001B7700"/>
    <w:rsid w:val="001C04D7"/>
    <w:rsid w:val="001C2940"/>
    <w:rsid w:val="001C4016"/>
    <w:rsid w:val="001C4230"/>
    <w:rsid w:val="001C548D"/>
    <w:rsid w:val="001C6A5D"/>
    <w:rsid w:val="001C7178"/>
    <w:rsid w:val="001D513C"/>
    <w:rsid w:val="001D74BE"/>
    <w:rsid w:val="001E2E5D"/>
    <w:rsid w:val="001E31A6"/>
    <w:rsid w:val="001E42C7"/>
    <w:rsid w:val="001E4CAB"/>
    <w:rsid w:val="001E777B"/>
    <w:rsid w:val="001F0A4E"/>
    <w:rsid w:val="001F2F3E"/>
    <w:rsid w:val="001F4906"/>
    <w:rsid w:val="001F7C4A"/>
    <w:rsid w:val="00202F4A"/>
    <w:rsid w:val="0020578A"/>
    <w:rsid w:val="00207631"/>
    <w:rsid w:val="0021068D"/>
    <w:rsid w:val="00210FD7"/>
    <w:rsid w:val="00212408"/>
    <w:rsid w:val="0021257A"/>
    <w:rsid w:val="0021397F"/>
    <w:rsid w:val="00214013"/>
    <w:rsid w:val="0021565B"/>
    <w:rsid w:val="00215941"/>
    <w:rsid w:val="00217A39"/>
    <w:rsid w:val="00220FC1"/>
    <w:rsid w:val="0022147B"/>
    <w:rsid w:val="00222DD2"/>
    <w:rsid w:val="00222E9A"/>
    <w:rsid w:val="002232D0"/>
    <w:rsid w:val="002244E0"/>
    <w:rsid w:val="0023157F"/>
    <w:rsid w:val="0023179D"/>
    <w:rsid w:val="00231CA7"/>
    <w:rsid w:val="00233E67"/>
    <w:rsid w:val="00234FBC"/>
    <w:rsid w:val="0023762A"/>
    <w:rsid w:val="002404AF"/>
    <w:rsid w:val="00241675"/>
    <w:rsid w:val="00242682"/>
    <w:rsid w:val="00242F35"/>
    <w:rsid w:val="00246280"/>
    <w:rsid w:val="002465B9"/>
    <w:rsid w:val="0025389D"/>
    <w:rsid w:val="00254E02"/>
    <w:rsid w:val="00255B16"/>
    <w:rsid w:val="0026265F"/>
    <w:rsid w:val="002636ED"/>
    <w:rsid w:val="00267D0F"/>
    <w:rsid w:val="002801F9"/>
    <w:rsid w:val="0028036F"/>
    <w:rsid w:val="002805E9"/>
    <w:rsid w:val="002838CD"/>
    <w:rsid w:val="00286C3A"/>
    <w:rsid w:val="0029106E"/>
    <w:rsid w:val="002930F5"/>
    <w:rsid w:val="00294E21"/>
    <w:rsid w:val="002A06B7"/>
    <w:rsid w:val="002A1E10"/>
    <w:rsid w:val="002A4456"/>
    <w:rsid w:val="002B212F"/>
    <w:rsid w:val="002B698C"/>
    <w:rsid w:val="002C04AC"/>
    <w:rsid w:val="002C3EA2"/>
    <w:rsid w:val="002C6E0C"/>
    <w:rsid w:val="002D144A"/>
    <w:rsid w:val="002D3410"/>
    <w:rsid w:val="002D4094"/>
    <w:rsid w:val="002D577A"/>
    <w:rsid w:val="002D6EE9"/>
    <w:rsid w:val="002E19A3"/>
    <w:rsid w:val="002E212B"/>
    <w:rsid w:val="002E3337"/>
    <w:rsid w:val="002E6D03"/>
    <w:rsid w:val="002E707D"/>
    <w:rsid w:val="002E72D3"/>
    <w:rsid w:val="002F0603"/>
    <w:rsid w:val="002F0DC4"/>
    <w:rsid w:val="002F13D3"/>
    <w:rsid w:val="002F38D7"/>
    <w:rsid w:val="002F49A8"/>
    <w:rsid w:val="002F5E66"/>
    <w:rsid w:val="002F61CA"/>
    <w:rsid w:val="0030010D"/>
    <w:rsid w:val="00300543"/>
    <w:rsid w:val="00302650"/>
    <w:rsid w:val="00302FA5"/>
    <w:rsid w:val="0030317A"/>
    <w:rsid w:val="003113CB"/>
    <w:rsid w:val="00312C49"/>
    <w:rsid w:val="0031382A"/>
    <w:rsid w:val="00314688"/>
    <w:rsid w:val="00315096"/>
    <w:rsid w:val="003274B9"/>
    <w:rsid w:val="00330DFD"/>
    <w:rsid w:val="003314DA"/>
    <w:rsid w:val="00334A88"/>
    <w:rsid w:val="0033504C"/>
    <w:rsid w:val="00336816"/>
    <w:rsid w:val="003370D0"/>
    <w:rsid w:val="00337355"/>
    <w:rsid w:val="003402E4"/>
    <w:rsid w:val="00340F95"/>
    <w:rsid w:val="0034179B"/>
    <w:rsid w:val="00341DDD"/>
    <w:rsid w:val="0034765A"/>
    <w:rsid w:val="00350FB6"/>
    <w:rsid w:val="003531ED"/>
    <w:rsid w:val="003605EE"/>
    <w:rsid w:val="00360B9A"/>
    <w:rsid w:val="00370035"/>
    <w:rsid w:val="00372C56"/>
    <w:rsid w:val="003747BC"/>
    <w:rsid w:val="00380B22"/>
    <w:rsid w:val="00381070"/>
    <w:rsid w:val="003845F0"/>
    <w:rsid w:val="00385EF4"/>
    <w:rsid w:val="0038717D"/>
    <w:rsid w:val="00387F91"/>
    <w:rsid w:val="0039017F"/>
    <w:rsid w:val="00394457"/>
    <w:rsid w:val="00394AEE"/>
    <w:rsid w:val="003970B5"/>
    <w:rsid w:val="003A7AFB"/>
    <w:rsid w:val="003B2BF7"/>
    <w:rsid w:val="003B3D24"/>
    <w:rsid w:val="003B539D"/>
    <w:rsid w:val="003C1B63"/>
    <w:rsid w:val="003C2D98"/>
    <w:rsid w:val="003C4E04"/>
    <w:rsid w:val="003D05B2"/>
    <w:rsid w:val="003D3A96"/>
    <w:rsid w:val="003D3B9C"/>
    <w:rsid w:val="003E104E"/>
    <w:rsid w:val="003E2542"/>
    <w:rsid w:val="003E6368"/>
    <w:rsid w:val="003E6F27"/>
    <w:rsid w:val="003E7D53"/>
    <w:rsid w:val="003F0FB7"/>
    <w:rsid w:val="003F14BA"/>
    <w:rsid w:val="003F36E5"/>
    <w:rsid w:val="003F41CF"/>
    <w:rsid w:val="00403B0F"/>
    <w:rsid w:val="0040427B"/>
    <w:rsid w:val="00404F03"/>
    <w:rsid w:val="00406325"/>
    <w:rsid w:val="00412051"/>
    <w:rsid w:val="00412401"/>
    <w:rsid w:val="00413085"/>
    <w:rsid w:val="004135C9"/>
    <w:rsid w:val="00413EAC"/>
    <w:rsid w:val="00413FB1"/>
    <w:rsid w:val="004205CF"/>
    <w:rsid w:val="00423B94"/>
    <w:rsid w:val="004331D7"/>
    <w:rsid w:val="004339D5"/>
    <w:rsid w:val="00440565"/>
    <w:rsid w:val="00450B16"/>
    <w:rsid w:val="004526B9"/>
    <w:rsid w:val="004553FB"/>
    <w:rsid w:val="0045556D"/>
    <w:rsid w:val="004605FE"/>
    <w:rsid w:val="00463731"/>
    <w:rsid w:val="004637A0"/>
    <w:rsid w:val="0046400A"/>
    <w:rsid w:val="004643C8"/>
    <w:rsid w:val="004655FC"/>
    <w:rsid w:val="00467B25"/>
    <w:rsid w:val="004702E3"/>
    <w:rsid w:val="0047039B"/>
    <w:rsid w:val="00471BD3"/>
    <w:rsid w:val="00471F1A"/>
    <w:rsid w:val="00472B50"/>
    <w:rsid w:val="004757D4"/>
    <w:rsid w:val="0047598B"/>
    <w:rsid w:val="00477129"/>
    <w:rsid w:val="00481108"/>
    <w:rsid w:val="004855EB"/>
    <w:rsid w:val="00490366"/>
    <w:rsid w:val="004903B8"/>
    <w:rsid w:val="0049042B"/>
    <w:rsid w:val="004921CC"/>
    <w:rsid w:val="00492FC6"/>
    <w:rsid w:val="00495473"/>
    <w:rsid w:val="004A13C8"/>
    <w:rsid w:val="004A287B"/>
    <w:rsid w:val="004A458E"/>
    <w:rsid w:val="004B23E7"/>
    <w:rsid w:val="004B2433"/>
    <w:rsid w:val="004B306F"/>
    <w:rsid w:val="004B351C"/>
    <w:rsid w:val="004B7F75"/>
    <w:rsid w:val="004C3186"/>
    <w:rsid w:val="004C5042"/>
    <w:rsid w:val="004C7D0A"/>
    <w:rsid w:val="004D07FC"/>
    <w:rsid w:val="004D2C09"/>
    <w:rsid w:val="004D7203"/>
    <w:rsid w:val="004E1CCA"/>
    <w:rsid w:val="004E244C"/>
    <w:rsid w:val="004E4422"/>
    <w:rsid w:val="004F3042"/>
    <w:rsid w:val="004F3623"/>
    <w:rsid w:val="004F3A52"/>
    <w:rsid w:val="004F4EFF"/>
    <w:rsid w:val="00500788"/>
    <w:rsid w:val="005030F3"/>
    <w:rsid w:val="00503998"/>
    <w:rsid w:val="00504039"/>
    <w:rsid w:val="00504867"/>
    <w:rsid w:val="00505756"/>
    <w:rsid w:val="00505808"/>
    <w:rsid w:val="0050623B"/>
    <w:rsid w:val="00507625"/>
    <w:rsid w:val="00513259"/>
    <w:rsid w:val="005151FE"/>
    <w:rsid w:val="00516839"/>
    <w:rsid w:val="00516AC5"/>
    <w:rsid w:val="00516B3C"/>
    <w:rsid w:val="00520863"/>
    <w:rsid w:val="00520BBB"/>
    <w:rsid w:val="00520D44"/>
    <w:rsid w:val="005224C7"/>
    <w:rsid w:val="00522691"/>
    <w:rsid w:val="00523181"/>
    <w:rsid w:val="00524D13"/>
    <w:rsid w:val="00525E7F"/>
    <w:rsid w:val="00526998"/>
    <w:rsid w:val="005339F6"/>
    <w:rsid w:val="00533FF5"/>
    <w:rsid w:val="00534235"/>
    <w:rsid w:val="00535DD5"/>
    <w:rsid w:val="005365E0"/>
    <w:rsid w:val="00536A62"/>
    <w:rsid w:val="00537941"/>
    <w:rsid w:val="00542BBC"/>
    <w:rsid w:val="00550558"/>
    <w:rsid w:val="00552014"/>
    <w:rsid w:val="00552388"/>
    <w:rsid w:val="00562568"/>
    <w:rsid w:val="005629C3"/>
    <w:rsid w:val="005649DC"/>
    <w:rsid w:val="005677D0"/>
    <w:rsid w:val="005714A7"/>
    <w:rsid w:val="00572010"/>
    <w:rsid w:val="005757F6"/>
    <w:rsid w:val="00576B18"/>
    <w:rsid w:val="00581FEF"/>
    <w:rsid w:val="0058277E"/>
    <w:rsid w:val="00585563"/>
    <w:rsid w:val="00587724"/>
    <w:rsid w:val="005905BA"/>
    <w:rsid w:val="00591512"/>
    <w:rsid w:val="00591725"/>
    <w:rsid w:val="00596BB9"/>
    <w:rsid w:val="00597DD0"/>
    <w:rsid w:val="005A544E"/>
    <w:rsid w:val="005A7449"/>
    <w:rsid w:val="005A7AA5"/>
    <w:rsid w:val="005B29DF"/>
    <w:rsid w:val="005B2D91"/>
    <w:rsid w:val="005B48B4"/>
    <w:rsid w:val="005B55E1"/>
    <w:rsid w:val="005C19B6"/>
    <w:rsid w:val="005C59B5"/>
    <w:rsid w:val="005C6661"/>
    <w:rsid w:val="005C6E3B"/>
    <w:rsid w:val="005D08D1"/>
    <w:rsid w:val="005D0A69"/>
    <w:rsid w:val="005D2DF3"/>
    <w:rsid w:val="005D3491"/>
    <w:rsid w:val="005D3E6B"/>
    <w:rsid w:val="005D474B"/>
    <w:rsid w:val="005D68B4"/>
    <w:rsid w:val="005D6F44"/>
    <w:rsid w:val="005E085C"/>
    <w:rsid w:val="005E147D"/>
    <w:rsid w:val="005E22C2"/>
    <w:rsid w:val="005E385C"/>
    <w:rsid w:val="005E57BB"/>
    <w:rsid w:val="005E6533"/>
    <w:rsid w:val="005E7352"/>
    <w:rsid w:val="005F0017"/>
    <w:rsid w:val="005F65DC"/>
    <w:rsid w:val="006014F1"/>
    <w:rsid w:val="00601667"/>
    <w:rsid w:val="00603BAD"/>
    <w:rsid w:val="0061357B"/>
    <w:rsid w:val="00614A7D"/>
    <w:rsid w:val="00621B61"/>
    <w:rsid w:val="0062288D"/>
    <w:rsid w:val="00624D49"/>
    <w:rsid w:val="006266E8"/>
    <w:rsid w:val="00631E5E"/>
    <w:rsid w:val="0063631C"/>
    <w:rsid w:val="0063757B"/>
    <w:rsid w:val="006377CE"/>
    <w:rsid w:val="00640B24"/>
    <w:rsid w:val="00642D59"/>
    <w:rsid w:val="0064715B"/>
    <w:rsid w:val="00650E9A"/>
    <w:rsid w:val="00651F04"/>
    <w:rsid w:val="00652002"/>
    <w:rsid w:val="006537D9"/>
    <w:rsid w:val="0066073F"/>
    <w:rsid w:val="00664A48"/>
    <w:rsid w:val="0066523E"/>
    <w:rsid w:val="00665DEF"/>
    <w:rsid w:val="006714CF"/>
    <w:rsid w:val="00673CEE"/>
    <w:rsid w:val="00674401"/>
    <w:rsid w:val="00675BB1"/>
    <w:rsid w:val="006775F1"/>
    <w:rsid w:val="006804E0"/>
    <w:rsid w:val="0068228D"/>
    <w:rsid w:val="00685423"/>
    <w:rsid w:val="006855F6"/>
    <w:rsid w:val="00687A8C"/>
    <w:rsid w:val="00692AA7"/>
    <w:rsid w:val="00694A42"/>
    <w:rsid w:val="00697FEC"/>
    <w:rsid w:val="006A175F"/>
    <w:rsid w:val="006A44F5"/>
    <w:rsid w:val="006B3E9A"/>
    <w:rsid w:val="006B4537"/>
    <w:rsid w:val="006B554F"/>
    <w:rsid w:val="006B5F85"/>
    <w:rsid w:val="006B6929"/>
    <w:rsid w:val="006B6D58"/>
    <w:rsid w:val="006B709B"/>
    <w:rsid w:val="006C21C3"/>
    <w:rsid w:val="006C54AF"/>
    <w:rsid w:val="006C5DF9"/>
    <w:rsid w:val="006D023A"/>
    <w:rsid w:val="006D7B2D"/>
    <w:rsid w:val="006E0181"/>
    <w:rsid w:val="006E0811"/>
    <w:rsid w:val="006E5244"/>
    <w:rsid w:val="006E5299"/>
    <w:rsid w:val="006E5B6B"/>
    <w:rsid w:val="006F2F39"/>
    <w:rsid w:val="006F47A4"/>
    <w:rsid w:val="006F541C"/>
    <w:rsid w:val="006F60B8"/>
    <w:rsid w:val="00700A7B"/>
    <w:rsid w:val="00700C0E"/>
    <w:rsid w:val="00701384"/>
    <w:rsid w:val="00701D9F"/>
    <w:rsid w:val="00703C1F"/>
    <w:rsid w:val="0070503C"/>
    <w:rsid w:val="00705DAD"/>
    <w:rsid w:val="00715594"/>
    <w:rsid w:val="007205BE"/>
    <w:rsid w:val="00723721"/>
    <w:rsid w:val="007247B9"/>
    <w:rsid w:val="0072492B"/>
    <w:rsid w:val="00727D85"/>
    <w:rsid w:val="007346C7"/>
    <w:rsid w:val="00736041"/>
    <w:rsid w:val="007408C7"/>
    <w:rsid w:val="007434BE"/>
    <w:rsid w:val="00743747"/>
    <w:rsid w:val="007451D4"/>
    <w:rsid w:val="007465DA"/>
    <w:rsid w:val="00750F12"/>
    <w:rsid w:val="00752C7F"/>
    <w:rsid w:val="00755E8C"/>
    <w:rsid w:val="00760DDD"/>
    <w:rsid w:val="0076142F"/>
    <w:rsid w:val="00766A90"/>
    <w:rsid w:val="00771BCC"/>
    <w:rsid w:val="007732BB"/>
    <w:rsid w:val="00776598"/>
    <w:rsid w:val="00785265"/>
    <w:rsid w:val="007901E1"/>
    <w:rsid w:val="007926BD"/>
    <w:rsid w:val="00792948"/>
    <w:rsid w:val="00794E09"/>
    <w:rsid w:val="00796E84"/>
    <w:rsid w:val="007971CC"/>
    <w:rsid w:val="007A2E25"/>
    <w:rsid w:val="007A2FF9"/>
    <w:rsid w:val="007A3ADE"/>
    <w:rsid w:val="007A3EC7"/>
    <w:rsid w:val="007A5733"/>
    <w:rsid w:val="007A5774"/>
    <w:rsid w:val="007A61F8"/>
    <w:rsid w:val="007A7581"/>
    <w:rsid w:val="007B142C"/>
    <w:rsid w:val="007B3B79"/>
    <w:rsid w:val="007B7D9D"/>
    <w:rsid w:val="007C3E97"/>
    <w:rsid w:val="007C40BA"/>
    <w:rsid w:val="007D0E53"/>
    <w:rsid w:val="007D702D"/>
    <w:rsid w:val="007E5855"/>
    <w:rsid w:val="007E7AF8"/>
    <w:rsid w:val="00800B3D"/>
    <w:rsid w:val="00801E74"/>
    <w:rsid w:val="0080378A"/>
    <w:rsid w:val="0080485E"/>
    <w:rsid w:val="008071A9"/>
    <w:rsid w:val="00807F53"/>
    <w:rsid w:val="00812E77"/>
    <w:rsid w:val="00813703"/>
    <w:rsid w:val="008142B4"/>
    <w:rsid w:val="00814A16"/>
    <w:rsid w:val="00816834"/>
    <w:rsid w:val="00816A7C"/>
    <w:rsid w:val="008171FE"/>
    <w:rsid w:val="00825490"/>
    <w:rsid w:val="00826C01"/>
    <w:rsid w:val="008315ED"/>
    <w:rsid w:val="0083191A"/>
    <w:rsid w:val="00832324"/>
    <w:rsid w:val="008331A0"/>
    <w:rsid w:val="00835337"/>
    <w:rsid w:val="00835B53"/>
    <w:rsid w:val="00836472"/>
    <w:rsid w:val="00837E82"/>
    <w:rsid w:val="00840124"/>
    <w:rsid w:val="00846DCD"/>
    <w:rsid w:val="00847777"/>
    <w:rsid w:val="00851D85"/>
    <w:rsid w:val="008538B3"/>
    <w:rsid w:val="00854E57"/>
    <w:rsid w:val="00860CCB"/>
    <w:rsid w:val="008619BD"/>
    <w:rsid w:val="0086288A"/>
    <w:rsid w:val="008650AD"/>
    <w:rsid w:val="008664FB"/>
    <w:rsid w:val="008740A3"/>
    <w:rsid w:val="00880960"/>
    <w:rsid w:val="00883DFB"/>
    <w:rsid w:val="00884C29"/>
    <w:rsid w:val="0088729E"/>
    <w:rsid w:val="00890145"/>
    <w:rsid w:val="0089297B"/>
    <w:rsid w:val="008932B8"/>
    <w:rsid w:val="008B532E"/>
    <w:rsid w:val="008C06DA"/>
    <w:rsid w:val="008C36CA"/>
    <w:rsid w:val="008C732B"/>
    <w:rsid w:val="008D5361"/>
    <w:rsid w:val="008E104E"/>
    <w:rsid w:val="008E3F8C"/>
    <w:rsid w:val="008F21EB"/>
    <w:rsid w:val="008F4234"/>
    <w:rsid w:val="008F52CA"/>
    <w:rsid w:val="00900AE4"/>
    <w:rsid w:val="00902A11"/>
    <w:rsid w:val="00902FD0"/>
    <w:rsid w:val="00903DEF"/>
    <w:rsid w:val="009053D3"/>
    <w:rsid w:val="0090691F"/>
    <w:rsid w:val="00910B9B"/>
    <w:rsid w:val="00911596"/>
    <w:rsid w:val="009119B7"/>
    <w:rsid w:val="00916DA6"/>
    <w:rsid w:val="00922A26"/>
    <w:rsid w:val="00927548"/>
    <w:rsid w:val="0093111F"/>
    <w:rsid w:val="009323A8"/>
    <w:rsid w:val="00935689"/>
    <w:rsid w:val="009431D2"/>
    <w:rsid w:val="009443D2"/>
    <w:rsid w:val="00952F4B"/>
    <w:rsid w:val="0095303B"/>
    <w:rsid w:val="00953ECE"/>
    <w:rsid w:val="00961F36"/>
    <w:rsid w:val="009620E1"/>
    <w:rsid w:val="00964885"/>
    <w:rsid w:val="009663B6"/>
    <w:rsid w:val="00967C97"/>
    <w:rsid w:val="00970052"/>
    <w:rsid w:val="00971DE0"/>
    <w:rsid w:val="00974325"/>
    <w:rsid w:val="00974A47"/>
    <w:rsid w:val="009763BE"/>
    <w:rsid w:val="00977D9E"/>
    <w:rsid w:val="00980286"/>
    <w:rsid w:val="0098291B"/>
    <w:rsid w:val="00985822"/>
    <w:rsid w:val="00986DD1"/>
    <w:rsid w:val="00990DCF"/>
    <w:rsid w:val="00991E5C"/>
    <w:rsid w:val="00992222"/>
    <w:rsid w:val="00995228"/>
    <w:rsid w:val="00995280"/>
    <w:rsid w:val="009A303C"/>
    <w:rsid w:val="009A4CD6"/>
    <w:rsid w:val="009A537C"/>
    <w:rsid w:val="009A6724"/>
    <w:rsid w:val="009A6AC8"/>
    <w:rsid w:val="009B4BF4"/>
    <w:rsid w:val="009B63E6"/>
    <w:rsid w:val="009C012C"/>
    <w:rsid w:val="009C0886"/>
    <w:rsid w:val="009C19EE"/>
    <w:rsid w:val="009C1BA6"/>
    <w:rsid w:val="009C28D0"/>
    <w:rsid w:val="009C35F2"/>
    <w:rsid w:val="009C43D3"/>
    <w:rsid w:val="009C5562"/>
    <w:rsid w:val="009C5C2D"/>
    <w:rsid w:val="009C7782"/>
    <w:rsid w:val="009D1ED5"/>
    <w:rsid w:val="009D2D3E"/>
    <w:rsid w:val="009D4C13"/>
    <w:rsid w:val="009E21A7"/>
    <w:rsid w:val="009E2E51"/>
    <w:rsid w:val="009E3267"/>
    <w:rsid w:val="009E52ED"/>
    <w:rsid w:val="009F04EF"/>
    <w:rsid w:val="009F1A54"/>
    <w:rsid w:val="009F4A73"/>
    <w:rsid w:val="00A103ED"/>
    <w:rsid w:val="00A137C2"/>
    <w:rsid w:val="00A13C60"/>
    <w:rsid w:val="00A15134"/>
    <w:rsid w:val="00A15B28"/>
    <w:rsid w:val="00A2232C"/>
    <w:rsid w:val="00A31189"/>
    <w:rsid w:val="00A33910"/>
    <w:rsid w:val="00A341A3"/>
    <w:rsid w:val="00A35800"/>
    <w:rsid w:val="00A42C46"/>
    <w:rsid w:val="00A449D8"/>
    <w:rsid w:val="00A44D80"/>
    <w:rsid w:val="00A46EB4"/>
    <w:rsid w:val="00A476C4"/>
    <w:rsid w:val="00A52918"/>
    <w:rsid w:val="00A52DA6"/>
    <w:rsid w:val="00A543D6"/>
    <w:rsid w:val="00A547B3"/>
    <w:rsid w:val="00A54AEE"/>
    <w:rsid w:val="00A579D6"/>
    <w:rsid w:val="00A60591"/>
    <w:rsid w:val="00A61040"/>
    <w:rsid w:val="00A70E82"/>
    <w:rsid w:val="00A71C61"/>
    <w:rsid w:val="00A728D4"/>
    <w:rsid w:val="00A72D60"/>
    <w:rsid w:val="00A73B60"/>
    <w:rsid w:val="00A76D61"/>
    <w:rsid w:val="00A77955"/>
    <w:rsid w:val="00A806BC"/>
    <w:rsid w:val="00A80BA0"/>
    <w:rsid w:val="00A84CAD"/>
    <w:rsid w:val="00A86FFC"/>
    <w:rsid w:val="00A872CF"/>
    <w:rsid w:val="00A9008E"/>
    <w:rsid w:val="00A90E50"/>
    <w:rsid w:val="00A92F51"/>
    <w:rsid w:val="00A95FA5"/>
    <w:rsid w:val="00A96D92"/>
    <w:rsid w:val="00AA68BE"/>
    <w:rsid w:val="00AA6AD8"/>
    <w:rsid w:val="00AA79C3"/>
    <w:rsid w:val="00AB0F5E"/>
    <w:rsid w:val="00AB199C"/>
    <w:rsid w:val="00AB2C53"/>
    <w:rsid w:val="00AB3733"/>
    <w:rsid w:val="00AB588C"/>
    <w:rsid w:val="00AB7897"/>
    <w:rsid w:val="00AB7FEF"/>
    <w:rsid w:val="00AC0F43"/>
    <w:rsid w:val="00AC16EF"/>
    <w:rsid w:val="00AC293F"/>
    <w:rsid w:val="00AC4A47"/>
    <w:rsid w:val="00AC5054"/>
    <w:rsid w:val="00AC7141"/>
    <w:rsid w:val="00AD2417"/>
    <w:rsid w:val="00AD2D06"/>
    <w:rsid w:val="00AE0799"/>
    <w:rsid w:val="00AE0CE7"/>
    <w:rsid w:val="00AE164A"/>
    <w:rsid w:val="00AE225B"/>
    <w:rsid w:val="00AE385F"/>
    <w:rsid w:val="00AE469A"/>
    <w:rsid w:val="00AE4BAC"/>
    <w:rsid w:val="00AE5ED7"/>
    <w:rsid w:val="00AE66D5"/>
    <w:rsid w:val="00AF2B58"/>
    <w:rsid w:val="00B018F5"/>
    <w:rsid w:val="00B034FC"/>
    <w:rsid w:val="00B05310"/>
    <w:rsid w:val="00B10A0B"/>
    <w:rsid w:val="00B1571B"/>
    <w:rsid w:val="00B20461"/>
    <w:rsid w:val="00B260D8"/>
    <w:rsid w:val="00B274B0"/>
    <w:rsid w:val="00B30092"/>
    <w:rsid w:val="00B3084B"/>
    <w:rsid w:val="00B3085B"/>
    <w:rsid w:val="00B30D85"/>
    <w:rsid w:val="00B33DCA"/>
    <w:rsid w:val="00B343C7"/>
    <w:rsid w:val="00B3486A"/>
    <w:rsid w:val="00B35A4A"/>
    <w:rsid w:val="00B41C77"/>
    <w:rsid w:val="00B4357F"/>
    <w:rsid w:val="00B453CF"/>
    <w:rsid w:val="00B63FD7"/>
    <w:rsid w:val="00B7234C"/>
    <w:rsid w:val="00B77A1B"/>
    <w:rsid w:val="00B816D9"/>
    <w:rsid w:val="00B8181C"/>
    <w:rsid w:val="00B819F2"/>
    <w:rsid w:val="00B86500"/>
    <w:rsid w:val="00B86AC2"/>
    <w:rsid w:val="00B870F4"/>
    <w:rsid w:val="00B87D0C"/>
    <w:rsid w:val="00B9120F"/>
    <w:rsid w:val="00B9216C"/>
    <w:rsid w:val="00B924A4"/>
    <w:rsid w:val="00B937FF"/>
    <w:rsid w:val="00B94D66"/>
    <w:rsid w:val="00B95E09"/>
    <w:rsid w:val="00B962A0"/>
    <w:rsid w:val="00BA021A"/>
    <w:rsid w:val="00BA2093"/>
    <w:rsid w:val="00BA3387"/>
    <w:rsid w:val="00BA3B3B"/>
    <w:rsid w:val="00BA71A8"/>
    <w:rsid w:val="00BB068C"/>
    <w:rsid w:val="00BB0D1A"/>
    <w:rsid w:val="00BB1D3B"/>
    <w:rsid w:val="00BB72C1"/>
    <w:rsid w:val="00BC1423"/>
    <w:rsid w:val="00BC1A05"/>
    <w:rsid w:val="00BC3286"/>
    <w:rsid w:val="00BC35ED"/>
    <w:rsid w:val="00BC4810"/>
    <w:rsid w:val="00BC7B39"/>
    <w:rsid w:val="00BD1403"/>
    <w:rsid w:val="00BD2FF2"/>
    <w:rsid w:val="00BD3677"/>
    <w:rsid w:val="00BE205A"/>
    <w:rsid w:val="00BE3802"/>
    <w:rsid w:val="00BF238E"/>
    <w:rsid w:val="00BF2F4A"/>
    <w:rsid w:val="00BF41B9"/>
    <w:rsid w:val="00BF52E6"/>
    <w:rsid w:val="00BF544D"/>
    <w:rsid w:val="00C00558"/>
    <w:rsid w:val="00C0076F"/>
    <w:rsid w:val="00C013F5"/>
    <w:rsid w:val="00C0301C"/>
    <w:rsid w:val="00C035C2"/>
    <w:rsid w:val="00C04B4E"/>
    <w:rsid w:val="00C050B6"/>
    <w:rsid w:val="00C10F12"/>
    <w:rsid w:val="00C166D4"/>
    <w:rsid w:val="00C22C34"/>
    <w:rsid w:val="00C243CE"/>
    <w:rsid w:val="00C244CD"/>
    <w:rsid w:val="00C245EA"/>
    <w:rsid w:val="00C24879"/>
    <w:rsid w:val="00C256F6"/>
    <w:rsid w:val="00C3097E"/>
    <w:rsid w:val="00C3323F"/>
    <w:rsid w:val="00C34A2F"/>
    <w:rsid w:val="00C34C7A"/>
    <w:rsid w:val="00C3590E"/>
    <w:rsid w:val="00C35ECC"/>
    <w:rsid w:val="00C361A8"/>
    <w:rsid w:val="00C41246"/>
    <w:rsid w:val="00C42927"/>
    <w:rsid w:val="00C450D6"/>
    <w:rsid w:val="00C45E5F"/>
    <w:rsid w:val="00C46291"/>
    <w:rsid w:val="00C47868"/>
    <w:rsid w:val="00C47E8B"/>
    <w:rsid w:val="00C5111E"/>
    <w:rsid w:val="00C51B73"/>
    <w:rsid w:val="00C52E36"/>
    <w:rsid w:val="00C53132"/>
    <w:rsid w:val="00C54AF0"/>
    <w:rsid w:val="00C63412"/>
    <w:rsid w:val="00C66AE1"/>
    <w:rsid w:val="00C66E7E"/>
    <w:rsid w:val="00C7056F"/>
    <w:rsid w:val="00C714D0"/>
    <w:rsid w:val="00C72EFB"/>
    <w:rsid w:val="00C73012"/>
    <w:rsid w:val="00C75871"/>
    <w:rsid w:val="00C766B9"/>
    <w:rsid w:val="00C76F12"/>
    <w:rsid w:val="00C80536"/>
    <w:rsid w:val="00C806B8"/>
    <w:rsid w:val="00C83072"/>
    <w:rsid w:val="00C84C9C"/>
    <w:rsid w:val="00C90EF4"/>
    <w:rsid w:val="00C933DA"/>
    <w:rsid w:val="00CA015A"/>
    <w:rsid w:val="00CA1280"/>
    <w:rsid w:val="00CA1358"/>
    <w:rsid w:val="00CA34FD"/>
    <w:rsid w:val="00CA50A8"/>
    <w:rsid w:val="00CA61AC"/>
    <w:rsid w:val="00CA6512"/>
    <w:rsid w:val="00CB05B0"/>
    <w:rsid w:val="00CB201C"/>
    <w:rsid w:val="00CB4998"/>
    <w:rsid w:val="00CB4D2D"/>
    <w:rsid w:val="00CC1AA3"/>
    <w:rsid w:val="00CC3291"/>
    <w:rsid w:val="00CD4486"/>
    <w:rsid w:val="00CD5EA2"/>
    <w:rsid w:val="00CD6558"/>
    <w:rsid w:val="00CD6915"/>
    <w:rsid w:val="00CE179C"/>
    <w:rsid w:val="00CE1E73"/>
    <w:rsid w:val="00CE3BEB"/>
    <w:rsid w:val="00CE4A93"/>
    <w:rsid w:val="00CE7D0D"/>
    <w:rsid w:val="00CF5E22"/>
    <w:rsid w:val="00D00762"/>
    <w:rsid w:val="00D03216"/>
    <w:rsid w:val="00D03F30"/>
    <w:rsid w:val="00D06A44"/>
    <w:rsid w:val="00D127CA"/>
    <w:rsid w:val="00D151EB"/>
    <w:rsid w:val="00D1618E"/>
    <w:rsid w:val="00D1725F"/>
    <w:rsid w:val="00D17F09"/>
    <w:rsid w:val="00D200DC"/>
    <w:rsid w:val="00D22184"/>
    <w:rsid w:val="00D300E0"/>
    <w:rsid w:val="00D30394"/>
    <w:rsid w:val="00D34137"/>
    <w:rsid w:val="00D36F97"/>
    <w:rsid w:val="00D374CD"/>
    <w:rsid w:val="00D42709"/>
    <w:rsid w:val="00D42FC5"/>
    <w:rsid w:val="00D435E1"/>
    <w:rsid w:val="00D453F6"/>
    <w:rsid w:val="00D455BA"/>
    <w:rsid w:val="00D51BC6"/>
    <w:rsid w:val="00D51DBC"/>
    <w:rsid w:val="00D54B7B"/>
    <w:rsid w:val="00D55230"/>
    <w:rsid w:val="00D63F20"/>
    <w:rsid w:val="00D650CE"/>
    <w:rsid w:val="00D70A80"/>
    <w:rsid w:val="00D71719"/>
    <w:rsid w:val="00D75577"/>
    <w:rsid w:val="00D776DA"/>
    <w:rsid w:val="00D77D2F"/>
    <w:rsid w:val="00D863EE"/>
    <w:rsid w:val="00D8758B"/>
    <w:rsid w:val="00D942B3"/>
    <w:rsid w:val="00D94863"/>
    <w:rsid w:val="00D9721C"/>
    <w:rsid w:val="00DA110A"/>
    <w:rsid w:val="00DA1980"/>
    <w:rsid w:val="00DA3078"/>
    <w:rsid w:val="00DA38FA"/>
    <w:rsid w:val="00DA7D09"/>
    <w:rsid w:val="00DB0A46"/>
    <w:rsid w:val="00DB47B3"/>
    <w:rsid w:val="00DB55F4"/>
    <w:rsid w:val="00DB63E1"/>
    <w:rsid w:val="00DB69D9"/>
    <w:rsid w:val="00DC0CCE"/>
    <w:rsid w:val="00DC2630"/>
    <w:rsid w:val="00DC2A98"/>
    <w:rsid w:val="00DC2EA7"/>
    <w:rsid w:val="00DC3F63"/>
    <w:rsid w:val="00DC49E9"/>
    <w:rsid w:val="00DC511D"/>
    <w:rsid w:val="00DC55E4"/>
    <w:rsid w:val="00DC7D71"/>
    <w:rsid w:val="00DD188C"/>
    <w:rsid w:val="00DD1D83"/>
    <w:rsid w:val="00DD2354"/>
    <w:rsid w:val="00DD29A3"/>
    <w:rsid w:val="00DD2E21"/>
    <w:rsid w:val="00DD4449"/>
    <w:rsid w:val="00DD48EE"/>
    <w:rsid w:val="00DE0B96"/>
    <w:rsid w:val="00DE0FE6"/>
    <w:rsid w:val="00DE10B9"/>
    <w:rsid w:val="00DE2FD3"/>
    <w:rsid w:val="00DE6D99"/>
    <w:rsid w:val="00DF04A6"/>
    <w:rsid w:val="00DF0B13"/>
    <w:rsid w:val="00DF1716"/>
    <w:rsid w:val="00DF26F4"/>
    <w:rsid w:val="00DF2EB8"/>
    <w:rsid w:val="00DF4230"/>
    <w:rsid w:val="00DF4A94"/>
    <w:rsid w:val="00DF6003"/>
    <w:rsid w:val="00E00095"/>
    <w:rsid w:val="00E01E01"/>
    <w:rsid w:val="00E02B75"/>
    <w:rsid w:val="00E03D7D"/>
    <w:rsid w:val="00E044CA"/>
    <w:rsid w:val="00E066C3"/>
    <w:rsid w:val="00E10D8C"/>
    <w:rsid w:val="00E11102"/>
    <w:rsid w:val="00E1353A"/>
    <w:rsid w:val="00E1564B"/>
    <w:rsid w:val="00E16607"/>
    <w:rsid w:val="00E20268"/>
    <w:rsid w:val="00E208A0"/>
    <w:rsid w:val="00E2296F"/>
    <w:rsid w:val="00E25B49"/>
    <w:rsid w:val="00E2790A"/>
    <w:rsid w:val="00E3290B"/>
    <w:rsid w:val="00E371EA"/>
    <w:rsid w:val="00E43206"/>
    <w:rsid w:val="00E44E83"/>
    <w:rsid w:val="00E45A28"/>
    <w:rsid w:val="00E54546"/>
    <w:rsid w:val="00E55236"/>
    <w:rsid w:val="00E56106"/>
    <w:rsid w:val="00E64429"/>
    <w:rsid w:val="00E6701A"/>
    <w:rsid w:val="00E677DD"/>
    <w:rsid w:val="00E700E4"/>
    <w:rsid w:val="00E73416"/>
    <w:rsid w:val="00E73A9A"/>
    <w:rsid w:val="00E74091"/>
    <w:rsid w:val="00E7594B"/>
    <w:rsid w:val="00E75F8D"/>
    <w:rsid w:val="00E7613C"/>
    <w:rsid w:val="00E832A7"/>
    <w:rsid w:val="00E92AA8"/>
    <w:rsid w:val="00E95C82"/>
    <w:rsid w:val="00EA4509"/>
    <w:rsid w:val="00EB4688"/>
    <w:rsid w:val="00EB6C07"/>
    <w:rsid w:val="00EC028D"/>
    <w:rsid w:val="00EC0C5E"/>
    <w:rsid w:val="00EC636F"/>
    <w:rsid w:val="00ED0557"/>
    <w:rsid w:val="00ED3B28"/>
    <w:rsid w:val="00ED545B"/>
    <w:rsid w:val="00ED5BD2"/>
    <w:rsid w:val="00ED633B"/>
    <w:rsid w:val="00ED6694"/>
    <w:rsid w:val="00EE2BBB"/>
    <w:rsid w:val="00EE478C"/>
    <w:rsid w:val="00EE4941"/>
    <w:rsid w:val="00EE6124"/>
    <w:rsid w:val="00EE74FE"/>
    <w:rsid w:val="00EE76EE"/>
    <w:rsid w:val="00EF395E"/>
    <w:rsid w:val="00EF7099"/>
    <w:rsid w:val="00EF740B"/>
    <w:rsid w:val="00EF74CF"/>
    <w:rsid w:val="00EF77D5"/>
    <w:rsid w:val="00F06FC3"/>
    <w:rsid w:val="00F112C1"/>
    <w:rsid w:val="00F1132C"/>
    <w:rsid w:val="00F13FE4"/>
    <w:rsid w:val="00F15DD5"/>
    <w:rsid w:val="00F17D4B"/>
    <w:rsid w:val="00F23124"/>
    <w:rsid w:val="00F23139"/>
    <w:rsid w:val="00F31D83"/>
    <w:rsid w:val="00F3208A"/>
    <w:rsid w:val="00F41CD6"/>
    <w:rsid w:val="00F44604"/>
    <w:rsid w:val="00F44DBE"/>
    <w:rsid w:val="00F453D4"/>
    <w:rsid w:val="00F473C1"/>
    <w:rsid w:val="00F473FA"/>
    <w:rsid w:val="00F528F7"/>
    <w:rsid w:val="00F52C14"/>
    <w:rsid w:val="00F535EC"/>
    <w:rsid w:val="00F53718"/>
    <w:rsid w:val="00F61899"/>
    <w:rsid w:val="00F62E23"/>
    <w:rsid w:val="00F6338F"/>
    <w:rsid w:val="00F65707"/>
    <w:rsid w:val="00F669C7"/>
    <w:rsid w:val="00F66CD5"/>
    <w:rsid w:val="00F66F62"/>
    <w:rsid w:val="00F67A9A"/>
    <w:rsid w:val="00F70F4E"/>
    <w:rsid w:val="00F71C15"/>
    <w:rsid w:val="00F73113"/>
    <w:rsid w:val="00F7537F"/>
    <w:rsid w:val="00F75FC4"/>
    <w:rsid w:val="00F76062"/>
    <w:rsid w:val="00F8416E"/>
    <w:rsid w:val="00F84DDA"/>
    <w:rsid w:val="00F85981"/>
    <w:rsid w:val="00F87263"/>
    <w:rsid w:val="00F911CA"/>
    <w:rsid w:val="00F9347C"/>
    <w:rsid w:val="00F93725"/>
    <w:rsid w:val="00F94C66"/>
    <w:rsid w:val="00FA39A3"/>
    <w:rsid w:val="00FA4890"/>
    <w:rsid w:val="00FB15B5"/>
    <w:rsid w:val="00FB2BC9"/>
    <w:rsid w:val="00FB4DF9"/>
    <w:rsid w:val="00FB6A43"/>
    <w:rsid w:val="00FB7234"/>
    <w:rsid w:val="00FB77FA"/>
    <w:rsid w:val="00FC1AF7"/>
    <w:rsid w:val="00FC3C70"/>
    <w:rsid w:val="00FC4A73"/>
    <w:rsid w:val="00FC559C"/>
    <w:rsid w:val="00FC5CDD"/>
    <w:rsid w:val="00FC7F0D"/>
    <w:rsid w:val="00FD2578"/>
    <w:rsid w:val="00FE5DBB"/>
    <w:rsid w:val="00FE645A"/>
    <w:rsid w:val="00FE728B"/>
    <w:rsid w:val="00FF5ED4"/>
    <w:rsid w:val="00FF6102"/>
    <w:rsid w:val="00FF7FE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C01F9B"/>
  <w15:docId w15:val="{4818A57B-B8F8-455B-AC2C-E7149B911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paragraph" w:styleId="Revision">
    <w:name w:val="Revision"/>
    <w:hidden/>
    <w:uiPriority w:val="99"/>
    <w:semiHidden/>
    <w:rsid w:val="003F14BA"/>
    <w:pPr>
      <w:spacing w:after="0" w:line="240" w:lineRule="auto"/>
    </w:pPr>
    <w:rPr>
      <w:sz w:val="24"/>
      <w:szCs w:val="24"/>
    </w:rPr>
  </w:style>
  <w:style w:type="character" w:styleId="UnresolvedMention">
    <w:name w:val="Unresolved Mention"/>
    <w:basedOn w:val="DefaultParagraphFont"/>
    <w:uiPriority w:val="99"/>
    <w:semiHidden/>
    <w:unhideWhenUsed/>
    <w:rsid w:val="00EA4509"/>
    <w:rPr>
      <w:color w:val="605E5C"/>
      <w:shd w:val="clear" w:color="auto" w:fill="E1DFDD"/>
    </w:rPr>
  </w:style>
  <w:style w:type="character" w:styleId="FollowedHyperlink">
    <w:name w:val="FollowedHyperlink"/>
    <w:basedOn w:val="DefaultParagraphFont"/>
    <w:uiPriority w:val="99"/>
    <w:semiHidden/>
    <w:unhideWhenUsed/>
    <w:rsid w:val="006D023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97516">
      <w:bodyDiv w:val="1"/>
      <w:marLeft w:val="0"/>
      <w:marRight w:val="0"/>
      <w:marTop w:val="0"/>
      <w:marBottom w:val="0"/>
      <w:divBdr>
        <w:top w:val="none" w:sz="0" w:space="0" w:color="auto"/>
        <w:left w:val="none" w:sz="0" w:space="0" w:color="auto"/>
        <w:bottom w:val="none" w:sz="0" w:space="0" w:color="auto"/>
        <w:right w:val="none" w:sz="0" w:space="0" w:color="auto"/>
      </w:divBdr>
    </w:div>
    <w:div w:id="45184457">
      <w:bodyDiv w:val="1"/>
      <w:marLeft w:val="0"/>
      <w:marRight w:val="0"/>
      <w:marTop w:val="0"/>
      <w:marBottom w:val="0"/>
      <w:divBdr>
        <w:top w:val="none" w:sz="0" w:space="0" w:color="auto"/>
        <w:left w:val="none" w:sz="0" w:space="0" w:color="auto"/>
        <w:bottom w:val="none" w:sz="0" w:space="0" w:color="auto"/>
        <w:right w:val="none" w:sz="0" w:space="0" w:color="auto"/>
      </w:divBdr>
    </w:div>
    <w:div w:id="84498099">
      <w:marLeft w:val="0"/>
      <w:marRight w:val="0"/>
      <w:marTop w:val="0"/>
      <w:marBottom w:val="0"/>
      <w:divBdr>
        <w:top w:val="none" w:sz="0" w:space="0" w:color="auto"/>
        <w:left w:val="none" w:sz="0" w:space="0" w:color="auto"/>
        <w:bottom w:val="none" w:sz="0" w:space="0" w:color="auto"/>
        <w:right w:val="none" w:sz="0" w:space="0" w:color="auto"/>
      </w:divBdr>
      <w:divsChild>
        <w:div w:id="653416164">
          <w:marLeft w:val="0"/>
          <w:marRight w:val="0"/>
          <w:marTop w:val="0"/>
          <w:marBottom w:val="0"/>
          <w:divBdr>
            <w:top w:val="none" w:sz="0" w:space="0" w:color="auto"/>
            <w:left w:val="none" w:sz="0" w:space="0" w:color="auto"/>
            <w:bottom w:val="none" w:sz="0" w:space="0" w:color="auto"/>
            <w:right w:val="none" w:sz="0" w:space="0" w:color="auto"/>
          </w:divBdr>
        </w:div>
      </w:divsChild>
    </w:div>
    <w:div w:id="108009056">
      <w:bodyDiv w:val="1"/>
      <w:marLeft w:val="0"/>
      <w:marRight w:val="0"/>
      <w:marTop w:val="0"/>
      <w:marBottom w:val="0"/>
      <w:divBdr>
        <w:top w:val="none" w:sz="0" w:space="0" w:color="auto"/>
        <w:left w:val="none" w:sz="0" w:space="0" w:color="auto"/>
        <w:bottom w:val="none" w:sz="0" w:space="0" w:color="auto"/>
        <w:right w:val="none" w:sz="0" w:space="0" w:color="auto"/>
      </w:divBdr>
    </w:div>
    <w:div w:id="166332924">
      <w:bodyDiv w:val="1"/>
      <w:marLeft w:val="0"/>
      <w:marRight w:val="0"/>
      <w:marTop w:val="0"/>
      <w:marBottom w:val="0"/>
      <w:divBdr>
        <w:top w:val="none" w:sz="0" w:space="0" w:color="auto"/>
        <w:left w:val="none" w:sz="0" w:space="0" w:color="auto"/>
        <w:bottom w:val="none" w:sz="0" w:space="0" w:color="auto"/>
        <w:right w:val="none" w:sz="0" w:space="0" w:color="auto"/>
      </w:divBdr>
    </w:div>
    <w:div w:id="277834778">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405106613">
      <w:bodyDiv w:val="1"/>
      <w:marLeft w:val="0"/>
      <w:marRight w:val="0"/>
      <w:marTop w:val="0"/>
      <w:marBottom w:val="0"/>
      <w:divBdr>
        <w:top w:val="none" w:sz="0" w:space="0" w:color="auto"/>
        <w:left w:val="none" w:sz="0" w:space="0" w:color="auto"/>
        <w:bottom w:val="none" w:sz="0" w:space="0" w:color="auto"/>
        <w:right w:val="none" w:sz="0" w:space="0" w:color="auto"/>
      </w:divBdr>
    </w:div>
    <w:div w:id="451434872">
      <w:bodyDiv w:val="1"/>
      <w:marLeft w:val="0"/>
      <w:marRight w:val="0"/>
      <w:marTop w:val="0"/>
      <w:marBottom w:val="0"/>
      <w:divBdr>
        <w:top w:val="none" w:sz="0" w:space="0" w:color="auto"/>
        <w:left w:val="none" w:sz="0" w:space="0" w:color="auto"/>
        <w:bottom w:val="none" w:sz="0" w:space="0" w:color="auto"/>
        <w:right w:val="none" w:sz="0" w:space="0" w:color="auto"/>
      </w:divBdr>
      <w:divsChild>
        <w:div w:id="1511413403">
          <w:marLeft w:val="0"/>
          <w:marRight w:val="0"/>
          <w:marTop w:val="0"/>
          <w:marBottom w:val="0"/>
          <w:divBdr>
            <w:top w:val="none" w:sz="0" w:space="0" w:color="auto"/>
            <w:left w:val="none" w:sz="0" w:space="0" w:color="auto"/>
            <w:bottom w:val="none" w:sz="0" w:space="0" w:color="auto"/>
            <w:right w:val="none" w:sz="0" w:space="0" w:color="auto"/>
          </w:divBdr>
          <w:divsChild>
            <w:div w:id="2074543750">
              <w:marLeft w:val="0"/>
              <w:marRight w:val="0"/>
              <w:marTop w:val="0"/>
              <w:marBottom w:val="0"/>
              <w:divBdr>
                <w:top w:val="none" w:sz="0" w:space="0" w:color="auto"/>
                <w:left w:val="none" w:sz="0" w:space="0" w:color="auto"/>
                <w:bottom w:val="none" w:sz="0" w:space="0" w:color="auto"/>
                <w:right w:val="none" w:sz="0" w:space="0" w:color="auto"/>
              </w:divBdr>
              <w:divsChild>
                <w:div w:id="205389">
                  <w:marLeft w:val="0"/>
                  <w:marRight w:val="0"/>
                  <w:marTop w:val="0"/>
                  <w:marBottom w:val="0"/>
                  <w:divBdr>
                    <w:top w:val="none" w:sz="0" w:space="0" w:color="auto"/>
                    <w:left w:val="none" w:sz="0" w:space="0" w:color="auto"/>
                    <w:bottom w:val="none" w:sz="0" w:space="0" w:color="auto"/>
                    <w:right w:val="none" w:sz="0" w:space="0" w:color="auto"/>
                  </w:divBdr>
                  <w:divsChild>
                    <w:div w:id="64543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8549759">
      <w:bodyDiv w:val="1"/>
      <w:marLeft w:val="0"/>
      <w:marRight w:val="0"/>
      <w:marTop w:val="0"/>
      <w:marBottom w:val="0"/>
      <w:divBdr>
        <w:top w:val="none" w:sz="0" w:space="0" w:color="auto"/>
        <w:left w:val="none" w:sz="0" w:space="0" w:color="auto"/>
        <w:bottom w:val="none" w:sz="0" w:space="0" w:color="auto"/>
        <w:right w:val="none" w:sz="0" w:space="0" w:color="auto"/>
      </w:divBdr>
    </w:div>
    <w:div w:id="633482687">
      <w:bodyDiv w:val="1"/>
      <w:marLeft w:val="0"/>
      <w:marRight w:val="0"/>
      <w:marTop w:val="0"/>
      <w:marBottom w:val="0"/>
      <w:divBdr>
        <w:top w:val="none" w:sz="0" w:space="0" w:color="auto"/>
        <w:left w:val="none" w:sz="0" w:space="0" w:color="auto"/>
        <w:bottom w:val="none" w:sz="0" w:space="0" w:color="auto"/>
        <w:right w:val="none" w:sz="0" w:space="0" w:color="auto"/>
      </w:divBdr>
      <w:divsChild>
        <w:div w:id="1965770504">
          <w:marLeft w:val="0"/>
          <w:marRight w:val="0"/>
          <w:marTop w:val="0"/>
          <w:marBottom w:val="0"/>
          <w:divBdr>
            <w:top w:val="none" w:sz="0" w:space="0" w:color="auto"/>
            <w:left w:val="none" w:sz="0" w:space="0" w:color="auto"/>
            <w:bottom w:val="none" w:sz="0" w:space="0" w:color="auto"/>
            <w:right w:val="none" w:sz="0" w:space="0" w:color="auto"/>
          </w:divBdr>
          <w:divsChild>
            <w:div w:id="129795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813313">
      <w:bodyDiv w:val="1"/>
      <w:marLeft w:val="0"/>
      <w:marRight w:val="0"/>
      <w:marTop w:val="0"/>
      <w:marBottom w:val="0"/>
      <w:divBdr>
        <w:top w:val="none" w:sz="0" w:space="0" w:color="auto"/>
        <w:left w:val="none" w:sz="0" w:space="0" w:color="auto"/>
        <w:bottom w:val="none" w:sz="0" w:space="0" w:color="auto"/>
        <w:right w:val="none" w:sz="0" w:space="0" w:color="auto"/>
      </w:divBdr>
    </w:div>
    <w:div w:id="668482542">
      <w:bodyDiv w:val="1"/>
      <w:marLeft w:val="0"/>
      <w:marRight w:val="0"/>
      <w:marTop w:val="0"/>
      <w:marBottom w:val="0"/>
      <w:divBdr>
        <w:top w:val="none" w:sz="0" w:space="0" w:color="auto"/>
        <w:left w:val="none" w:sz="0" w:space="0" w:color="auto"/>
        <w:bottom w:val="none" w:sz="0" w:space="0" w:color="auto"/>
        <w:right w:val="none" w:sz="0" w:space="0" w:color="auto"/>
      </w:divBdr>
    </w:div>
    <w:div w:id="861239532">
      <w:marLeft w:val="0"/>
      <w:marRight w:val="0"/>
      <w:marTop w:val="0"/>
      <w:marBottom w:val="0"/>
      <w:divBdr>
        <w:top w:val="none" w:sz="0" w:space="0" w:color="auto"/>
        <w:left w:val="none" w:sz="0" w:space="0" w:color="auto"/>
        <w:bottom w:val="none" w:sz="0" w:space="0" w:color="auto"/>
        <w:right w:val="none" w:sz="0" w:space="0" w:color="auto"/>
      </w:divBdr>
      <w:divsChild>
        <w:div w:id="1042360514">
          <w:marLeft w:val="0"/>
          <w:marRight w:val="0"/>
          <w:marTop w:val="0"/>
          <w:marBottom w:val="0"/>
          <w:divBdr>
            <w:top w:val="none" w:sz="0" w:space="0" w:color="auto"/>
            <w:left w:val="none" w:sz="0" w:space="0" w:color="auto"/>
            <w:bottom w:val="none" w:sz="0" w:space="0" w:color="auto"/>
            <w:right w:val="none" w:sz="0" w:space="0" w:color="auto"/>
          </w:divBdr>
        </w:div>
      </w:divsChild>
    </w:div>
    <w:div w:id="941373440">
      <w:marLeft w:val="0"/>
      <w:marRight w:val="0"/>
      <w:marTop w:val="0"/>
      <w:marBottom w:val="0"/>
      <w:divBdr>
        <w:top w:val="none" w:sz="0" w:space="0" w:color="auto"/>
        <w:left w:val="none" w:sz="0" w:space="0" w:color="auto"/>
        <w:bottom w:val="none" w:sz="0" w:space="0" w:color="auto"/>
        <w:right w:val="none" w:sz="0" w:space="0" w:color="auto"/>
      </w:divBdr>
      <w:divsChild>
        <w:div w:id="224075459">
          <w:marLeft w:val="0"/>
          <w:marRight w:val="0"/>
          <w:marTop w:val="0"/>
          <w:marBottom w:val="0"/>
          <w:divBdr>
            <w:top w:val="none" w:sz="0" w:space="0" w:color="auto"/>
            <w:left w:val="none" w:sz="0" w:space="0" w:color="auto"/>
            <w:bottom w:val="none" w:sz="0" w:space="0" w:color="auto"/>
            <w:right w:val="none" w:sz="0" w:space="0" w:color="auto"/>
          </w:divBdr>
        </w:div>
      </w:divsChild>
    </w:div>
    <w:div w:id="944189918">
      <w:bodyDiv w:val="1"/>
      <w:marLeft w:val="0"/>
      <w:marRight w:val="0"/>
      <w:marTop w:val="0"/>
      <w:marBottom w:val="0"/>
      <w:divBdr>
        <w:top w:val="none" w:sz="0" w:space="0" w:color="auto"/>
        <w:left w:val="none" w:sz="0" w:space="0" w:color="auto"/>
        <w:bottom w:val="none" w:sz="0" w:space="0" w:color="auto"/>
        <w:right w:val="none" w:sz="0" w:space="0" w:color="auto"/>
      </w:divBdr>
    </w:div>
    <w:div w:id="1070076968">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120029997">
      <w:bodyDiv w:val="1"/>
      <w:marLeft w:val="0"/>
      <w:marRight w:val="0"/>
      <w:marTop w:val="0"/>
      <w:marBottom w:val="0"/>
      <w:divBdr>
        <w:top w:val="none" w:sz="0" w:space="0" w:color="auto"/>
        <w:left w:val="none" w:sz="0" w:space="0" w:color="auto"/>
        <w:bottom w:val="none" w:sz="0" w:space="0" w:color="auto"/>
        <w:right w:val="none" w:sz="0" w:space="0" w:color="auto"/>
      </w:divBdr>
    </w:div>
    <w:div w:id="1193033211">
      <w:bodyDiv w:val="1"/>
      <w:marLeft w:val="0"/>
      <w:marRight w:val="0"/>
      <w:marTop w:val="0"/>
      <w:marBottom w:val="0"/>
      <w:divBdr>
        <w:top w:val="none" w:sz="0" w:space="0" w:color="auto"/>
        <w:left w:val="none" w:sz="0" w:space="0" w:color="auto"/>
        <w:bottom w:val="none" w:sz="0" w:space="0" w:color="auto"/>
        <w:right w:val="none" w:sz="0" w:space="0" w:color="auto"/>
      </w:divBdr>
    </w:div>
    <w:div w:id="1310748622">
      <w:marLeft w:val="0"/>
      <w:marRight w:val="0"/>
      <w:marTop w:val="0"/>
      <w:marBottom w:val="0"/>
      <w:divBdr>
        <w:top w:val="none" w:sz="0" w:space="0" w:color="auto"/>
        <w:left w:val="none" w:sz="0" w:space="0" w:color="auto"/>
        <w:bottom w:val="none" w:sz="0" w:space="0" w:color="auto"/>
        <w:right w:val="none" w:sz="0" w:space="0" w:color="auto"/>
      </w:divBdr>
      <w:divsChild>
        <w:div w:id="2137330558">
          <w:marLeft w:val="0"/>
          <w:marRight w:val="0"/>
          <w:marTop w:val="0"/>
          <w:marBottom w:val="0"/>
          <w:divBdr>
            <w:top w:val="none" w:sz="0" w:space="0" w:color="auto"/>
            <w:left w:val="none" w:sz="0" w:space="0" w:color="auto"/>
            <w:bottom w:val="none" w:sz="0" w:space="0" w:color="auto"/>
            <w:right w:val="none" w:sz="0" w:space="0" w:color="auto"/>
          </w:divBdr>
        </w:div>
      </w:divsChild>
    </w:div>
    <w:div w:id="1326662093">
      <w:bodyDiv w:val="1"/>
      <w:marLeft w:val="0"/>
      <w:marRight w:val="0"/>
      <w:marTop w:val="0"/>
      <w:marBottom w:val="0"/>
      <w:divBdr>
        <w:top w:val="none" w:sz="0" w:space="0" w:color="auto"/>
        <w:left w:val="none" w:sz="0" w:space="0" w:color="auto"/>
        <w:bottom w:val="none" w:sz="0" w:space="0" w:color="auto"/>
        <w:right w:val="none" w:sz="0" w:space="0" w:color="auto"/>
      </w:divBdr>
    </w:div>
    <w:div w:id="1407648717">
      <w:bodyDiv w:val="1"/>
      <w:marLeft w:val="0"/>
      <w:marRight w:val="0"/>
      <w:marTop w:val="0"/>
      <w:marBottom w:val="0"/>
      <w:divBdr>
        <w:top w:val="none" w:sz="0" w:space="0" w:color="auto"/>
        <w:left w:val="none" w:sz="0" w:space="0" w:color="auto"/>
        <w:bottom w:val="none" w:sz="0" w:space="0" w:color="auto"/>
        <w:right w:val="none" w:sz="0" w:space="0" w:color="auto"/>
      </w:divBdr>
    </w:div>
    <w:div w:id="1522282098">
      <w:bodyDiv w:val="1"/>
      <w:marLeft w:val="0"/>
      <w:marRight w:val="0"/>
      <w:marTop w:val="0"/>
      <w:marBottom w:val="0"/>
      <w:divBdr>
        <w:top w:val="none" w:sz="0" w:space="0" w:color="auto"/>
        <w:left w:val="none" w:sz="0" w:space="0" w:color="auto"/>
        <w:bottom w:val="none" w:sz="0" w:space="0" w:color="auto"/>
        <w:right w:val="none" w:sz="0" w:space="0" w:color="auto"/>
      </w:divBdr>
    </w:div>
    <w:div w:id="1734232593">
      <w:bodyDiv w:val="1"/>
      <w:marLeft w:val="0"/>
      <w:marRight w:val="0"/>
      <w:marTop w:val="0"/>
      <w:marBottom w:val="0"/>
      <w:divBdr>
        <w:top w:val="none" w:sz="0" w:space="0" w:color="auto"/>
        <w:left w:val="none" w:sz="0" w:space="0" w:color="auto"/>
        <w:bottom w:val="none" w:sz="0" w:space="0" w:color="auto"/>
        <w:right w:val="none" w:sz="0" w:space="0" w:color="auto"/>
      </w:divBdr>
    </w:div>
    <w:div w:id="1766153477">
      <w:bodyDiv w:val="1"/>
      <w:marLeft w:val="0"/>
      <w:marRight w:val="0"/>
      <w:marTop w:val="0"/>
      <w:marBottom w:val="0"/>
      <w:divBdr>
        <w:top w:val="none" w:sz="0" w:space="0" w:color="auto"/>
        <w:left w:val="none" w:sz="0" w:space="0" w:color="auto"/>
        <w:bottom w:val="none" w:sz="0" w:space="0" w:color="auto"/>
        <w:right w:val="none" w:sz="0" w:space="0" w:color="auto"/>
      </w:divBdr>
    </w:div>
    <w:div w:id="1776099907">
      <w:bodyDiv w:val="1"/>
      <w:marLeft w:val="0"/>
      <w:marRight w:val="0"/>
      <w:marTop w:val="0"/>
      <w:marBottom w:val="0"/>
      <w:divBdr>
        <w:top w:val="none" w:sz="0" w:space="0" w:color="auto"/>
        <w:left w:val="none" w:sz="0" w:space="0" w:color="auto"/>
        <w:bottom w:val="none" w:sz="0" w:space="0" w:color="auto"/>
        <w:right w:val="none" w:sz="0" w:space="0" w:color="auto"/>
      </w:divBdr>
    </w:div>
    <w:div w:id="1808471224">
      <w:bodyDiv w:val="1"/>
      <w:marLeft w:val="0"/>
      <w:marRight w:val="0"/>
      <w:marTop w:val="0"/>
      <w:marBottom w:val="0"/>
      <w:divBdr>
        <w:top w:val="none" w:sz="0" w:space="0" w:color="auto"/>
        <w:left w:val="none" w:sz="0" w:space="0" w:color="auto"/>
        <w:bottom w:val="none" w:sz="0" w:space="0" w:color="auto"/>
        <w:right w:val="none" w:sz="0" w:space="0" w:color="auto"/>
      </w:divBdr>
    </w:div>
    <w:div w:id="1946187355">
      <w:bodyDiv w:val="1"/>
      <w:marLeft w:val="0"/>
      <w:marRight w:val="0"/>
      <w:marTop w:val="0"/>
      <w:marBottom w:val="0"/>
      <w:divBdr>
        <w:top w:val="none" w:sz="0" w:space="0" w:color="auto"/>
        <w:left w:val="none" w:sz="0" w:space="0" w:color="auto"/>
        <w:bottom w:val="none" w:sz="0" w:space="0" w:color="auto"/>
        <w:right w:val="none" w:sz="0" w:space="0" w:color="auto"/>
      </w:divBdr>
      <w:divsChild>
        <w:div w:id="2013877093">
          <w:marLeft w:val="0"/>
          <w:marRight w:val="0"/>
          <w:marTop w:val="0"/>
          <w:marBottom w:val="0"/>
          <w:divBdr>
            <w:top w:val="none" w:sz="0" w:space="0" w:color="auto"/>
            <w:left w:val="none" w:sz="0" w:space="0" w:color="auto"/>
            <w:bottom w:val="none" w:sz="0" w:space="0" w:color="auto"/>
            <w:right w:val="none" w:sz="0" w:space="0" w:color="auto"/>
          </w:divBdr>
          <w:divsChild>
            <w:div w:id="511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bs.gov.au/pbs/home" TargetMode="External"/><Relationship Id="rId18" Type="http://schemas.openxmlformats.org/officeDocument/2006/relationships/chart" Target="charts/chart1.xml"/><Relationship Id="rId26" Type="http://schemas.openxmlformats.org/officeDocument/2006/relationships/image" Target="media/image2.svg"/><Relationship Id="rId3" Type="http://schemas.openxmlformats.org/officeDocument/2006/relationships/customXml" Target="../customXml/item3.xml"/><Relationship Id="rId21" Type="http://schemas.openxmlformats.org/officeDocument/2006/relationships/chart" Target="charts/chart4.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tga.gov.au/products/australian-register-therapeutic-goods-artg/consumer-medicines-information-cmi" TargetMode="External"/><Relationship Id="rId17" Type="http://schemas.openxmlformats.org/officeDocument/2006/relationships/hyperlink" Target="https://www.pbs.gov.au/info/industry/listing/participants/public-release-docs/omalizumab/omalizumab" TargetMode="External"/><Relationship Id="rId25" Type="http://schemas.openxmlformats.org/officeDocument/2006/relationships/image" Target="media/image1.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pbs.gov.au/industry/listing/elements/pbac-meetings/psd/2020-11/files/dupilumab-asthma-psd-nov-2020.pdf" TargetMode="External"/><Relationship Id="rId20" Type="http://schemas.openxmlformats.org/officeDocument/2006/relationships/chart" Target="charts/chart3.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ga.gov.au/products/australian-register-therapeutic-goods-artg/product-information" TargetMode="External"/><Relationship Id="rId24" Type="http://schemas.openxmlformats.org/officeDocument/2006/relationships/chart" Target="charts/chart7.xm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pbs.gov.au/pbs/home" TargetMode="External"/><Relationship Id="rId23" Type="http://schemas.openxmlformats.org/officeDocument/2006/relationships/chart" Target="charts/chart6.xm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chart" Target="charts/chart2.xm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bs.gov.au/pbs/home" TargetMode="External"/><Relationship Id="rId22" Type="http://schemas.openxmlformats.org/officeDocument/2006/relationships/chart" Target="charts/chart5.xml"/><Relationship Id="rId27" Type="http://schemas.openxmlformats.org/officeDocument/2006/relationships/header" Target="header1.xml"/><Relationship Id="rId30"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medicareaustralia.gov.au/provider/pbs/stats.jsp"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3\D1535%20-%20dupilumab%20for%20asthma%20PvA\D1535%20dupilumab%20data%20analysi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3\D1535%20-%20dupilumab%20for%20asthma%20PvA\D1535%20dupilumab%20data%20analysi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3\D1535%20-%20dupilumab%20for%20asthma%20PvA\D1535%20dupilumab%20data%20analysi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3\D1535%20-%20dupilumab%20for%20asthma%20PvA\D1535%20dupilumab%20data%20analysi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3\D1535%20-%20dupilumab%20for%20asthma%20PvA\D1535%20dupilumab%20data%20analysi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[D1535 dupilumab data analysis.xlsx]asthma market!PivotTable1</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'asthma market'!$Y$1:$Y$2</c:f>
              <c:strCache>
                <c:ptCount val="1"/>
                <c:pt idx="0">
                  <c:v>BENRALIZUMAB</c:v>
                </c:pt>
              </c:strCache>
            </c:strRef>
          </c:tx>
          <c:spPr>
            <a:ln w="28575" cap="rnd">
              <a:solidFill>
                <a:schemeClr val="accent1"/>
              </a:solidFill>
              <a:round/>
            </a:ln>
            <a:effectLst/>
          </c:spPr>
          <c:marker>
            <c:symbol val="none"/>
          </c:marker>
          <c:cat>
            <c:strRef>
              <c:f>'asthma market'!$X$3:$X$30</c:f>
              <c:strCache>
                <c:ptCount val="27"/>
                <c:pt idx="0">
                  <c:v>2017Q1</c:v>
                </c:pt>
                <c:pt idx="1">
                  <c:v>2017Q2</c:v>
                </c:pt>
                <c:pt idx="2">
                  <c:v>2017Q3</c:v>
                </c:pt>
                <c:pt idx="3">
                  <c:v>2017Q4</c:v>
                </c:pt>
                <c:pt idx="4">
                  <c:v>2018Q1</c:v>
                </c:pt>
                <c:pt idx="5">
                  <c:v>2018Q2</c:v>
                </c:pt>
                <c:pt idx="6">
                  <c:v>2018Q3</c:v>
                </c:pt>
                <c:pt idx="7">
                  <c:v>2018Q4</c:v>
                </c:pt>
                <c:pt idx="8">
                  <c:v>2019Q1</c:v>
                </c:pt>
                <c:pt idx="9">
                  <c:v>2019Q2</c:v>
                </c:pt>
                <c:pt idx="10">
                  <c:v>2019Q3</c:v>
                </c:pt>
                <c:pt idx="11">
                  <c:v>2019Q4</c:v>
                </c:pt>
                <c:pt idx="12">
                  <c:v>2020Q1</c:v>
                </c:pt>
                <c:pt idx="13">
                  <c:v>2020Q2</c:v>
                </c:pt>
                <c:pt idx="14">
                  <c:v>2020Q3</c:v>
                </c:pt>
                <c:pt idx="15">
                  <c:v>2020Q4</c:v>
                </c:pt>
                <c:pt idx="16">
                  <c:v>2021Q1</c:v>
                </c:pt>
                <c:pt idx="17">
                  <c:v>2021Q2</c:v>
                </c:pt>
                <c:pt idx="18">
                  <c:v>2021Q3</c:v>
                </c:pt>
                <c:pt idx="19">
                  <c:v>2021Q4</c:v>
                </c:pt>
                <c:pt idx="20">
                  <c:v>2022Q1</c:v>
                </c:pt>
                <c:pt idx="21">
                  <c:v>2022Q2</c:v>
                </c:pt>
                <c:pt idx="22">
                  <c:v>2022Q3</c:v>
                </c:pt>
                <c:pt idx="23">
                  <c:v>2022Q4</c:v>
                </c:pt>
                <c:pt idx="24">
                  <c:v>2023Q1</c:v>
                </c:pt>
                <c:pt idx="25">
                  <c:v>2023Q2</c:v>
                </c:pt>
                <c:pt idx="26">
                  <c:v>2023Q3</c:v>
                </c:pt>
              </c:strCache>
            </c:strRef>
          </c:cat>
          <c:val>
            <c:numRef>
              <c:f>'asthma market'!$Y$3:$Y$30</c:f>
              <c:numCache>
                <c:formatCode>General</c:formatCode>
                <c:ptCount val="27"/>
                <c:pt idx="7">
                  <c:v>58</c:v>
                </c:pt>
                <c:pt idx="8">
                  <c:v>821</c:v>
                </c:pt>
                <c:pt idx="9">
                  <c:v>1174</c:v>
                </c:pt>
                <c:pt idx="10">
                  <c:v>1519</c:v>
                </c:pt>
                <c:pt idx="11">
                  <c:v>1812</c:v>
                </c:pt>
                <c:pt idx="12">
                  <c:v>2364</c:v>
                </c:pt>
                <c:pt idx="13">
                  <c:v>2518</c:v>
                </c:pt>
                <c:pt idx="14">
                  <c:v>2992</c:v>
                </c:pt>
                <c:pt idx="15">
                  <c:v>3335</c:v>
                </c:pt>
                <c:pt idx="16">
                  <c:v>3314</c:v>
                </c:pt>
                <c:pt idx="17">
                  <c:v>3610</c:v>
                </c:pt>
                <c:pt idx="18">
                  <c:v>3880</c:v>
                </c:pt>
                <c:pt idx="19">
                  <c:v>4246</c:v>
                </c:pt>
                <c:pt idx="20">
                  <c:v>4075</c:v>
                </c:pt>
                <c:pt idx="21">
                  <c:v>4188</c:v>
                </c:pt>
                <c:pt idx="22">
                  <c:v>4486</c:v>
                </c:pt>
                <c:pt idx="23">
                  <c:v>4890</c:v>
                </c:pt>
                <c:pt idx="24">
                  <c:v>4651</c:v>
                </c:pt>
                <c:pt idx="25">
                  <c:v>4832</c:v>
                </c:pt>
                <c:pt idx="26">
                  <c:v>5116</c:v>
                </c:pt>
              </c:numCache>
            </c:numRef>
          </c:val>
          <c:smooth val="0"/>
          <c:extLst>
            <c:ext xmlns:c16="http://schemas.microsoft.com/office/drawing/2014/chart" uri="{C3380CC4-5D6E-409C-BE32-E72D297353CC}">
              <c16:uniqueId val="{00000000-E210-4B55-9070-898E7A22C621}"/>
            </c:ext>
          </c:extLst>
        </c:ser>
        <c:ser>
          <c:idx val="1"/>
          <c:order val="1"/>
          <c:tx>
            <c:strRef>
              <c:f>'asthma market'!$Z$1:$Z$2</c:f>
              <c:strCache>
                <c:ptCount val="1"/>
                <c:pt idx="0">
                  <c:v>DUPILUMAB</c:v>
                </c:pt>
              </c:strCache>
            </c:strRef>
          </c:tx>
          <c:spPr>
            <a:ln w="28575" cap="rnd">
              <a:solidFill>
                <a:schemeClr val="accent2"/>
              </a:solidFill>
              <a:round/>
            </a:ln>
            <a:effectLst/>
          </c:spPr>
          <c:marker>
            <c:symbol val="none"/>
          </c:marker>
          <c:cat>
            <c:strRef>
              <c:f>'asthma market'!$X$3:$X$30</c:f>
              <c:strCache>
                <c:ptCount val="27"/>
                <c:pt idx="0">
                  <c:v>2017Q1</c:v>
                </c:pt>
                <c:pt idx="1">
                  <c:v>2017Q2</c:v>
                </c:pt>
                <c:pt idx="2">
                  <c:v>2017Q3</c:v>
                </c:pt>
                <c:pt idx="3">
                  <c:v>2017Q4</c:v>
                </c:pt>
                <c:pt idx="4">
                  <c:v>2018Q1</c:v>
                </c:pt>
                <c:pt idx="5">
                  <c:v>2018Q2</c:v>
                </c:pt>
                <c:pt idx="6">
                  <c:v>2018Q3</c:v>
                </c:pt>
                <c:pt idx="7">
                  <c:v>2018Q4</c:v>
                </c:pt>
                <c:pt idx="8">
                  <c:v>2019Q1</c:v>
                </c:pt>
                <c:pt idx="9">
                  <c:v>2019Q2</c:v>
                </c:pt>
                <c:pt idx="10">
                  <c:v>2019Q3</c:v>
                </c:pt>
                <c:pt idx="11">
                  <c:v>2019Q4</c:v>
                </c:pt>
                <c:pt idx="12">
                  <c:v>2020Q1</c:v>
                </c:pt>
                <c:pt idx="13">
                  <c:v>2020Q2</c:v>
                </c:pt>
                <c:pt idx="14">
                  <c:v>2020Q3</c:v>
                </c:pt>
                <c:pt idx="15">
                  <c:v>2020Q4</c:v>
                </c:pt>
                <c:pt idx="16">
                  <c:v>2021Q1</c:v>
                </c:pt>
                <c:pt idx="17">
                  <c:v>2021Q2</c:v>
                </c:pt>
                <c:pt idx="18">
                  <c:v>2021Q3</c:v>
                </c:pt>
                <c:pt idx="19">
                  <c:v>2021Q4</c:v>
                </c:pt>
                <c:pt idx="20">
                  <c:v>2022Q1</c:v>
                </c:pt>
                <c:pt idx="21">
                  <c:v>2022Q2</c:v>
                </c:pt>
                <c:pt idx="22">
                  <c:v>2022Q3</c:v>
                </c:pt>
                <c:pt idx="23">
                  <c:v>2022Q4</c:v>
                </c:pt>
                <c:pt idx="24">
                  <c:v>2023Q1</c:v>
                </c:pt>
                <c:pt idx="25">
                  <c:v>2023Q2</c:v>
                </c:pt>
                <c:pt idx="26">
                  <c:v>2023Q3</c:v>
                </c:pt>
              </c:strCache>
            </c:strRef>
          </c:cat>
          <c:val>
            <c:numRef>
              <c:f>'asthma market'!$Z$3:$Z$30</c:f>
              <c:numCache>
                <c:formatCode>General</c:formatCode>
                <c:ptCount val="27"/>
                <c:pt idx="17">
                  <c:v>784</c:v>
                </c:pt>
                <c:pt idx="18">
                  <c:v>1904</c:v>
                </c:pt>
                <c:pt idx="19">
                  <c:v>2803</c:v>
                </c:pt>
                <c:pt idx="20">
                  <c:v>3197</c:v>
                </c:pt>
                <c:pt idx="21">
                  <c:v>3948</c:v>
                </c:pt>
                <c:pt idx="22">
                  <c:v>4636</c:v>
                </c:pt>
                <c:pt idx="23">
                  <c:v>5511</c:v>
                </c:pt>
                <c:pt idx="24">
                  <c:v>5600</c:v>
                </c:pt>
                <c:pt idx="25">
                  <c:v>6327</c:v>
                </c:pt>
                <c:pt idx="26">
                  <c:v>6847</c:v>
                </c:pt>
              </c:numCache>
            </c:numRef>
          </c:val>
          <c:smooth val="0"/>
          <c:extLst>
            <c:ext xmlns:c16="http://schemas.microsoft.com/office/drawing/2014/chart" uri="{C3380CC4-5D6E-409C-BE32-E72D297353CC}">
              <c16:uniqueId val="{00000001-E210-4B55-9070-898E7A22C621}"/>
            </c:ext>
          </c:extLst>
        </c:ser>
        <c:ser>
          <c:idx val="2"/>
          <c:order val="2"/>
          <c:tx>
            <c:strRef>
              <c:f>'asthma market'!$AA$1:$AA$2</c:f>
              <c:strCache>
                <c:ptCount val="1"/>
                <c:pt idx="0">
                  <c:v>MEPOLIZUMAB</c:v>
                </c:pt>
              </c:strCache>
            </c:strRef>
          </c:tx>
          <c:spPr>
            <a:ln w="28575" cap="rnd">
              <a:solidFill>
                <a:schemeClr val="accent3"/>
              </a:solidFill>
              <a:round/>
            </a:ln>
            <a:effectLst/>
          </c:spPr>
          <c:marker>
            <c:symbol val="none"/>
          </c:marker>
          <c:cat>
            <c:strRef>
              <c:f>'asthma market'!$X$3:$X$30</c:f>
              <c:strCache>
                <c:ptCount val="27"/>
                <c:pt idx="0">
                  <c:v>2017Q1</c:v>
                </c:pt>
                <c:pt idx="1">
                  <c:v>2017Q2</c:v>
                </c:pt>
                <c:pt idx="2">
                  <c:v>2017Q3</c:v>
                </c:pt>
                <c:pt idx="3">
                  <c:v>2017Q4</c:v>
                </c:pt>
                <c:pt idx="4">
                  <c:v>2018Q1</c:v>
                </c:pt>
                <c:pt idx="5">
                  <c:v>2018Q2</c:v>
                </c:pt>
                <c:pt idx="6">
                  <c:v>2018Q3</c:v>
                </c:pt>
                <c:pt idx="7">
                  <c:v>2018Q4</c:v>
                </c:pt>
                <c:pt idx="8">
                  <c:v>2019Q1</c:v>
                </c:pt>
                <c:pt idx="9">
                  <c:v>2019Q2</c:v>
                </c:pt>
                <c:pt idx="10">
                  <c:v>2019Q3</c:v>
                </c:pt>
                <c:pt idx="11">
                  <c:v>2019Q4</c:v>
                </c:pt>
                <c:pt idx="12">
                  <c:v>2020Q1</c:v>
                </c:pt>
                <c:pt idx="13">
                  <c:v>2020Q2</c:v>
                </c:pt>
                <c:pt idx="14">
                  <c:v>2020Q3</c:v>
                </c:pt>
                <c:pt idx="15">
                  <c:v>2020Q4</c:v>
                </c:pt>
                <c:pt idx="16">
                  <c:v>2021Q1</c:v>
                </c:pt>
                <c:pt idx="17">
                  <c:v>2021Q2</c:v>
                </c:pt>
                <c:pt idx="18">
                  <c:v>2021Q3</c:v>
                </c:pt>
                <c:pt idx="19">
                  <c:v>2021Q4</c:v>
                </c:pt>
                <c:pt idx="20">
                  <c:v>2022Q1</c:v>
                </c:pt>
                <c:pt idx="21">
                  <c:v>2022Q2</c:v>
                </c:pt>
                <c:pt idx="22">
                  <c:v>2022Q3</c:v>
                </c:pt>
                <c:pt idx="23">
                  <c:v>2022Q4</c:v>
                </c:pt>
                <c:pt idx="24">
                  <c:v>2023Q1</c:v>
                </c:pt>
                <c:pt idx="25">
                  <c:v>2023Q2</c:v>
                </c:pt>
                <c:pt idx="26">
                  <c:v>2023Q3</c:v>
                </c:pt>
              </c:strCache>
            </c:strRef>
          </c:cat>
          <c:val>
            <c:numRef>
              <c:f>'asthma market'!$AA$3:$AA$30</c:f>
              <c:numCache>
                <c:formatCode>General</c:formatCode>
                <c:ptCount val="27"/>
                <c:pt idx="0">
                  <c:v>243</c:v>
                </c:pt>
                <c:pt idx="1">
                  <c:v>765</c:v>
                </c:pt>
                <c:pt idx="2">
                  <c:v>1129</c:v>
                </c:pt>
                <c:pt idx="3">
                  <c:v>1593</c:v>
                </c:pt>
                <c:pt idx="4">
                  <c:v>1838</c:v>
                </c:pt>
                <c:pt idx="5">
                  <c:v>2306</c:v>
                </c:pt>
                <c:pt idx="6">
                  <c:v>2437</c:v>
                </c:pt>
                <c:pt idx="7">
                  <c:v>2830</c:v>
                </c:pt>
                <c:pt idx="8">
                  <c:v>2944</c:v>
                </c:pt>
                <c:pt idx="9">
                  <c:v>3380</c:v>
                </c:pt>
                <c:pt idx="10">
                  <c:v>3614</c:v>
                </c:pt>
                <c:pt idx="11">
                  <c:v>3963</c:v>
                </c:pt>
                <c:pt idx="12">
                  <c:v>4011</c:v>
                </c:pt>
                <c:pt idx="13">
                  <c:v>4227</c:v>
                </c:pt>
                <c:pt idx="14">
                  <c:v>4844</c:v>
                </c:pt>
                <c:pt idx="15">
                  <c:v>5303</c:v>
                </c:pt>
                <c:pt idx="16">
                  <c:v>5208</c:v>
                </c:pt>
                <c:pt idx="17">
                  <c:v>5576</c:v>
                </c:pt>
                <c:pt idx="18">
                  <c:v>5850</c:v>
                </c:pt>
                <c:pt idx="19">
                  <c:v>6184</c:v>
                </c:pt>
                <c:pt idx="20">
                  <c:v>5961</c:v>
                </c:pt>
                <c:pt idx="21">
                  <c:v>6319</c:v>
                </c:pt>
                <c:pt idx="22">
                  <c:v>6492</c:v>
                </c:pt>
                <c:pt idx="23">
                  <c:v>6805</c:v>
                </c:pt>
                <c:pt idx="24">
                  <c:v>6650</c:v>
                </c:pt>
                <c:pt idx="25">
                  <c:v>6999</c:v>
                </c:pt>
                <c:pt idx="26">
                  <c:v>7226</c:v>
                </c:pt>
              </c:numCache>
            </c:numRef>
          </c:val>
          <c:smooth val="0"/>
          <c:extLst>
            <c:ext xmlns:c16="http://schemas.microsoft.com/office/drawing/2014/chart" uri="{C3380CC4-5D6E-409C-BE32-E72D297353CC}">
              <c16:uniqueId val="{00000002-E210-4B55-9070-898E7A22C621}"/>
            </c:ext>
          </c:extLst>
        </c:ser>
        <c:ser>
          <c:idx val="3"/>
          <c:order val="3"/>
          <c:tx>
            <c:strRef>
              <c:f>'asthma market'!$AB$1:$AB$2</c:f>
              <c:strCache>
                <c:ptCount val="1"/>
                <c:pt idx="0">
                  <c:v>OMALIZUMAB</c:v>
                </c:pt>
              </c:strCache>
            </c:strRef>
          </c:tx>
          <c:spPr>
            <a:ln w="28575" cap="rnd">
              <a:solidFill>
                <a:schemeClr val="accent4"/>
              </a:solidFill>
              <a:round/>
            </a:ln>
            <a:effectLst/>
          </c:spPr>
          <c:marker>
            <c:symbol val="none"/>
          </c:marker>
          <c:cat>
            <c:strRef>
              <c:f>'asthma market'!$X$3:$X$30</c:f>
              <c:strCache>
                <c:ptCount val="27"/>
                <c:pt idx="0">
                  <c:v>2017Q1</c:v>
                </c:pt>
                <c:pt idx="1">
                  <c:v>2017Q2</c:v>
                </c:pt>
                <c:pt idx="2">
                  <c:v>2017Q3</c:v>
                </c:pt>
                <c:pt idx="3">
                  <c:v>2017Q4</c:v>
                </c:pt>
                <c:pt idx="4">
                  <c:v>2018Q1</c:v>
                </c:pt>
                <c:pt idx="5">
                  <c:v>2018Q2</c:v>
                </c:pt>
                <c:pt idx="6">
                  <c:v>2018Q3</c:v>
                </c:pt>
                <c:pt idx="7">
                  <c:v>2018Q4</c:v>
                </c:pt>
                <c:pt idx="8">
                  <c:v>2019Q1</c:v>
                </c:pt>
                <c:pt idx="9">
                  <c:v>2019Q2</c:v>
                </c:pt>
                <c:pt idx="10">
                  <c:v>2019Q3</c:v>
                </c:pt>
                <c:pt idx="11">
                  <c:v>2019Q4</c:v>
                </c:pt>
                <c:pt idx="12">
                  <c:v>2020Q1</c:v>
                </c:pt>
                <c:pt idx="13">
                  <c:v>2020Q2</c:v>
                </c:pt>
                <c:pt idx="14">
                  <c:v>2020Q3</c:v>
                </c:pt>
                <c:pt idx="15">
                  <c:v>2020Q4</c:v>
                </c:pt>
                <c:pt idx="16">
                  <c:v>2021Q1</c:v>
                </c:pt>
                <c:pt idx="17">
                  <c:v>2021Q2</c:v>
                </c:pt>
                <c:pt idx="18">
                  <c:v>2021Q3</c:v>
                </c:pt>
                <c:pt idx="19">
                  <c:v>2021Q4</c:v>
                </c:pt>
                <c:pt idx="20">
                  <c:v>2022Q1</c:v>
                </c:pt>
                <c:pt idx="21">
                  <c:v>2022Q2</c:v>
                </c:pt>
                <c:pt idx="22">
                  <c:v>2022Q3</c:v>
                </c:pt>
                <c:pt idx="23">
                  <c:v>2022Q4</c:v>
                </c:pt>
                <c:pt idx="24">
                  <c:v>2023Q1</c:v>
                </c:pt>
                <c:pt idx="25">
                  <c:v>2023Q2</c:v>
                </c:pt>
                <c:pt idx="26">
                  <c:v>2023Q3</c:v>
                </c:pt>
              </c:strCache>
            </c:strRef>
          </c:cat>
          <c:val>
            <c:numRef>
              <c:f>'asthma market'!$AB$3:$AB$30</c:f>
              <c:numCache>
                <c:formatCode>General</c:formatCode>
                <c:ptCount val="27"/>
                <c:pt idx="0">
                  <c:v>2386</c:v>
                </c:pt>
                <c:pt idx="1">
                  <c:v>2631</c:v>
                </c:pt>
                <c:pt idx="2">
                  <c:v>2876</c:v>
                </c:pt>
                <c:pt idx="3">
                  <c:v>3222</c:v>
                </c:pt>
                <c:pt idx="4">
                  <c:v>3203</c:v>
                </c:pt>
                <c:pt idx="5">
                  <c:v>3649</c:v>
                </c:pt>
                <c:pt idx="6">
                  <c:v>3719</c:v>
                </c:pt>
                <c:pt idx="7">
                  <c:v>4028</c:v>
                </c:pt>
                <c:pt idx="8">
                  <c:v>3945</c:v>
                </c:pt>
                <c:pt idx="9">
                  <c:v>4393</c:v>
                </c:pt>
                <c:pt idx="10">
                  <c:v>4751</c:v>
                </c:pt>
                <c:pt idx="11">
                  <c:v>5044</c:v>
                </c:pt>
                <c:pt idx="12">
                  <c:v>5272</c:v>
                </c:pt>
                <c:pt idx="13">
                  <c:v>5443</c:v>
                </c:pt>
                <c:pt idx="14">
                  <c:v>6121</c:v>
                </c:pt>
                <c:pt idx="15">
                  <c:v>6723</c:v>
                </c:pt>
                <c:pt idx="16">
                  <c:v>6287</c:v>
                </c:pt>
                <c:pt idx="17">
                  <c:v>6454</c:v>
                </c:pt>
                <c:pt idx="18">
                  <c:v>6447</c:v>
                </c:pt>
                <c:pt idx="19">
                  <c:v>6767</c:v>
                </c:pt>
                <c:pt idx="20">
                  <c:v>5907</c:v>
                </c:pt>
                <c:pt idx="21">
                  <c:v>6087</c:v>
                </c:pt>
                <c:pt idx="22">
                  <c:v>5980</c:v>
                </c:pt>
                <c:pt idx="23">
                  <c:v>6317</c:v>
                </c:pt>
                <c:pt idx="24">
                  <c:v>5796</c:v>
                </c:pt>
                <c:pt idx="25">
                  <c:v>5992</c:v>
                </c:pt>
                <c:pt idx="26">
                  <c:v>5802</c:v>
                </c:pt>
              </c:numCache>
            </c:numRef>
          </c:val>
          <c:smooth val="0"/>
          <c:extLst>
            <c:ext xmlns:c16="http://schemas.microsoft.com/office/drawing/2014/chart" uri="{C3380CC4-5D6E-409C-BE32-E72D297353CC}">
              <c16:uniqueId val="{00000003-E210-4B55-9070-898E7A22C621}"/>
            </c:ext>
          </c:extLst>
        </c:ser>
        <c:ser>
          <c:idx val="4"/>
          <c:order val="4"/>
          <c:tx>
            <c:strRef>
              <c:f>'asthma market'!$AC$1:$AC$2</c:f>
              <c:strCache>
                <c:ptCount val="1"/>
                <c:pt idx="0">
                  <c:v>TOTAL</c:v>
                </c:pt>
              </c:strCache>
            </c:strRef>
          </c:tx>
          <c:spPr>
            <a:ln w="28575" cap="rnd">
              <a:solidFill>
                <a:schemeClr val="accent5"/>
              </a:solidFill>
              <a:round/>
            </a:ln>
            <a:effectLst/>
          </c:spPr>
          <c:marker>
            <c:symbol val="none"/>
          </c:marker>
          <c:cat>
            <c:strRef>
              <c:f>'asthma market'!$X$3:$X$30</c:f>
              <c:strCache>
                <c:ptCount val="27"/>
                <c:pt idx="0">
                  <c:v>2017Q1</c:v>
                </c:pt>
                <c:pt idx="1">
                  <c:v>2017Q2</c:v>
                </c:pt>
                <c:pt idx="2">
                  <c:v>2017Q3</c:v>
                </c:pt>
                <c:pt idx="3">
                  <c:v>2017Q4</c:v>
                </c:pt>
                <c:pt idx="4">
                  <c:v>2018Q1</c:v>
                </c:pt>
                <c:pt idx="5">
                  <c:v>2018Q2</c:v>
                </c:pt>
                <c:pt idx="6">
                  <c:v>2018Q3</c:v>
                </c:pt>
                <c:pt idx="7">
                  <c:v>2018Q4</c:v>
                </c:pt>
                <c:pt idx="8">
                  <c:v>2019Q1</c:v>
                </c:pt>
                <c:pt idx="9">
                  <c:v>2019Q2</c:v>
                </c:pt>
                <c:pt idx="10">
                  <c:v>2019Q3</c:v>
                </c:pt>
                <c:pt idx="11">
                  <c:v>2019Q4</c:v>
                </c:pt>
                <c:pt idx="12">
                  <c:v>2020Q1</c:v>
                </c:pt>
                <c:pt idx="13">
                  <c:v>2020Q2</c:v>
                </c:pt>
                <c:pt idx="14">
                  <c:v>2020Q3</c:v>
                </c:pt>
                <c:pt idx="15">
                  <c:v>2020Q4</c:v>
                </c:pt>
                <c:pt idx="16">
                  <c:v>2021Q1</c:v>
                </c:pt>
                <c:pt idx="17">
                  <c:v>2021Q2</c:v>
                </c:pt>
                <c:pt idx="18">
                  <c:v>2021Q3</c:v>
                </c:pt>
                <c:pt idx="19">
                  <c:v>2021Q4</c:v>
                </c:pt>
                <c:pt idx="20">
                  <c:v>2022Q1</c:v>
                </c:pt>
                <c:pt idx="21">
                  <c:v>2022Q2</c:v>
                </c:pt>
                <c:pt idx="22">
                  <c:v>2022Q3</c:v>
                </c:pt>
                <c:pt idx="23">
                  <c:v>2022Q4</c:v>
                </c:pt>
                <c:pt idx="24">
                  <c:v>2023Q1</c:v>
                </c:pt>
                <c:pt idx="25">
                  <c:v>2023Q2</c:v>
                </c:pt>
                <c:pt idx="26">
                  <c:v>2023Q3</c:v>
                </c:pt>
              </c:strCache>
            </c:strRef>
          </c:cat>
          <c:val>
            <c:numRef>
              <c:f>'asthma market'!$AC$3:$AC$30</c:f>
              <c:numCache>
                <c:formatCode>General</c:formatCode>
                <c:ptCount val="27"/>
                <c:pt idx="0">
                  <c:v>2629</c:v>
                </c:pt>
                <c:pt idx="1">
                  <c:v>3396</c:v>
                </c:pt>
                <c:pt idx="2">
                  <c:v>4005</c:v>
                </c:pt>
                <c:pt idx="3">
                  <c:v>4815</c:v>
                </c:pt>
                <c:pt idx="4">
                  <c:v>5041</c:v>
                </c:pt>
                <c:pt idx="5">
                  <c:v>5955</c:v>
                </c:pt>
                <c:pt idx="6">
                  <c:v>6156</c:v>
                </c:pt>
                <c:pt idx="7">
                  <c:v>6916</c:v>
                </c:pt>
                <c:pt idx="8">
                  <c:v>7710</c:v>
                </c:pt>
                <c:pt idx="9">
                  <c:v>8947</c:v>
                </c:pt>
                <c:pt idx="10">
                  <c:v>9884</c:v>
                </c:pt>
                <c:pt idx="11">
                  <c:v>10819</c:v>
                </c:pt>
                <c:pt idx="12">
                  <c:v>11647</c:v>
                </c:pt>
                <c:pt idx="13">
                  <c:v>12188</c:v>
                </c:pt>
                <c:pt idx="14">
                  <c:v>13957</c:v>
                </c:pt>
                <c:pt idx="15">
                  <c:v>15361</c:v>
                </c:pt>
                <c:pt idx="16">
                  <c:v>14809</c:v>
                </c:pt>
                <c:pt idx="17">
                  <c:v>16424</c:v>
                </c:pt>
                <c:pt idx="18">
                  <c:v>18081</c:v>
                </c:pt>
                <c:pt idx="19">
                  <c:v>20000</c:v>
                </c:pt>
                <c:pt idx="20">
                  <c:v>19140</c:v>
                </c:pt>
                <c:pt idx="21">
                  <c:v>20542</c:v>
                </c:pt>
                <c:pt idx="22">
                  <c:v>21594</c:v>
                </c:pt>
                <c:pt idx="23">
                  <c:v>23523</c:v>
                </c:pt>
                <c:pt idx="24">
                  <c:v>22697</c:v>
                </c:pt>
                <c:pt idx="25">
                  <c:v>24150</c:v>
                </c:pt>
                <c:pt idx="26">
                  <c:v>24991</c:v>
                </c:pt>
              </c:numCache>
            </c:numRef>
          </c:val>
          <c:smooth val="0"/>
          <c:extLst>
            <c:ext xmlns:c16="http://schemas.microsoft.com/office/drawing/2014/chart" uri="{C3380CC4-5D6E-409C-BE32-E72D297353CC}">
              <c16:uniqueId val="{00000004-E210-4B55-9070-898E7A22C621}"/>
            </c:ext>
          </c:extLst>
        </c:ser>
        <c:dLbls>
          <c:showLegendKey val="0"/>
          <c:showVal val="0"/>
          <c:showCatName val="0"/>
          <c:showSerName val="0"/>
          <c:showPercent val="0"/>
          <c:showBubbleSize val="0"/>
        </c:dLbls>
        <c:smooth val="0"/>
        <c:axId val="361965376"/>
        <c:axId val="361968256"/>
      </c:lineChart>
      <c:catAx>
        <c:axId val="3619653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a:t>
                </a:r>
                <a:r>
                  <a:rPr lang="en-AU" baseline="0"/>
                  <a:t> of supply</a:t>
                </a:r>
                <a:endParaRPr lang="en-AU"/>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1968256"/>
        <c:crosses val="autoZero"/>
        <c:auto val="1"/>
        <c:lblAlgn val="ctr"/>
        <c:lblOffset val="100"/>
        <c:noMultiLvlLbl val="0"/>
      </c:catAx>
      <c:valAx>
        <c:axId val="3619682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1965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[D1535 dupilumab data analysis.xlsx]Sheet2!PivotTable2</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Sheet2!$B$3:$B$4</c:f>
              <c:strCache>
                <c:ptCount val="1"/>
                <c:pt idx="0">
                  <c:v>BENRALIZUMAB</c:v>
                </c:pt>
              </c:strCache>
            </c:strRef>
          </c:tx>
          <c:spPr>
            <a:ln w="28575" cap="rnd">
              <a:solidFill>
                <a:schemeClr val="accent1"/>
              </a:solidFill>
              <a:round/>
            </a:ln>
            <a:effectLst/>
          </c:spPr>
          <c:marker>
            <c:symbol val="none"/>
          </c:marker>
          <c:cat>
            <c:strRef>
              <c:f>Sheet2!$A$5:$A$32</c:f>
              <c:strCache>
                <c:ptCount val="27"/>
                <c:pt idx="0">
                  <c:v>2017Q1</c:v>
                </c:pt>
                <c:pt idx="1">
                  <c:v>2017Q2</c:v>
                </c:pt>
                <c:pt idx="2">
                  <c:v>2017Q3</c:v>
                </c:pt>
                <c:pt idx="3">
                  <c:v>2017Q4</c:v>
                </c:pt>
                <c:pt idx="4">
                  <c:v>2018Q1</c:v>
                </c:pt>
                <c:pt idx="5">
                  <c:v>2018Q2</c:v>
                </c:pt>
                <c:pt idx="6">
                  <c:v>2018Q3</c:v>
                </c:pt>
                <c:pt idx="7">
                  <c:v>2018Q4</c:v>
                </c:pt>
                <c:pt idx="8">
                  <c:v>2019Q1</c:v>
                </c:pt>
                <c:pt idx="9">
                  <c:v>2019Q2</c:v>
                </c:pt>
                <c:pt idx="10">
                  <c:v>2019Q3</c:v>
                </c:pt>
                <c:pt idx="11">
                  <c:v>2019Q4</c:v>
                </c:pt>
                <c:pt idx="12">
                  <c:v>2020Q1</c:v>
                </c:pt>
                <c:pt idx="13">
                  <c:v>2020Q2</c:v>
                </c:pt>
                <c:pt idx="14">
                  <c:v>2020Q3</c:v>
                </c:pt>
                <c:pt idx="15">
                  <c:v>2020Q4</c:v>
                </c:pt>
                <c:pt idx="16">
                  <c:v>2021Q1</c:v>
                </c:pt>
                <c:pt idx="17">
                  <c:v>2021Q2</c:v>
                </c:pt>
                <c:pt idx="18">
                  <c:v>2021Q3</c:v>
                </c:pt>
                <c:pt idx="19">
                  <c:v>2021Q4</c:v>
                </c:pt>
                <c:pt idx="20">
                  <c:v>2022Q1</c:v>
                </c:pt>
                <c:pt idx="21">
                  <c:v>2022Q2</c:v>
                </c:pt>
                <c:pt idx="22">
                  <c:v>2022Q3</c:v>
                </c:pt>
                <c:pt idx="23">
                  <c:v>2022Q4</c:v>
                </c:pt>
                <c:pt idx="24">
                  <c:v>2023Q1</c:v>
                </c:pt>
                <c:pt idx="25">
                  <c:v>2023Q2</c:v>
                </c:pt>
                <c:pt idx="26">
                  <c:v>2023Q3</c:v>
                </c:pt>
              </c:strCache>
            </c:strRef>
          </c:cat>
          <c:val>
            <c:numRef>
              <c:f>Sheet2!$B$5:$B$32</c:f>
              <c:numCache>
                <c:formatCode>General</c:formatCode>
                <c:ptCount val="27"/>
                <c:pt idx="7">
                  <c:v>56</c:v>
                </c:pt>
                <c:pt idx="8">
                  <c:v>540</c:v>
                </c:pt>
                <c:pt idx="9">
                  <c:v>722</c:v>
                </c:pt>
                <c:pt idx="10">
                  <c:v>879</c:v>
                </c:pt>
                <c:pt idx="11">
                  <c:v>1059</c:v>
                </c:pt>
                <c:pt idx="12">
                  <c:v>1359</c:v>
                </c:pt>
                <c:pt idx="13">
                  <c:v>1554</c:v>
                </c:pt>
                <c:pt idx="14">
                  <c:v>1747</c:v>
                </c:pt>
                <c:pt idx="15">
                  <c:v>1935</c:v>
                </c:pt>
                <c:pt idx="16">
                  <c:v>2045</c:v>
                </c:pt>
                <c:pt idx="17">
                  <c:v>2204</c:v>
                </c:pt>
                <c:pt idx="18">
                  <c:v>2360</c:v>
                </c:pt>
                <c:pt idx="19">
                  <c:v>2498</c:v>
                </c:pt>
                <c:pt idx="20">
                  <c:v>2558</c:v>
                </c:pt>
                <c:pt idx="21">
                  <c:v>2654</c:v>
                </c:pt>
                <c:pt idx="22">
                  <c:v>2767</c:v>
                </c:pt>
                <c:pt idx="23">
                  <c:v>2920</c:v>
                </c:pt>
                <c:pt idx="24">
                  <c:v>2962</c:v>
                </c:pt>
                <c:pt idx="25">
                  <c:v>3068</c:v>
                </c:pt>
                <c:pt idx="26">
                  <c:v>3175</c:v>
                </c:pt>
              </c:numCache>
            </c:numRef>
          </c:val>
          <c:smooth val="0"/>
          <c:extLst>
            <c:ext xmlns:c16="http://schemas.microsoft.com/office/drawing/2014/chart" uri="{C3380CC4-5D6E-409C-BE32-E72D297353CC}">
              <c16:uniqueId val="{00000000-47BB-43ED-B938-7326C893DCDC}"/>
            </c:ext>
          </c:extLst>
        </c:ser>
        <c:ser>
          <c:idx val="1"/>
          <c:order val="1"/>
          <c:tx>
            <c:strRef>
              <c:f>Sheet2!$C$3:$C$4</c:f>
              <c:strCache>
                <c:ptCount val="1"/>
                <c:pt idx="0">
                  <c:v>DUPILUMAB</c:v>
                </c:pt>
              </c:strCache>
            </c:strRef>
          </c:tx>
          <c:spPr>
            <a:ln w="28575" cap="rnd">
              <a:solidFill>
                <a:schemeClr val="accent2"/>
              </a:solidFill>
              <a:round/>
            </a:ln>
            <a:effectLst/>
          </c:spPr>
          <c:marker>
            <c:symbol val="none"/>
          </c:marker>
          <c:cat>
            <c:strRef>
              <c:f>Sheet2!$A$5:$A$32</c:f>
              <c:strCache>
                <c:ptCount val="27"/>
                <c:pt idx="0">
                  <c:v>2017Q1</c:v>
                </c:pt>
                <c:pt idx="1">
                  <c:v>2017Q2</c:v>
                </c:pt>
                <c:pt idx="2">
                  <c:v>2017Q3</c:v>
                </c:pt>
                <c:pt idx="3">
                  <c:v>2017Q4</c:v>
                </c:pt>
                <c:pt idx="4">
                  <c:v>2018Q1</c:v>
                </c:pt>
                <c:pt idx="5">
                  <c:v>2018Q2</c:v>
                </c:pt>
                <c:pt idx="6">
                  <c:v>2018Q3</c:v>
                </c:pt>
                <c:pt idx="7">
                  <c:v>2018Q4</c:v>
                </c:pt>
                <c:pt idx="8">
                  <c:v>2019Q1</c:v>
                </c:pt>
                <c:pt idx="9">
                  <c:v>2019Q2</c:v>
                </c:pt>
                <c:pt idx="10">
                  <c:v>2019Q3</c:v>
                </c:pt>
                <c:pt idx="11">
                  <c:v>2019Q4</c:v>
                </c:pt>
                <c:pt idx="12">
                  <c:v>2020Q1</c:v>
                </c:pt>
                <c:pt idx="13">
                  <c:v>2020Q2</c:v>
                </c:pt>
                <c:pt idx="14">
                  <c:v>2020Q3</c:v>
                </c:pt>
                <c:pt idx="15">
                  <c:v>2020Q4</c:v>
                </c:pt>
                <c:pt idx="16">
                  <c:v>2021Q1</c:v>
                </c:pt>
                <c:pt idx="17">
                  <c:v>2021Q2</c:v>
                </c:pt>
                <c:pt idx="18">
                  <c:v>2021Q3</c:v>
                </c:pt>
                <c:pt idx="19">
                  <c:v>2021Q4</c:v>
                </c:pt>
                <c:pt idx="20">
                  <c:v>2022Q1</c:v>
                </c:pt>
                <c:pt idx="21">
                  <c:v>2022Q2</c:v>
                </c:pt>
                <c:pt idx="22">
                  <c:v>2022Q3</c:v>
                </c:pt>
                <c:pt idx="23">
                  <c:v>2022Q4</c:v>
                </c:pt>
                <c:pt idx="24">
                  <c:v>2023Q1</c:v>
                </c:pt>
                <c:pt idx="25">
                  <c:v>2023Q2</c:v>
                </c:pt>
                <c:pt idx="26">
                  <c:v>2023Q3</c:v>
                </c:pt>
              </c:strCache>
            </c:strRef>
          </c:cat>
          <c:val>
            <c:numRef>
              <c:f>Sheet2!$C$5:$C$32</c:f>
              <c:numCache>
                <c:formatCode>General</c:formatCode>
                <c:ptCount val="27"/>
                <c:pt idx="17">
                  <c:v>364</c:v>
                </c:pt>
                <c:pt idx="18">
                  <c:v>717</c:v>
                </c:pt>
                <c:pt idx="19">
                  <c:v>1027</c:v>
                </c:pt>
                <c:pt idx="20">
                  <c:v>1236</c:v>
                </c:pt>
                <c:pt idx="21">
                  <c:v>1456</c:v>
                </c:pt>
                <c:pt idx="22">
                  <c:v>1722</c:v>
                </c:pt>
                <c:pt idx="23">
                  <c:v>1984</c:v>
                </c:pt>
                <c:pt idx="24">
                  <c:v>2157</c:v>
                </c:pt>
                <c:pt idx="25">
                  <c:v>2348</c:v>
                </c:pt>
                <c:pt idx="26">
                  <c:v>2566</c:v>
                </c:pt>
              </c:numCache>
            </c:numRef>
          </c:val>
          <c:smooth val="0"/>
          <c:extLst>
            <c:ext xmlns:c16="http://schemas.microsoft.com/office/drawing/2014/chart" uri="{C3380CC4-5D6E-409C-BE32-E72D297353CC}">
              <c16:uniqueId val="{00000001-47BB-43ED-B938-7326C893DCDC}"/>
            </c:ext>
          </c:extLst>
        </c:ser>
        <c:ser>
          <c:idx val="2"/>
          <c:order val="2"/>
          <c:tx>
            <c:strRef>
              <c:f>Sheet2!$D$3:$D$4</c:f>
              <c:strCache>
                <c:ptCount val="1"/>
                <c:pt idx="0">
                  <c:v>MEPOLIZUMAB</c:v>
                </c:pt>
              </c:strCache>
            </c:strRef>
          </c:tx>
          <c:spPr>
            <a:ln w="28575" cap="rnd">
              <a:solidFill>
                <a:schemeClr val="accent3"/>
              </a:solidFill>
              <a:round/>
            </a:ln>
            <a:effectLst/>
          </c:spPr>
          <c:marker>
            <c:symbol val="none"/>
          </c:marker>
          <c:cat>
            <c:strRef>
              <c:f>Sheet2!$A$5:$A$32</c:f>
              <c:strCache>
                <c:ptCount val="27"/>
                <c:pt idx="0">
                  <c:v>2017Q1</c:v>
                </c:pt>
                <c:pt idx="1">
                  <c:v>2017Q2</c:v>
                </c:pt>
                <c:pt idx="2">
                  <c:v>2017Q3</c:v>
                </c:pt>
                <c:pt idx="3">
                  <c:v>2017Q4</c:v>
                </c:pt>
                <c:pt idx="4">
                  <c:v>2018Q1</c:v>
                </c:pt>
                <c:pt idx="5">
                  <c:v>2018Q2</c:v>
                </c:pt>
                <c:pt idx="6">
                  <c:v>2018Q3</c:v>
                </c:pt>
                <c:pt idx="7">
                  <c:v>2018Q4</c:v>
                </c:pt>
                <c:pt idx="8">
                  <c:v>2019Q1</c:v>
                </c:pt>
                <c:pt idx="9">
                  <c:v>2019Q2</c:v>
                </c:pt>
                <c:pt idx="10">
                  <c:v>2019Q3</c:v>
                </c:pt>
                <c:pt idx="11">
                  <c:v>2019Q4</c:v>
                </c:pt>
                <c:pt idx="12">
                  <c:v>2020Q1</c:v>
                </c:pt>
                <c:pt idx="13">
                  <c:v>2020Q2</c:v>
                </c:pt>
                <c:pt idx="14">
                  <c:v>2020Q3</c:v>
                </c:pt>
                <c:pt idx="15">
                  <c:v>2020Q4</c:v>
                </c:pt>
                <c:pt idx="16">
                  <c:v>2021Q1</c:v>
                </c:pt>
                <c:pt idx="17">
                  <c:v>2021Q2</c:v>
                </c:pt>
                <c:pt idx="18">
                  <c:v>2021Q3</c:v>
                </c:pt>
                <c:pt idx="19">
                  <c:v>2021Q4</c:v>
                </c:pt>
                <c:pt idx="20">
                  <c:v>2022Q1</c:v>
                </c:pt>
                <c:pt idx="21">
                  <c:v>2022Q2</c:v>
                </c:pt>
                <c:pt idx="22">
                  <c:v>2022Q3</c:v>
                </c:pt>
                <c:pt idx="23">
                  <c:v>2022Q4</c:v>
                </c:pt>
                <c:pt idx="24">
                  <c:v>2023Q1</c:v>
                </c:pt>
                <c:pt idx="25">
                  <c:v>2023Q2</c:v>
                </c:pt>
                <c:pt idx="26">
                  <c:v>2023Q3</c:v>
                </c:pt>
              </c:strCache>
            </c:strRef>
          </c:cat>
          <c:val>
            <c:numRef>
              <c:f>Sheet2!$D$5:$D$32</c:f>
              <c:numCache>
                <c:formatCode>General</c:formatCode>
                <c:ptCount val="27"/>
                <c:pt idx="0">
                  <c:v>145</c:v>
                </c:pt>
                <c:pt idx="1">
                  <c:v>299</c:v>
                </c:pt>
                <c:pt idx="2">
                  <c:v>434</c:v>
                </c:pt>
                <c:pt idx="3">
                  <c:v>570</c:v>
                </c:pt>
                <c:pt idx="4">
                  <c:v>673</c:v>
                </c:pt>
                <c:pt idx="5">
                  <c:v>832</c:v>
                </c:pt>
                <c:pt idx="6">
                  <c:v>893</c:v>
                </c:pt>
                <c:pt idx="7">
                  <c:v>989</c:v>
                </c:pt>
                <c:pt idx="8">
                  <c:v>1057</c:v>
                </c:pt>
                <c:pt idx="9">
                  <c:v>1156</c:v>
                </c:pt>
                <c:pt idx="10">
                  <c:v>1252</c:v>
                </c:pt>
                <c:pt idx="11">
                  <c:v>1338</c:v>
                </c:pt>
                <c:pt idx="12">
                  <c:v>1394</c:v>
                </c:pt>
                <c:pt idx="13">
                  <c:v>1484</c:v>
                </c:pt>
                <c:pt idx="14">
                  <c:v>1666</c:v>
                </c:pt>
                <c:pt idx="15">
                  <c:v>1801</c:v>
                </c:pt>
                <c:pt idx="16">
                  <c:v>1848</c:v>
                </c:pt>
                <c:pt idx="17">
                  <c:v>1973</c:v>
                </c:pt>
                <c:pt idx="18">
                  <c:v>2042</c:v>
                </c:pt>
                <c:pt idx="19">
                  <c:v>2105</c:v>
                </c:pt>
                <c:pt idx="20">
                  <c:v>2144</c:v>
                </c:pt>
                <c:pt idx="21">
                  <c:v>2250</c:v>
                </c:pt>
                <c:pt idx="22">
                  <c:v>2279</c:v>
                </c:pt>
                <c:pt idx="23">
                  <c:v>2346</c:v>
                </c:pt>
                <c:pt idx="24">
                  <c:v>2429</c:v>
                </c:pt>
                <c:pt idx="25">
                  <c:v>2511</c:v>
                </c:pt>
                <c:pt idx="26">
                  <c:v>2612</c:v>
                </c:pt>
              </c:numCache>
            </c:numRef>
          </c:val>
          <c:smooth val="0"/>
          <c:extLst>
            <c:ext xmlns:c16="http://schemas.microsoft.com/office/drawing/2014/chart" uri="{C3380CC4-5D6E-409C-BE32-E72D297353CC}">
              <c16:uniqueId val="{00000002-47BB-43ED-B938-7326C893DCDC}"/>
            </c:ext>
          </c:extLst>
        </c:ser>
        <c:ser>
          <c:idx val="3"/>
          <c:order val="3"/>
          <c:tx>
            <c:strRef>
              <c:f>Sheet2!$E$3:$E$4</c:f>
              <c:strCache>
                <c:ptCount val="1"/>
                <c:pt idx="0">
                  <c:v>OMALIZUMAB</c:v>
                </c:pt>
              </c:strCache>
            </c:strRef>
          </c:tx>
          <c:spPr>
            <a:ln w="28575" cap="rnd">
              <a:solidFill>
                <a:schemeClr val="accent4"/>
              </a:solidFill>
              <a:round/>
            </a:ln>
            <a:effectLst/>
          </c:spPr>
          <c:marker>
            <c:symbol val="none"/>
          </c:marker>
          <c:cat>
            <c:strRef>
              <c:f>Sheet2!$A$5:$A$32</c:f>
              <c:strCache>
                <c:ptCount val="27"/>
                <c:pt idx="0">
                  <c:v>2017Q1</c:v>
                </c:pt>
                <c:pt idx="1">
                  <c:v>2017Q2</c:v>
                </c:pt>
                <c:pt idx="2">
                  <c:v>2017Q3</c:v>
                </c:pt>
                <c:pt idx="3">
                  <c:v>2017Q4</c:v>
                </c:pt>
                <c:pt idx="4">
                  <c:v>2018Q1</c:v>
                </c:pt>
                <c:pt idx="5">
                  <c:v>2018Q2</c:v>
                </c:pt>
                <c:pt idx="6">
                  <c:v>2018Q3</c:v>
                </c:pt>
                <c:pt idx="7">
                  <c:v>2018Q4</c:v>
                </c:pt>
                <c:pt idx="8">
                  <c:v>2019Q1</c:v>
                </c:pt>
                <c:pt idx="9">
                  <c:v>2019Q2</c:v>
                </c:pt>
                <c:pt idx="10">
                  <c:v>2019Q3</c:v>
                </c:pt>
                <c:pt idx="11">
                  <c:v>2019Q4</c:v>
                </c:pt>
                <c:pt idx="12">
                  <c:v>2020Q1</c:v>
                </c:pt>
                <c:pt idx="13">
                  <c:v>2020Q2</c:v>
                </c:pt>
                <c:pt idx="14">
                  <c:v>2020Q3</c:v>
                </c:pt>
                <c:pt idx="15">
                  <c:v>2020Q4</c:v>
                </c:pt>
                <c:pt idx="16">
                  <c:v>2021Q1</c:v>
                </c:pt>
                <c:pt idx="17">
                  <c:v>2021Q2</c:v>
                </c:pt>
                <c:pt idx="18">
                  <c:v>2021Q3</c:v>
                </c:pt>
                <c:pt idx="19">
                  <c:v>2021Q4</c:v>
                </c:pt>
                <c:pt idx="20">
                  <c:v>2022Q1</c:v>
                </c:pt>
                <c:pt idx="21">
                  <c:v>2022Q2</c:v>
                </c:pt>
                <c:pt idx="22">
                  <c:v>2022Q3</c:v>
                </c:pt>
                <c:pt idx="23">
                  <c:v>2022Q4</c:v>
                </c:pt>
                <c:pt idx="24">
                  <c:v>2023Q1</c:v>
                </c:pt>
                <c:pt idx="25">
                  <c:v>2023Q2</c:v>
                </c:pt>
                <c:pt idx="26">
                  <c:v>2023Q3</c:v>
                </c:pt>
              </c:strCache>
            </c:strRef>
          </c:cat>
          <c:val>
            <c:numRef>
              <c:f>Sheet2!$E$5:$E$32</c:f>
              <c:numCache>
                <c:formatCode>General</c:formatCode>
                <c:ptCount val="27"/>
                <c:pt idx="0">
                  <c:v>644</c:v>
                </c:pt>
                <c:pt idx="1">
                  <c:v>698</c:v>
                </c:pt>
                <c:pt idx="2">
                  <c:v>756</c:v>
                </c:pt>
                <c:pt idx="3">
                  <c:v>825</c:v>
                </c:pt>
                <c:pt idx="4">
                  <c:v>859</c:v>
                </c:pt>
                <c:pt idx="5">
                  <c:v>958</c:v>
                </c:pt>
                <c:pt idx="6">
                  <c:v>977</c:v>
                </c:pt>
                <c:pt idx="7">
                  <c:v>1033</c:v>
                </c:pt>
                <c:pt idx="8">
                  <c:v>1069</c:v>
                </c:pt>
                <c:pt idx="9">
                  <c:v>1135</c:v>
                </c:pt>
                <c:pt idx="10">
                  <c:v>1220</c:v>
                </c:pt>
                <c:pt idx="11">
                  <c:v>1274</c:v>
                </c:pt>
                <c:pt idx="12">
                  <c:v>1363</c:v>
                </c:pt>
                <c:pt idx="13">
                  <c:v>1424</c:v>
                </c:pt>
                <c:pt idx="14">
                  <c:v>1557</c:v>
                </c:pt>
                <c:pt idx="15">
                  <c:v>1706</c:v>
                </c:pt>
                <c:pt idx="16">
                  <c:v>1713</c:v>
                </c:pt>
                <c:pt idx="17">
                  <c:v>1731</c:v>
                </c:pt>
                <c:pt idx="18">
                  <c:v>1743</c:v>
                </c:pt>
                <c:pt idx="19">
                  <c:v>1756</c:v>
                </c:pt>
                <c:pt idx="20">
                  <c:v>1740</c:v>
                </c:pt>
                <c:pt idx="21">
                  <c:v>1717</c:v>
                </c:pt>
                <c:pt idx="22">
                  <c:v>1731</c:v>
                </c:pt>
                <c:pt idx="23">
                  <c:v>1748</c:v>
                </c:pt>
                <c:pt idx="24">
                  <c:v>1713</c:v>
                </c:pt>
                <c:pt idx="25">
                  <c:v>1707</c:v>
                </c:pt>
                <c:pt idx="26">
                  <c:v>1705</c:v>
                </c:pt>
              </c:numCache>
            </c:numRef>
          </c:val>
          <c:smooth val="0"/>
          <c:extLst>
            <c:ext xmlns:c16="http://schemas.microsoft.com/office/drawing/2014/chart" uri="{C3380CC4-5D6E-409C-BE32-E72D297353CC}">
              <c16:uniqueId val="{00000003-47BB-43ED-B938-7326C893DCDC}"/>
            </c:ext>
          </c:extLst>
        </c:ser>
        <c:ser>
          <c:idx val="4"/>
          <c:order val="4"/>
          <c:tx>
            <c:strRef>
              <c:f>Sheet2!$F$3:$F$4</c:f>
              <c:strCache>
                <c:ptCount val="1"/>
                <c:pt idx="0">
                  <c:v>TOTAL</c:v>
                </c:pt>
              </c:strCache>
            </c:strRef>
          </c:tx>
          <c:spPr>
            <a:ln w="28575" cap="rnd">
              <a:solidFill>
                <a:schemeClr val="accent5"/>
              </a:solidFill>
              <a:round/>
            </a:ln>
            <a:effectLst/>
          </c:spPr>
          <c:marker>
            <c:symbol val="none"/>
          </c:marker>
          <c:cat>
            <c:strRef>
              <c:f>Sheet2!$A$5:$A$32</c:f>
              <c:strCache>
                <c:ptCount val="27"/>
                <c:pt idx="0">
                  <c:v>2017Q1</c:v>
                </c:pt>
                <c:pt idx="1">
                  <c:v>2017Q2</c:v>
                </c:pt>
                <c:pt idx="2">
                  <c:v>2017Q3</c:v>
                </c:pt>
                <c:pt idx="3">
                  <c:v>2017Q4</c:v>
                </c:pt>
                <c:pt idx="4">
                  <c:v>2018Q1</c:v>
                </c:pt>
                <c:pt idx="5">
                  <c:v>2018Q2</c:v>
                </c:pt>
                <c:pt idx="6">
                  <c:v>2018Q3</c:v>
                </c:pt>
                <c:pt idx="7">
                  <c:v>2018Q4</c:v>
                </c:pt>
                <c:pt idx="8">
                  <c:v>2019Q1</c:v>
                </c:pt>
                <c:pt idx="9">
                  <c:v>2019Q2</c:v>
                </c:pt>
                <c:pt idx="10">
                  <c:v>2019Q3</c:v>
                </c:pt>
                <c:pt idx="11">
                  <c:v>2019Q4</c:v>
                </c:pt>
                <c:pt idx="12">
                  <c:v>2020Q1</c:v>
                </c:pt>
                <c:pt idx="13">
                  <c:v>2020Q2</c:v>
                </c:pt>
                <c:pt idx="14">
                  <c:v>2020Q3</c:v>
                </c:pt>
                <c:pt idx="15">
                  <c:v>2020Q4</c:v>
                </c:pt>
                <c:pt idx="16">
                  <c:v>2021Q1</c:v>
                </c:pt>
                <c:pt idx="17">
                  <c:v>2021Q2</c:v>
                </c:pt>
                <c:pt idx="18">
                  <c:v>2021Q3</c:v>
                </c:pt>
                <c:pt idx="19">
                  <c:v>2021Q4</c:v>
                </c:pt>
                <c:pt idx="20">
                  <c:v>2022Q1</c:v>
                </c:pt>
                <c:pt idx="21">
                  <c:v>2022Q2</c:v>
                </c:pt>
                <c:pt idx="22">
                  <c:v>2022Q3</c:v>
                </c:pt>
                <c:pt idx="23">
                  <c:v>2022Q4</c:v>
                </c:pt>
                <c:pt idx="24">
                  <c:v>2023Q1</c:v>
                </c:pt>
                <c:pt idx="25">
                  <c:v>2023Q2</c:v>
                </c:pt>
                <c:pt idx="26">
                  <c:v>2023Q3</c:v>
                </c:pt>
              </c:strCache>
            </c:strRef>
          </c:cat>
          <c:val>
            <c:numRef>
              <c:f>Sheet2!$F$5:$F$32</c:f>
              <c:numCache>
                <c:formatCode>General</c:formatCode>
                <c:ptCount val="27"/>
                <c:pt idx="0">
                  <c:v>789</c:v>
                </c:pt>
                <c:pt idx="1">
                  <c:v>997</c:v>
                </c:pt>
                <c:pt idx="2">
                  <c:v>1190</c:v>
                </c:pt>
                <c:pt idx="3">
                  <c:v>1395</c:v>
                </c:pt>
                <c:pt idx="4">
                  <c:v>1532</c:v>
                </c:pt>
                <c:pt idx="5">
                  <c:v>1789</c:v>
                </c:pt>
                <c:pt idx="6">
                  <c:v>1870</c:v>
                </c:pt>
                <c:pt idx="7">
                  <c:v>2078</c:v>
                </c:pt>
                <c:pt idx="8">
                  <c:v>2665</c:v>
                </c:pt>
                <c:pt idx="9">
                  <c:v>3013</c:v>
                </c:pt>
                <c:pt idx="10">
                  <c:v>3350</c:v>
                </c:pt>
                <c:pt idx="11">
                  <c:v>3664</c:v>
                </c:pt>
                <c:pt idx="12">
                  <c:v>4088</c:v>
                </c:pt>
                <c:pt idx="13">
                  <c:v>4436</c:v>
                </c:pt>
                <c:pt idx="14">
                  <c:v>4940</c:v>
                </c:pt>
                <c:pt idx="15">
                  <c:v>5405</c:v>
                </c:pt>
                <c:pt idx="16">
                  <c:v>5567</c:v>
                </c:pt>
                <c:pt idx="17">
                  <c:v>6178</c:v>
                </c:pt>
                <c:pt idx="18">
                  <c:v>6769</c:v>
                </c:pt>
                <c:pt idx="19">
                  <c:v>7286</c:v>
                </c:pt>
                <c:pt idx="20">
                  <c:v>7587</c:v>
                </c:pt>
                <c:pt idx="21">
                  <c:v>7979</c:v>
                </c:pt>
                <c:pt idx="22">
                  <c:v>8390</c:v>
                </c:pt>
                <c:pt idx="23">
                  <c:v>8902</c:v>
                </c:pt>
                <c:pt idx="24">
                  <c:v>9163</c:v>
                </c:pt>
                <c:pt idx="25">
                  <c:v>9549</c:v>
                </c:pt>
                <c:pt idx="26">
                  <c:v>9950</c:v>
                </c:pt>
              </c:numCache>
            </c:numRef>
          </c:val>
          <c:smooth val="0"/>
          <c:extLst>
            <c:ext xmlns:c16="http://schemas.microsoft.com/office/drawing/2014/chart" uri="{C3380CC4-5D6E-409C-BE32-E72D297353CC}">
              <c16:uniqueId val="{00000004-47BB-43ED-B938-7326C893DCDC}"/>
            </c:ext>
          </c:extLst>
        </c:ser>
        <c:dLbls>
          <c:showLegendKey val="0"/>
          <c:showVal val="0"/>
          <c:showCatName val="0"/>
          <c:showSerName val="0"/>
          <c:showPercent val="0"/>
          <c:showBubbleSize val="0"/>
        </c:dLbls>
        <c:smooth val="0"/>
        <c:axId val="776562768"/>
        <c:axId val="776559528"/>
      </c:lineChart>
      <c:catAx>
        <c:axId val="7765627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6559528"/>
        <c:crosses val="autoZero"/>
        <c:auto val="1"/>
        <c:lblAlgn val="ctr"/>
        <c:lblOffset val="100"/>
        <c:noMultiLvlLbl val="0"/>
      </c:catAx>
      <c:valAx>
        <c:axId val="7765595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Treated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6562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[D1535 dupilumab data analysis.xlsx]prescriber!PivotTable4</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percentStacked"/>
        <c:varyColors val="0"/>
        <c:ser>
          <c:idx val="0"/>
          <c:order val="0"/>
          <c:tx>
            <c:strRef>
              <c:f>prescriber!$S$1:$S$2</c:f>
              <c:strCache>
                <c:ptCount val="1"/>
                <c:pt idx="0">
                  <c:v>Respiratory and Sleep Medicine</c:v>
                </c:pt>
              </c:strCache>
            </c:strRef>
          </c:tx>
          <c:spPr>
            <a:solidFill>
              <a:schemeClr val="accent1"/>
            </a:solidFill>
            <a:ln>
              <a:noFill/>
            </a:ln>
            <a:effectLst/>
          </c:spPr>
          <c:invertIfNegative val="0"/>
          <c:cat>
            <c:strRef>
              <c:f>prescriber!$R$3:$R$30</c:f>
              <c:strCache>
                <c:ptCount val="27"/>
                <c:pt idx="0">
                  <c:v>2017Q1</c:v>
                </c:pt>
                <c:pt idx="1">
                  <c:v>2017Q2</c:v>
                </c:pt>
                <c:pt idx="2">
                  <c:v>2017Q3</c:v>
                </c:pt>
                <c:pt idx="3">
                  <c:v>2017Q4</c:v>
                </c:pt>
                <c:pt idx="4">
                  <c:v>2018Q1</c:v>
                </c:pt>
                <c:pt idx="5">
                  <c:v>2018Q2</c:v>
                </c:pt>
                <c:pt idx="6">
                  <c:v>2018Q3</c:v>
                </c:pt>
                <c:pt idx="7">
                  <c:v>2018Q4</c:v>
                </c:pt>
                <c:pt idx="8">
                  <c:v>2019Q1</c:v>
                </c:pt>
                <c:pt idx="9">
                  <c:v>2019Q2</c:v>
                </c:pt>
                <c:pt idx="10">
                  <c:v>2019Q3</c:v>
                </c:pt>
                <c:pt idx="11">
                  <c:v>2019Q4</c:v>
                </c:pt>
                <c:pt idx="12">
                  <c:v>2020Q1</c:v>
                </c:pt>
                <c:pt idx="13">
                  <c:v>2020Q2</c:v>
                </c:pt>
                <c:pt idx="14">
                  <c:v>2020Q3</c:v>
                </c:pt>
                <c:pt idx="15">
                  <c:v>2020Q4</c:v>
                </c:pt>
                <c:pt idx="16">
                  <c:v>2021Q1</c:v>
                </c:pt>
                <c:pt idx="17">
                  <c:v>2021Q2</c:v>
                </c:pt>
                <c:pt idx="18">
                  <c:v>2021Q3</c:v>
                </c:pt>
                <c:pt idx="19">
                  <c:v>2021Q4</c:v>
                </c:pt>
                <c:pt idx="20">
                  <c:v>2022Q1</c:v>
                </c:pt>
                <c:pt idx="21">
                  <c:v>2022Q2</c:v>
                </c:pt>
                <c:pt idx="22">
                  <c:v>2022Q3</c:v>
                </c:pt>
                <c:pt idx="23">
                  <c:v>2022Q4</c:v>
                </c:pt>
                <c:pt idx="24">
                  <c:v>2023Q1</c:v>
                </c:pt>
                <c:pt idx="25">
                  <c:v>2023Q2</c:v>
                </c:pt>
                <c:pt idx="26">
                  <c:v>2023Q3</c:v>
                </c:pt>
              </c:strCache>
            </c:strRef>
          </c:cat>
          <c:val>
            <c:numRef>
              <c:f>prescriber!$S$3:$S$30</c:f>
              <c:numCache>
                <c:formatCode>General</c:formatCode>
                <c:ptCount val="27"/>
                <c:pt idx="0">
                  <c:v>1921</c:v>
                </c:pt>
                <c:pt idx="1">
                  <c:v>2418</c:v>
                </c:pt>
                <c:pt idx="2">
                  <c:v>2913</c:v>
                </c:pt>
                <c:pt idx="3">
                  <c:v>3517</c:v>
                </c:pt>
                <c:pt idx="4">
                  <c:v>3678</c:v>
                </c:pt>
                <c:pt idx="5">
                  <c:v>4324</c:v>
                </c:pt>
                <c:pt idx="6">
                  <c:v>4554</c:v>
                </c:pt>
                <c:pt idx="7">
                  <c:v>5055</c:v>
                </c:pt>
                <c:pt idx="8">
                  <c:v>5769</c:v>
                </c:pt>
                <c:pt idx="9">
                  <c:v>7000</c:v>
                </c:pt>
                <c:pt idx="10">
                  <c:v>7832</c:v>
                </c:pt>
                <c:pt idx="11">
                  <c:v>8471</c:v>
                </c:pt>
                <c:pt idx="12">
                  <c:v>8991</c:v>
                </c:pt>
                <c:pt idx="13">
                  <c:v>8695</c:v>
                </c:pt>
                <c:pt idx="14">
                  <c:v>11085</c:v>
                </c:pt>
                <c:pt idx="15">
                  <c:v>12121</c:v>
                </c:pt>
                <c:pt idx="16">
                  <c:v>11576</c:v>
                </c:pt>
                <c:pt idx="17">
                  <c:v>12616</c:v>
                </c:pt>
                <c:pt idx="18">
                  <c:v>13768</c:v>
                </c:pt>
                <c:pt idx="19">
                  <c:v>15116</c:v>
                </c:pt>
                <c:pt idx="20">
                  <c:v>14444</c:v>
                </c:pt>
                <c:pt idx="21">
                  <c:v>15436</c:v>
                </c:pt>
                <c:pt idx="22">
                  <c:v>16234</c:v>
                </c:pt>
                <c:pt idx="23">
                  <c:v>17587</c:v>
                </c:pt>
                <c:pt idx="24">
                  <c:v>16955</c:v>
                </c:pt>
                <c:pt idx="25">
                  <c:v>18122</c:v>
                </c:pt>
                <c:pt idx="26">
                  <c:v>18635</c:v>
                </c:pt>
              </c:numCache>
            </c:numRef>
          </c:val>
          <c:extLst>
            <c:ext xmlns:c16="http://schemas.microsoft.com/office/drawing/2014/chart" uri="{C3380CC4-5D6E-409C-BE32-E72D297353CC}">
              <c16:uniqueId val="{00000000-0634-497C-B03A-51D75D053B30}"/>
            </c:ext>
          </c:extLst>
        </c:ser>
        <c:ser>
          <c:idx val="1"/>
          <c:order val="1"/>
          <c:tx>
            <c:strRef>
              <c:f>prescriber!$T$1:$T$2</c:f>
              <c:strCache>
                <c:ptCount val="1"/>
                <c:pt idx="0">
                  <c:v>Internal Medicine</c:v>
                </c:pt>
              </c:strCache>
            </c:strRef>
          </c:tx>
          <c:spPr>
            <a:solidFill>
              <a:schemeClr val="accent2"/>
            </a:solidFill>
            <a:ln>
              <a:noFill/>
            </a:ln>
            <a:effectLst/>
          </c:spPr>
          <c:invertIfNegative val="0"/>
          <c:cat>
            <c:strRef>
              <c:f>prescriber!$R$3:$R$30</c:f>
              <c:strCache>
                <c:ptCount val="27"/>
                <c:pt idx="0">
                  <c:v>2017Q1</c:v>
                </c:pt>
                <c:pt idx="1">
                  <c:v>2017Q2</c:v>
                </c:pt>
                <c:pt idx="2">
                  <c:v>2017Q3</c:v>
                </c:pt>
                <c:pt idx="3">
                  <c:v>2017Q4</c:v>
                </c:pt>
                <c:pt idx="4">
                  <c:v>2018Q1</c:v>
                </c:pt>
                <c:pt idx="5">
                  <c:v>2018Q2</c:v>
                </c:pt>
                <c:pt idx="6">
                  <c:v>2018Q3</c:v>
                </c:pt>
                <c:pt idx="7">
                  <c:v>2018Q4</c:v>
                </c:pt>
                <c:pt idx="8">
                  <c:v>2019Q1</c:v>
                </c:pt>
                <c:pt idx="9">
                  <c:v>2019Q2</c:v>
                </c:pt>
                <c:pt idx="10">
                  <c:v>2019Q3</c:v>
                </c:pt>
                <c:pt idx="11">
                  <c:v>2019Q4</c:v>
                </c:pt>
                <c:pt idx="12">
                  <c:v>2020Q1</c:v>
                </c:pt>
                <c:pt idx="13">
                  <c:v>2020Q2</c:v>
                </c:pt>
                <c:pt idx="14">
                  <c:v>2020Q3</c:v>
                </c:pt>
                <c:pt idx="15">
                  <c:v>2020Q4</c:v>
                </c:pt>
                <c:pt idx="16">
                  <c:v>2021Q1</c:v>
                </c:pt>
                <c:pt idx="17">
                  <c:v>2021Q2</c:v>
                </c:pt>
                <c:pt idx="18">
                  <c:v>2021Q3</c:v>
                </c:pt>
                <c:pt idx="19">
                  <c:v>2021Q4</c:v>
                </c:pt>
                <c:pt idx="20">
                  <c:v>2022Q1</c:v>
                </c:pt>
                <c:pt idx="21">
                  <c:v>2022Q2</c:v>
                </c:pt>
                <c:pt idx="22">
                  <c:v>2022Q3</c:v>
                </c:pt>
                <c:pt idx="23">
                  <c:v>2022Q4</c:v>
                </c:pt>
                <c:pt idx="24">
                  <c:v>2023Q1</c:v>
                </c:pt>
                <c:pt idx="25">
                  <c:v>2023Q2</c:v>
                </c:pt>
                <c:pt idx="26">
                  <c:v>2023Q3</c:v>
                </c:pt>
              </c:strCache>
            </c:strRef>
          </c:cat>
          <c:val>
            <c:numRef>
              <c:f>prescriber!$T$3:$T$30</c:f>
              <c:numCache>
                <c:formatCode>General</c:formatCode>
                <c:ptCount val="27"/>
                <c:pt idx="0">
                  <c:v>352</c:v>
                </c:pt>
                <c:pt idx="1">
                  <c:v>523</c:v>
                </c:pt>
                <c:pt idx="2">
                  <c:v>534</c:v>
                </c:pt>
                <c:pt idx="3">
                  <c:v>672</c:v>
                </c:pt>
                <c:pt idx="4">
                  <c:v>758</c:v>
                </c:pt>
                <c:pt idx="5">
                  <c:v>909</c:v>
                </c:pt>
                <c:pt idx="6">
                  <c:v>813</c:v>
                </c:pt>
                <c:pt idx="7">
                  <c:v>973</c:v>
                </c:pt>
                <c:pt idx="8">
                  <c:v>1038</c:v>
                </c:pt>
                <c:pt idx="9">
                  <c:v>1005</c:v>
                </c:pt>
                <c:pt idx="10">
                  <c:v>1092</c:v>
                </c:pt>
                <c:pt idx="11">
                  <c:v>1185</c:v>
                </c:pt>
                <c:pt idx="12">
                  <c:v>1186</c:v>
                </c:pt>
                <c:pt idx="13">
                  <c:v>936</c:v>
                </c:pt>
                <c:pt idx="14">
                  <c:v>1288</c:v>
                </c:pt>
                <c:pt idx="15">
                  <c:v>1432</c:v>
                </c:pt>
                <c:pt idx="16">
                  <c:v>1435</c:v>
                </c:pt>
                <c:pt idx="17">
                  <c:v>1581</c:v>
                </c:pt>
                <c:pt idx="18">
                  <c:v>1752</c:v>
                </c:pt>
                <c:pt idx="19">
                  <c:v>1830</c:v>
                </c:pt>
                <c:pt idx="20">
                  <c:v>1807</c:v>
                </c:pt>
                <c:pt idx="21">
                  <c:v>1827</c:v>
                </c:pt>
                <c:pt idx="22">
                  <c:v>1831</c:v>
                </c:pt>
                <c:pt idx="23">
                  <c:v>1933</c:v>
                </c:pt>
                <c:pt idx="24">
                  <c:v>1909</c:v>
                </c:pt>
                <c:pt idx="25">
                  <c:v>2023</c:v>
                </c:pt>
                <c:pt idx="26">
                  <c:v>2132</c:v>
                </c:pt>
              </c:numCache>
            </c:numRef>
          </c:val>
          <c:extLst>
            <c:ext xmlns:c16="http://schemas.microsoft.com/office/drawing/2014/chart" uri="{C3380CC4-5D6E-409C-BE32-E72D297353CC}">
              <c16:uniqueId val="{00000001-0634-497C-B03A-51D75D053B30}"/>
            </c:ext>
          </c:extLst>
        </c:ser>
        <c:ser>
          <c:idx val="2"/>
          <c:order val="2"/>
          <c:tx>
            <c:strRef>
              <c:f>prescriber!$U$1:$U$2</c:f>
              <c:strCache>
                <c:ptCount val="1"/>
                <c:pt idx="0">
                  <c:v>Other</c:v>
                </c:pt>
              </c:strCache>
            </c:strRef>
          </c:tx>
          <c:spPr>
            <a:solidFill>
              <a:schemeClr val="accent3"/>
            </a:solidFill>
            <a:ln>
              <a:noFill/>
            </a:ln>
            <a:effectLst/>
          </c:spPr>
          <c:invertIfNegative val="0"/>
          <c:cat>
            <c:strRef>
              <c:f>prescriber!$R$3:$R$30</c:f>
              <c:strCache>
                <c:ptCount val="27"/>
                <c:pt idx="0">
                  <c:v>2017Q1</c:v>
                </c:pt>
                <c:pt idx="1">
                  <c:v>2017Q2</c:v>
                </c:pt>
                <c:pt idx="2">
                  <c:v>2017Q3</c:v>
                </c:pt>
                <c:pt idx="3">
                  <c:v>2017Q4</c:v>
                </c:pt>
                <c:pt idx="4">
                  <c:v>2018Q1</c:v>
                </c:pt>
                <c:pt idx="5">
                  <c:v>2018Q2</c:v>
                </c:pt>
                <c:pt idx="6">
                  <c:v>2018Q3</c:v>
                </c:pt>
                <c:pt idx="7">
                  <c:v>2018Q4</c:v>
                </c:pt>
                <c:pt idx="8">
                  <c:v>2019Q1</c:v>
                </c:pt>
                <c:pt idx="9">
                  <c:v>2019Q2</c:v>
                </c:pt>
                <c:pt idx="10">
                  <c:v>2019Q3</c:v>
                </c:pt>
                <c:pt idx="11">
                  <c:v>2019Q4</c:v>
                </c:pt>
                <c:pt idx="12">
                  <c:v>2020Q1</c:v>
                </c:pt>
                <c:pt idx="13">
                  <c:v>2020Q2</c:v>
                </c:pt>
                <c:pt idx="14">
                  <c:v>2020Q3</c:v>
                </c:pt>
                <c:pt idx="15">
                  <c:v>2020Q4</c:v>
                </c:pt>
                <c:pt idx="16">
                  <c:v>2021Q1</c:v>
                </c:pt>
                <c:pt idx="17">
                  <c:v>2021Q2</c:v>
                </c:pt>
                <c:pt idx="18">
                  <c:v>2021Q3</c:v>
                </c:pt>
                <c:pt idx="19">
                  <c:v>2021Q4</c:v>
                </c:pt>
                <c:pt idx="20">
                  <c:v>2022Q1</c:v>
                </c:pt>
                <c:pt idx="21">
                  <c:v>2022Q2</c:v>
                </c:pt>
                <c:pt idx="22">
                  <c:v>2022Q3</c:v>
                </c:pt>
                <c:pt idx="23">
                  <c:v>2022Q4</c:v>
                </c:pt>
                <c:pt idx="24">
                  <c:v>2023Q1</c:v>
                </c:pt>
                <c:pt idx="25">
                  <c:v>2023Q2</c:v>
                </c:pt>
                <c:pt idx="26">
                  <c:v>2023Q3</c:v>
                </c:pt>
              </c:strCache>
            </c:strRef>
          </c:cat>
          <c:val>
            <c:numRef>
              <c:f>prescriber!$U$3:$U$30</c:f>
              <c:numCache>
                <c:formatCode>General</c:formatCode>
                <c:ptCount val="27"/>
                <c:pt idx="0">
                  <c:v>175</c:v>
                </c:pt>
                <c:pt idx="1">
                  <c:v>236</c:v>
                </c:pt>
                <c:pt idx="2">
                  <c:v>307</c:v>
                </c:pt>
                <c:pt idx="3">
                  <c:v>339</c:v>
                </c:pt>
                <c:pt idx="4">
                  <c:v>294</c:v>
                </c:pt>
                <c:pt idx="5">
                  <c:v>331</c:v>
                </c:pt>
                <c:pt idx="6">
                  <c:v>390</c:v>
                </c:pt>
                <c:pt idx="7">
                  <c:v>475</c:v>
                </c:pt>
                <c:pt idx="8">
                  <c:v>464</c:v>
                </c:pt>
                <c:pt idx="9">
                  <c:v>511</c:v>
                </c:pt>
                <c:pt idx="10">
                  <c:v>489</c:v>
                </c:pt>
                <c:pt idx="11">
                  <c:v>653</c:v>
                </c:pt>
                <c:pt idx="12">
                  <c:v>832</c:v>
                </c:pt>
                <c:pt idx="13">
                  <c:v>1948</c:v>
                </c:pt>
                <c:pt idx="14">
                  <c:v>908</c:v>
                </c:pt>
                <c:pt idx="15">
                  <c:v>1041</c:v>
                </c:pt>
                <c:pt idx="16">
                  <c:v>1032</c:v>
                </c:pt>
                <c:pt idx="17">
                  <c:v>1340</c:v>
                </c:pt>
                <c:pt idx="18">
                  <c:v>1587</c:v>
                </c:pt>
                <c:pt idx="19">
                  <c:v>1954</c:v>
                </c:pt>
                <c:pt idx="20">
                  <c:v>1772</c:v>
                </c:pt>
                <c:pt idx="21">
                  <c:v>2002</c:v>
                </c:pt>
                <c:pt idx="22">
                  <c:v>2262</c:v>
                </c:pt>
                <c:pt idx="23">
                  <c:v>2576</c:v>
                </c:pt>
                <c:pt idx="24">
                  <c:v>2452</c:v>
                </c:pt>
                <c:pt idx="25">
                  <c:v>2689</c:v>
                </c:pt>
                <c:pt idx="26">
                  <c:v>2923</c:v>
                </c:pt>
              </c:numCache>
            </c:numRef>
          </c:val>
          <c:extLst>
            <c:ext xmlns:c16="http://schemas.microsoft.com/office/drawing/2014/chart" uri="{C3380CC4-5D6E-409C-BE32-E72D297353CC}">
              <c16:uniqueId val="{00000002-0634-497C-B03A-51D75D053B30}"/>
            </c:ext>
          </c:extLst>
        </c:ser>
        <c:ser>
          <c:idx val="3"/>
          <c:order val="3"/>
          <c:tx>
            <c:strRef>
              <c:f>prescriber!$V$1:$V$2</c:f>
              <c:strCache>
                <c:ptCount val="1"/>
                <c:pt idx="0">
                  <c:v>Immunology and Allergy</c:v>
                </c:pt>
              </c:strCache>
            </c:strRef>
          </c:tx>
          <c:spPr>
            <a:solidFill>
              <a:schemeClr val="accent4"/>
            </a:solidFill>
            <a:ln>
              <a:noFill/>
            </a:ln>
            <a:effectLst/>
          </c:spPr>
          <c:invertIfNegative val="0"/>
          <c:cat>
            <c:strRef>
              <c:f>prescriber!$R$3:$R$30</c:f>
              <c:strCache>
                <c:ptCount val="27"/>
                <c:pt idx="0">
                  <c:v>2017Q1</c:v>
                </c:pt>
                <c:pt idx="1">
                  <c:v>2017Q2</c:v>
                </c:pt>
                <c:pt idx="2">
                  <c:v>2017Q3</c:v>
                </c:pt>
                <c:pt idx="3">
                  <c:v>2017Q4</c:v>
                </c:pt>
                <c:pt idx="4">
                  <c:v>2018Q1</c:v>
                </c:pt>
                <c:pt idx="5">
                  <c:v>2018Q2</c:v>
                </c:pt>
                <c:pt idx="6">
                  <c:v>2018Q3</c:v>
                </c:pt>
                <c:pt idx="7">
                  <c:v>2018Q4</c:v>
                </c:pt>
                <c:pt idx="8">
                  <c:v>2019Q1</c:v>
                </c:pt>
                <c:pt idx="9">
                  <c:v>2019Q2</c:v>
                </c:pt>
                <c:pt idx="10">
                  <c:v>2019Q3</c:v>
                </c:pt>
                <c:pt idx="11">
                  <c:v>2019Q4</c:v>
                </c:pt>
                <c:pt idx="12">
                  <c:v>2020Q1</c:v>
                </c:pt>
                <c:pt idx="13">
                  <c:v>2020Q2</c:v>
                </c:pt>
                <c:pt idx="14">
                  <c:v>2020Q3</c:v>
                </c:pt>
                <c:pt idx="15">
                  <c:v>2020Q4</c:v>
                </c:pt>
                <c:pt idx="16">
                  <c:v>2021Q1</c:v>
                </c:pt>
                <c:pt idx="17">
                  <c:v>2021Q2</c:v>
                </c:pt>
                <c:pt idx="18">
                  <c:v>2021Q3</c:v>
                </c:pt>
                <c:pt idx="19">
                  <c:v>2021Q4</c:v>
                </c:pt>
                <c:pt idx="20">
                  <c:v>2022Q1</c:v>
                </c:pt>
                <c:pt idx="21">
                  <c:v>2022Q2</c:v>
                </c:pt>
                <c:pt idx="22">
                  <c:v>2022Q3</c:v>
                </c:pt>
                <c:pt idx="23">
                  <c:v>2022Q4</c:v>
                </c:pt>
                <c:pt idx="24">
                  <c:v>2023Q1</c:v>
                </c:pt>
                <c:pt idx="25">
                  <c:v>2023Q2</c:v>
                </c:pt>
                <c:pt idx="26">
                  <c:v>2023Q3</c:v>
                </c:pt>
              </c:strCache>
            </c:strRef>
          </c:cat>
          <c:val>
            <c:numRef>
              <c:f>prescriber!$V$3:$V$30</c:f>
              <c:numCache>
                <c:formatCode>General</c:formatCode>
                <c:ptCount val="27"/>
                <c:pt idx="0">
                  <c:v>181</c:v>
                </c:pt>
                <c:pt idx="1">
                  <c:v>219</c:v>
                </c:pt>
                <c:pt idx="2">
                  <c:v>251</c:v>
                </c:pt>
                <c:pt idx="3">
                  <c:v>287</c:v>
                </c:pt>
                <c:pt idx="4">
                  <c:v>311</c:v>
                </c:pt>
                <c:pt idx="5">
                  <c:v>391</c:v>
                </c:pt>
                <c:pt idx="6">
                  <c:v>399</c:v>
                </c:pt>
                <c:pt idx="7">
                  <c:v>413</c:v>
                </c:pt>
                <c:pt idx="8">
                  <c:v>439</c:v>
                </c:pt>
                <c:pt idx="9">
                  <c:v>431</c:v>
                </c:pt>
                <c:pt idx="10">
                  <c:v>471</c:v>
                </c:pt>
                <c:pt idx="11">
                  <c:v>510</c:v>
                </c:pt>
                <c:pt idx="12">
                  <c:v>638</c:v>
                </c:pt>
                <c:pt idx="13">
                  <c:v>609</c:v>
                </c:pt>
                <c:pt idx="14">
                  <c:v>676</c:v>
                </c:pt>
                <c:pt idx="15">
                  <c:v>767</c:v>
                </c:pt>
                <c:pt idx="16">
                  <c:v>766</c:v>
                </c:pt>
                <c:pt idx="17">
                  <c:v>887</c:v>
                </c:pt>
                <c:pt idx="18">
                  <c:v>974</c:v>
                </c:pt>
                <c:pt idx="19">
                  <c:v>1100</c:v>
                </c:pt>
                <c:pt idx="20">
                  <c:v>1117</c:v>
                </c:pt>
                <c:pt idx="21">
                  <c:v>1277</c:v>
                </c:pt>
                <c:pt idx="22">
                  <c:v>1267</c:v>
                </c:pt>
                <c:pt idx="23">
                  <c:v>1427</c:v>
                </c:pt>
                <c:pt idx="24">
                  <c:v>1381</c:v>
                </c:pt>
                <c:pt idx="25">
                  <c:v>1316</c:v>
                </c:pt>
                <c:pt idx="26">
                  <c:v>1301</c:v>
                </c:pt>
              </c:numCache>
            </c:numRef>
          </c:val>
          <c:extLst>
            <c:ext xmlns:c16="http://schemas.microsoft.com/office/drawing/2014/chart" uri="{C3380CC4-5D6E-409C-BE32-E72D297353CC}">
              <c16:uniqueId val="{00000003-0634-497C-B03A-51D75D053B30}"/>
            </c:ext>
          </c:extLst>
        </c:ser>
        <c:dLbls>
          <c:showLegendKey val="0"/>
          <c:showVal val="0"/>
          <c:showCatName val="0"/>
          <c:showSerName val="0"/>
          <c:showPercent val="0"/>
          <c:showBubbleSize val="0"/>
        </c:dLbls>
        <c:gapWidth val="150"/>
        <c:overlap val="100"/>
        <c:axId val="977680776"/>
        <c:axId val="977685456"/>
      </c:barChart>
      <c:catAx>
        <c:axId val="9776807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7685456"/>
        <c:crosses val="autoZero"/>
        <c:auto val="1"/>
        <c:lblAlgn val="ctr"/>
        <c:lblOffset val="100"/>
        <c:noMultiLvlLbl val="0"/>
      </c:catAx>
      <c:valAx>
        <c:axId val="9776854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Percent of prescriptions supplied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7680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[D1535 dupilumab data analysis v2.xlsx]dup patients!PivotTable2</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'dup patients'!$U$1</c:f>
              <c:strCache>
                <c:ptCount val="1"/>
                <c:pt idx="0">
                  <c:v>Treated patients</c:v>
                </c:pt>
              </c:strCache>
            </c:strRef>
          </c:tx>
          <c:spPr>
            <a:ln w="28575" cap="rnd">
              <a:solidFill>
                <a:schemeClr val="accent1"/>
              </a:solidFill>
              <a:round/>
            </a:ln>
            <a:effectLst/>
          </c:spPr>
          <c:marker>
            <c:symbol val="none"/>
          </c:marker>
          <c:cat>
            <c:strRef>
              <c:f>'dup patients'!$T$2:$T$12</c:f>
              <c:strCache>
                <c:ptCount val="10"/>
                <c:pt idx="0">
                  <c:v>2021Q2</c:v>
                </c:pt>
                <c:pt idx="1">
                  <c:v>2021Q3</c:v>
                </c:pt>
                <c:pt idx="2">
                  <c:v>2021Q4</c:v>
                </c:pt>
                <c:pt idx="3">
                  <c:v>2022Q1</c:v>
                </c:pt>
                <c:pt idx="4">
                  <c:v>2022Q2</c:v>
                </c:pt>
                <c:pt idx="5">
                  <c:v>2022Q3</c:v>
                </c:pt>
                <c:pt idx="6">
                  <c:v>2022Q4</c:v>
                </c:pt>
                <c:pt idx="7">
                  <c:v>2023Q1</c:v>
                </c:pt>
                <c:pt idx="8">
                  <c:v>2023Q2</c:v>
                </c:pt>
                <c:pt idx="9">
                  <c:v>2023Q3</c:v>
                </c:pt>
              </c:strCache>
            </c:strRef>
          </c:cat>
          <c:val>
            <c:numRef>
              <c:f>'dup patients'!$U$2:$U$12</c:f>
              <c:numCache>
                <c:formatCode>General</c:formatCode>
                <c:ptCount val="10"/>
                <c:pt idx="0">
                  <c:v>364</c:v>
                </c:pt>
                <c:pt idx="1">
                  <c:v>717</c:v>
                </c:pt>
                <c:pt idx="2">
                  <c:v>1027</c:v>
                </c:pt>
                <c:pt idx="3">
                  <c:v>1236</c:v>
                </c:pt>
                <c:pt idx="4">
                  <c:v>1456</c:v>
                </c:pt>
                <c:pt idx="5">
                  <c:v>1722</c:v>
                </c:pt>
                <c:pt idx="6">
                  <c:v>1984</c:v>
                </c:pt>
                <c:pt idx="7">
                  <c:v>2157</c:v>
                </c:pt>
                <c:pt idx="8">
                  <c:v>2348</c:v>
                </c:pt>
                <c:pt idx="9">
                  <c:v>2566</c:v>
                </c:pt>
              </c:numCache>
            </c:numRef>
          </c:val>
          <c:smooth val="0"/>
          <c:extLst>
            <c:ext xmlns:c16="http://schemas.microsoft.com/office/drawing/2014/chart" uri="{C3380CC4-5D6E-409C-BE32-E72D297353CC}">
              <c16:uniqueId val="{00000000-9D93-47C6-B986-3CF2590FF4E9}"/>
            </c:ext>
          </c:extLst>
        </c:ser>
        <c:ser>
          <c:idx val="1"/>
          <c:order val="1"/>
          <c:tx>
            <c:strRef>
              <c:f>'dup patients'!$V$1</c:f>
              <c:strCache>
                <c:ptCount val="1"/>
                <c:pt idx="0">
                  <c:v>Patients initiating therapy on dupilumab</c:v>
                </c:pt>
              </c:strCache>
            </c:strRef>
          </c:tx>
          <c:spPr>
            <a:ln w="28575" cap="rnd">
              <a:solidFill>
                <a:schemeClr val="accent2"/>
              </a:solidFill>
              <a:round/>
            </a:ln>
            <a:effectLst/>
          </c:spPr>
          <c:marker>
            <c:symbol val="none"/>
          </c:marker>
          <c:cat>
            <c:strRef>
              <c:f>'dup patients'!$T$2:$T$12</c:f>
              <c:strCache>
                <c:ptCount val="10"/>
                <c:pt idx="0">
                  <c:v>2021Q2</c:v>
                </c:pt>
                <c:pt idx="1">
                  <c:v>2021Q3</c:v>
                </c:pt>
                <c:pt idx="2">
                  <c:v>2021Q4</c:v>
                </c:pt>
                <c:pt idx="3">
                  <c:v>2022Q1</c:v>
                </c:pt>
                <c:pt idx="4">
                  <c:v>2022Q2</c:v>
                </c:pt>
                <c:pt idx="5">
                  <c:v>2022Q3</c:v>
                </c:pt>
                <c:pt idx="6">
                  <c:v>2022Q4</c:v>
                </c:pt>
                <c:pt idx="7">
                  <c:v>2023Q1</c:v>
                </c:pt>
                <c:pt idx="8">
                  <c:v>2023Q2</c:v>
                </c:pt>
                <c:pt idx="9">
                  <c:v>2023Q3</c:v>
                </c:pt>
              </c:strCache>
            </c:strRef>
          </c:cat>
          <c:val>
            <c:numRef>
              <c:f>'dup patients'!$V$2:$V$12</c:f>
              <c:numCache>
                <c:formatCode>General</c:formatCode>
                <c:ptCount val="10"/>
                <c:pt idx="0">
                  <c:v>196</c:v>
                </c:pt>
                <c:pt idx="1">
                  <c:v>239</c:v>
                </c:pt>
                <c:pt idx="2">
                  <c:v>272</c:v>
                </c:pt>
                <c:pt idx="3">
                  <c:v>254</c:v>
                </c:pt>
                <c:pt idx="4">
                  <c:v>260</c:v>
                </c:pt>
                <c:pt idx="5">
                  <c:v>317</c:v>
                </c:pt>
                <c:pt idx="6">
                  <c:v>381</c:v>
                </c:pt>
                <c:pt idx="7">
                  <c:v>325</c:v>
                </c:pt>
                <c:pt idx="8">
                  <c:v>360</c:v>
                </c:pt>
                <c:pt idx="9">
                  <c:v>379</c:v>
                </c:pt>
              </c:numCache>
            </c:numRef>
          </c:val>
          <c:smooth val="0"/>
          <c:extLst>
            <c:ext xmlns:c16="http://schemas.microsoft.com/office/drawing/2014/chart" uri="{C3380CC4-5D6E-409C-BE32-E72D297353CC}">
              <c16:uniqueId val="{00000001-9D93-47C6-B986-3CF2590FF4E9}"/>
            </c:ext>
          </c:extLst>
        </c:ser>
        <c:ser>
          <c:idx val="2"/>
          <c:order val="2"/>
          <c:tx>
            <c:strRef>
              <c:f>'dup patients'!$W$1</c:f>
              <c:strCache>
                <c:ptCount val="1"/>
                <c:pt idx="0">
                  <c:v>Patients initiating dupilumab</c:v>
                </c:pt>
              </c:strCache>
            </c:strRef>
          </c:tx>
          <c:spPr>
            <a:ln w="28575" cap="rnd">
              <a:solidFill>
                <a:schemeClr val="accent3"/>
              </a:solidFill>
              <a:round/>
            </a:ln>
            <a:effectLst/>
          </c:spPr>
          <c:marker>
            <c:symbol val="none"/>
          </c:marker>
          <c:cat>
            <c:strRef>
              <c:f>'dup patients'!$T$2:$T$12</c:f>
              <c:strCache>
                <c:ptCount val="10"/>
                <c:pt idx="0">
                  <c:v>2021Q2</c:v>
                </c:pt>
                <c:pt idx="1">
                  <c:v>2021Q3</c:v>
                </c:pt>
                <c:pt idx="2">
                  <c:v>2021Q4</c:v>
                </c:pt>
                <c:pt idx="3">
                  <c:v>2022Q1</c:v>
                </c:pt>
                <c:pt idx="4">
                  <c:v>2022Q2</c:v>
                </c:pt>
                <c:pt idx="5">
                  <c:v>2022Q3</c:v>
                </c:pt>
                <c:pt idx="6">
                  <c:v>2022Q4</c:v>
                </c:pt>
                <c:pt idx="7">
                  <c:v>2023Q1</c:v>
                </c:pt>
                <c:pt idx="8">
                  <c:v>2023Q2</c:v>
                </c:pt>
                <c:pt idx="9">
                  <c:v>2023Q3</c:v>
                </c:pt>
              </c:strCache>
            </c:strRef>
          </c:cat>
          <c:val>
            <c:numRef>
              <c:f>'dup patients'!$W$2:$W$12</c:f>
              <c:numCache>
                <c:formatCode>General</c:formatCode>
                <c:ptCount val="10"/>
                <c:pt idx="0">
                  <c:v>364</c:v>
                </c:pt>
                <c:pt idx="1">
                  <c:v>430</c:v>
                </c:pt>
                <c:pt idx="2">
                  <c:v>433</c:v>
                </c:pt>
                <c:pt idx="3">
                  <c:v>387</c:v>
                </c:pt>
                <c:pt idx="4">
                  <c:v>398</c:v>
                </c:pt>
                <c:pt idx="5">
                  <c:v>455</c:v>
                </c:pt>
                <c:pt idx="6">
                  <c:v>509</c:v>
                </c:pt>
                <c:pt idx="7">
                  <c:v>464</c:v>
                </c:pt>
                <c:pt idx="8">
                  <c:v>478</c:v>
                </c:pt>
                <c:pt idx="9">
                  <c:v>528</c:v>
                </c:pt>
              </c:numCache>
            </c:numRef>
          </c:val>
          <c:smooth val="0"/>
          <c:extLst>
            <c:ext xmlns:c16="http://schemas.microsoft.com/office/drawing/2014/chart" uri="{C3380CC4-5D6E-409C-BE32-E72D297353CC}">
              <c16:uniqueId val="{00000002-9D93-47C6-B986-3CF2590FF4E9}"/>
            </c:ext>
          </c:extLst>
        </c:ser>
        <c:dLbls>
          <c:showLegendKey val="0"/>
          <c:showVal val="0"/>
          <c:showCatName val="0"/>
          <c:showSerName val="0"/>
          <c:showPercent val="0"/>
          <c:showBubbleSize val="0"/>
        </c:dLbls>
        <c:smooth val="0"/>
        <c:axId val="906312120"/>
        <c:axId val="906311760"/>
      </c:lineChart>
      <c:catAx>
        <c:axId val="9063121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6311760"/>
        <c:crosses val="autoZero"/>
        <c:auto val="1"/>
        <c:lblAlgn val="ctr"/>
        <c:lblOffset val="100"/>
        <c:noMultiLvlLbl val="0"/>
      </c:catAx>
      <c:valAx>
        <c:axId val="9063117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6312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[D1535 dupilumab data analysis.xlsx]dup form str!PivotTable1</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stacked"/>
        <c:varyColors val="0"/>
        <c:ser>
          <c:idx val="0"/>
          <c:order val="0"/>
          <c:tx>
            <c:strRef>
              <c:f>'dup form str'!$U$1:$U$2</c:f>
              <c:strCache>
                <c:ptCount val="1"/>
                <c:pt idx="0">
                  <c:v>Injection 200 mg in 1.14 mL single dose pre-filled syringe</c:v>
                </c:pt>
              </c:strCache>
            </c:strRef>
          </c:tx>
          <c:spPr>
            <a:solidFill>
              <a:schemeClr val="accent1"/>
            </a:solidFill>
            <a:ln>
              <a:noFill/>
            </a:ln>
            <a:effectLst/>
          </c:spPr>
          <c:invertIfNegative val="0"/>
          <c:cat>
            <c:strRef>
              <c:f>'dup form str'!$T$3:$T$13</c:f>
              <c:strCache>
                <c:ptCount val="10"/>
                <c:pt idx="0">
                  <c:v>2021Q2</c:v>
                </c:pt>
                <c:pt idx="1">
                  <c:v>2021Q3</c:v>
                </c:pt>
                <c:pt idx="2">
                  <c:v>2021Q4</c:v>
                </c:pt>
                <c:pt idx="3">
                  <c:v>2022Q1</c:v>
                </c:pt>
                <c:pt idx="4">
                  <c:v>2022Q2</c:v>
                </c:pt>
                <c:pt idx="5">
                  <c:v>2022Q3</c:v>
                </c:pt>
                <c:pt idx="6">
                  <c:v>2022Q4</c:v>
                </c:pt>
                <c:pt idx="7">
                  <c:v>2023Q1</c:v>
                </c:pt>
                <c:pt idx="8">
                  <c:v>2023Q2</c:v>
                </c:pt>
                <c:pt idx="9">
                  <c:v>2023Q3</c:v>
                </c:pt>
              </c:strCache>
            </c:strRef>
          </c:cat>
          <c:val>
            <c:numRef>
              <c:f>'dup form str'!$U$3:$U$13</c:f>
              <c:numCache>
                <c:formatCode>General</c:formatCode>
                <c:ptCount val="10"/>
                <c:pt idx="0">
                  <c:v>253</c:v>
                </c:pt>
                <c:pt idx="1">
                  <c:v>892</c:v>
                </c:pt>
                <c:pt idx="2">
                  <c:v>1447</c:v>
                </c:pt>
                <c:pt idx="3">
                  <c:v>1761</c:v>
                </c:pt>
                <c:pt idx="4">
                  <c:v>2218</c:v>
                </c:pt>
                <c:pt idx="5">
                  <c:v>2712</c:v>
                </c:pt>
                <c:pt idx="6">
                  <c:v>3217</c:v>
                </c:pt>
                <c:pt idx="7">
                  <c:v>3317</c:v>
                </c:pt>
                <c:pt idx="8">
                  <c:v>3824</c:v>
                </c:pt>
                <c:pt idx="9">
                  <c:v>4177</c:v>
                </c:pt>
              </c:numCache>
            </c:numRef>
          </c:val>
          <c:extLst>
            <c:ext xmlns:c16="http://schemas.microsoft.com/office/drawing/2014/chart" uri="{C3380CC4-5D6E-409C-BE32-E72D297353CC}">
              <c16:uniqueId val="{00000000-C537-46B6-831A-5995C5A11FD3}"/>
            </c:ext>
          </c:extLst>
        </c:ser>
        <c:ser>
          <c:idx val="1"/>
          <c:order val="1"/>
          <c:tx>
            <c:strRef>
              <c:f>'dup form str'!$V$1:$V$2</c:f>
              <c:strCache>
                <c:ptCount val="1"/>
                <c:pt idx="0">
                  <c:v>Injection 300 mg in 2 mL single dose pre-filled syringe</c:v>
                </c:pt>
              </c:strCache>
            </c:strRef>
          </c:tx>
          <c:spPr>
            <a:solidFill>
              <a:schemeClr val="accent2"/>
            </a:solidFill>
            <a:ln>
              <a:noFill/>
            </a:ln>
            <a:effectLst/>
          </c:spPr>
          <c:invertIfNegative val="0"/>
          <c:cat>
            <c:strRef>
              <c:f>'dup form str'!$T$3:$T$13</c:f>
              <c:strCache>
                <c:ptCount val="10"/>
                <c:pt idx="0">
                  <c:v>2021Q2</c:v>
                </c:pt>
                <c:pt idx="1">
                  <c:v>2021Q3</c:v>
                </c:pt>
                <c:pt idx="2">
                  <c:v>2021Q4</c:v>
                </c:pt>
                <c:pt idx="3">
                  <c:v>2022Q1</c:v>
                </c:pt>
                <c:pt idx="4">
                  <c:v>2022Q2</c:v>
                </c:pt>
                <c:pt idx="5">
                  <c:v>2022Q3</c:v>
                </c:pt>
                <c:pt idx="6">
                  <c:v>2022Q4</c:v>
                </c:pt>
                <c:pt idx="7">
                  <c:v>2023Q1</c:v>
                </c:pt>
                <c:pt idx="8">
                  <c:v>2023Q2</c:v>
                </c:pt>
                <c:pt idx="9">
                  <c:v>2023Q3</c:v>
                </c:pt>
              </c:strCache>
            </c:strRef>
          </c:cat>
          <c:val>
            <c:numRef>
              <c:f>'dup form str'!$V$3:$V$13</c:f>
              <c:numCache>
                <c:formatCode>General</c:formatCode>
                <c:ptCount val="10"/>
                <c:pt idx="0">
                  <c:v>531</c:v>
                </c:pt>
                <c:pt idx="1">
                  <c:v>1012</c:v>
                </c:pt>
                <c:pt idx="2">
                  <c:v>1356</c:v>
                </c:pt>
                <c:pt idx="3">
                  <c:v>1436</c:v>
                </c:pt>
                <c:pt idx="4">
                  <c:v>1730</c:v>
                </c:pt>
                <c:pt idx="5">
                  <c:v>1924</c:v>
                </c:pt>
                <c:pt idx="6">
                  <c:v>2294</c:v>
                </c:pt>
                <c:pt idx="7">
                  <c:v>2283</c:v>
                </c:pt>
                <c:pt idx="8">
                  <c:v>2503</c:v>
                </c:pt>
                <c:pt idx="9">
                  <c:v>2670</c:v>
                </c:pt>
              </c:numCache>
            </c:numRef>
          </c:val>
          <c:extLst>
            <c:ext xmlns:c16="http://schemas.microsoft.com/office/drawing/2014/chart" uri="{C3380CC4-5D6E-409C-BE32-E72D297353CC}">
              <c16:uniqueId val="{00000001-C537-46B6-831A-5995C5A11FD3}"/>
            </c:ext>
          </c:extLst>
        </c:ser>
        <c:dLbls>
          <c:showLegendKey val="0"/>
          <c:showVal val="0"/>
          <c:showCatName val="0"/>
          <c:showSerName val="0"/>
          <c:showPercent val="0"/>
          <c:showBubbleSize val="0"/>
        </c:dLbls>
        <c:gapWidth val="150"/>
        <c:overlap val="100"/>
        <c:axId val="867114488"/>
        <c:axId val="867114848"/>
      </c:barChart>
      <c:catAx>
        <c:axId val="8671144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7114848"/>
        <c:crosses val="autoZero"/>
        <c:auto val="1"/>
        <c:lblAlgn val="ctr"/>
        <c:lblOffset val="100"/>
        <c:noMultiLvlLbl val="0"/>
      </c:catAx>
      <c:valAx>
        <c:axId val="8671148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 by dose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7114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[D1535 dupilumab data analysis.xlsx]age sex!PivotTable3</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'age sex'!$T$1:$T$2</c:f>
              <c:strCache>
                <c:ptCount val="1"/>
                <c:pt idx="0">
                  <c:v>Female</c:v>
                </c:pt>
              </c:strCache>
            </c:strRef>
          </c:tx>
          <c:spPr>
            <a:solidFill>
              <a:schemeClr val="accent1"/>
            </a:solidFill>
            <a:ln>
              <a:noFill/>
            </a:ln>
            <a:effectLst/>
          </c:spPr>
          <c:invertIfNegative val="0"/>
          <c:cat>
            <c:strRef>
              <c:f>'age sex'!$S$3:$S$20</c:f>
              <c:strCache>
                <c:ptCount val="17"/>
                <c:pt idx="0">
                  <c:v> 0-14 yrs</c:v>
                </c:pt>
                <c:pt idx="1">
                  <c:v>15-19 yrs</c:v>
                </c:pt>
                <c:pt idx="2">
                  <c:v>20-24 yrs</c:v>
                </c:pt>
                <c:pt idx="3">
                  <c:v>25-29 yrs</c:v>
                </c:pt>
                <c:pt idx="4">
                  <c:v>30-34 yrs</c:v>
                </c:pt>
                <c:pt idx="5">
                  <c:v>35-39 yrs</c:v>
                </c:pt>
                <c:pt idx="6">
                  <c:v>40-44 yrs</c:v>
                </c:pt>
                <c:pt idx="7">
                  <c:v>45-49 yrs</c:v>
                </c:pt>
                <c:pt idx="8">
                  <c:v>50-54 yrs</c:v>
                </c:pt>
                <c:pt idx="9">
                  <c:v>55-59 yrs</c:v>
                </c:pt>
                <c:pt idx="10">
                  <c:v>60-64 yrs</c:v>
                </c:pt>
                <c:pt idx="11">
                  <c:v>65-69 yrs</c:v>
                </c:pt>
                <c:pt idx="12">
                  <c:v>70-74 yrs</c:v>
                </c:pt>
                <c:pt idx="13">
                  <c:v>75-79 yrs</c:v>
                </c:pt>
                <c:pt idx="14">
                  <c:v>80-84 yrs</c:v>
                </c:pt>
                <c:pt idx="15">
                  <c:v>85-89 yrs</c:v>
                </c:pt>
                <c:pt idx="16">
                  <c:v>  90+ yrs</c:v>
                </c:pt>
              </c:strCache>
            </c:strRef>
          </c:cat>
          <c:val>
            <c:numRef>
              <c:f>'age sex'!$T$3:$T$20</c:f>
              <c:numCache>
                <c:formatCode>General</c:formatCode>
                <c:ptCount val="17"/>
                <c:pt idx="0">
                  <c:v>60</c:v>
                </c:pt>
                <c:pt idx="1">
                  <c:v>119</c:v>
                </c:pt>
                <c:pt idx="2">
                  <c:v>137</c:v>
                </c:pt>
                <c:pt idx="3">
                  <c:v>135</c:v>
                </c:pt>
                <c:pt idx="4">
                  <c:v>127</c:v>
                </c:pt>
                <c:pt idx="5">
                  <c:v>144</c:v>
                </c:pt>
                <c:pt idx="6">
                  <c:v>163</c:v>
                </c:pt>
                <c:pt idx="7">
                  <c:v>209</c:v>
                </c:pt>
                <c:pt idx="8">
                  <c:v>209</c:v>
                </c:pt>
                <c:pt idx="9">
                  <c:v>237</c:v>
                </c:pt>
                <c:pt idx="10">
                  <c:v>218</c:v>
                </c:pt>
                <c:pt idx="11">
                  <c:v>235</c:v>
                </c:pt>
                <c:pt idx="12">
                  <c:v>187</c:v>
                </c:pt>
                <c:pt idx="13">
                  <c:v>141</c:v>
                </c:pt>
                <c:pt idx="14">
                  <c:v>68</c:v>
                </c:pt>
                <c:pt idx="15">
                  <c:v>14</c:v>
                </c:pt>
                <c:pt idx="16">
                  <c:v>9</c:v>
                </c:pt>
              </c:numCache>
            </c:numRef>
          </c:val>
          <c:extLst>
            <c:ext xmlns:c16="http://schemas.microsoft.com/office/drawing/2014/chart" uri="{C3380CC4-5D6E-409C-BE32-E72D297353CC}">
              <c16:uniqueId val="{00000000-D101-407F-A720-7577534C9A11}"/>
            </c:ext>
          </c:extLst>
        </c:ser>
        <c:ser>
          <c:idx val="1"/>
          <c:order val="1"/>
          <c:tx>
            <c:strRef>
              <c:f>'age sex'!$U$1:$U$2</c:f>
              <c:strCache>
                <c:ptCount val="1"/>
                <c:pt idx="0">
                  <c:v>Male</c:v>
                </c:pt>
              </c:strCache>
            </c:strRef>
          </c:tx>
          <c:spPr>
            <a:solidFill>
              <a:schemeClr val="accent2"/>
            </a:solidFill>
            <a:ln>
              <a:noFill/>
            </a:ln>
            <a:effectLst/>
          </c:spPr>
          <c:invertIfNegative val="0"/>
          <c:cat>
            <c:strRef>
              <c:f>'age sex'!$S$3:$S$20</c:f>
              <c:strCache>
                <c:ptCount val="17"/>
                <c:pt idx="0">
                  <c:v> 0-14 yrs</c:v>
                </c:pt>
                <c:pt idx="1">
                  <c:v>15-19 yrs</c:v>
                </c:pt>
                <c:pt idx="2">
                  <c:v>20-24 yrs</c:v>
                </c:pt>
                <c:pt idx="3">
                  <c:v>25-29 yrs</c:v>
                </c:pt>
                <c:pt idx="4">
                  <c:v>30-34 yrs</c:v>
                </c:pt>
                <c:pt idx="5">
                  <c:v>35-39 yrs</c:v>
                </c:pt>
                <c:pt idx="6">
                  <c:v>40-44 yrs</c:v>
                </c:pt>
                <c:pt idx="7">
                  <c:v>45-49 yrs</c:v>
                </c:pt>
                <c:pt idx="8">
                  <c:v>50-54 yrs</c:v>
                </c:pt>
                <c:pt idx="9">
                  <c:v>55-59 yrs</c:v>
                </c:pt>
                <c:pt idx="10">
                  <c:v>60-64 yrs</c:v>
                </c:pt>
                <c:pt idx="11">
                  <c:v>65-69 yrs</c:v>
                </c:pt>
                <c:pt idx="12">
                  <c:v>70-74 yrs</c:v>
                </c:pt>
                <c:pt idx="13">
                  <c:v>75-79 yrs</c:v>
                </c:pt>
                <c:pt idx="14">
                  <c:v>80-84 yrs</c:v>
                </c:pt>
                <c:pt idx="15">
                  <c:v>85-89 yrs</c:v>
                </c:pt>
                <c:pt idx="16">
                  <c:v>  90+ yrs</c:v>
                </c:pt>
              </c:strCache>
            </c:strRef>
          </c:cat>
          <c:val>
            <c:numRef>
              <c:f>'age sex'!$U$3:$U$20</c:f>
              <c:numCache>
                <c:formatCode>General</c:formatCode>
                <c:ptCount val="17"/>
                <c:pt idx="0">
                  <c:v>62</c:v>
                </c:pt>
                <c:pt idx="1">
                  <c:v>105</c:v>
                </c:pt>
                <c:pt idx="2">
                  <c:v>122</c:v>
                </c:pt>
                <c:pt idx="3">
                  <c:v>113</c:v>
                </c:pt>
                <c:pt idx="4">
                  <c:v>118</c:v>
                </c:pt>
                <c:pt idx="5">
                  <c:v>118</c:v>
                </c:pt>
                <c:pt idx="6">
                  <c:v>116</c:v>
                </c:pt>
                <c:pt idx="7">
                  <c:v>144</c:v>
                </c:pt>
                <c:pt idx="8">
                  <c:v>157</c:v>
                </c:pt>
                <c:pt idx="9">
                  <c:v>196</c:v>
                </c:pt>
                <c:pt idx="10">
                  <c:v>224</c:v>
                </c:pt>
                <c:pt idx="11">
                  <c:v>166</c:v>
                </c:pt>
                <c:pt idx="12">
                  <c:v>163</c:v>
                </c:pt>
                <c:pt idx="13">
                  <c:v>122</c:v>
                </c:pt>
                <c:pt idx="14">
                  <c:v>80</c:v>
                </c:pt>
                <c:pt idx="15">
                  <c:v>18</c:v>
                </c:pt>
                <c:pt idx="16">
                  <c:v>10</c:v>
                </c:pt>
              </c:numCache>
            </c:numRef>
          </c:val>
          <c:extLst>
            <c:ext xmlns:c16="http://schemas.microsoft.com/office/drawing/2014/chart" uri="{C3380CC4-5D6E-409C-BE32-E72D297353CC}">
              <c16:uniqueId val="{00000001-D101-407F-A720-7577534C9A11}"/>
            </c:ext>
          </c:extLst>
        </c:ser>
        <c:dLbls>
          <c:showLegendKey val="0"/>
          <c:showVal val="0"/>
          <c:showCatName val="0"/>
          <c:showSerName val="0"/>
          <c:showPercent val="0"/>
          <c:showBubbleSize val="0"/>
        </c:dLbls>
        <c:gapWidth val="219"/>
        <c:overlap val="-27"/>
        <c:axId val="904098544"/>
        <c:axId val="904098904"/>
      </c:barChart>
      <c:catAx>
        <c:axId val="9040985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Age group</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4098904"/>
        <c:crosses val="autoZero"/>
        <c:auto val="1"/>
        <c:lblAlgn val="ctr"/>
        <c:lblOffset val="100"/>
        <c:noMultiLvlLbl val="0"/>
      </c:catAx>
      <c:valAx>
        <c:axId val="9040989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initiating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4098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state!$B$14</c:f>
              <c:strCache>
                <c:ptCount val="1"/>
                <c:pt idx="0">
                  <c:v>Initiating patients</c:v>
                </c:pt>
              </c:strCache>
            </c:strRef>
          </c:tx>
          <c:spPr>
            <a:solidFill>
              <a:schemeClr val="accent1"/>
            </a:solidFill>
            <a:ln>
              <a:noFill/>
            </a:ln>
            <a:effectLst/>
          </c:spPr>
          <c:invertIfNegative val="0"/>
          <c:cat>
            <c:strRef>
              <c:f>state!$A$15:$A$23</c:f>
              <c:strCache>
                <c:ptCount val="9"/>
                <c:pt idx="0">
                  <c:v>ACT</c:v>
                </c:pt>
                <c:pt idx="1">
                  <c:v>NSW</c:v>
                </c:pt>
                <c:pt idx="2">
                  <c:v>NT</c:v>
                </c:pt>
                <c:pt idx="3">
                  <c:v>QLD</c:v>
                </c:pt>
                <c:pt idx="4">
                  <c:v>SA</c:v>
                </c:pt>
                <c:pt idx="5">
                  <c:v>TAS</c:v>
                </c:pt>
                <c:pt idx="6">
                  <c:v>VIC</c:v>
                </c:pt>
                <c:pt idx="7">
                  <c:v>WA</c:v>
                </c:pt>
                <c:pt idx="8">
                  <c:v>Australia</c:v>
                </c:pt>
              </c:strCache>
            </c:strRef>
          </c:cat>
          <c:val>
            <c:numRef>
              <c:f>state!$B$15:$B$23</c:f>
              <c:numCache>
                <c:formatCode>General</c:formatCode>
                <c:ptCount val="9"/>
                <c:pt idx="0">
                  <c:v>48</c:v>
                </c:pt>
                <c:pt idx="1">
                  <c:v>1552</c:v>
                </c:pt>
                <c:pt idx="2">
                  <c:v>9</c:v>
                </c:pt>
                <c:pt idx="3">
                  <c:v>781</c:v>
                </c:pt>
                <c:pt idx="4">
                  <c:v>313</c:v>
                </c:pt>
                <c:pt idx="5">
                  <c:v>122</c:v>
                </c:pt>
                <c:pt idx="6">
                  <c:v>1311</c:v>
                </c:pt>
                <c:pt idx="7">
                  <c:v>310</c:v>
                </c:pt>
              </c:numCache>
            </c:numRef>
          </c:val>
          <c:extLst>
            <c:ext xmlns:c16="http://schemas.microsoft.com/office/drawing/2014/chart" uri="{C3380CC4-5D6E-409C-BE32-E72D297353CC}">
              <c16:uniqueId val="{00000000-15F1-4EFB-88FB-67EC7A24D6F4}"/>
            </c:ext>
          </c:extLst>
        </c:ser>
        <c:ser>
          <c:idx val="1"/>
          <c:order val="1"/>
          <c:tx>
            <c:strRef>
              <c:f>state!$C$14</c:f>
              <c:strCache>
                <c:ptCount val="1"/>
                <c:pt idx="0">
                  <c:v>pad pats</c:v>
                </c:pt>
              </c:strCache>
            </c:strRef>
          </c:tx>
          <c:spPr>
            <a:solidFill>
              <a:schemeClr val="accent2"/>
            </a:solidFill>
            <a:ln>
              <a:noFill/>
            </a:ln>
            <a:effectLst/>
          </c:spPr>
          <c:invertIfNegative val="0"/>
          <c:cat>
            <c:strRef>
              <c:f>state!$A$15:$A$23</c:f>
              <c:strCache>
                <c:ptCount val="9"/>
                <c:pt idx="0">
                  <c:v>ACT</c:v>
                </c:pt>
                <c:pt idx="1">
                  <c:v>NSW</c:v>
                </c:pt>
                <c:pt idx="2">
                  <c:v>NT</c:v>
                </c:pt>
                <c:pt idx="3">
                  <c:v>QLD</c:v>
                </c:pt>
                <c:pt idx="4">
                  <c:v>SA</c:v>
                </c:pt>
                <c:pt idx="5">
                  <c:v>TAS</c:v>
                </c:pt>
                <c:pt idx="6">
                  <c:v>VIC</c:v>
                </c:pt>
                <c:pt idx="7">
                  <c:v>WA</c:v>
                </c:pt>
                <c:pt idx="8">
                  <c:v>Australia</c:v>
                </c:pt>
              </c:strCache>
            </c:strRef>
          </c:cat>
          <c:val>
            <c:numRef>
              <c:f>state!$C$15:$C$23</c:f>
              <c:numCache>
                <c:formatCode>General</c:formatCode>
                <c:ptCount val="9"/>
              </c:numCache>
            </c:numRef>
          </c:val>
          <c:extLst>
            <c:ext xmlns:c16="http://schemas.microsoft.com/office/drawing/2014/chart" uri="{C3380CC4-5D6E-409C-BE32-E72D297353CC}">
              <c16:uniqueId val="{00000001-15F1-4EFB-88FB-67EC7A24D6F4}"/>
            </c:ext>
          </c:extLst>
        </c:ser>
        <c:dLbls>
          <c:showLegendKey val="0"/>
          <c:showVal val="0"/>
          <c:showCatName val="0"/>
          <c:showSerName val="0"/>
          <c:showPercent val="0"/>
          <c:showBubbleSize val="0"/>
        </c:dLbls>
        <c:gapWidth val="219"/>
        <c:overlap val="-27"/>
        <c:axId val="768824912"/>
        <c:axId val="768825272"/>
      </c:barChart>
      <c:barChart>
        <c:barDir val="col"/>
        <c:grouping val="clustered"/>
        <c:varyColors val="0"/>
        <c:ser>
          <c:idx val="2"/>
          <c:order val="2"/>
          <c:tx>
            <c:strRef>
              <c:f>state!$D$14</c:f>
              <c:strCache>
                <c:ptCount val="1"/>
                <c:pt idx="0">
                  <c:v>pad stand</c:v>
                </c:pt>
              </c:strCache>
            </c:strRef>
          </c:tx>
          <c:spPr>
            <a:solidFill>
              <a:schemeClr val="accent3"/>
            </a:solidFill>
            <a:ln>
              <a:noFill/>
            </a:ln>
            <a:effectLst/>
          </c:spPr>
          <c:invertIfNegative val="0"/>
          <c:cat>
            <c:strRef>
              <c:f>state!$A$15:$A$23</c:f>
              <c:strCache>
                <c:ptCount val="9"/>
                <c:pt idx="0">
                  <c:v>ACT</c:v>
                </c:pt>
                <c:pt idx="1">
                  <c:v>NSW</c:v>
                </c:pt>
                <c:pt idx="2">
                  <c:v>NT</c:v>
                </c:pt>
                <c:pt idx="3">
                  <c:v>QLD</c:v>
                </c:pt>
                <c:pt idx="4">
                  <c:v>SA</c:v>
                </c:pt>
                <c:pt idx="5">
                  <c:v>TAS</c:v>
                </c:pt>
                <c:pt idx="6">
                  <c:v>VIC</c:v>
                </c:pt>
                <c:pt idx="7">
                  <c:v>WA</c:v>
                </c:pt>
                <c:pt idx="8">
                  <c:v>Australia</c:v>
                </c:pt>
              </c:strCache>
            </c:strRef>
          </c:cat>
          <c:val>
            <c:numRef>
              <c:f>state!$D$15:$D$23</c:f>
              <c:numCache>
                <c:formatCode>General</c:formatCode>
                <c:ptCount val="9"/>
              </c:numCache>
            </c:numRef>
          </c:val>
          <c:extLst>
            <c:ext xmlns:c16="http://schemas.microsoft.com/office/drawing/2014/chart" uri="{C3380CC4-5D6E-409C-BE32-E72D297353CC}">
              <c16:uniqueId val="{00000002-15F1-4EFB-88FB-67EC7A24D6F4}"/>
            </c:ext>
          </c:extLst>
        </c:ser>
        <c:ser>
          <c:idx val="3"/>
          <c:order val="3"/>
          <c:tx>
            <c:strRef>
              <c:f>state!$E$14</c:f>
              <c:strCache>
                <c:ptCount val="1"/>
                <c:pt idx="0">
                  <c:v>Standardised initiating patients</c:v>
                </c:pt>
              </c:strCache>
            </c:strRef>
          </c:tx>
          <c:spPr>
            <a:solidFill>
              <a:schemeClr val="accent4"/>
            </a:solidFill>
            <a:ln>
              <a:noFill/>
            </a:ln>
            <a:effectLst/>
          </c:spPr>
          <c:invertIfNegative val="0"/>
          <c:cat>
            <c:strRef>
              <c:f>state!$A$15:$A$23</c:f>
              <c:strCache>
                <c:ptCount val="9"/>
                <c:pt idx="0">
                  <c:v>ACT</c:v>
                </c:pt>
                <c:pt idx="1">
                  <c:v>NSW</c:v>
                </c:pt>
                <c:pt idx="2">
                  <c:v>NT</c:v>
                </c:pt>
                <c:pt idx="3">
                  <c:v>QLD</c:v>
                </c:pt>
                <c:pt idx="4">
                  <c:v>SA</c:v>
                </c:pt>
                <c:pt idx="5">
                  <c:v>TAS</c:v>
                </c:pt>
                <c:pt idx="6">
                  <c:v>VIC</c:v>
                </c:pt>
                <c:pt idx="7">
                  <c:v>WA</c:v>
                </c:pt>
                <c:pt idx="8">
                  <c:v>Australia</c:v>
                </c:pt>
              </c:strCache>
            </c:strRef>
          </c:cat>
          <c:val>
            <c:numRef>
              <c:f>state!$E$15:$E$23</c:f>
              <c:numCache>
                <c:formatCode>General</c:formatCode>
                <c:ptCount val="9"/>
                <c:pt idx="0">
                  <c:v>0.10414406595790844</c:v>
                </c:pt>
                <c:pt idx="1">
                  <c:v>0.18837694809923777</c:v>
                </c:pt>
                <c:pt idx="2">
                  <c:v>3.5985605757696923E-2</c:v>
                </c:pt>
                <c:pt idx="3">
                  <c:v>0.14521317144822712</c:v>
                </c:pt>
                <c:pt idx="4">
                  <c:v>0.17063730033255192</c:v>
                </c:pt>
                <c:pt idx="5">
                  <c:v>0.21343596920923721</c:v>
                </c:pt>
                <c:pt idx="6">
                  <c:v>0.19554614202825052</c:v>
                </c:pt>
                <c:pt idx="7">
                  <c:v>0.10972674500920289</c:v>
                </c:pt>
                <c:pt idx="8">
                  <c:v>0.16925279042499733</c:v>
                </c:pt>
              </c:numCache>
            </c:numRef>
          </c:val>
          <c:extLst>
            <c:ext xmlns:c16="http://schemas.microsoft.com/office/drawing/2014/chart" uri="{C3380CC4-5D6E-409C-BE32-E72D297353CC}">
              <c16:uniqueId val="{00000003-15F1-4EFB-88FB-67EC7A24D6F4}"/>
            </c:ext>
          </c:extLst>
        </c:ser>
        <c:dLbls>
          <c:showLegendKey val="0"/>
          <c:showVal val="0"/>
          <c:showCatName val="0"/>
          <c:showSerName val="0"/>
          <c:showPercent val="0"/>
          <c:showBubbleSize val="0"/>
        </c:dLbls>
        <c:gapWidth val="219"/>
        <c:overlap val="-27"/>
        <c:axId val="881967736"/>
        <c:axId val="881969896"/>
      </c:barChart>
      <c:catAx>
        <c:axId val="7688249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State/Territory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8825272"/>
        <c:crosses val="autoZero"/>
        <c:auto val="1"/>
        <c:lblAlgn val="ctr"/>
        <c:lblOffset val="100"/>
        <c:noMultiLvlLbl val="0"/>
      </c:catAx>
      <c:valAx>
        <c:axId val="7688252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Initiating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8824912"/>
        <c:crosses val="autoZero"/>
        <c:crossBetween val="between"/>
      </c:valAx>
      <c:valAx>
        <c:axId val="881969896"/>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Standardised</a:t>
                </a:r>
                <a:r>
                  <a:rPr lang="en-AU" baseline="0"/>
                  <a:t> initiating patients</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1967736"/>
        <c:crosses val="max"/>
        <c:crossBetween val="between"/>
      </c:valAx>
      <c:catAx>
        <c:axId val="881967736"/>
        <c:scaling>
          <c:orientation val="minMax"/>
        </c:scaling>
        <c:delete val="1"/>
        <c:axPos val="b"/>
        <c:numFmt formatCode="General" sourceLinked="1"/>
        <c:majorTickMark val="out"/>
        <c:minorTickMark val="none"/>
        <c:tickLblPos val="nextTo"/>
        <c:crossAx val="881969896"/>
        <c:crosses val="autoZero"/>
        <c:auto val="1"/>
        <c:lblAlgn val="ctr"/>
        <c:lblOffset val="100"/>
        <c:noMultiLvlLbl val="0"/>
      </c:catAx>
      <c:spPr>
        <a:no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e6c165d-1334-4e3d-ac4c-cda196070297" xsi:nil="true"/>
    <lcf76f155ced4ddcb4097134ff3c332f xmlns="7ea72d31-b391-468a-afa4-2af449538c2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A12E266AD69594FAC52E7A8B8B76707" ma:contentTypeVersion="17" ma:contentTypeDescription="Create a new document." ma:contentTypeScope="" ma:versionID="4b4ccd00d60b34dfd504305be79b870d">
  <xsd:schema xmlns:xsd="http://www.w3.org/2001/XMLSchema" xmlns:xs="http://www.w3.org/2001/XMLSchema" xmlns:p="http://schemas.microsoft.com/office/2006/metadata/properties" xmlns:ns2="7ea72d31-b391-468a-afa4-2af449538c2c" xmlns:ns3="5e6c165d-1334-4e3d-ac4c-cda196070297" targetNamespace="http://schemas.microsoft.com/office/2006/metadata/properties" ma:root="true" ma:fieldsID="fd8df0d0f438dd9c55e0f65836c38d64" ns2:_="" ns3:_="">
    <xsd:import namespace="7ea72d31-b391-468a-afa4-2af449538c2c"/>
    <xsd:import namespace="5e6c165d-1334-4e3d-ac4c-cda1960702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2d31-b391-468a-afa4-2af449538c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6c165d-1334-4e3d-ac4c-cda19607029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ab29e77-610f-4ec0-969b-1efd31da693b}" ma:internalName="TaxCatchAll" ma:showField="CatchAllData" ma:web="5e6c165d-1334-4e3d-ac4c-cda1960702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8B5BFF-FBDB-40CE-9E6D-866A8C3606C6}">
  <ds:schemaRefs>
    <ds:schemaRef ds:uri="http://schemas.microsoft.com/office/2006/metadata/properties"/>
    <ds:schemaRef ds:uri="http://schemas.microsoft.com/office/infopath/2007/PartnerControls"/>
    <ds:schemaRef ds:uri="5e6c165d-1334-4e3d-ac4c-cda196070297"/>
    <ds:schemaRef ds:uri="7ea72d31-b391-468a-afa4-2af449538c2c"/>
  </ds:schemaRefs>
</ds:datastoreItem>
</file>

<file path=customXml/itemProps2.xml><?xml version="1.0" encoding="utf-8"?>
<ds:datastoreItem xmlns:ds="http://schemas.openxmlformats.org/officeDocument/2006/customXml" ds:itemID="{67524808-714E-4D3D-9FFF-413002466F4B}">
  <ds:schemaRefs>
    <ds:schemaRef ds:uri="http://schemas.microsoft.com/sharepoint/v3/contenttype/forms"/>
  </ds:schemaRefs>
</ds:datastoreItem>
</file>

<file path=customXml/itemProps3.xml><?xml version="1.0" encoding="utf-8"?>
<ds:datastoreItem xmlns:ds="http://schemas.openxmlformats.org/officeDocument/2006/customXml" ds:itemID="{2424F82B-27DE-4369-A0C3-FBA3FE91E513}">
  <ds:schemaRefs>
    <ds:schemaRef ds:uri="http://schemas.openxmlformats.org/officeDocument/2006/bibliography"/>
  </ds:schemaRefs>
</ds:datastoreItem>
</file>

<file path=customXml/itemProps4.xml><?xml version="1.0" encoding="utf-8"?>
<ds:datastoreItem xmlns:ds="http://schemas.openxmlformats.org/officeDocument/2006/customXml" ds:itemID="{8C223B73-5BE6-410B-9780-386B7628F0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2d31-b391-468a-afa4-2af449538c2c"/>
    <ds:schemaRef ds:uri="5e6c165d-1334-4e3d-ac4c-cda1960702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28</Pages>
  <Words>6619</Words>
  <Characters>37732</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Medicines Australia</Company>
  <LinksUpToDate>false</LinksUpToDate>
  <CharactersWithSpaces>44263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ATKINS, Kerry</dc:creator>
  <cp:lastModifiedBy>MORRISON, Olivia</cp:lastModifiedBy>
  <cp:revision>70</cp:revision>
  <cp:lastPrinted>2013-04-17T01:11:00Z</cp:lastPrinted>
  <dcterms:created xsi:type="dcterms:W3CDTF">2024-01-10T07:00:00Z</dcterms:created>
  <dcterms:modified xsi:type="dcterms:W3CDTF">2024-07-02T06:02:00Z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y fmtid="{D5CDD505-2E9C-101B-9397-08002B2CF9AE}" pid="8" name="ContentTypeId">
    <vt:lpwstr>0x0101000A12E266AD69594FAC52E7A8B8B76707</vt:lpwstr>
  </property>
</Properties>
</file>