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5D5091DD" w:rsidR="00832324" w:rsidRDefault="004834A0" w:rsidP="00F73113">
      <w:pPr>
        <w:pStyle w:val="Title"/>
      </w:pPr>
      <w:r>
        <w:t>Impact of regulatory reforms on utilisation of opioids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D4A65C7" w:rsidR="009053D3" w:rsidRPr="00F73113" w:rsidRDefault="000301BB" w:rsidP="00F73113">
      <w:pPr>
        <w:pStyle w:val="Meetingdate"/>
      </w:pPr>
      <w:r>
        <w:t>June</w:t>
      </w:r>
      <w:r w:rsidR="008D42F6">
        <w:t xml:space="preserve"> 2023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845C687" w:rsidR="005C6661" w:rsidRDefault="008D42F6" w:rsidP="008D42F6">
      <w:pPr>
        <w:pStyle w:val="NoSpacing"/>
      </w:pPr>
      <w:r>
        <w:t>DUSC requested a review of the utilisation of Pharmaceutical Benefits Scheme (PBS)-listed opioid analgesics</w:t>
      </w:r>
      <w:r w:rsidR="0095616A">
        <w:t xml:space="preserve"> to examine the impact </w:t>
      </w:r>
      <w:r w:rsidR="007744B2" w:rsidRPr="007744B2">
        <w:t xml:space="preserve">of the 1 June 2020 </w:t>
      </w:r>
      <w:r w:rsidR="0095616A">
        <w:t>regulatory reforms</w:t>
      </w:r>
      <w:r w:rsidR="007744B2">
        <w:t xml:space="preserve"> </w:t>
      </w:r>
      <w:r w:rsidR="007744B2" w:rsidRPr="007744B2">
        <w:t>and associated PBS listing changes for opioid analgesics</w:t>
      </w:r>
      <w:r w:rsidR="0095616A">
        <w:t>.</w:t>
      </w:r>
    </w:p>
    <w:p w14:paraId="526743BB" w14:textId="77777777" w:rsidR="005C6661" w:rsidRDefault="005C6661" w:rsidP="00CF5E22">
      <w:pPr>
        <w:pStyle w:val="Heading3"/>
      </w:pPr>
      <w:r>
        <w:t>Data Source / methodology</w:t>
      </w:r>
    </w:p>
    <w:p w14:paraId="5E9E2FBA" w14:textId="38C1636B" w:rsidR="005C6661" w:rsidRDefault="007744B2" w:rsidP="007744B2">
      <w:pPr>
        <w:pStyle w:val="NoSpacing"/>
      </w:pPr>
      <w:r>
        <w:t>Data were extracted from the Services Australia Supplied Prescriptions database based on Anatomic Therapeutic Classification codes for dates of supply from 1 January 2016 to 30 September 2022.</w:t>
      </w:r>
    </w:p>
    <w:p w14:paraId="7599E7C1" w14:textId="77777777" w:rsidR="005C6661" w:rsidRDefault="005C6661" w:rsidP="00CF5E22">
      <w:pPr>
        <w:pStyle w:val="Heading3"/>
      </w:pPr>
      <w:r>
        <w:t>Key Findings</w:t>
      </w:r>
    </w:p>
    <w:p w14:paraId="75C3FEFF" w14:textId="3053E822" w:rsidR="009414CC" w:rsidRDefault="009414CC" w:rsidP="009414CC">
      <w:pPr>
        <w:pStyle w:val="NoSpacing"/>
        <w:numPr>
          <w:ilvl w:val="0"/>
          <w:numId w:val="1"/>
        </w:numPr>
      </w:pPr>
      <w:r>
        <w:t>The number of supplied prescriptions, defined daily doses (DDDs)</w:t>
      </w:r>
      <w:r w:rsidR="00D33C9A">
        <w:t xml:space="preserve"> and</w:t>
      </w:r>
      <w:r>
        <w:t xml:space="preserve"> treated patients had decreased since 2018. In 2021 there was:</w:t>
      </w:r>
    </w:p>
    <w:p w14:paraId="7B1A7FAF" w14:textId="77777777" w:rsidR="009414CC" w:rsidRDefault="009414CC" w:rsidP="009414CC">
      <w:pPr>
        <w:pStyle w:val="NoSpacing"/>
        <w:numPr>
          <w:ilvl w:val="1"/>
          <w:numId w:val="31"/>
        </w:numPr>
      </w:pPr>
      <w:r>
        <w:t xml:space="preserve">a 4.2% decrease of the number of supplied prescriptions, </w:t>
      </w:r>
    </w:p>
    <w:p w14:paraId="42A150F0" w14:textId="77777777" w:rsidR="009414CC" w:rsidRDefault="009414CC" w:rsidP="009414CC">
      <w:pPr>
        <w:pStyle w:val="NoSpacing"/>
        <w:numPr>
          <w:ilvl w:val="1"/>
          <w:numId w:val="31"/>
        </w:numPr>
      </w:pPr>
      <w:r>
        <w:t>a 10.8% decrease in the number of supplied DDDs, and</w:t>
      </w:r>
    </w:p>
    <w:p w14:paraId="32A7EEAC" w14:textId="41AAE479" w:rsidR="00FB0904" w:rsidRDefault="009414CC" w:rsidP="009414CC">
      <w:pPr>
        <w:pStyle w:val="NoSpacing"/>
        <w:numPr>
          <w:ilvl w:val="1"/>
          <w:numId w:val="31"/>
        </w:numPr>
      </w:pPr>
      <w:r>
        <w:t>a 0.3% decrease of the number of treated patients.</w:t>
      </w:r>
    </w:p>
    <w:p w14:paraId="013B8A7D" w14:textId="7233433B" w:rsidR="005C6661" w:rsidRDefault="0036351C" w:rsidP="005C6661">
      <w:pPr>
        <w:pStyle w:val="NoSpacing"/>
        <w:numPr>
          <w:ilvl w:val="0"/>
          <w:numId w:val="1"/>
        </w:numPr>
      </w:pPr>
      <w:r>
        <w:t>Tapentadol was the only drug in th</w:t>
      </w:r>
      <w:r w:rsidR="00FB0904">
        <w:t>e opioids</w:t>
      </w:r>
      <w:r>
        <w:t xml:space="preserve"> market with increas</w:t>
      </w:r>
      <w:r w:rsidR="00AC0A56">
        <w:t>ed</w:t>
      </w:r>
      <w:r>
        <w:t xml:space="preserve"> utilisation.</w:t>
      </w:r>
    </w:p>
    <w:p w14:paraId="105A0768" w14:textId="5724C9C9" w:rsidR="007007DF" w:rsidRDefault="007007DF" w:rsidP="005C6661">
      <w:pPr>
        <w:pStyle w:val="NoSpacing"/>
        <w:numPr>
          <w:ilvl w:val="0"/>
          <w:numId w:val="1"/>
        </w:numPr>
      </w:pPr>
      <w:r>
        <w:t xml:space="preserve">The percentage of </w:t>
      </w:r>
      <w:r w:rsidR="00A86211">
        <w:t xml:space="preserve">original </w:t>
      </w:r>
      <w:r>
        <w:t xml:space="preserve">prescriptions with </w:t>
      </w:r>
      <w:r w:rsidR="00A86211">
        <w:t xml:space="preserve">prescribed </w:t>
      </w:r>
      <w:r>
        <w:t>repeats decreased from 13% in 2019 to 8% in 2021.</w:t>
      </w:r>
    </w:p>
    <w:p w14:paraId="35C42F65" w14:textId="14ED092C" w:rsidR="007007DF" w:rsidRDefault="0036351C" w:rsidP="005C6661">
      <w:pPr>
        <w:pStyle w:val="NoSpacing"/>
        <w:numPr>
          <w:ilvl w:val="0"/>
          <w:numId w:val="1"/>
        </w:numPr>
      </w:pPr>
      <w:r>
        <w:t xml:space="preserve">Of the 14.5 million original prescriptions written in 2021, approximately </w:t>
      </w:r>
      <w:r w:rsidR="00A86211">
        <w:t>4%</w:t>
      </w:r>
      <w:r>
        <w:t xml:space="preserve"> were written for listings of reduced pack sizes.</w:t>
      </w:r>
    </w:p>
    <w:p w14:paraId="593A7D44" w14:textId="057C7950" w:rsidR="00FB0904" w:rsidRDefault="00FB0904" w:rsidP="00535AE5">
      <w:pPr>
        <w:pStyle w:val="NoSpacing"/>
        <w:numPr>
          <w:ilvl w:val="0"/>
          <w:numId w:val="1"/>
        </w:numPr>
      </w:pPr>
      <w:r>
        <w:t>For PBS listings that had the pack size reduced from 1 June 2020, only a very small proportion of these new listings were prescribed with repeats.</w:t>
      </w:r>
    </w:p>
    <w:p w14:paraId="22064211" w14:textId="3604E8E1" w:rsidR="00FE0BE0" w:rsidRDefault="007640ED" w:rsidP="005A4A15">
      <w:pPr>
        <w:pStyle w:val="NoSpacing"/>
        <w:numPr>
          <w:ilvl w:val="0"/>
          <w:numId w:val="1"/>
        </w:numPr>
        <w:ind w:right="-171"/>
      </w:pPr>
      <w:r>
        <w:t xml:space="preserve">After the introduction of new and amended listings to the Palliative Care Schedule from </w:t>
      </w:r>
      <w:r w:rsidR="005A4A15">
        <w:br/>
      </w:r>
      <w:r>
        <w:t>1 June 2021, the supply of opioids from Palliative Care Schedule has increased from Q2 2021.</w:t>
      </w:r>
    </w:p>
    <w:p w14:paraId="0F797C77" w14:textId="53EBD866" w:rsidR="007640ED" w:rsidRPr="00FE0BE0" w:rsidRDefault="007640ED" w:rsidP="009414CC">
      <w:pPr>
        <w:pStyle w:val="NoSpacing"/>
        <w:ind w:left="360"/>
      </w:pPr>
    </w:p>
    <w:p w14:paraId="38B57ECC" w14:textId="2F6E4123" w:rsidR="00BB0D1A" w:rsidRDefault="00BB0D1A">
      <w:pPr>
        <w:spacing w:line="276" w:lineRule="auto"/>
        <w:rPr>
          <w:rFonts w:eastAsiaTheme="majorEastAsia" w:cstheme="majorBidi"/>
          <w:b/>
          <w:bCs/>
          <w:sz w:val="32"/>
          <w:szCs w:val="26"/>
        </w:rPr>
      </w:pP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5F1ACE07" w14:textId="77777777" w:rsidR="007744B2" w:rsidRDefault="007744B2" w:rsidP="008D42F6">
      <w:r w:rsidRPr="007744B2">
        <w:t>To assess the impact of the 1 June 2020 regulatory reforms and associated PBS listing changes for opioid analgesics. Pregabalin, a common treatment for pain, is also included in the analysis to examine if its utilisation has been impacted by the reforms to opioids.</w:t>
      </w:r>
      <w:r>
        <w:t xml:space="preserve"> </w:t>
      </w:r>
    </w:p>
    <w:p w14:paraId="358ADBC4" w14:textId="7DD6C87E" w:rsidR="008D42F6" w:rsidRDefault="008D42F6" w:rsidP="008D42F6">
      <w:pPr>
        <w:rPr>
          <w:highlight w:val="yellow"/>
        </w:rPr>
      </w:pPr>
      <w:r>
        <w:t xml:space="preserve">The analyses examine the use of opioids for analgesia on the Pharmaceutical Benefits Scheme (PBS) and the Repatriation PBS (RPBS) from </w:t>
      </w:r>
      <w:r w:rsidR="00BF09AD">
        <w:t>January 2016</w:t>
      </w:r>
      <w:r>
        <w:t xml:space="preserve"> to the end of September </w:t>
      </w:r>
      <w:r w:rsidR="0095616A">
        <w:t>2022</w:t>
      </w:r>
      <w:r>
        <w:t>. This includes both single ingredient opioid analgesics and combination products; such as paracetamol with codeine and oxycodone with naloxone combinations. The analysis will not consider the use of non</w:t>
      </w:r>
      <w:r w:rsidR="00774FC2">
        <w:t>-</w:t>
      </w:r>
      <w:r>
        <w:t>PBS listed opioids or over-the-counter opioid preparations.</w:t>
      </w:r>
      <w:r>
        <w:rPr>
          <w:highlight w:val="yellow"/>
        </w:rPr>
        <w:t xml:space="preserve"> </w:t>
      </w:r>
    </w:p>
    <w:p w14:paraId="0A7F0B57" w14:textId="034D22D5" w:rsidR="006537D9" w:rsidRPr="005E22C2" w:rsidRDefault="00736041" w:rsidP="00CF5E22">
      <w:pPr>
        <w:pStyle w:val="Heading1"/>
      </w:pPr>
      <w:r w:rsidRPr="005E22C2">
        <w:t>Background</w:t>
      </w:r>
    </w:p>
    <w:p w14:paraId="0183A567" w14:textId="413DF87B" w:rsidR="007247B9" w:rsidRDefault="007247B9" w:rsidP="00CF5E22">
      <w:pPr>
        <w:pStyle w:val="Heading2"/>
      </w:pPr>
      <w:r>
        <w:t>Pharmacology</w:t>
      </w:r>
    </w:p>
    <w:p w14:paraId="06821C4B" w14:textId="0EA9EFC8" w:rsidR="00AE4BAC" w:rsidRPr="007247B9" w:rsidRDefault="00066CCB" w:rsidP="00066CCB">
      <w:r>
        <w:t xml:space="preserve">Opioids work by acting on opioid receptors on neuronal cell membranes in the central nervous system and, to a lesser extent, the peripheral nervous system. There are three main types of opioid receptors: </w:t>
      </w:r>
      <w:r>
        <w:rPr>
          <w:rFonts w:cstheme="minorHAnsi"/>
        </w:rPr>
        <w:t>µ</w:t>
      </w:r>
      <w:r>
        <w:t xml:space="preserve">, </w:t>
      </w:r>
      <w:r>
        <w:rPr>
          <w:rFonts w:cstheme="minorHAnsi"/>
        </w:rPr>
        <w:t>κ</w:t>
      </w:r>
      <w:r>
        <w:t xml:space="preserve"> and </w:t>
      </w:r>
      <w:r>
        <w:rPr>
          <w:rFonts w:cstheme="minorHAnsi"/>
        </w:rPr>
        <w:t>δ</w:t>
      </w:r>
      <w:r>
        <w:t xml:space="preserve"> (mu, kappa and </w:t>
      </w:r>
      <w:r w:rsidRPr="00085537">
        <w:t>delta). Agonist activity at mu opioid receptors is responsible for analgesia, respiratory depression, euphoria, sedation, decreased gastrointestinal motility leading to constipation and physical dependence.</w:t>
      </w:r>
      <w:r>
        <w:t xml:space="preserve"> The analgesic activity of most clinically used opioids is due to their agonist activity at the mu receptor.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E89CE3C" w14:textId="0DE7AE04" w:rsidR="00C00B69" w:rsidRDefault="00C00B69" w:rsidP="00C00B69">
      <w:r w:rsidRPr="0058188C">
        <w:t xml:space="preserve">Table </w:t>
      </w:r>
      <w:r>
        <w:t>1</w:t>
      </w:r>
      <w:r w:rsidRPr="0058188C">
        <w:t xml:space="preserve"> presents the TGA approved analgesic</w:t>
      </w:r>
      <w:r>
        <w:t xml:space="preserve"> </w:t>
      </w:r>
      <w:r w:rsidRPr="0058188C">
        <w:t xml:space="preserve">indications of </w:t>
      </w:r>
      <w:r w:rsidRPr="00F15518">
        <w:t xml:space="preserve">opioids </w:t>
      </w:r>
      <w:r w:rsidRPr="00BA4A1C">
        <w:t xml:space="preserve">and </w:t>
      </w:r>
      <w:r w:rsidR="00F15518">
        <w:t xml:space="preserve">non-opioids </w:t>
      </w:r>
      <w:r w:rsidRPr="0058188C">
        <w:t>listed on the PBS.</w:t>
      </w:r>
      <w:r w:rsidR="00E013A7">
        <w:t xml:space="preserve"> These indications have changed since the previous DUSC review, as explained in the section ‘</w:t>
      </w:r>
      <w:r w:rsidR="00E013A7" w:rsidRPr="00E013A7">
        <w:t>Relevant aspects of consideration by the Pharmaceutical Benefits Advisory Committee (PBAC)</w:t>
      </w:r>
      <w:r w:rsidR="00E013A7">
        <w:t>.’</w:t>
      </w:r>
    </w:p>
    <w:p w14:paraId="07B9DF8B" w14:textId="65E6B3EB" w:rsidR="00C00B69" w:rsidRPr="0058188C" w:rsidRDefault="00C00B69" w:rsidP="00C00B69">
      <w:pPr>
        <w:pStyle w:val="Tabletitle"/>
      </w:pPr>
      <w:r w:rsidRPr="0058188C">
        <w:t xml:space="preserve">Table </w:t>
      </w:r>
      <w:r>
        <w:t>1</w:t>
      </w:r>
      <w:r w:rsidRPr="0058188C">
        <w:t xml:space="preserve">: </w:t>
      </w:r>
      <w:r>
        <w:t xml:space="preserve">TGA </w:t>
      </w:r>
      <w:r w:rsidRPr="0058188C">
        <w:t>analgesic</w:t>
      </w:r>
      <w:r>
        <w:t xml:space="preserve"> indications</w:t>
      </w:r>
      <w:r w:rsidRPr="0058188C">
        <w:t xml:space="preserve"> of PBS listed opioid</w:t>
      </w:r>
      <w:r>
        <w:t xml:space="preserve">s and </w:t>
      </w:r>
      <w:r w:rsidR="00F15518">
        <w:t>non-opioids</w:t>
      </w:r>
    </w:p>
    <w:tbl>
      <w:tblPr>
        <w:tblStyle w:val="TableGrid"/>
        <w:tblW w:w="4941" w:type="pct"/>
        <w:tblInd w:w="108" w:type="dxa"/>
        <w:tblLook w:val="04A0" w:firstRow="1" w:lastRow="0" w:firstColumn="1" w:lastColumn="0" w:noHBand="0" w:noVBand="1"/>
        <w:tblCaption w:val="Dosage and administration of PBS listed opioid analgesics"/>
        <w:tblDescription w:val="Codeine is indicated for mild to moderate pain. Methadone is indicated for pain requiring opioids. The remaining opioids are indicated for moderate to severe pain. "/>
      </w:tblPr>
      <w:tblGrid>
        <w:gridCol w:w="1587"/>
        <w:gridCol w:w="7620"/>
      </w:tblGrid>
      <w:tr w:rsidR="00C00B69" w:rsidRPr="0058188C" w14:paraId="509D08B8" w14:textId="77777777" w:rsidTr="005A4A15">
        <w:trPr>
          <w:tblHeader/>
        </w:trPr>
        <w:tc>
          <w:tcPr>
            <w:tcW w:w="862" w:type="pct"/>
            <w:shd w:val="clear" w:color="auto" w:fill="BFBFBF" w:themeFill="background1" w:themeFillShade="BF"/>
          </w:tcPr>
          <w:p w14:paraId="00C181D6" w14:textId="77777777" w:rsidR="00C00B69" w:rsidRPr="0058188C" w:rsidRDefault="00C00B69" w:rsidP="00107F4F">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Drug</w:t>
            </w:r>
          </w:p>
        </w:tc>
        <w:tc>
          <w:tcPr>
            <w:tcW w:w="4138" w:type="pct"/>
            <w:shd w:val="clear" w:color="auto" w:fill="BFBFBF" w:themeFill="background1" w:themeFillShade="BF"/>
          </w:tcPr>
          <w:p w14:paraId="1A9E93E9" w14:textId="77777777" w:rsidR="00C00B69" w:rsidRPr="0058188C" w:rsidRDefault="00C00B69" w:rsidP="00107F4F">
            <w:pPr>
              <w:autoSpaceDE w:val="0"/>
              <w:autoSpaceDN w:val="0"/>
              <w:adjustRightInd w:val="0"/>
              <w:spacing w:before="60" w:after="60"/>
              <w:jc w:val="center"/>
              <w:rPr>
                <w:rFonts w:ascii="Calibri" w:eastAsia="MS Mincho" w:hAnsi="Calibri" w:cs="Calibri"/>
                <w:b/>
                <w:sz w:val="20"/>
                <w:szCs w:val="20"/>
              </w:rPr>
            </w:pPr>
            <w:r w:rsidRPr="0058188C">
              <w:rPr>
                <w:rFonts w:ascii="Calibri" w:eastAsia="MS Mincho" w:hAnsi="Calibri" w:cs="Calibri"/>
                <w:b/>
                <w:sz w:val="20"/>
                <w:szCs w:val="20"/>
              </w:rPr>
              <w:t>Indication</w:t>
            </w:r>
          </w:p>
        </w:tc>
      </w:tr>
      <w:tr w:rsidR="00C00B69" w:rsidRPr="0058188C" w14:paraId="7F51A537" w14:textId="77777777" w:rsidTr="005A4A15">
        <w:tc>
          <w:tcPr>
            <w:tcW w:w="862" w:type="pct"/>
            <w:vAlign w:val="center"/>
          </w:tcPr>
          <w:p w14:paraId="33644D3A"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Buprenorphine</w:t>
            </w:r>
          </w:p>
        </w:tc>
        <w:tc>
          <w:tcPr>
            <w:tcW w:w="4138" w:type="pct"/>
            <w:vAlign w:val="center"/>
          </w:tcPr>
          <w:p w14:paraId="77CA90FE" w14:textId="48A5E72A" w:rsidR="00C00B69" w:rsidRPr="00650E0A" w:rsidRDefault="00D73296" w:rsidP="00D73296">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Buprenorphine sublingual tablets and injection are indicated for the short-term (not more than one week) management of severe pain for which other treatment options have failed, are contraindicated, not tolerated or are otherwise inappropriate to provide sufficient management of pain.</w:t>
            </w:r>
          </w:p>
          <w:p w14:paraId="2AFA5679" w14:textId="5C5EB5FB" w:rsidR="00D73296" w:rsidRPr="00650E0A" w:rsidRDefault="00D73296" w:rsidP="00D73296">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Buprenorphine patches are indicated for the management of severe pain where:</w:t>
            </w:r>
          </w:p>
          <w:p w14:paraId="46FF6CB3" w14:textId="4652FC79" w:rsidR="00D73296" w:rsidRPr="00650E0A" w:rsidRDefault="00D73296" w:rsidP="00D73296">
            <w:pPr>
              <w:pStyle w:val="ListParagraph"/>
              <w:numPr>
                <w:ilvl w:val="0"/>
                <w:numId w:val="14"/>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other treatment options have failed, are contraindicated, not tolerated or are otherwise inappropriate to provide sufficient management of pain, and</w:t>
            </w:r>
          </w:p>
          <w:p w14:paraId="4AD7046C" w14:textId="77777777" w:rsidR="00D73296" w:rsidRPr="00650E0A" w:rsidRDefault="00D73296"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 xml:space="preserve">the pain is opioid-responsive, and </w:t>
            </w:r>
          </w:p>
          <w:p w14:paraId="29F38C14" w14:textId="77DF413F" w:rsidR="00D73296" w:rsidRPr="00650E0A" w:rsidRDefault="00D73296"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requires daily, continuous, long-term treatment.</w:t>
            </w:r>
          </w:p>
        </w:tc>
      </w:tr>
      <w:tr w:rsidR="00C00B69" w:rsidRPr="0058188C" w14:paraId="765731F4" w14:textId="77777777" w:rsidTr="005A4A15">
        <w:tc>
          <w:tcPr>
            <w:tcW w:w="862" w:type="pct"/>
            <w:vAlign w:val="center"/>
          </w:tcPr>
          <w:p w14:paraId="7A3C39E5"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Codeine</w:t>
            </w:r>
          </w:p>
        </w:tc>
        <w:tc>
          <w:tcPr>
            <w:tcW w:w="4138" w:type="pct"/>
            <w:vAlign w:val="center"/>
          </w:tcPr>
          <w:p w14:paraId="7385FD66" w14:textId="668E27E4" w:rsidR="00C00B69" w:rsidRPr="00650E0A" w:rsidRDefault="00C53C91" w:rsidP="00107F4F">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Temporary relief of acute moderate pain or short-term management of severe pain</w:t>
            </w:r>
            <w:r w:rsidR="00C00B69" w:rsidRPr="00650E0A">
              <w:rPr>
                <w:rFonts w:ascii="Calibri" w:eastAsia="MS Mincho" w:hAnsi="Calibri" w:cs="Calibri"/>
                <w:color w:val="000000"/>
                <w:sz w:val="20"/>
                <w:szCs w:val="20"/>
              </w:rPr>
              <w:t xml:space="preserve"> (includes fixed-dose combinations with aspirin, ibuprofen, paracetamol)</w:t>
            </w:r>
          </w:p>
        </w:tc>
      </w:tr>
      <w:tr w:rsidR="00C00B69" w:rsidRPr="0058188C" w14:paraId="430C4133" w14:textId="77777777" w:rsidTr="005A4A15">
        <w:tc>
          <w:tcPr>
            <w:tcW w:w="862" w:type="pct"/>
            <w:vAlign w:val="center"/>
          </w:tcPr>
          <w:p w14:paraId="0A24603F"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Fentanyl</w:t>
            </w:r>
          </w:p>
        </w:tc>
        <w:tc>
          <w:tcPr>
            <w:tcW w:w="4138" w:type="pct"/>
            <w:vAlign w:val="center"/>
          </w:tcPr>
          <w:p w14:paraId="308CF514" w14:textId="3659D9EE" w:rsidR="00C00B69" w:rsidRPr="00650E0A" w:rsidRDefault="00C00B69" w:rsidP="00107F4F">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 xml:space="preserve">Moderate to severe acute or chronic pain. </w:t>
            </w:r>
          </w:p>
          <w:p w14:paraId="264BB09F" w14:textId="4C714DC4" w:rsidR="00EB0618" w:rsidRPr="00650E0A" w:rsidRDefault="00EB0618" w:rsidP="00EB0618">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Fentanyl patches are indicated for the management of pain associated with cancer, palliative care, and other conditions in</w:t>
            </w:r>
            <w:r w:rsidR="004D16AD" w:rsidRPr="00650E0A">
              <w:rPr>
                <w:rFonts w:ascii="Calibri" w:eastAsia="MS Mincho" w:hAnsi="Calibri" w:cs="Calibri"/>
                <w:color w:val="000000"/>
                <w:sz w:val="20"/>
                <w:szCs w:val="20"/>
              </w:rPr>
              <w:t xml:space="preserve"> </w:t>
            </w:r>
            <w:r w:rsidRPr="00650E0A">
              <w:rPr>
                <w:rFonts w:ascii="Calibri" w:eastAsia="MS Mincho" w:hAnsi="Calibri" w:cs="Calibri"/>
                <w:color w:val="000000"/>
                <w:sz w:val="20"/>
                <w:szCs w:val="20"/>
              </w:rPr>
              <w:t>patients where:</w:t>
            </w:r>
          </w:p>
          <w:p w14:paraId="40C37E22" w14:textId="0AE834F8" w:rsidR="00EB0618" w:rsidRPr="00650E0A" w:rsidRDefault="00EB0618"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lastRenderedPageBreak/>
              <w:t>other treatment options have failed, are contraindicated, not tolerated or are otherwise</w:t>
            </w:r>
          </w:p>
          <w:p w14:paraId="26CAA4F0" w14:textId="77777777" w:rsidR="00EB0618" w:rsidRPr="00650E0A" w:rsidRDefault="00EB0618"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inappropriate to provide sufficient management of pain, and</w:t>
            </w:r>
          </w:p>
          <w:p w14:paraId="472642B6" w14:textId="631279F3" w:rsidR="00EB0618" w:rsidRPr="00650E0A" w:rsidRDefault="00EB0618"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the pain is opioid-responsive, and</w:t>
            </w:r>
          </w:p>
          <w:p w14:paraId="300A3D5A" w14:textId="00A23936" w:rsidR="00EB0618" w:rsidRPr="00650E0A" w:rsidRDefault="00EB0618" w:rsidP="00D73296">
            <w:pPr>
              <w:pStyle w:val="ListParagraph"/>
              <w:numPr>
                <w:ilvl w:val="0"/>
                <w:numId w:val="13"/>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severe enough to require daily, continuous, long term opioid treatment.</w:t>
            </w:r>
          </w:p>
          <w:p w14:paraId="097DF758" w14:textId="77777777" w:rsidR="00C00B69" w:rsidRPr="00650E0A" w:rsidRDefault="004D16AD" w:rsidP="00EB0618">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Fentanyl lozenges are indicated for the m</w:t>
            </w:r>
            <w:r w:rsidR="00EB0618" w:rsidRPr="00650E0A">
              <w:rPr>
                <w:rFonts w:ascii="Calibri" w:eastAsia="MS Mincho" w:hAnsi="Calibri" w:cs="Calibri"/>
                <w:color w:val="000000"/>
                <w:sz w:val="20"/>
                <w:szCs w:val="20"/>
              </w:rPr>
              <w:t>anagement of breakthrough cancer pain in patients with malignancies who are already receiving and are tolerant to opioid therapy for their underlying persistent cancer pain.</w:t>
            </w:r>
          </w:p>
          <w:p w14:paraId="62320B0B" w14:textId="77777777" w:rsidR="004D16AD" w:rsidRPr="00650E0A" w:rsidRDefault="004D16AD" w:rsidP="004D16AD">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Fentanyl injections are indicated for:</w:t>
            </w:r>
          </w:p>
          <w:p w14:paraId="3B2C3C92" w14:textId="2DC40792" w:rsidR="004D16AD" w:rsidRPr="00650E0A" w:rsidRDefault="004D16AD" w:rsidP="00107F4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analgesic action of short duration during anaesthetic periods, premedication, induction and maintenance, and in the immediate post-operative period (recovery room) as the need arises;</w:t>
            </w:r>
          </w:p>
          <w:p w14:paraId="2B1C81B6" w14:textId="15A46201" w:rsidR="004D16AD" w:rsidRPr="00650E0A" w:rsidRDefault="004D16AD" w:rsidP="004D16A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use as an opioid analgesic supplement in general and regional anaesthesia;</w:t>
            </w:r>
            <w:r w:rsidR="00AA3238">
              <w:rPr>
                <w:rFonts w:ascii="Calibri" w:eastAsia="MS Mincho" w:hAnsi="Calibri" w:cs="Calibri"/>
                <w:color w:val="000000"/>
                <w:sz w:val="20"/>
                <w:szCs w:val="20"/>
              </w:rPr>
              <w:t xml:space="preserve"> and</w:t>
            </w:r>
          </w:p>
          <w:p w14:paraId="2AA2CFD7" w14:textId="133872BD" w:rsidR="004D16AD" w:rsidRPr="00650E0A" w:rsidRDefault="004D16AD" w:rsidP="004D16A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administration with a neuroleptic such as droperidol injection as an anaesthetic premedication, for the induction of anaesthesia, and as an adjunct in the maintenance of general and regional anaesthesia.</w:t>
            </w:r>
          </w:p>
        </w:tc>
      </w:tr>
      <w:tr w:rsidR="00C00B69" w:rsidRPr="0058188C" w14:paraId="41D5FA30" w14:textId="77777777" w:rsidTr="005A4A15">
        <w:tc>
          <w:tcPr>
            <w:tcW w:w="862" w:type="pct"/>
            <w:vAlign w:val="center"/>
          </w:tcPr>
          <w:p w14:paraId="482E100D"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1C45EF">
              <w:rPr>
                <w:rFonts w:ascii="Calibri" w:eastAsia="MS Mincho" w:hAnsi="Calibri" w:cs="Calibri"/>
                <w:color w:val="000000"/>
                <w:sz w:val="20"/>
                <w:szCs w:val="20"/>
              </w:rPr>
              <w:lastRenderedPageBreak/>
              <w:t>Hydromorphone</w:t>
            </w:r>
          </w:p>
        </w:tc>
        <w:tc>
          <w:tcPr>
            <w:tcW w:w="4138" w:type="pct"/>
            <w:vAlign w:val="center"/>
          </w:tcPr>
          <w:p w14:paraId="53B298F1" w14:textId="154E3517" w:rsidR="00C00B69" w:rsidRDefault="000B456F" w:rsidP="00107F4F">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Hydromorphone tablets and injections are indicated for s</w:t>
            </w:r>
            <w:r w:rsidR="00EB0618" w:rsidRPr="00650E0A">
              <w:rPr>
                <w:rFonts w:ascii="Calibri" w:eastAsia="MS Mincho" w:hAnsi="Calibri" w:cs="Calibri"/>
                <w:color w:val="000000"/>
                <w:sz w:val="20"/>
                <w:szCs w:val="20"/>
              </w:rPr>
              <w:t>hort-term management of severe pain for which other treatment options have failed, are contraindicated, not tolerated or are otherwise inappropriate to provide sufficient management of pain.</w:t>
            </w:r>
          </w:p>
          <w:p w14:paraId="5C9BDC63" w14:textId="0493BC2E" w:rsidR="000B456F" w:rsidRPr="000B456F" w:rsidRDefault="000B456F" w:rsidP="000B456F">
            <w:pPr>
              <w:autoSpaceDE w:val="0"/>
              <w:autoSpaceDN w:val="0"/>
              <w:adjustRightInd w:val="0"/>
              <w:spacing w:before="60" w:after="60"/>
              <w:rPr>
                <w:rFonts w:ascii="Calibri" w:eastAsia="MS Mincho" w:hAnsi="Calibri" w:cs="Calibri"/>
                <w:color w:val="000000"/>
                <w:sz w:val="20"/>
                <w:szCs w:val="20"/>
              </w:rPr>
            </w:pPr>
            <w:r w:rsidRPr="000B456F">
              <w:rPr>
                <w:rFonts w:ascii="Calibri" w:eastAsia="MS Mincho" w:hAnsi="Calibri" w:cs="Calibri"/>
                <w:color w:val="000000"/>
                <w:sz w:val="20"/>
                <w:szCs w:val="20"/>
              </w:rPr>
              <w:t>Hydromorphone</w:t>
            </w:r>
            <w:r>
              <w:rPr>
                <w:rFonts w:ascii="Calibri" w:eastAsia="MS Mincho" w:hAnsi="Calibri" w:cs="Calibri"/>
                <w:color w:val="000000"/>
                <w:sz w:val="20"/>
                <w:szCs w:val="20"/>
              </w:rPr>
              <w:t xml:space="preserve"> prolonged release</w:t>
            </w:r>
            <w:r w:rsidRPr="000B456F">
              <w:rPr>
                <w:rFonts w:ascii="Calibri" w:eastAsia="MS Mincho" w:hAnsi="Calibri" w:cs="Calibri"/>
                <w:color w:val="000000"/>
                <w:sz w:val="20"/>
                <w:szCs w:val="20"/>
              </w:rPr>
              <w:t xml:space="preserve"> tablets</w:t>
            </w:r>
            <w:r>
              <w:rPr>
                <w:rFonts w:ascii="Calibri" w:eastAsia="MS Mincho" w:hAnsi="Calibri" w:cs="Calibri"/>
                <w:color w:val="000000"/>
                <w:sz w:val="20"/>
                <w:szCs w:val="20"/>
              </w:rPr>
              <w:t xml:space="preserve"> are indicated for management </w:t>
            </w:r>
            <w:r w:rsidRPr="000B456F">
              <w:rPr>
                <w:rFonts w:ascii="Calibri" w:eastAsia="MS Mincho" w:hAnsi="Calibri" w:cs="Calibri"/>
                <w:color w:val="000000"/>
                <w:sz w:val="20"/>
                <w:szCs w:val="20"/>
              </w:rPr>
              <w:t>of severe pain where:</w:t>
            </w:r>
          </w:p>
          <w:p w14:paraId="62629DFA" w14:textId="651731B3" w:rsidR="000B456F" w:rsidRPr="000B456F" w:rsidRDefault="000B456F"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0B456F">
              <w:rPr>
                <w:rFonts w:ascii="Calibri" w:eastAsia="MS Mincho" w:hAnsi="Calibri" w:cs="Calibri"/>
                <w:color w:val="000000"/>
                <w:sz w:val="20"/>
                <w:szCs w:val="20"/>
              </w:rPr>
              <w:t>other treatment options have failed, are contraindicated, not tolerated or are otherwise inappropriate to provide sufficient management of pain, and</w:t>
            </w:r>
          </w:p>
          <w:p w14:paraId="7C535BC1" w14:textId="6EDD2DA1" w:rsidR="000B456F" w:rsidRPr="000B456F" w:rsidRDefault="000B456F"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0B456F">
              <w:rPr>
                <w:rFonts w:ascii="Calibri" w:eastAsia="MS Mincho" w:hAnsi="Calibri" w:cs="Calibri"/>
                <w:color w:val="000000"/>
                <w:sz w:val="20"/>
                <w:szCs w:val="20"/>
              </w:rPr>
              <w:t>the pain is opioid-responsive, and</w:t>
            </w:r>
          </w:p>
          <w:p w14:paraId="54174C2B" w14:textId="1031446A" w:rsidR="000B456F" w:rsidRDefault="000B456F"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0B456F">
              <w:rPr>
                <w:rFonts w:ascii="Calibri" w:eastAsia="MS Mincho" w:hAnsi="Calibri" w:cs="Calibri"/>
                <w:color w:val="000000"/>
                <w:sz w:val="20"/>
                <w:szCs w:val="20"/>
              </w:rPr>
              <w:t>requires daily, continuous, long-term treatment</w:t>
            </w:r>
            <w:r w:rsidR="006B4F82">
              <w:rPr>
                <w:rFonts w:ascii="Calibri" w:eastAsia="MS Mincho" w:hAnsi="Calibri" w:cs="Calibri"/>
                <w:color w:val="000000"/>
                <w:sz w:val="20"/>
                <w:szCs w:val="20"/>
              </w:rPr>
              <w:t>.</w:t>
            </w:r>
          </w:p>
          <w:p w14:paraId="7A89D465" w14:textId="77777777" w:rsidR="00373F55" w:rsidRPr="00373F55"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for use in chronic non-cancer pain other than in exceptional circumstances.</w:t>
            </w:r>
          </w:p>
          <w:p w14:paraId="2A2AAA5A" w14:textId="68B86C47" w:rsidR="00373F55" w:rsidRPr="0046280F"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as an as-needed analgesia.</w:t>
            </w:r>
          </w:p>
        </w:tc>
      </w:tr>
      <w:tr w:rsidR="00C00B69" w:rsidRPr="0058188C" w14:paraId="4FB6DC28" w14:textId="77777777" w:rsidTr="005A4A15">
        <w:tc>
          <w:tcPr>
            <w:tcW w:w="862" w:type="pct"/>
            <w:vAlign w:val="center"/>
          </w:tcPr>
          <w:p w14:paraId="48EBE5D1"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Methadone</w:t>
            </w:r>
          </w:p>
        </w:tc>
        <w:tc>
          <w:tcPr>
            <w:tcW w:w="4138" w:type="pct"/>
            <w:vAlign w:val="center"/>
          </w:tcPr>
          <w:p w14:paraId="23B5C55D" w14:textId="7BCA5776" w:rsidR="00B526F2" w:rsidRPr="00650E0A" w:rsidRDefault="00EB0618" w:rsidP="00B526F2">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M</w:t>
            </w:r>
            <w:r w:rsidR="00B526F2" w:rsidRPr="00650E0A">
              <w:rPr>
                <w:rFonts w:ascii="Calibri" w:eastAsia="MS Mincho" w:hAnsi="Calibri" w:cs="Calibri"/>
                <w:color w:val="000000"/>
                <w:sz w:val="20"/>
                <w:szCs w:val="20"/>
              </w:rPr>
              <w:t>anagement of severe pain where:</w:t>
            </w:r>
          </w:p>
          <w:p w14:paraId="209FEEAF" w14:textId="59947DEA" w:rsidR="00B526F2" w:rsidRPr="000B456F" w:rsidRDefault="00B526F2"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0B456F">
              <w:rPr>
                <w:rFonts w:ascii="Calibri" w:eastAsia="MS Mincho" w:hAnsi="Calibri" w:cs="Calibri"/>
                <w:color w:val="000000"/>
                <w:sz w:val="20"/>
                <w:szCs w:val="20"/>
              </w:rPr>
              <w:t>other treatment options have failed, are contraindicated, not tolerated or are otherwise</w:t>
            </w:r>
            <w:r w:rsidR="000B456F">
              <w:rPr>
                <w:rFonts w:ascii="Calibri" w:eastAsia="MS Mincho" w:hAnsi="Calibri" w:cs="Calibri"/>
                <w:color w:val="000000"/>
                <w:sz w:val="20"/>
                <w:szCs w:val="20"/>
              </w:rPr>
              <w:t xml:space="preserve"> </w:t>
            </w:r>
            <w:r w:rsidRPr="000B456F">
              <w:rPr>
                <w:rFonts w:ascii="Calibri" w:eastAsia="MS Mincho" w:hAnsi="Calibri" w:cs="Calibri"/>
                <w:color w:val="000000"/>
                <w:sz w:val="20"/>
                <w:szCs w:val="20"/>
              </w:rPr>
              <w:t>inappropriate to provide sufficient management of pain, and</w:t>
            </w:r>
          </w:p>
          <w:p w14:paraId="329479D4" w14:textId="60326FC1" w:rsidR="00B526F2" w:rsidRPr="00650E0A" w:rsidRDefault="00B526F2"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the pain is opioid-responsive, and</w:t>
            </w:r>
          </w:p>
          <w:p w14:paraId="1CDC6FB9" w14:textId="6DEA8969" w:rsidR="00C00B69" w:rsidRPr="00650E0A" w:rsidRDefault="00B526F2"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requires daily, continuous, long-term treatment</w:t>
            </w:r>
            <w:r w:rsidR="00D429A9">
              <w:rPr>
                <w:rFonts w:ascii="Calibri" w:eastAsia="MS Mincho" w:hAnsi="Calibri" w:cs="Calibri"/>
                <w:color w:val="000000"/>
                <w:sz w:val="20"/>
                <w:szCs w:val="20"/>
              </w:rPr>
              <w:t>.</w:t>
            </w:r>
          </w:p>
        </w:tc>
      </w:tr>
      <w:tr w:rsidR="00C00B69" w:rsidRPr="0058188C" w14:paraId="4103BF12" w14:textId="77777777" w:rsidTr="005A4A15">
        <w:tc>
          <w:tcPr>
            <w:tcW w:w="862" w:type="pct"/>
            <w:vAlign w:val="center"/>
          </w:tcPr>
          <w:p w14:paraId="3528BD1A"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Morphine</w:t>
            </w:r>
          </w:p>
        </w:tc>
        <w:tc>
          <w:tcPr>
            <w:tcW w:w="4138" w:type="pct"/>
            <w:vAlign w:val="center"/>
          </w:tcPr>
          <w:p w14:paraId="56F37710" w14:textId="77777777" w:rsidR="00766B9A" w:rsidRDefault="00373F55" w:rsidP="00107F4F">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 xml:space="preserve">Morphine </w:t>
            </w:r>
            <w:r w:rsidRPr="00373F55">
              <w:rPr>
                <w:rFonts w:ascii="Calibri" w:eastAsia="MS Mincho" w:hAnsi="Calibri" w:cs="Calibri"/>
                <w:color w:val="000000"/>
                <w:sz w:val="20"/>
                <w:szCs w:val="20"/>
              </w:rPr>
              <w:t xml:space="preserve">tablets and injections are indicated for </w:t>
            </w:r>
          </w:p>
          <w:p w14:paraId="70194DAE" w14:textId="3DC1C2F7" w:rsidR="00C00B69" w:rsidRDefault="00373F55" w:rsidP="00192A67">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766B9A">
              <w:rPr>
                <w:rFonts w:ascii="Calibri" w:eastAsia="MS Mincho" w:hAnsi="Calibri" w:cs="Calibri"/>
                <w:color w:val="000000"/>
                <w:sz w:val="20"/>
                <w:szCs w:val="20"/>
              </w:rPr>
              <w:t>short</w:t>
            </w:r>
            <w:r w:rsidRPr="00766B9A" w:rsidDel="00373F55">
              <w:rPr>
                <w:rFonts w:ascii="Calibri" w:eastAsia="MS Mincho" w:hAnsi="Calibri" w:cs="Calibri"/>
                <w:color w:val="000000"/>
                <w:sz w:val="20"/>
                <w:szCs w:val="20"/>
              </w:rPr>
              <w:t xml:space="preserve"> </w:t>
            </w:r>
            <w:r w:rsidR="00B526F2" w:rsidRPr="00766B9A">
              <w:rPr>
                <w:rFonts w:ascii="Calibri" w:eastAsia="MS Mincho" w:hAnsi="Calibri" w:cs="Calibri"/>
                <w:color w:val="000000"/>
                <w:sz w:val="20"/>
                <w:szCs w:val="20"/>
              </w:rPr>
              <w:t>-term management of severe pain for which other treatment options have failed, are contraindicated, not tolerated or are otherwise inappropriate to provide sufficient management of pain</w:t>
            </w:r>
            <w:r w:rsidR="00192A67">
              <w:rPr>
                <w:rFonts w:ascii="Calibri" w:eastAsia="MS Mincho" w:hAnsi="Calibri" w:cs="Calibri"/>
                <w:color w:val="000000"/>
                <w:sz w:val="20"/>
                <w:szCs w:val="20"/>
              </w:rPr>
              <w:t>; or</w:t>
            </w:r>
          </w:p>
          <w:p w14:paraId="2866C4DD" w14:textId="76E15D74" w:rsidR="00192A67" w:rsidRPr="00766B9A" w:rsidRDefault="008A5B07" w:rsidP="00192A67">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tr</w:t>
            </w:r>
            <w:r w:rsidRPr="008A5B07">
              <w:rPr>
                <w:rFonts w:ascii="Calibri" w:eastAsia="MS Mincho" w:hAnsi="Calibri" w:cs="Calibri"/>
                <w:color w:val="000000"/>
                <w:sz w:val="20"/>
                <w:szCs w:val="20"/>
              </w:rPr>
              <w:t>eatment of chronic severe pain of cancer</w:t>
            </w:r>
            <w:r w:rsidR="006B4F82">
              <w:rPr>
                <w:rFonts w:ascii="Calibri" w:eastAsia="MS Mincho" w:hAnsi="Calibri" w:cs="Calibri"/>
                <w:color w:val="000000"/>
                <w:sz w:val="20"/>
                <w:szCs w:val="20"/>
              </w:rPr>
              <w:t>.</w:t>
            </w:r>
          </w:p>
          <w:p w14:paraId="18FF645D" w14:textId="5571F224" w:rsidR="00373F55" w:rsidRPr="00373F55" w:rsidRDefault="000B456F" w:rsidP="00373F55">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 xml:space="preserve">Morphine modified release </w:t>
            </w:r>
            <w:r w:rsidR="009B4EF4">
              <w:rPr>
                <w:rFonts w:ascii="Calibri" w:eastAsia="MS Mincho" w:hAnsi="Calibri" w:cs="Calibri"/>
                <w:color w:val="000000"/>
                <w:sz w:val="20"/>
                <w:szCs w:val="20"/>
              </w:rPr>
              <w:t xml:space="preserve">tablets and </w:t>
            </w:r>
            <w:r>
              <w:rPr>
                <w:rFonts w:ascii="Calibri" w:eastAsia="MS Mincho" w:hAnsi="Calibri" w:cs="Calibri"/>
                <w:color w:val="000000"/>
                <w:sz w:val="20"/>
                <w:szCs w:val="20"/>
              </w:rPr>
              <w:t xml:space="preserve">capsules </w:t>
            </w:r>
            <w:r w:rsidR="00373F55" w:rsidRPr="00373F55">
              <w:rPr>
                <w:rFonts w:ascii="Calibri" w:eastAsia="MS Mincho" w:hAnsi="Calibri" w:cs="Calibri"/>
                <w:color w:val="000000"/>
                <w:sz w:val="20"/>
                <w:szCs w:val="20"/>
              </w:rPr>
              <w:t>are indicated for management of severe pain where:</w:t>
            </w:r>
          </w:p>
          <w:p w14:paraId="18BA1024" w14:textId="12009C3B" w:rsidR="00373F55" w:rsidRPr="0046280F" w:rsidRDefault="00373F55" w:rsidP="0046280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other treatment options have failed, are contraindicated, not tolerated or are otherwise inappropriate to provide sufficient management of pain, and</w:t>
            </w:r>
          </w:p>
          <w:p w14:paraId="3509EC14" w14:textId="39AE9B07" w:rsidR="00373F55" w:rsidRPr="0046280F" w:rsidRDefault="00373F55" w:rsidP="0046280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the pain is opioid-responsive, and</w:t>
            </w:r>
          </w:p>
          <w:p w14:paraId="12FCA8C4" w14:textId="3ECB16AA" w:rsidR="000B456F" w:rsidRDefault="00373F55"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requires daily, continuous, long-term treatment</w:t>
            </w:r>
            <w:r w:rsidR="006B4F82">
              <w:rPr>
                <w:rFonts w:ascii="Calibri" w:eastAsia="MS Mincho" w:hAnsi="Calibri" w:cs="Calibri"/>
                <w:color w:val="000000"/>
                <w:sz w:val="20"/>
                <w:szCs w:val="20"/>
              </w:rPr>
              <w:t>.</w:t>
            </w:r>
          </w:p>
          <w:p w14:paraId="63DC1E3D" w14:textId="77777777" w:rsidR="00373F55" w:rsidRPr="00373F55"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for use in chronic non-cancer pain other than in exceptional circumstances.</w:t>
            </w:r>
          </w:p>
          <w:p w14:paraId="76EB6EBA" w14:textId="5A3FF384" w:rsidR="00373F55" w:rsidRPr="0046280F"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as an as-needed analgesia.</w:t>
            </w:r>
          </w:p>
        </w:tc>
      </w:tr>
      <w:tr w:rsidR="00C00B69" w:rsidRPr="0058188C" w14:paraId="2D222B08" w14:textId="77777777" w:rsidTr="005A4A15">
        <w:tc>
          <w:tcPr>
            <w:tcW w:w="862" w:type="pct"/>
            <w:vAlign w:val="center"/>
          </w:tcPr>
          <w:p w14:paraId="47C5E5CA"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Oxycodone</w:t>
            </w:r>
          </w:p>
        </w:tc>
        <w:tc>
          <w:tcPr>
            <w:tcW w:w="4138" w:type="pct"/>
            <w:vAlign w:val="center"/>
          </w:tcPr>
          <w:p w14:paraId="2067BC8C" w14:textId="757156F1" w:rsidR="00C00B69" w:rsidRDefault="00373F55" w:rsidP="00107F4F">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 xml:space="preserve">Oxycodone </w:t>
            </w:r>
            <w:r w:rsidRPr="00373F55">
              <w:rPr>
                <w:rFonts w:ascii="Calibri" w:eastAsia="MS Mincho" w:hAnsi="Calibri" w:cs="Calibri"/>
                <w:color w:val="000000"/>
                <w:sz w:val="20"/>
                <w:szCs w:val="20"/>
              </w:rPr>
              <w:t>tablets and injections are indicated for short</w:t>
            </w:r>
            <w:r w:rsidR="00C00B69" w:rsidRPr="00650E0A">
              <w:rPr>
                <w:rFonts w:ascii="Calibri" w:eastAsia="MS Mincho" w:hAnsi="Calibri" w:cs="Calibri"/>
                <w:color w:val="000000"/>
                <w:sz w:val="20"/>
                <w:szCs w:val="20"/>
              </w:rPr>
              <w:t>-term management of severe pain for which other treatment options have failed, are contraindicated, not tolerated or are otherwise inappropriate to provide sufficient management of pain.</w:t>
            </w:r>
          </w:p>
          <w:p w14:paraId="7DDFEA35" w14:textId="2998BC3A" w:rsidR="00373F55" w:rsidRPr="00373F55" w:rsidRDefault="00373F55" w:rsidP="00373F55">
            <w:p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lastRenderedPageBreak/>
              <w:t xml:space="preserve">Oxycodone modified </w:t>
            </w:r>
            <w:r w:rsidRPr="00373F55">
              <w:rPr>
                <w:rFonts w:ascii="Calibri" w:eastAsia="MS Mincho" w:hAnsi="Calibri" w:cs="Calibri"/>
                <w:color w:val="000000"/>
                <w:sz w:val="20"/>
                <w:szCs w:val="20"/>
              </w:rPr>
              <w:t>release tablets are indicated for management of severe pain where:</w:t>
            </w:r>
          </w:p>
          <w:p w14:paraId="1228E958" w14:textId="7F43AA8C" w:rsidR="00373F55" w:rsidRPr="0046280F" w:rsidRDefault="00373F55" w:rsidP="0046280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other treatment options have failed, are contraindicated, not tolerated or are otherwise inappropriate to provide sufficient management of pain, and</w:t>
            </w:r>
          </w:p>
          <w:p w14:paraId="468C92A2" w14:textId="45A288AE" w:rsidR="00373F55" w:rsidRPr="0046280F" w:rsidRDefault="00373F55" w:rsidP="0046280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the pain is opioid-responsive, and</w:t>
            </w:r>
          </w:p>
          <w:p w14:paraId="19E23D80" w14:textId="4D1A4304" w:rsidR="00373F55" w:rsidRPr="0046280F" w:rsidRDefault="00373F55" w:rsidP="0046280F">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46280F">
              <w:rPr>
                <w:rFonts w:ascii="Calibri" w:eastAsia="MS Mincho" w:hAnsi="Calibri" w:cs="Calibri"/>
                <w:color w:val="000000"/>
                <w:sz w:val="20"/>
                <w:szCs w:val="20"/>
              </w:rPr>
              <w:t>requires daily, continuous, long-term treatment</w:t>
            </w:r>
            <w:r w:rsidR="006B4F82">
              <w:rPr>
                <w:rFonts w:ascii="Calibri" w:eastAsia="MS Mincho" w:hAnsi="Calibri" w:cs="Calibri"/>
                <w:color w:val="000000"/>
                <w:sz w:val="20"/>
                <w:szCs w:val="20"/>
              </w:rPr>
              <w:t>.</w:t>
            </w:r>
          </w:p>
          <w:p w14:paraId="175E1984" w14:textId="77777777" w:rsidR="00373F55" w:rsidRPr="00373F55"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for use in chronic non-cancer pain other than in exceptional circumstances.</w:t>
            </w:r>
          </w:p>
          <w:p w14:paraId="0E0D3E78" w14:textId="10059168" w:rsidR="00373F55" w:rsidRPr="00650E0A" w:rsidRDefault="00373F55" w:rsidP="00373F55">
            <w:pPr>
              <w:autoSpaceDE w:val="0"/>
              <w:autoSpaceDN w:val="0"/>
              <w:adjustRightInd w:val="0"/>
              <w:spacing w:before="60" w:after="60"/>
              <w:rPr>
                <w:rFonts w:ascii="Calibri" w:eastAsia="MS Mincho" w:hAnsi="Calibri" w:cs="Calibri"/>
                <w:color w:val="000000"/>
                <w:sz w:val="20"/>
                <w:szCs w:val="20"/>
              </w:rPr>
            </w:pPr>
            <w:r w:rsidRPr="00373F55">
              <w:rPr>
                <w:rFonts w:ascii="Calibri" w:eastAsia="MS Mincho" w:hAnsi="Calibri" w:cs="Calibri"/>
                <w:color w:val="000000"/>
                <w:sz w:val="20"/>
                <w:szCs w:val="20"/>
              </w:rPr>
              <w:t>Not indicated as an as-needed analgesia.</w:t>
            </w:r>
          </w:p>
        </w:tc>
      </w:tr>
      <w:tr w:rsidR="00C00B69" w:rsidRPr="0058188C" w14:paraId="4D3259C8" w14:textId="77777777" w:rsidTr="005A4A15">
        <w:tc>
          <w:tcPr>
            <w:tcW w:w="862" w:type="pct"/>
            <w:vAlign w:val="center"/>
          </w:tcPr>
          <w:p w14:paraId="12D9968B"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lastRenderedPageBreak/>
              <w:t>Oxycodone</w:t>
            </w:r>
            <w:r>
              <w:rPr>
                <w:rFonts w:ascii="Calibri" w:eastAsia="MS Mincho" w:hAnsi="Calibri" w:cs="Calibri"/>
                <w:color w:val="000000"/>
                <w:sz w:val="20"/>
                <w:szCs w:val="20"/>
              </w:rPr>
              <w:t xml:space="preserve"> and naloxone</w:t>
            </w:r>
          </w:p>
        </w:tc>
        <w:tc>
          <w:tcPr>
            <w:tcW w:w="4138" w:type="pct"/>
            <w:vAlign w:val="center"/>
          </w:tcPr>
          <w:p w14:paraId="1A6BB9AF" w14:textId="46F14B86" w:rsidR="008E6916" w:rsidRPr="00650E0A" w:rsidRDefault="008E6916" w:rsidP="008E6916">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Management of severe pain where</w:t>
            </w:r>
            <w:r w:rsidR="0006048B">
              <w:rPr>
                <w:rFonts w:ascii="Calibri" w:eastAsia="MS Mincho" w:hAnsi="Calibri" w:cs="Calibri"/>
                <w:color w:val="000000"/>
                <w:sz w:val="20"/>
                <w:szCs w:val="20"/>
              </w:rPr>
              <w:t>:</w:t>
            </w:r>
            <w:r w:rsidR="00866E8A">
              <w:rPr>
                <w:rFonts w:ascii="Calibri" w:eastAsia="MS Mincho" w:hAnsi="Calibri" w:cs="Calibri"/>
                <w:color w:val="000000"/>
                <w:sz w:val="20"/>
                <w:szCs w:val="20"/>
              </w:rPr>
              <w:t xml:space="preserve"> </w:t>
            </w:r>
          </w:p>
          <w:p w14:paraId="0C3C8D64" w14:textId="1E07C6FB" w:rsidR="008E6916" w:rsidRPr="00F00443" w:rsidRDefault="0006048B"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Pr>
                <w:rFonts w:ascii="Calibri" w:eastAsia="MS Mincho" w:hAnsi="Calibri" w:cs="Calibri"/>
                <w:color w:val="000000"/>
                <w:sz w:val="20"/>
                <w:szCs w:val="20"/>
              </w:rPr>
              <w:t>o</w:t>
            </w:r>
            <w:r w:rsidR="008E6916" w:rsidRPr="00F00443">
              <w:rPr>
                <w:rFonts w:ascii="Calibri" w:eastAsia="MS Mincho" w:hAnsi="Calibri" w:cs="Calibri"/>
                <w:color w:val="000000"/>
                <w:sz w:val="20"/>
                <w:szCs w:val="20"/>
              </w:rPr>
              <w:t>ther treatment options have failed, are contraindicated, not tolerated or are otherwise</w:t>
            </w:r>
            <w:r w:rsidR="00AA3238" w:rsidRPr="00F00443">
              <w:rPr>
                <w:rFonts w:ascii="Calibri" w:eastAsia="MS Mincho" w:hAnsi="Calibri" w:cs="Calibri"/>
                <w:color w:val="000000"/>
                <w:sz w:val="20"/>
                <w:szCs w:val="20"/>
              </w:rPr>
              <w:t>,</w:t>
            </w:r>
            <w:r w:rsidR="00F00443" w:rsidRPr="00F00443">
              <w:rPr>
                <w:rFonts w:ascii="Calibri" w:eastAsia="MS Mincho" w:hAnsi="Calibri" w:cs="Calibri"/>
                <w:color w:val="000000"/>
                <w:sz w:val="20"/>
                <w:szCs w:val="20"/>
              </w:rPr>
              <w:t xml:space="preserve"> </w:t>
            </w:r>
            <w:r w:rsidR="008E6916" w:rsidRPr="00F00443">
              <w:rPr>
                <w:rFonts w:ascii="Calibri" w:eastAsia="MS Mincho" w:hAnsi="Calibri" w:cs="Calibri"/>
                <w:color w:val="000000"/>
                <w:sz w:val="20"/>
                <w:szCs w:val="20"/>
              </w:rPr>
              <w:t>inappropriate to provide sufficient management of pain, and</w:t>
            </w:r>
          </w:p>
          <w:p w14:paraId="0A08F32F" w14:textId="6940A701" w:rsidR="008E6916" w:rsidRPr="00650E0A" w:rsidRDefault="008E6916"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the pain is opioid-responsive</w:t>
            </w:r>
            <w:r w:rsidR="00AA3238">
              <w:rPr>
                <w:rFonts w:ascii="Calibri" w:eastAsia="MS Mincho" w:hAnsi="Calibri" w:cs="Calibri"/>
                <w:color w:val="000000"/>
                <w:sz w:val="20"/>
                <w:szCs w:val="20"/>
              </w:rPr>
              <w:t>,</w:t>
            </w:r>
            <w:r w:rsidRPr="00650E0A">
              <w:rPr>
                <w:rFonts w:ascii="Calibri" w:eastAsia="MS Mincho" w:hAnsi="Calibri" w:cs="Calibri"/>
                <w:color w:val="000000"/>
                <w:sz w:val="20"/>
                <w:szCs w:val="20"/>
              </w:rPr>
              <w:t xml:space="preserve"> and</w:t>
            </w:r>
          </w:p>
          <w:p w14:paraId="14661699" w14:textId="1DA4959E" w:rsidR="008E6916" w:rsidRPr="00650E0A" w:rsidRDefault="008E6916" w:rsidP="00270A9D">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requires daily, continuous, long term treatment.</w:t>
            </w:r>
          </w:p>
          <w:p w14:paraId="10CE1BB6" w14:textId="51481A3D" w:rsidR="008E6916" w:rsidRPr="00650E0A" w:rsidRDefault="008E6916" w:rsidP="008E6916">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Not indicated for use in chronic non-cancer pain other than in exceptional circumstances.</w:t>
            </w:r>
          </w:p>
          <w:p w14:paraId="1CA3FDCE" w14:textId="77777777" w:rsidR="00C00B69" w:rsidRDefault="008E6916" w:rsidP="008E6916">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Not indicated as an as-needed analgesia.</w:t>
            </w:r>
          </w:p>
          <w:p w14:paraId="7F3EE91B" w14:textId="58CBE45A" w:rsidR="00B132B7" w:rsidRPr="00B132B7" w:rsidRDefault="00B132B7" w:rsidP="00B132B7">
            <w:pPr>
              <w:autoSpaceDE w:val="0"/>
              <w:autoSpaceDN w:val="0"/>
              <w:adjustRightInd w:val="0"/>
              <w:spacing w:before="60" w:after="60"/>
              <w:rPr>
                <w:rFonts w:ascii="Calibri" w:eastAsia="MS Mincho" w:hAnsi="Calibri" w:cs="Calibri"/>
                <w:color w:val="000000"/>
                <w:sz w:val="20"/>
                <w:szCs w:val="20"/>
              </w:rPr>
            </w:pPr>
            <w:r w:rsidRPr="00B132B7">
              <w:rPr>
                <w:rFonts w:ascii="Calibri" w:eastAsia="MS Mincho" w:hAnsi="Calibri" w:cs="Calibri"/>
                <w:color w:val="000000"/>
                <w:sz w:val="20"/>
                <w:szCs w:val="20"/>
              </w:rPr>
              <w:t>The naloxone component in a fixed combination with oxycodone is indicated for the therapy and/or prophylaxis of opioid-induced constipation.</w:t>
            </w:r>
          </w:p>
          <w:p w14:paraId="407114A8" w14:textId="42B72741" w:rsidR="00B132B7" w:rsidRPr="00650E0A" w:rsidRDefault="00B132B7" w:rsidP="00B132B7">
            <w:pPr>
              <w:autoSpaceDE w:val="0"/>
              <w:autoSpaceDN w:val="0"/>
              <w:adjustRightInd w:val="0"/>
              <w:spacing w:before="60" w:after="60"/>
              <w:rPr>
                <w:rFonts w:ascii="Calibri" w:eastAsia="MS Mincho" w:hAnsi="Calibri" w:cs="Calibri"/>
                <w:color w:val="000000"/>
                <w:sz w:val="20"/>
                <w:szCs w:val="20"/>
              </w:rPr>
            </w:pPr>
            <w:r w:rsidRPr="00B132B7">
              <w:rPr>
                <w:rFonts w:ascii="Calibri" w:eastAsia="MS Mincho" w:hAnsi="Calibri" w:cs="Calibri"/>
                <w:color w:val="000000"/>
                <w:sz w:val="20"/>
                <w:szCs w:val="20"/>
              </w:rPr>
              <w:t xml:space="preserve">Indicated as a second line symptomatic treatment of </w:t>
            </w:r>
            <w:r w:rsidR="00C26D9E">
              <w:rPr>
                <w:rFonts w:ascii="Calibri" w:eastAsia="MS Mincho" w:hAnsi="Calibri" w:cs="Calibri"/>
                <w:color w:val="000000"/>
                <w:sz w:val="20"/>
                <w:szCs w:val="20"/>
              </w:rPr>
              <w:t>patients</w:t>
            </w:r>
            <w:r w:rsidRPr="00B132B7">
              <w:rPr>
                <w:rFonts w:ascii="Calibri" w:eastAsia="MS Mincho" w:hAnsi="Calibri" w:cs="Calibri"/>
                <w:color w:val="000000"/>
                <w:sz w:val="20"/>
                <w:szCs w:val="20"/>
              </w:rPr>
              <w:t xml:space="preserve"> with severe to very severe idiopathic restless legs syndrome after failure of dopaminergic therapy.</w:t>
            </w:r>
          </w:p>
        </w:tc>
      </w:tr>
      <w:tr w:rsidR="00C00B69" w:rsidRPr="0058188C" w14:paraId="5CC6424E" w14:textId="77777777" w:rsidTr="005A4A15">
        <w:trPr>
          <w:trHeight w:val="377"/>
        </w:trPr>
        <w:tc>
          <w:tcPr>
            <w:tcW w:w="862" w:type="pct"/>
            <w:vAlign w:val="center"/>
          </w:tcPr>
          <w:p w14:paraId="1FAB24F3"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Tapentadol</w:t>
            </w:r>
          </w:p>
        </w:tc>
        <w:tc>
          <w:tcPr>
            <w:tcW w:w="4138" w:type="pct"/>
            <w:vAlign w:val="center"/>
          </w:tcPr>
          <w:p w14:paraId="1F287F3F" w14:textId="04AE35E4" w:rsidR="00C00B69" w:rsidRPr="00650E0A" w:rsidRDefault="00650E0A" w:rsidP="00107F4F">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Tapentadol immediate release tablets are indicated for the short-term management of severe pain for which other treatment options have failed, are contraindicated, not tolerated or are otherwise inappropriate to provide sufficient management of pain.</w:t>
            </w:r>
          </w:p>
          <w:p w14:paraId="551966F6" w14:textId="77777777" w:rsidR="00650E0A" w:rsidRPr="00650E0A" w:rsidRDefault="00650E0A" w:rsidP="00650E0A">
            <w:p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Tapentadol sustained release tablets</w:t>
            </w:r>
            <w:r w:rsidRPr="00650E0A">
              <w:t xml:space="preserve"> </w:t>
            </w:r>
            <w:r w:rsidRPr="00650E0A">
              <w:rPr>
                <w:rFonts w:ascii="Calibri" w:eastAsia="MS Mincho" w:hAnsi="Calibri" w:cs="Calibri"/>
                <w:color w:val="000000"/>
                <w:sz w:val="20"/>
                <w:szCs w:val="20"/>
              </w:rPr>
              <w:t>are indicated for the management of severe pain where:</w:t>
            </w:r>
          </w:p>
          <w:p w14:paraId="0A6D5E55" w14:textId="76C38CAC" w:rsidR="00650E0A" w:rsidRPr="00650E0A" w:rsidRDefault="00650E0A" w:rsidP="00650E0A">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other treatment options have failed, are contraindicated, not tolerated or are otherwise inappropriate to provide sufficient management of pain, and</w:t>
            </w:r>
          </w:p>
          <w:p w14:paraId="20C8983B" w14:textId="00475D97" w:rsidR="00650E0A" w:rsidRPr="00650E0A" w:rsidRDefault="00650E0A" w:rsidP="00650E0A">
            <w:pPr>
              <w:pStyle w:val="ListParagraph"/>
              <w:numPr>
                <w:ilvl w:val="0"/>
                <w:numId w:val="12"/>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the pain is opioid-responsive, and</w:t>
            </w:r>
          </w:p>
          <w:p w14:paraId="38BF4383" w14:textId="2B6944F4" w:rsidR="00566F4E" w:rsidRDefault="00650E0A" w:rsidP="00566F4E">
            <w:pPr>
              <w:pStyle w:val="ListParagraph"/>
              <w:numPr>
                <w:ilvl w:val="0"/>
                <w:numId w:val="15"/>
              </w:numPr>
              <w:autoSpaceDE w:val="0"/>
              <w:autoSpaceDN w:val="0"/>
              <w:adjustRightInd w:val="0"/>
              <w:spacing w:before="60" w:after="60"/>
              <w:rPr>
                <w:rFonts w:ascii="Calibri" w:eastAsia="MS Mincho" w:hAnsi="Calibri" w:cs="Calibri"/>
                <w:color w:val="000000"/>
                <w:sz w:val="20"/>
                <w:szCs w:val="20"/>
              </w:rPr>
            </w:pPr>
            <w:r w:rsidRPr="00650E0A">
              <w:rPr>
                <w:rFonts w:ascii="Calibri" w:eastAsia="MS Mincho" w:hAnsi="Calibri" w:cs="Calibri"/>
                <w:color w:val="000000"/>
                <w:sz w:val="20"/>
                <w:szCs w:val="20"/>
              </w:rPr>
              <w:t>requires daily, continuous, long-term treatment.</w:t>
            </w:r>
          </w:p>
          <w:p w14:paraId="5470549B" w14:textId="7ABC8BF9" w:rsidR="004566F3" w:rsidRPr="004566F3" w:rsidRDefault="004566F3" w:rsidP="004566F3">
            <w:pPr>
              <w:autoSpaceDE w:val="0"/>
              <w:autoSpaceDN w:val="0"/>
              <w:adjustRightInd w:val="0"/>
              <w:spacing w:before="60" w:after="60"/>
              <w:rPr>
                <w:rFonts w:ascii="Calibri" w:eastAsia="MS Mincho" w:hAnsi="Calibri" w:cs="Calibri"/>
                <w:color w:val="000000"/>
                <w:sz w:val="20"/>
                <w:szCs w:val="20"/>
              </w:rPr>
            </w:pPr>
            <w:r w:rsidRPr="004566F3">
              <w:rPr>
                <w:rFonts w:ascii="Calibri" w:eastAsia="MS Mincho" w:hAnsi="Calibri" w:cs="Calibri"/>
                <w:color w:val="000000"/>
                <w:sz w:val="20"/>
                <w:szCs w:val="20"/>
              </w:rPr>
              <w:t>Not indicated for use in chronic non-cancer pain other than in exceptional circumstances.</w:t>
            </w:r>
          </w:p>
          <w:p w14:paraId="03B54936" w14:textId="746A8E1B" w:rsidR="00566F4E" w:rsidRPr="00270A9D" w:rsidRDefault="004566F3" w:rsidP="00270A9D">
            <w:pPr>
              <w:autoSpaceDE w:val="0"/>
              <w:autoSpaceDN w:val="0"/>
              <w:adjustRightInd w:val="0"/>
              <w:spacing w:before="60" w:after="60"/>
              <w:rPr>
                <w:rFonts w:ascii="Calibri" w:eastAsia="MS Mincho" w:hAnsi="Calibri" w:cs="Calibri"/>
                <w:color w:val="000000"/>
                <w:sz w:val="20"/>
                <w:szCs w:val="20"/>
              </w:rPr>
            </w:pPr>
            <w:r w:rsidRPr="004566F3">
              <w:rPr>
                <w:rFonts w:ascii="Calibri" w:eastAsia="MS Mincho" w:hAnsi="Calibri" w:cs="Calibri"/>
                <w:color w:val="000000"/>
                <w:sz w:val="20"/>
                <w:szCs w:val="20"/>
              </w:rPr>
              <w:t>Not indicated as an as-needed analgesia.</w:t>
            </w:r>
          </w:p>
        </w:tc>
      </w:tr>
      <w:tr w:rsidR="00C00B69" w:rsidRPr="0058188C" w14:paraId="598DE6C2" w14:textId="77777777" w:rsidTr="005A4A15">
        <w:trPr>
          <w:trHeight w:val="377"/>
        </w:trPr>
        <w:tc>
          <w:tcPr>
            <w:tcW w:w="862" w:type="pct"/>
            <w:vAlign w:val="center"/>
          </w:tcPr>
          <w:p w14:paraId="3CEA9230" w14:textId="77777777" w:rsidR="00C00B69" w:rsidRPr="0058188C" w:rsidRDefault="00C00B69" w:rsidP="00107F4F">
            <w:pPr>
              <w:autoSpaceDE w:val="0"/>
              <w:autoSpaceDN w:val="0"/>
              <w:adjustRightInd w:val="0"/>
              <w:spacing w:before="60" w:after="60"/>
              <w:rPr>
                <w:rFonts w:ascii="Calibri" w:eastAsia="MS Mincho" w:hAnsi="Calibri" w:cs="Calibri"/>
                <w:color w:val="000000"/>
                <w:sz w:val="20"/>
                <w:szCs w:val="20"/>
              </w:rPr>
            </w:pPr>
            <w:r w:rsidRPr="0058188C">
              <w:rPr>
                <w:rFonts w:ascii="Calibri" w:eastAsia="MS Mincho" w:hAnsi="Calibri" w:cs="Calibri"/>
                <w:color w:val="000000"/>
                <w:sz w:val="20"/>
                <w:szCs w:val="20"/>
              </w:rPr>
              <w:t>Tramadol</w:t>
            </w:r>
          </w:p>
        </w:tc>
        <w:tc>
          <w:tcPr>
            <w:tcW w:w="4138" w:type="pct"/>
            <w:vAlign w:val="center"/>
          </w:tcPr>
          <w:p w14:paraId="0DF70BD7" w14:textId="05A5D50C" w:rsidR="00C00B69" w:rsidRPr="00C00B69" w:rsidRDefault="00C00B69" w:rsidP="00C00B69">
            <w:pPr>
              <w:autoSpaceDE w:val="0"/>
              <w:autoSpaceDN w:val="0"/>
              <w:adjustRightInd w:val="0"/>
              <w:spacing w:before="60" w:after="60"/>
              <w:rPr>
                <w:rFonts w:ascii="Calibri" w:eastAsia="MS Mincho" w:hAnsi="Calibri" w:cs="Calibri"/>
                <w:color w:val="000000"/>
                <w:sz w:val="20"/>
                <w:szCs w:val="20"/>
                <w:highlight w:val="cyan"/>
              </w:rPr>
            </w:pPr>
            <w:r>
              <w:rPr>
                <w:rFonts w:ascii="Calibri" w:eastAsia="MS Mincho" w:hAnsi="Calibri" w:cs="Calibri"/>
                <w:color w:val="000000"/>
                <w:sz w:val="20"/>
                <w:szCs w:val="20"/>
              </w:rPr>
              <w:t>S</w:t>
            </w:r>
            <w:r w:rsidRPr="00C00B69">
              <w:rPr>
                <w:rFonts w:ascii="Calibri" w:eastAsia="MS Mincho" w:hAnsi="Calibri" w:cs="Calibri"/>
                <w:color w:val="000000"/>
                <w:sz w:val="20"/>
                <w:szCs w:val="20"/>
              </w:rPr>
              <w:t>hort-term management of severe pain for which other treatment options have</w:t>
            </w:r>
            <w:r>
              <w:rPr>
                <w:rFonts w:ascii="Calibri" w:eastAsia="MS Mincho" w:hAnsi="Calibri" w:cs="Calibri"/>
                <w:color w:val="000000"/>
                <w:sz w:val="20"/>
                <w:szCs w:val="20"/>
              </w:rPr>
              <w:t xml:space="preserve"> </w:t>
            </w:r>
            <w:r w:rsidRPr="00C00B69">
              <w:rPr>
                <w:rFonts w:ascii="Calibri" w:eastAsia="MS Mincho" w:hAnsi="Calibri" w:cs="Calibri"/>
                <w:color w:val="000000"/>
                <w:sz w:val="20"/>
                <w:szCs w:val="20"/>
              </w:rPr>
              <w:t>failed, are contraindicated, not tolerated or are otherwise inappropriate to provide sufficient management of</w:t>
            </w:r>
            <w:r>
              <w:rPr>
                <w:rFonts w:ascii="Calibri" w:eastAsia="MS Mincho" w:hAnsi="Calibri" w:cs="Calibri"/>
                <w:color w:val="000000"/>
                <w:sz w:val="20"/>
                <w:szCs w:val="20"/>
              </w:rPr>
              <w:t xml:space="preserve"> </w:t>
            </w:r>
            <w:r w:rsidRPr="00C00B69">
              <w:rPr>
                <w:rFonts w:ascii="Calibri" w:eastAsia="MS Mincho" w:hAnsi="Calibri" w:cs="Calibri"/>
                <w:color w:val="000000"/>
                <w:sz w:val="20"/>
                <w:szCs w:val="20"/>
              </w:rPr>
              <w:t>pain</w:t>
            </w:r>
            <w:r>
              <w:rPr>
                <w:rFonts w:ascii="Calibri" w:eastAsia="MS Mincho" w:hAnsi="Calibri" w:cs="Calibri"/>
                <w:color w:val="000000"/>
                <w:sz w:val="20"/>
                <w:szCs w:val="20"/>
              </w:rPr>
              <w:t>.</w:t>
            </w:r>
          </w:p>
        </w:tc>
      </w:tr>
      <w:tr w:rsidR="00C00B69" w:rsidRPr="00F15518" w14:paraId="21D23E2C" w14:textId="77777777" w:rsidTr="005A4A15">
        <w:trPr>
          <w:trHeight w:val="377"/>
        </w:trPr>
        <w:tc>
          <w:tcPr>
            <w:tcW w:w="862" w:type="pct"/>
            <w:vAlign w:val="center"/>
          </w:tcPr>
          <w:p w14:paraId="33DA8E66" w14:textId="77777777" w:rsidR="00C00B69" w:rsidRPr="00F15518" w:rsidRDefault="00C00B69" w:rsidP="00107F4F">
            <w:pPr>
              <w:autoSpaceDE w:val="0"/>
              <w:autoSpaceDN w:val="0"/>
              <w:adjustRightInd w:val="0"/>
              <w:spacing w:before="60" w:after="60"/>
              <w:rPr>
                <w:rFonts w:ascii="Calibri" w:eastAsia="MS Mincho" w:hAnsi="Calibri" w:cs="Calibri"/>
                <w:color w:val="000000"/>
                <w:sz w:val="20"/>
                <w:szCs w:val="20"/>
              </w:rPr>
            </w:pPr>
            <w:r w:rsidRPr="00F15518">
              <w:rPr>
                <w:rFonts w:ascii="Calibri" w:eastAsia="MS Mincho" w:hAnsi="Calibri" w:cs="Calibri"/>
                <w:color w:val="000000"/>
                <w:sz w:val="20"/>
                <w:szCs w:val="20"/>
              </w:rPr>
              <w:t>Pregabalin</w:t>
            </w:r>
          </w:p>
        </w:tc>
        <w:tc>
          <w:tcPr>
            <w:tcW w:w="4138" w:type="pct"/>
            <w:vAlign w:val="center"/>
          </w:tcPr>
          <w:p w14:paraId="6295A470" w14:textId="77777777" w:rsidR="00C00B69" w:rsidRPr="00F15518" w:rsidRDefault="00C00B69" w:rsidP="00107F4F">
            <w:pPr>
              <w:autoSpaceDE w:val="0"/>
              <w:autoSpaceDN w:val="0"/>
              <w:adjustRightInd w:val="0"/>
              <w:spacing w:before="60" w:after="60"/>
              <w:rPr>
                <w:rFonts w:ascii="Calibri" w:eastAsia="MS Mincho" w:hAnsi="Calibri" w:cs="Calibri"/>
                <w:color w:val="000000"/>
                <w:sz w:val="20"/>
                <w:szCs w:val="20"/>
              </w:rPr>
            </w:pPr>
            <w:r w:rsidRPr="00F15518">
              <w:rPr>
                <w:rFonts w:ascii="Calibri" w:eastAsia="MS Mincho" w:hAnsi="Calibri" w:cs="Calibri"/>
                <w:color w:val="000000"/>
                <w:sz w:val="20"/>
                <w:szCs w:val="20"/>
              </w:rPr>
              <w:t>Neuropathic pain</w:t>
            </w:r>
          </w:p>
        </w:tc>
      </w:tr>
      <w:tr w:rsidR="00C00B69" w:rsidRPr="0058188C" w14:paraId="4F8EB8EB" w14:textId="77777777" w:rsidTr="005A4A15">
        <w:trPr>
          <w:trHeight w:val="377"/>
        </w:trPr>
        <w:tc>
          <w:tcPr>
            <w:tcW w:w="862" w:type="pct"/>
            <w:vAlign w:val="center"/>
          </w:tcPr>
          <w:p w14:paraId="19A7DD87" w14:textId="77777777" w:rsidR="00C00B69" w:rsidRPr="00F15518" w:rsidRDefault="00C00B69" w:rsidP="00107F4F">
            <w:pPr>
              <w:autoSpaceDE w:val="0"/>
              <w:autoSpaceDN w:val="0"/>
              <w:adjustRightInd w:val="0"/>
              <w:spacing w:before="60" w:after="60"/>
              <w:rPr>
                <w:rFonts w:ascii="Calibri" w:eastAsia="MS Mincho" w:hAnsi="Calibri" w:cs="Calibri"/>
                <w:color w:val="000000"/>
                <w:sz w:val="20"/>
                <w:szCs w:val="20"/>
              </w:rPr>
            </w:pPr>
            <w:r w:rsidRPr="00F15518">
              <w:rPr>
                <w:rFonts w:ascii="Calibri" w:eastAsia="MS Mincho" w:hAnsi="Calibri" w:cs="Calibri"/>
                <w:color w:val="000000"/>
                <w:sz w:val="20"/>
                <w:szCs w:val="20"/>
              </w:rPr>
              <w:t>Gabapentin</w:t>
            </w:r>
          </w:p>
        </w:tc>
        <w:tc>
          <w:tcPr>
            <w:tcW w:w="4138" w:type="pct"/>
            <w:vAlign w:val="center"/>
          </w:tcPr>
          <w:p w14:paraId="57EA38B7" w14:textId="77777777" w:rsidR="00C00B69" w:rsidRPr="00F15518" w:rsidRDefault="00C00B69" w:rsidP="00107F4F">
            <w:pPr>
              <w:autoSpaceDE w:val="0"/>
              <w:autoSpaceDN w:val="0"/>
              <w:adjustRightInd w:val="0"/>
              <w:spacing w:before="60" w:after="60"/>
              <w:rPr>
                <w:rFonts w:ascii="Calibri" w:eastAsia="MS Mincho" w:hAnsi="Calibri" w:cs="Calibri"/>
                <w:color w:val="000000"/>
                <w:sz w:val="20"/>
                <w:szCs w:val="20"/>
              </w:rPr>
            </w:pPr>
            <w:r w:rsidRPr="00F15518">
              <w:rPr>
                <w:rFonts w:ascii="Calibri" w:eastAsia="MS Mincho" w:hAnsi="Calibri" w:cs="Calibri"/>
                <w:color w:val="000000"/>
                <w:sz w:val="20"/>
                <w:szCs w:val="20"/>
              </w:rPr>
              <w:t>Neuropathic pain</w:t>
            </w:r>
          </w:p>
        </w:tc>
      </w:tr>
    </w:tbl>
    <w:p w14:paraId="3158F38D" w14:textId="7F5E5A47" w:rsidR="00C00B69" w:rsidRPr="0058188C" w:rsidRDefault="00C00B69" w:rsidP="00C00B69">
      <w:pPr>
        <w:pStyle w:val="Notes"/>
      </w:pPr>
      <w:r w:rsidRPr="0058188C">
        <w:t xml:space="preserve">Source: </w:t>
      </w:r>
      <w:r>
        <w:t xml:space="preserve">TGA </w:t>
      </w:r>
      <w:r w:rsidRPr="0058188C">
        <w:t>Product Information</w:t>
      </w:r>
      <w:r>
        <w:t xml:space="preserve">, accessed </w:t>
      </w:r>
      <w:r w:rsidR="00F15518">
        <w:t>24/11/2022</w:t>
      </w:r>
    </w:p>
    <w:p w14:paraId="1AA1ECB7" w14:textId="3164CDB4" w:rsidR="00DB3249" w:rsidRDefault="00DB3249" w:rsidP="00DB3249">
      <w:r>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15E919C1" w14:textId="1B3BA560" w:rsidR="006B709B" w:rsidRDefault="006B709B" w:rsidP="0046280F">
      <w:pPr>
        <w:pStyle w:val="Heading2"/>
        <w:keepNext/>
      </w:pPr>
      <w:r>
        <w:t>Dosage and administration</w:t>
      </w:r>
    </w:p>
    <w:p w14:paraId="69A984E0" w14:textId="77777777" w:rsidR="005A4A15" w:rsidRDefault="00C077B6" w:rsidP="00F17D4B">
      <w:r w:rsidRPr="00C077B6">
        <w:t>The recommended dosages of these medicines are complex and vary widely within a medicine depending on use as acute/chronic treatment, mode of administration (i.e. intravenous (IV)/subcutaneous (SC)/oral/transdermal</w:t>
      </w:r>
      <w:r w:rsidR="00E3047A">
        <w:t>/rectal</w:t>
      </w:r>
      <w:r w:rsidRPr="00C077B6">
        <w:t>) and rate of release (immediate or controlled).</w:t>
      </w:r>
    </w:p>
    <w:p w14:paraId="6682A05C" w14:textId="53779DC3" w:rsidR="00F17D4B" w:rsidRPr="002F61CA" w:rsidRDefault="00C077B6" w:rsidP="00F17D4B">
      <w:r w:rsidRPr="00C077B6">
        <w:lastRenderedPageBreak/>
        <w:t>Detailed dosing information can be found in the Australian Medicines Handbook online</w:t>
      </w:r>
      <w:r>
        <w:rPr>
          <w:rStyle w:val="FootnoteReference"/>
        </w:rPr>
        <w:footnoteReference w:id="1"/>
      </w:r>
      <w:r w:rsidRPr="00C077B6">
        <w:t xml:space="preserve"> and in </w:t>
      </w:r>
      <w:hyperlink r:id="rId10" w:history="1">
        <w:r w:rsidR="00F17D4B">
          <w:rPr>
            <w:rStyle w:val="Hyperlink"/>
          </w:rPr>
          <w:t xml:space="preserve">the TGA </w:t>
        </w:r>
        <w:r>
          <w:rPr>
            <w:rStyle w:val="Hyperlink"/>
          </w:rPr>
          <w:t>P</w:t>
        </w:r>
        <w:r w:rsidR="00F17D4B">
          <w:rPr>
            <w:rStyle w:val="Hyperlink"/>
          </w:rPr>
          <w:t>roduct Information</w:t>
        </w:r>
      </w:hyperlink>
      <w:r w:rsidR="00F17D4B">
        <w:t>.</w:t>
      </w:r>
    </w:p>
    <w:p w14:paraId="752BA2E1" w14:textId="77777777" w:rsidR="005A4A15" w:rsidRDefault="005A4A15">
      <w:pPr>
        <w:spacing w:line="276" w:lineRule="auto"/>
        <w:rPr>
          <w:b/>
          <w:sz w:val="28"/>
        </w:rPr>
      </w:pPr>
      <w:r>
        <w:br w:type="page"/>
      </w:r>
    </w:p>
    <w:p w14:paraId="46E2BB42" w14:textId="049C245C"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C077B6">
        <w:t>1 November 2022</w:t>
      </w:r>
      <w:r w:rsidR="00D151EB" w:rsidDel="00EE2BBB">
        <w:t>)</w:t>
      </w:r>
    </w:p>
    <w:p w14:paraId="02156AAD" w14:textId="7FEE5E27" w:rsidR="00C077B6" w:rsidRPr="00C077B6" w:rsidRDefault="00C077B6" w:rsidP="00C077B6">
      <w:pPr>
        <w:rPr>
          <w:rFonts w:ascii="Calibri" w:eastAsia="Yu Mincho" w:hAnsi="Calibri" w:cs="Times New Roman"/>
        </w:rPr>
      </w:pPr>
      <w:r w:rsidRPr="00C077B6">
        <w:rPr>
          <w:rFonts w:ascii="Calibri" w:eastAsia="Yu Mincho" w:hAnsi="Calibri" w:cs="Times New Roman"/>
        </w:rPr>
        <w:t xml:space="preserve">Table 2 presents an overview of opioid analgesics listed on the PBS. Current PBS listing details are available from the </w:t>
      </w:r>
      <w:hyperlink r:id="rId11" w:history="1">
        <w:r w:rsidR="00DB3249">
          <w:rPr>
            <w:rStyle w:val="Hyperlink"/>
          </w:rPr>
          <w:t>PBS website</w:t>
        </w:r>
      </w:hyperlink>
      <w:r w:rsidR="00DB3249">
        <w:rPr>
          <w:rStyle w:val="Hyperlink"/>
        </w:rPr>
        <w:t>.</w:t>
      </w:r>
    </w:p>
    <w:p w14:paraId="0AAA2CE4" w14:textId="334504EE" w:rsidR="00C077B6" w:rsidRPr="00C077B6" w:rsidRDefault="00C077B6" w:rsidP="00C077B6">
      <w:pPr>
        <w:pStyle w:val="Tabletitle"/>
      </w:pPr>
      <w:r w:rsidRPr="00C077B6">
        <w:t xml:space="preserve">Table 2: PBS restrictions for opioid analgesics and </w:t>
      </w:r>
      <w:r w:rsidR="00F15518">
        <w:t>non-opioids</w:t>
      </w:r>
    </w:p>
    <w:tbl>
      <w:tblPr>
        <w:tblStyle w:val="Summarybox1"/>
        <w:tblW w:w="0" w:type="auto"/>
        <w:tblInd w:w="108" w:type="dxa"/>
        <w:tblLook w:val="04A0" w:firstRow="1" w:lastRow="0" w:firstColumn="1" w:lastColumn="0" w:noHBand="0" w:noVBand="1"/>
        <w:tblCaption w:val="Table 3: PBS listings of opioid analgesics. "/>
        <w:tblDescription w:val="This table presents the PBS listings for opioid analgesics from the July 2014 PBS Schedule. "/>
      </w:tblPr>
      <w:tblGrid>
        <w:gridCol w:w="3715"/>
        <w:gridCol w:w="5124"/>
      </w:tblGrid>
      <w:tr w:rsidR="00C077B6" w:rsidRPr="00C077B6" w14:paraId="79340818" w14:textId="77777777" w:rsidTr="00C077B6">
        <w:trPr>
          <w:tblHeader/>
        </w:trPr>
        <w:tc>
          <w:tcPr>
            <w:tcW w:w="3715" w:type="dxa"/>
            <w:tcBorders>
              <w:bottom w:val="single" w:sz="4" w:space="0" w:color="auto"/>
            </w:tcBorders>
            <w:shd w:val="clear" w:color="auto" w:fill="BFBFBF"/>
          </w:tcPr>
          <w:p w14:paraId="3D88E998" w14:textId="77777777" w:rsidR="00C077B6" w:rsidRPr="00C077B6" w:rsidRDefault="00C077B6" w:rsidP="00C077B6">
            <w:pPr>
              <w:autoSpaceDE w:val="0"/>
              <w:autoSpaceDN w:val="0"/>
              <w:adjustRightInd w:val="0"/>
              <w:jc w:val="center"/>
              <w:rPr>
                <w:rFonts w:ascii="Calibri" w:eastAsia="Yu Mincho" w:hAnsi="Calibri" w:cs="Calibri"/>
                <w:b/>
                <w:sz w:val="20"/>
                <w:szCs w:val="20"/>
              </w:rPr>
            </w:pPr>
            <w:r w:rsidRPr="00C077B6">
              <w:rPr>
                <w:rFonts w:ascii="Calibri" w:eastAsia="Yu Mincho" w:hAnsi="Calibri" w:cs="Calibri"/>
                <w:b/>
                <w:sz w:val="20"/>
                <w:szCs w:val="20"/>
              </w:rPr>
              <w:t>Drug and form</w:t>
            </w:r>
          </w:p>
        </w:tc>
        <w:tc>
          <w:tcPr>
            <w:tcW w:w="5124" w:type="dxa"/>
            <w:tcBorders>
              <w:bottom w:val="single" w:sz="4" w:space="0" w:color="auto"/>
            </w:tcBorders>
            <w:shd w:val="clear" w:color="auto" w:fill="BFBFBF"/>
          </w:tcPr>
          <w:p w14:paraId="4876309E" w14:textId="77777777" w:rsidR="00C077B6" w:rsidRPr="00C077B6" w:rsidRDefault="00C077B6" w:rsidP="00C077B6">
            <w:pPr>
              <w:autoSpaceDE w:val="0"/>
              <w:autoSpaceDN w:val="0"/>
              <w:adjustRightInd w:val="0"/>
              <w:jc w:val="center"/>
              <w:rPr>
                <w:rFonts w:ascii="Calibri" w:eastAsia="Yu Mincho" w:hAnsi="Calibri" w:cs="Calibri"/>
                <w:b/>
                <w:sz w:val="20"/>
                <w:szCs w:val="20"/>
              </w:rPr>
            </w:pPr>
            <w:r w:rsidRPr="00C077B6">
              <w:rPr>
                <w:rFonts w:ascii="Calibri" w:eastAsia="Yu Mincho" w:hAnsi="Calibri" w:cs="Calibri"/>
                <w:b/>
                <w:sz w:val="20"/>
                <w:szCs w:val="20"/>
              </w:rPr>
              <w:t>Restrictions (abridged)</w:t>
            </w:r>
          </w:p>
        </w:tc>
      </w:tr>
      <w:tr w:rsidR="00C077B6" w:rsidRPr="00C077B6" w14:paraId="56B51549" w14:textId="77777777" w:rsidTr="00107F4F">
        <w:tc>
          <w:tcPr>
            <w:tcW w:w="3715" w:type="dxa"/>
            <w:tcBorders>
              <w:right w:val="nil"/>
            </w:tcBorders>
          </w:tcPr>
          <w:p w14:paraId="5C2773BB"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Buprenorphine</w:t>
            </w:r>
          </w:p>
        </w:tc>
        <w:tc>
          <w:tcPr>
            <w:tcW w:w="5124" w:type="dxa"/>
            <w:tcBorders>
              <w:left w:val="nil"/>
            </w:tcBorders>
          </w:tcPr>
          <w:p w14:paraId="708FC63D" w14:textId="77777777" w:rsidR="00C077B6" w:rsidRPr="00C077B6" w:rsidRDefault="00C077B6" w:rsidP="00C077B6">
            <w:pPr>
              <w:autoSpaceDE w:val="0"/>
              <w:autoSpaceDN w:val="0"/>
              <w:adjustRightInd w:val="0"/>
              <w:rPr>
                <w:rFonts w:ascii="Calibri" w:eastAsia="Yu Mincho" w:hAnsi="Calibri" w:cs="Calibri"/>
                <w:color w:val="000000"/>
                <w:sz w:val="20"/>
                <w:szCs w:val="20"/>
              </w:rPr>
            </w:pPr>
          </w:p>
        </w:tc>
      </w:tr>
      <w:tr w:rsidR="00C077B6" w:rsidRPr="00C077B6" w14:paraId="59E34B41" w14:textId="77777777" w:rsidTr="00107F4F">
        <w:tc>
          <w:tcPr>
            <w:tcW w:w="3715" w:type="dxa"/>
            <w:tcBorders>
              <w:bottom w:val="single" w:sz="4" w:space="0" w:color="auto"/>
            </w:tcBorders>
          </w:tcPr>
          <w:p w14:paraId="7BFE668F"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Buprenorphine patches</w:t>
            </w:r>
          </w:p>
        </w:tc>
        <w:tc>
          <w:tcPr>
            <w:tcW w:w="5124" w:type="dxa"/>
            <w:tcBorders>
              <w:bottom w:val="single" w:sz="4" w:space="0" w:color="auto"/>
            </w:tcBorders>
          </w:tcPr>
          <w:p w14:paraId="238BFE86" w14:textId="77777777" w:rsidR="00C077B6" w:rsidRPr="00DC193F" w:rsidRDefault="00C077B6" w:rsidP="00C077B6">
            <w:pPr>
              <w:autoSpaceDE w:val="0"/>
              <w:autoSpaceDN w:val="0"/>
              <w:adjustRightInd w:val="0"/>
              <w:rPr>
                <w:rFonts w:ascii="Calibri" w:eastAsia="Yu Mincho" w:hAnsi="Calibri" w:cs="Calibri"/>
                <w:color w:val="000000"/>
                <w:sz w:val="20"/>
                <w:szCs w:val="20"/>
              </w:rPr>
            </w:pPr>
            <w:r w:rsidRPr="00DC193F">
              <w:rPr>
                <w:rFonts w:ascii="Calibri" w:eastAsia="Yu Mincho" w:hAnsi="Calibri" w:cs="Calibri"/>
                <w:color w:val="000000"/>
                <w:sz w:val="20"/>
                <w:szCs w:val="20"/>
              </w:rPr>
              <w:t xml:space="preserve">Chronic </w:t>
            </w:r>
            <w:r w:rsidR="00EA4324" w:rsidRPr="00DC193F">
              <w:rPr>
                <w:rFonts w:ascii="Calibri" w:eastAsia="Yu Mincho" w:hAnsi="Calibri" w:cs="Calibri"/>
                <w:color w:val="000000"/>
                <w:sz w:val="20"/>
                <w:szCs w:val="20"/>
              </w:rPr>
              <w:t>severe</w:t>
            </w:r>
            <w:r w:rsidRPr="00DC193F">
              <w:rPr>
                <w:rFonts w:ascii="Calibri" w:eastAsia="Yu Mincho" w:hAnsi="Calibri" w:cs="Calibri"/>
                <w:color w:val="000000"/>
                <w:sz w:val="20"/>
                <w:szCs w:val="20"/>
              </w:rPr>
              <w:t xml:space="preserve"> pain</w:t>
            </w:r>
          </w:p>
          <w:p w14:paraId="69B1825E" w14:textId="55BD5DAC" w:rsidR="00EA4324" w:rsidRPr="00DC193F" w:rsidRDefault="00EA4324" w:rsidP="00C077B6">
            <w:pPr>
              <w:autoSpaceDE w:val="0"/>
              <w:autoSpaceDN w:val="0"/>
              <w:adjustRightInd w:val="0"/>
              <w:rPr>
                <w:rFonts w:ascii="Calibri" w:eastAsia="Yu Mincho" w:hAnsi="Calibri" w:cs="Calibri"/>
                <w:color w:val="000000"/>
                <w:sz w:val="20"/>
                <w:szCs w:val="20"/>
              </w:rPr>
            </w:pPr>
            <w:r w:rsidRPr="00DC193F">
              <w:rPr>
                <w:rFonts w:ascii="Calibri" w:eastAsia="Yu Mincho" w:hAnsi="Calibri" w:cs="Calibri"/>
                <w:color w:val="000000"/>
                <w:sz w:val="20"/>
                <w:szCs w:val="20"/>
              </w:rPr>
              <w:t>Severe disabling pain (palliative care)</w:t>
            </w:r>
          </w:p>
        </w:tc>
      </w:tr>
      <w:tr w:rsidR="00C077B6" w:rsidRPr="00C077B6" w14:paraId="404CCFA5" w14:textId="77777777" w:rsidTr="00107F4F">
        <w:tc>
          <w:tcPr>
            <w:tcW w:w="3715" w:type="dxa"/>
            <w:tcBorders>
              <w:right w:val="nil"/>
            </w:tcBorders>
          </w:tcPr>
          <w:p w14:paraId="7FCAE728"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Codeine</w:t>
            </w:r>
          </w:p>
        </w:tc>
        <w:tc>
          <w:tcPr>
            <w:tcW w:w="5124" w:type="dxa"/>
            <w:tcBorders>
              <w:left w:val="nil"/>
            </w:tcBorders>
          </w:tcPr>
          <w:p w14:paraId="2612F4FA" w14:textId="77777777" w:rsidR="00C077B6" w:rsidRPr="00DC193F" w:rsidRDefault="00C077B6" w:rsidP="00C077B6">
            <w:pPr>
              <w:autoSpaceDE w:val="0"/>
              <w:autoSpaceDN w:val="0"/>
              <w:adjustRightInd w:val="0"/>
              <w:rPr>
                <w:rFonts w:ascii="Calibri" w:eastAsia="Yu Mincho" w:hAnsi="Calibri" w:cs="Calibri"/>
                <w:b/>
                <w:color w:val="000000"/>
                <w:sz w:val="20"/>
                <w:szCs w:val="20"/>
              </w:rPr>
            </w:pPr>
          </w:p>
        </w:tc>
      </w:tr>
      <w:tr w:rsidR="00C077B6" w:rsidRPr="00C077B6" w14:paraId="6CDA46BB" w14:textId="77777777" w:rsidTr="00107F4F">
        <w:tc>
          <w:tcPr>
            <w:tcW w:w="3715" w:type="dxa"/>
            <w:tcBorders>
              <w:bottom w:val="single" w:sz="4" w:space="0" w:color="auto"/>
            </w:tcBorders>
          </w:tcPr>
          <w:p w14:paraId="5DC6C8F4"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Codeine tablets</w:t>
            </w:r>
          </w:p>
        </w:tc>
        <w:tc>
          <w:tcPr>
            <w:tcW w:w="5124" w:type="dxa"/>
            <w:tcBorders>
              <w:bottom w:val="single" w:sz="4" w:space="0" w:color="auto"/>
            </w:tcBorders>
          </w:tcPr>
          <w:p w14:paraId="2E181494" w14:textId="67C1CC00" w:rsidR="00C077B6" w:rsidRPr="00DC193F" w:rsidRDefault="00DC193F" w:rsidP="00C077B6">
            <w:pPr>
              <w:autoSpaceDE w:val="0"/>
              <w:autoSpaceDN w:val="0"/>
              <w:adjustRightInd w:val="0"/>
              <w:rPr>
                <w:rFonts w:ascii="Calibri" w:eastAsia="Yu Mincho" w:hAnsi="Calibri" w:cs="Calibri"/>
                <w:color w:val="000000"/>
                <w:sz w:val="20"/>
                <w:szCs w:val="20"/>
              </w:rPr>
            </w:pPr>
            <w:r w:rsidRPr="00DC193F">
              <w:rPr>
                <w:rFonts w:ascii="Calibri" w:eastAsia="Yu Mincho" w:hAnsi="Calibri" w:cs="Calibri"/>
                <w:color w:val="000000"/>
                <w:sz w:val="20"/>
                <w:szCs w:val="20"/>
              </w:rPr>
              <w:t>Severe pain</w:t>
            </w:r>
          </w:p>
        </w:tc>
      </w:tr>
      <w:tr w:rsidR="00C077B6" w:rsidRPr="00C077B6" w14:paraId="3FE55052" w14:textId="77777777" w:rsidTr="00107F4F">
        <w:tc>
          <w:tcPr>
            <w:tcW w:w="3715" w:type="dxa"/>
            <w:tcBorders>
              <w:right w:val="nil"/>
            </w:tcBorders>
          </w:tcPr>
          <w:p w14:paraId="0CD87364"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Fentanyl</w:t>
            </w:r>
          </w:p>
        </w:tc>
        <w:tc>
          <w:tcPr>
            <w:tcW w:w="5124" w:type="dxa"/>
            <w:tcBorders>
              <w:left w:val="nil"/>
            </w:tcBorders>
          </w:tcPr>
          <w:p w14:paraId="66CF75C1"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3C7567B6" w14:textId="77777777" w:rsidTr="00107F4F">
        <w:tc>
          <w:tcPr>
            <w:tcW w:w="3715" w:type="dxa"/>
          </w:tcPr>
          <w:p w14:paraId="5B472025"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Fentanyl patches</w:t>
            </w:r>
          </w:p>
        </w:tc>
        <w:tc>
          <w:tcPr>
            <w:tcW w:w="5124" w:type="dxa"/>
          </w:tcPr>
          <w:p w14:paraId="42EF8C05" w14:textId="77777777" w:rsidR="006C3424" w:rsidRPr="006C3424" w:rsidRDefault="006C3424"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Chronic severe disabling pain</w:t>
            </w:r>
          </w:p>
          <w:p w14:paraId="52A91AC9" w14:textId="358ED0DD"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disabling pain</w:t>
            </w:r>
            <w:r w:rsidR="006C3424" w:rsidRPr="006C3424">
              <w:rPr>
                <w:rFonts w:ascii="Calibri" w:eastAsia="Yu Mincho" w:hAnsi="Calibri" w:cs="Calibri"/>
                <w:color w:val="000000"/>
                <w:sz w:val="20"/>
                <w:szCs w:val="20"/>
              </w:rPr>
              <w:t xml:space="preserve"> (palliative care)</w:t>
            </w:r>
          </w:p>
        </w:tc>
      </w:tr>
      <w:tr w:rsidR="00C077B6" w:rsidRPr="00C077B6" w14:paraId="18C30975" w14:textId="77777777" w:rsidTr="00107F4F">
        <w:tc>
          <w:tcPr>
            <w:tcW w:w="3715" w:type="dxa"/>
            <w:tcBorders>
              <w:bottom w:val="single" w:sz="4" w:space="0" w:color="auto"/>
            </w:tcBorders>
          </w:tcPr>
          <w:p w14:paraId="7F189106" w14:textId="04250A62"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Fentanyl lozenge</w:t>
            </w:r>
            <w:r w:rsidR="006C3424">
              <w:rPr>
                <w:rFonts w:ascii="Calibri" w:eastAsia="Yu Mincho" w:hAnsi="Calibri" w:cs="Calibri"/>
                <w:color w:val="000000"/>
                <w:sz w:val="20"/>
                <w:szCs w:val="20"/>
              </w:rPr>
              <w:t>,</w:t>
            </w:r>
            <w:r w:rsidRPr="00C077B6">
              <w:rPr>
                <w:rFonts w:ascii="Calibri" w:eastAsia="Yu Mincho" w:hAnsi="Calibri" w:cs="Calibri"/>
                <w:color w:val="000000"/>
                <w:sz w:val="20"/>
                <w:szCs w:val="20"/>
              </w:rPr>
              <w:t xml:space="preserve"> sublingual tablet</w:t>
            </w:r>
            <w:r w:rsidR="006C3424">
              <w:rPr>
                <w:rFonts w:ascii="Calibri" w:eastAsia="Yu Mincho" w:hAnsi="Calibri" w:cs="Calibri"/>
                <w:color w:val="000000"/>
                <w:sz w:val="20"/>
                <w:szCs w:val="20"/>
              </w:rPr>
              <w:t xml:space="preserve"> &amp; </w:t>
            </w:r>
            <w:r w:rsidR="006C3424" w:rsidRPr="006C3424">
              <w:rPr>
                <w:rFonts w:ascii="Calibri" w:eastAsia="Yu Mincho" w:hAnsi="Calibri" w:cs="Calibri"/>
                <w:color w:val="000000"/>
                <w:sz w:val="20"/>
                <w:szCs w:val="20"/>
              </w:rPr>
              <w:t>orally disintegrating tablet</w:t>
            </w:r>
          </w:p>
        </w:tc>
        <w:tc>
          <w:tcPr>
            <w:tcW w:w="5124" w:type="dxa"/>
            <w:tcBorders>
              <w:bottom w:val="single" w:sz="4" w:space="0" w:color="auto"/>
            </w:tcBorders>
          </w:tcPr>
          <w:p w14:paraId="6C808033"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 xml:space="preserve">Breakthrough pain (palliative care) </w:t>
            </w:r>
          </w:p>
        </w:tc>
      </w:tr>
      <w:tr w:rsidR="00C077B6" w:rsidRPr="00C077B6" w14:paraId="0E946B57" w14:textId="77777777" w:rsidTr="00107F4F">
        <w:tc>
          <w:tcPr>
            <w:tcW w:w="3715" w:type="dxa"/>
            <w:tcBorders>
              <w:right w:val="nil"/>
            </w:tcBorders>
          </w:tcPr>
          <w:p w14:paraId="0D4E9AC2"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Hydromorphone</w:t>
            </w:r>
          </w:p>
        </w:tc>
        <w:tc>
          <w:tcPr>
            <w:tcW w:w="5124" w:type="dxa"/>
            <w:tcBorders>
              <w:left w:val="nil"/>
            </w:tcBorders>
          </w:tcPr>
          <w:p w14:paraId="1B93C25F"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04C59945" w14:textId="77777777" w:rsidTr="00107F4F">
        <w:tc>
          <w:tcPr>
            <w:tcW w:w="3715" w:type="dxa"/>
          </w:tcPr>
          <w:p w14:paraId="6EE69E40"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 xml:space="preserve">Hydromorphone tablets (standard release) </w:t>
            </w:r>
          </w:p>
        </w:tc>
        <w:tc>
          <w:tcPr>
            <w:tcW w:w="5124" w:type="dxa"/>
          </w:tcPr>
          <w:p w14:paraId="79C8EA82" w14:textId="77777777" w:rsidR="00DC193F"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pain</w:t>
            </w:r>
          </w:p>
          <w:p w14:paraId="2051FF8D" w14:textId="42CE6380" w:rsidR="00DC193F" w:rsidRPr="006C3424" w:rsidRDefault="00DC193F"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pain (palliative care)</w:t>
            </w:r>
          </w:p>
        </w:tc>
      </w:tr>
      <w:tr w:rsidR="00C077B6" w:rsidRPr="00C077B6" w14:paraId="05A1C4F1" w14:textId="77777777" w:rsidTr="00107F4F">
        <w:tc>
          <w:tcPr>
            <w:tcW w:w="3715" w:type="dxa"/>
          </w:tcPr>
          <w:p w14:paraId="2B95A5C3"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 xml:space="preserve">Hydromorphone tablets (modified release) </w:t>
            </w:r>
          </w:p>
        </w:tc>
        <w:tc>
          <w:tcPr>
            <w:tcW w:w="5124" w:type="dxa"/>
          </w:tcPr>
          <w:p w14:paraId="485825B0" w14:textId="77777777" w:rsidR="006C3424" w:rsidRDefault="006C3424"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Chronic severe pain</w:t>
            </w:r>
          </w:p>
          <w:p w14:paraId="2704FE70" w14:textId="25ABBC00" w:rsidR="00C077B6" w:rsidRPr="006C3424" w:rsidRDefault="00DC193F"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disabling pain (palliative care)</w:t>
            </w:r>
          </w:p>
        </w:tc>
      </w:tr>
      <w:tr w:rsidR="00C077B6" w:rsidRPr="00C077B6" w14:paraId="4CAC6DEC" w14:textId="77777777" w:rsidTr="00107F4F">
        <w:tc>
          <w:tcPr>
            <w:tcW w:w="3715" w:type="dxa"/>
          </w:tcPr>
          <w:p w14:paraId="2A0CF225"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Hydromorphone injection</w:t>
            </w:r>
          </w:p>
        </w:tc>
        <w:tc>
          <w:tcPr>
            <w:tcW w:w="5124" w:type="dxa"/>
          </w:tcPr>
          <w:p w14:paraId="552E9146" w14:textId="77777777" w:rsidR="006C3424" w:rsidRPr="006C3424" w:rsidRDefault="006C3424" w:rsidP="006C3424">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 xml:space="preserve">Severe pain </w:t>
            </w:r>
          </w:p>
          <w:p w14:paraId="4DB24FCE" w14:textId="76880F5B" w:rsidR="00C077B6" w:rsidRPr="006C3424" w:rsidRDefault="006C3424" w:rsidP="006C3424">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pain (palliative care)</w:t>
            </w:r>
          </w:p>
        </w:tc>
      </w:tr>
      <w:tr w:rsidR="00C077B6" w:rsidRPr="00C077B6" w14:paraId="4832E410" w14:textId="77777777" w:rsidTr="00107F4F">
        <w:tc>
          <w:tcPr>
            <w:tcW w:w="3715" w:type="dxa"/>
            <w:tcBorders>
              <w:bottom w:val="single" w:sz="4" w:space="0" w:color="auto"/>
            </w:tcBorders>
          </w:tcPr>
          <w:p w14:paraId="0E01D9A5"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Hydromorphone oral liquid</w:t>
            </w:r>
          </w:p>
        </w:tc>
        <w:tc>
          <w:tcPr>
            <w:tcW w:w="5124" w:type="dxa"/>
            <w:tcBorders>
              <w:bottom w:val="single" w:sz="4" w:space="0" w:color="auto"/>
            </w:tcBorders>
          </w:tcPr>
          <w:p w14:paraId="0FF4AB9C" w14:textId="77777777" w:rsidR="00C077B6" w:rsidRPr="006C3424" w:rsidRDefault="00C077B6"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 xml:space="preserve">Severe pain </w:t>
            </w:r>
          </w:p>
          <w:p w14:paraId="7807396C" w14:textId="41801B27" w:rsidR="006C3424" w:rsidRPr="006C3424" w:rsidRDefault="006C3424" w:rsidP="00C077B6">
            <w:pPr>
              <w:autoSpaceDE w:val="0"/>
              <w:autoSpaceDN w:val="0"/>
              <w:adjustRightInd w:val="0"/>
              <w:rPr>
                <w:rFonts w:ascii="Calibri" w:eastAsia="Yu Mincho" w:hAnsi="Calibri" w:cs="Calibri"/>
                <w:color w:val="000000"/>
                <w:sz w:val="20"/>
                <w:szCs w:val="20"/>
              </w:rPr>
            </w:pPr>
            <w:r w:rsidRPr="006C3424">
              <w:rPr>
                <w:rFonts w:ascii="Calibri" w:eastAsia="Yu Mincho" w:hAnsi="Calibri" w:cs="Calibri"/>
                <w:color w:val="000000"/>
                <w:sz w:val="20"/>
                <w:szCs w:val="20"/>
              </w:rPr>
              <w:t>Severe pain (palliative care)</w:t>
            </w:r>
          </w:p>
        </w:tc>
      </w:tr>
      <w:tr w:rsidR="00C077B6" w:rsidRPr="00C077B6" w14:paraId="5602748E" w14:textId="77777777" w:rsidTr="00107F4F">
        <w:tc>
          <w:tcPr>
            <w:tcW w:w="3715" w:type="dxa"/>
            <w:tcBorders>
              <w:right w:val="nil"/>
            </w:tcBorders>
          </w:tcPr>
          <w:p w14:paraId="63640F27"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Methadone</w:t>
            </w:r>
          </w:p>
        </w:tc>
        <w:tc>
          <w:tcPr>
            <w:tcW w:w="5124" w:type="dxa"/>
            <w:tcBorders>
              <w:left w:val="nil"/>
            </w:tcBorders>
          </w:tcPr>
          <w:p w14:paraId="10A6471A"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29FB1C3A" w14:textId="77777777" w:rsidTr="00107F4F">
        <w:tc>
          <w:tcPr>
            <w:tcW w:w="3715" w:type="dxa"/>
          </w:tcPr>
          <w:p w14:paraId="373E49B2"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Methadone tablet</w:t>
            </w:r>
          </w:p>
        </w:tc>
        <w:tc>
          <w:tcPr>
            <w:tcW w:w="5124" w:type="dxa"/>
          </w:tcPr>
          <w:p w14:paraId="5810CDA7" w14:textId="77777777" w:rsidR="006C3424" w:rsidRPr="00A6084A" w:rsidRDefault="006C3424"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 xml:space="preserve">Chronic severe disabling pain </w:t>
            </w:r>
          </w:p>
          <w:p w14:paraId="6B9E10E5" w14:textId="37CD3FAE" w:rsidR="00C077B6" w:rsidRPr="00A6084A" w:rsidRDefault="00C077B6"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Severe disabling pain</w:t>
            </w:r>
            <w:r w:rsidR="006C3424" w:rsidRPr="00A6084A">
              <w:rPr>
                <w:rFonts w:ascii="Calibri" w:eastAsia="Yu Mincho" w:hAnsi="Calibri" w:cs="Calibri"/>
                <w:color w:val="000000"/>
                <w:sz w:val="20"/>
                <w:szCs w:val="20"/>
              </w:rPr>
              <w:t xml:space="preserve"> (palliative care)</w:t>
            </w:r>
          </w:p>
        </w:tc>
      </w:tr>
      <w:tr w:rsidR="00C077B6" w:rsidRPr="00C077B6" w14:paraId="1566005E" w14:textId="77777777" w:rsidTr="00107F4F">
        <w:tc>
          <w:tcPr>
            <w:tcW w:w="3715" w:type="dxa"/>
          </w:tcPr>
          <w:p w14:paraId="21769A70"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Methadone oral liquid</w:t>
            </w:r>
          </w:p>
        </w:tc>
        <w:tc>
          <w:tcPr>
            <w:tcW w:w="5124" w:type="dxa"/>
          </w:tcPr>
          <w:p w14:paraId="5E0F8B75" w14:textId="77777777" w:rsidR="00C077B6" w:rsidRPr="00A6084A" w:rsidRDefault="00C077B6"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Chronic severe disabling pain</w:t>
            </w:r>
            <w:r w:rsidRPr="00A6084A" w:rsidDel="008863C5">
              <w:rPr>
                <w:rFonts w:ascii="Calibri" w:eastAsia="Yu Mincho" w:hAnsi="Calibri" w:cs="Calibri"/>
                <w:color w:val="000000"/>
                <w:sz w:val="20"/>
                <w:szCs w:val="20"/>
              </w:rPr>
              <w:t xml:space="preserve"> </w:t>
            </w:r>
            <w:r w:rsidRPr="00A6084A">
              <w:rPr>
                <w:rFonts w:ascii="Calibri" w:eastAsia="Yu Mincho" w:hAnsi="Calibri" w:cs="Calibri"/>
                <w:color w:val="000000"/>
                <w:sz w:val="20"/>
                <w:szCs w:val="20"/>
              </w:rPr>
              <w:t xml:space="preserve">(palliative care) </w:t>
            </w:r>
          </w:p>
        </w:tc>
      </w:tr>
      <w:tr w:rsidR="00C077B6" w:rsidRPr="00C077B6" w14:paraId="0A291645" w14:textId="77777777" w:rsidTr="00107F4F">
        <w:tc>
          <w:tcPr>
            <w:tcW w:w="3715" w:type="dxa"/>
            <w:tcBorders>
              <w:bottom w:val="single" w:sz="4" w:space="0" w:color="auto"/>
            </w:tcBorders>
          </w:tcPr>
          <w:p w14:paraId="0528C91B"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Methadone injection</w:t>
            </w:r>
          </w:p>
        </w:tc>
        <w:tc>
          <w:tcPr>
            <w:tcW w:w="5124" w:type="dxa"/>
            <w:tcBorders>
              <w:bottom w:val="single" w:sz="4" w:space="0" w:color="auto"/>
            </w:tcBorders>
          </w:tcPr>
          <w:p w14:paraId="026753A9" w14:textId="77777777" w:rsidR="006C3424" w:rsidRPr="00A6084A" w:rsidRDefault="006C3424"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 xml:space="preserve">Chronic severe disabling pain </w:t>
            </w:r>
          </w:p>
          <w:p w14:paraId="08B7B1B5" w14:textId="1A852EF6" w:rsidR="00C077B6" w:rsidRPr="00A6084A" w:rsidRDefault="00C077B6"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 xml:space="preserve">Severe disabling pain </w:t>
            </w:r>
            <w:r w:rsidR="006C3424" w:rsidRPr="00A6084A">
              <w:rPr>
                <w:rFonts w:ascii="Calibri" w:eastAsia="Yu Mincho" w:hAnsi="Calibri" w:cs="Calibri"/>
                <w:color w:val="000000"/>
                <w:sz w:val="20"/>
                <w:szCs w:val="20"/>
              </w:rPr>
              <w:t>(palliative care)</w:t>
            </w:r>
          </w:p>
        </w:tc>
      </w:tr>
      <w:tr w:rsidR="00C077B6" w:rsidRPr="00C077B6" w14:paraId="482449C9" w14:textId="77777777" w:rsidTr="00107F4F">
        <w:tc>
          <w:tcPr>
            <w:tcW w:w="3715" w:type="dxa"/>
            <w:tcBorders>
              <w:bottom w:val="single" w:sz="4" w:space="0" w:color="auto"/>
              <w:right w:val="nil"/>
            </w:tcBorders>
          </w:tcPr>
          <w:p w14:paraId="6547FA4E"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Morphine</w:t>
            </w:r>
          </w:p>
        </w:tc>
        <w:tc>
          <w:tcPr>
            <w:tcW w:w="5124" w:type="dxa"/>
            <w:tcBorders>
              <w:left w:val="nil"/>
              <w:bottom w:val="single" w:sz="4" w:space="0" w:color="auto"/>
            </w:tcBorders>
          </w:tcPr>
          <w:p w14:paraId="155A66BE"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64E64976" w14:textId="77777777" w:rsidTr="00107F4F">
        <w:tc>
          <w:tcPr>
            <w:tcW w:w="3715" w:type="dxa"/>
            <w:tcBorders>
              <w:right w:val="nil"/>
            </w:tcBorders>
          </w:tcPr>
          <w:p w14:paraId="332F77CA" w14:textId="77777777" w:rsidR="00C077B6" w:rsidRPr="00C077B6" w:rsidRDefault="00C077B6" w:rsidP="00C077B6">
            <w:pPr>
              <w:autoSpaceDE w:val="0"/>
              <w:autoSpaceDN w:val="0"/>
              <w:adjustRightInd w:val="0"/>
              <w:rPr>
                <w:rFonts w:ascii="Calibri" w:eastAsia="Yu Mincho" w:hAnsi="Calibri" w:cs="Calibri"/>
                <w:i/>
                <w:color w:val="000000"/>
                <w:sz w:val="20"/>
                <w:szCs w:val="20"/>
              </w:rPr>
            </w:pPr>
            <w:r w:rsidRPr="00C077B6">
              <w:rPr>
                <w:rFonts w:ascii="Calibri" w:eastAsia="Yu Mincho" w:hAnsi="Calibri" w:cs="Calibri"/>
                <w:i/>
                <w:color w:val="000000"/>
                <w:sz w:val="20"/>
                <w:szCs w:val="20"/>
              </w:rPr>
              <w:t>Standard release tablets</w:t>
            </w:r>
          </w:p>
        </w:tc>
        <w:tc>
          <w:tcPr>
            <w:tcW w:w="5124" w:type="dxa"/>
            <w:tcBorders>
              <w:left w:val="nil"/>
            </w:tcBorders>
          </w:tcPr>
          <w:p w14:paraId="3F135D12"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936DE4" w:rsidRPr="00C077B6" w14:paraId="78EB70EA" w14:textId="77777777" w:rsidTr="00107F4F">
        <w:tc>
          <w:tcPr>
            <w:tcW w:w="3715" w:type="dxa"/>
          </w:tcPr>
          <w:p w14:paraId="601BB082" w14:textId="77777777" w:rsidR="00936DE4" w:rsidRPr="00C077B6" w:rsidRDefault="00936DE4" w:rsidP="00107F4F">
            <w:pPr>
              <w:autoSpaceDE w:val="0"/>
              <w:autoSpaceDN w:val="0"/>
              <w:adjustRightInd w:val="0"/>
              <w:rPr>
                <w:rFonts w:ascii="Calibri" w:eastAsia="Yu Mincho" w:hAnsi="Calibri" w:cs="Calibri"/>
                <w:color w:val="000000"/>
                <w:sz w:val="20"/>
                <w:szCs w:val="20"/>
              </w:rPr>
            </w:pPr>
            <w:r w:rsidRPr="00426A64">
              <w:rPr>
                <w:rFonts w:ascii="Calibri" w:eastAsia="Yu Mincho" w:hAnsi="Calibri" w:cs="Calibri"/>
                <w:color w:val="000000"/>
                <w:sz w:val="20"/>
                <w:szCs w:val="20"/>
              </w:rPr>
              <w:t>Morphine sulfate tablet (10</w:t>
            </w:r>
            <w:r>
              <w:rPr>
                <w:rFonts w:ascii="Calibri" w:eastAsia="Yu Mincho" w:hAnsi="Calibri" w:cs="Calibri"/>
                <w:color w:val="000000"/>
                <w:sz w:val="20"/>
                <w:szCs w:val="20"/>
              </w:rPr>
              <w:t xml:space="preserve"> or 20 mg</w:t>
            </w:r>
            <w:r w:rsidRPr="00426A64">
              <w:rPr>
                <w:rFonts w:ascii="Calibri" w:eastAsia="Yu Mincho" w:hAnsi="Calibri" w:cs="Calibri"/>
                <w:color w:val="000000"/>
                <w:sz w:val="20"/>
                <w:szCs w:val="20"/>
              </w:rPr>
              <w:t>, 0</w:t>
            </w:r>
            <w:r>
              <w:rPr>
                <w:rFonts w:ascii="Calibri" w:eastAsia="Yu Mincho" w:hAnsi="Calibri" w:cs="Calibri"/>
                <w:color w:val="000000"/>
                <w:sz w:val="20"/>
                <w:szCs w:val="20"/>
              </w:rPr>
              <w:t> </w:t>
            </w:r>
            <w:r w:rsidRPr="00426A64">
              <w:rPr>
                <w:rFonts w:ascii="Calibri" w:eastAsia="Yu Mincho" w:hAnsi="Calibri" w:cs="Calibri"/>
                <w:color w:val="000000"/>
                <w:sz w:val="20"/>
                <w:szCs w:val="20"/>
              </w:rPr>
              <w:t>repeats)</w:t>
            </w:r>
          </w:p>
        </w:tc>
        <w:tc>
          <w:tcPr>
            <w:tcW w:w="5124" w:type="dxa"/>
          </w:tcPr>
          <w:p w14:paraId="214F43DE" w14:textId="77777777" w:rsidR="00936DE4" w:rsidRPr="00A6084A" w:rsidRDefault="00936DE4" w:rsidP="00107F4F">
            <w:pPr>
              <w:autoSpaceDE w:val="0"/>
              <w:autoSpaceDN w:val="0"/>
              <w:adjustRightInd w:val="0"/>
              <w:rPr>
                <w:rFonts w:ascii="Calibri" w:eastAsia="Yu Mincho" w:hAnsi="Calibri" w:cs="Calibri"/>
                <w:color w:val="000000"/>
                <w:sz w:val="20"/>
                <w:szCs w:val="20"/>
              </w:rPr>
            </w:pPr>
            <w:r w:rsidRPr="009277B1">
              <w:rPr>
                <w:rFonts w:ascii="Calibri" w:eastAsia="Yu Mincho" w:hAnsi="Calibri" w:cs="Calibri"/>
                <w:color w:val="000000"/>
                <w:sz w:val="20"/>
                <w:szCs w:val="20"/>
              </w:rPr>
              <w:t>Cancer pain</w:t>
            </w:r>
          </w:p>
        </w:tc>
      </w:tr>
      <w:tr w:rsidR="00C077B6" w:rsidRPr="00C077B6" w14:paraId="1FEDDE68" w14:textId="77777777" w:rsidTr="00107F4F">
        <w:tc>
          <w:tcPr>
            <w:tcW w:w="3715" w:type="dxa"/>
          </w:tcPr>
          <w:p w14:paraId="719D3078" w14:textId="2157A3AD"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sulfate tablet (30mg, 0</w:t>
            </w:r>
            <w:r w:rsidR="008A1B8B">
              <w:rPr>
                <w:rFonts w:ascii="Calibri" w:eastAsia="Yu Mincho" w:hAnsi="Calibri" w:cs="Calibri"/>
                <w:color w:val="000000"/>
                <w:sz w:val="20"/>
                <w:szCs w:val="20"/>
              </w:rPr>
              <w:t> </w:t>
            </w:r>
            <w:r w:rsidRPr="00C077B6">
              <w:rPr>
                <w:rFonts w:ascii="Calibri" w:eastAsia="Yu Mincho" w:hAnsi="Calibri" w:cs="Calibri"/>
                <w:color w:val="000000"/>
                <w:sz w:val="20"/>
                <w:szCs w:val="20"/>
              </w:rPr>
              <w:t>repeats)</w:t>
            </w:r>
          </w:p>
        </w:tc>
        <w:tc>
          <w:tcPr>
            <w:tcW w:w="5124" w:type="dxa"/>
          </w:tcPr>
          <w:p w14:paraId="6020D455" w14:textId="77777777" w:rsidR="00C077B6" w:rsidRDefault="00A6084A"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Severe pain</w:t>
            </w:r>
          </w:p>
          <w:p w14:paraId="36596E6B" w14:textId="01968C34" w:rsidR="009277B1" w:rsidRPr="00C077B6" w:rsidRDefault="009277B1"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67CA7690" w14:textId="77777777" w:rsidTr="00107F4F">
        <w:tc>
          <w:tcPr>
            <w:tcW w:w="3715" w:type="dxa"/>
            <w:tcBorders>
              <w:bottom w:val="single" w:sz="4" w:space="0" w:color="auto"/>
            </w:tcBorders>
          </w:tcPr>
          <w:p w14:paraId="037A05F7"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sulfate tablet (10 or 20mg with 2 repeats)</w:t>
            </w:r>
          </w:p>
        </w:tc>
        <w:tc>
          <w:tcPr>
            <w:tcW w:w="5124" w:type="dxa"/>
            <w:tcBorders>
              <w:bottom w:val="single" w:sz="4" w:space="0" w:color="auto"/>
            </w:tcBorders>
          </w:tcPr>
          <w:p w14:paraId="7B438176" w14:textId="64A1F73E" w:rsidR="00C077B6" w:rsidRPr="00C077B6" w:rsidRDefault="00C077B6" w:rsidP="00C077B6">
            <w:pPr>
              <w:autoSpaceDE w:val="0"/>
              <w:autoSpaceDN w:val="0"/>
              <w:adjustRightInd w:val="0"/>
              <w:rPr>
                <w:rFonts w:ascii="Calibri" w:eastAsia="Yu Mincho" w:hAnsi="Calibri" w:cs="Calibri"/>
                <w:color w:val="000000"/>
                <w:sz w:val="20"/>
                <w:szCs w:val="20"/>
                <w:highlight w:val="cyan"/>
              </w:rPr>
            </w:pPr>
            <w:r w:rsidRPr="00A6084A">
              <w:rPr>
                <w:rFonts w:ascii="Calibri" w:eastAsia="Yu Mincho" w:hAnsi="Calibri" w:cs="Calibri"/>
                <w:color w:val="000000"/>
                <w:sz w:val="20"/>
                <w:szCs w:val="20"/>
              </w:rPr>
              <w:t>Severe disabling pain (palliative care)</w:t>
            </w:r>
            <w:r w:rsidRPr="00C077B6">
              <w:rPr>
                <w:rFonts w:ascii="Calibri" w:eastAsia="Yu Mincho" w:hAnsi="Calibri" w:cs="Calibri"/>
                <w:color w:val="000000"/>
                <w:sz w:val="20"/>
                <w:szCs w:val="20"/>
                <w:highlight w:val="cyan"/>
              </w:rPr>
              <w:t xml:space="preserve"> </w:t>
            </w:r>
          </w:p>
        </w:tc>
      </w:tr>
      <w:tr w:rsidR="00C077B6" w:rsidRPr="00C077B6" w14:paraId="32D81DC2" w14:textId="77777777" w:rsidTr="00107F4F">
        <w:tc>
          <w:tcPr>
            <w:tcW w:w="3715" w:type="dxa"/>
            <w:tcBorders>
              <w:right w:val="nil"/>
            </w:tcBorders>
          </w:tcPr>
          <w:p w14:paraId="5D336553" w14:textId="77777777" w:rsidR="00C077B6" w:rsidRPr="00C077B6" w:rsidRDefault="00C077B6" w:rsidP="00C077B6">
            <w:pPr>
              <w:autoSpaceDE w:val="0"/>
              <w:autoSpaceDN w:val="0"/>
              <w:adjustRightInd w:val="0"/>
              <w:rPr>
                <w:rFonts w:ascii="Calibri" w:eastAsia="Yu Mincho" w:hAnsi="Calibri" w:cs="Calibri"/>
                <w:i/>
                <w:color w:val="000000"/>
                <w:sz w:val="20"/>
                <w:szCs w:val="20"/>
              </w:rPr>
            </w:pPr>
            <w:r w:rsidRPr="00C077B6">
              <w:rPr>
                <w:rFonts w:ascii="Calibri" w:eastAsia="Yu Mincho" w:hAnsi="Calibri" w:cs="Calibri"/>
                <w:i/>
                <w:color w:val="000000"/>
                <w:sz w:val="20"/>
                <w:szCs w:val="20"/>
              </w:rPr>
              <w:t>Modified release tablets or capsules</w:t>
            </w:r>
          </w:p>
        </w:tc>
        <w:tc>
          <w:tcPr>
            <w:tcW w:w="5124" w:type="dxa"/>
            <w:tcBorders>
              <w:left w:val="nil"/>
            </w:tcBorders>
          </w:tcPr>
          <w:p w14:paraId="17C31A64"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017FE9AE" w14:textId="77777777" w:rsidTr="00107F4F">
        <w:tc>
          <w:tcPr>
            <w:tcW w:w="3715" w:type="dxa"/>
          </w:tcPr>
          <w:p w14:paraId="27FA747E"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Morphine sulfate modified tablets (up to 120mg/tablet) </w:t>
            </w:r>
          </w:p>
        </w:tc>
        <w:tc>
          <w:tcPr>
            <w:tcW w:w="5124" w:type="dxa"/>
          </w:tcPr>
          <w:p w14:paraId="20777231" w14:textId="353960EF" w:rsidR="009277B1" w:rsidRDefault="009277B1" w:rsidP="009277B1">
            <w:pPr>
              <w:tabs>
                <w:tab w:val="center" w:pos="2454"/>
              </w:tabs>
              <w:autoSpaceDE w:val="0"/>
              <w:autoSpaceDN w:val="0"/>
              <w:adjustRightInd w:val="0"/>
              <w:rPr>
                <w:rFonts w:ascii="Calibri" w:eastAsia="Yu Mincho" w:hAnsi="Calibri" w:cs="Calibri"/>
                <w:color w:val="000000"/>
                <w:sz w:val="20"/>
                <w:szCs w:val="20"/>
              </w:rPr>
            </w:pPr>
            <w:r w:rsidRPr="009277B1">
              <w:rPr>
                <w:rFonts w:ascii="Calibri" w:eastAsia="Yu Mincho" w:hAnsi="Calibri" w:cs="Calibri"/>
                <w:color w:val="000000"/>
                <w:sz w:val="20"/>
                <w:szCs w:val="20"/>
              </w:rPr>
              <w:t>Chronic severe pain</w:t>
            </w:r>
          </w:p>
          <w:p w14:paraId="4E53D785" w14:textId="46D2F6F1" w:rsidR="009277B1" w:rsidRPr="00C077B6" w:rsidRDefault="009277B1" w:rsidP="00C077B6">
            <w:pPr>
              <w:autoSpaceDE w:val="0"/>
              <w:autoSpaceDN w:val="0"/>
              <w:adjustRightInd w:val="0"/>
              <w:rPr>
                <w:rFonts w:ascii="Calibri" w:eastAsia="Yu Mincho" w:hAnsi="Calibri" w:cs="Calibri"/>
                <w:color w:val="000000"/>
                <w:sz w:val="20"/>
                <w:szCs w:val="20"/>
                <w:highlight w:val="cyan"/>
              </w:rPr>
            </w:pPr>
            <w:r w:rsidRPr="009277B1">
              <w:rPr>
                <w:rFonts w:ascii="Calibri" w:eastAsia="Yu Mincho" w:hAnsi="Calibri" w:cs="Calibri"/>
                <w:color w:val="000000"/>
                <w:sz w:val="20"/>
                <w:szCs w:val="20"/>
              </w:rPr>
              <w:t>Severe disabling pain</w:t>
            </w:r>
            <w:r>
              <w:rPr>
                <w:rFonts w:ascii="Calibri" w:eastAsia="Yu Mincho" w:hAnsi="Calibri" w:cs="Calibri"/>
                <w:color w:val="000000"/>
                <w:sz w:val="20"/>
                <w:szCs w:val="20"/>
              </w:rPr>
              <w:t xml:space="preserve"> </w:t>
            </w:r>
            <w:r w:rsidRPr="009277B1">
              <w:rPr>
                <w:rFonts w:ascii="Calibri" w:eastAsia="Yu Mincho" w:hAnsi="Calibri" w:cs="Calibri"/>
                <w:color w:val="000000"/>
                <w:sz w:val="20"/>
                <w:szCs w:val="20"/>
              </w:rPr>
              <w:t>(palliative care)</w:t>
            </w:r>
          </w:p>
        </w:tc>
      </w:tr>
      <w:tr w:rsidR="00C077B6" w:rsidRPr="00C077B6" w14:paraId="000B3887" w14:textId="77777777" w:rsidTr="00107F4F">
        <w:tc>
          <w:tcPr>
            <w:tcW w:w="3715" w:type="dxa"/>
            <w:tcBorders>
              <w:bottom w:val="single" w:sz="4" w:space="0" w:color="auto"/>
            </w:tcBorders>
          </w:tcPr>
          <w:p w14:paraId="23345BF4"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sulfate modified tablets (200mg)</w:t>
            </w:r>
          </w:p>
        </w:tc>
        <w:tc>
          <w:tcPr>
            <w:tcW w:w="5124" w:type="dxa"/>
            <w:tcBorders>
              <w:bottom w:val="single" w:sz="4" w:space="0" w:color="auto"/>
            </w:tcBorders>
          </w:tcPr>
          <w:p w14:paraId="2AB86BC5" w14:textId="6F4D8C59" w:rsidR="00C077B6" w:rsidRPr="00C077B6" w:rsidRDefault="00A6084A" w:rsidP="00C077B6">
            <w:pPr>
              <w:autoSpaceDE w:val="0"/>
              <w:autoSpaceDN w:val="0"/>
              <w:adjustRightInd w:val="0"/>
              <w:rPr>
                <w:rFonts w:ascii="Calibri" w:eastAsia="Yu Mincho" w:hAnsi="Calibri" w:cs="Calibri"/>
                <w:color w:val="000000"/>
                <w:sz w:val="20"/>
                <w:szCs w:val="20"/>
                <w:highlight w:val="cyan"/>
              </w:rPr>
            </w:pPr>
            <w:r w:rsidRPr="00A6084A">
              <w:rPr>
                <w:rFonts w:ascii="Calibri" w:eastAsia="Yu Mincho" w:hAnsi="Calibri" w:cs="Calibri"/>
                <w:color w:val="000000"/>
                <w:sz w:val="20"/>
                <w:szCs w:val="20"/>
              </w:rPr>
              <w:t>Chronic severe disabling pain</w:t>
            </w:r>
            <w:r w:rsidR="00C077B6" w:rsidRPr="00C077B6">
              <w:rPr>
                <w:rFonts w:ascii="Calibri" w:eastAsia="Yu Mincho" w:hAnsi="Calibri" w:cs="Calibri"/>
                <w:color w:val="000000"/>
                <w:sz w:val="20"/>
                <w:szCs w:val="20"/>
                <w:highlight w:val="cyan"/>
              </w:rPr>
              <w:br/>
            </w:r>
            <w:r w:rsidR="008A1B8B" w:rsidRPr="008A1B8B">
              <w:rPr>
                <w:rFonts w:ascii="Calibri" w:eastAsia="Yu Mincho" w:hAnsi="Calibri" w:cs="Calibri"/>
                <w:color w:val="000000"/>
                <w:sz w:val="20"/>
                <w:szCs w:val="20"/>
              </w:rPr>
              <w:t>Severe disabling pain (palliative care)</w:t>
            </w:r>
          </w:p>
        </w:tc>
      </w:tr>
      <w:tr w:rsidR="00C077B6" w:rsidRPr="00C077B6" w14:paraId="2BF82964" w14:textId="77777777" w:rsidTr="00107F4F">
        <w:tc>
          <w:tcPr>
            <w:tcW w:w="3715" w:type="dxa"/>
            <w:tcBorders>
              <w:right w:val="nil"/>
            </w:tcBorders>
          </w:tcPr>
          <w:p w14:paraId="4984479B" w14:textId="77777777" w:rsidR="00C077B6" w:rsidRPr="00C077B6" w:rsidRDefault="00C077B6" w:rsidP="00C077B6">
            <w:pPr>
              <w:autoSpaceDE w:val="0"/>
              <w:autoSpaceDN w:val="0"/>
              <w:adjustRightInd w:val="0"/>
              <w:rPr>
                <w:rFonts w:ascii="Calibri" w:eastAsia="Yu Mincho" w:hAnsi="Calibri" w:cs="Calibri"/>
                <w:i/>
                <w:color w:val="000000"/>
                <w:sz w:val="20"/>
                <w:szCs w:val="20"/>
              </w:rPr>
            </w:pPr>
            <w:r w:rsidRPr="00C077B6">
              <w:rPr>
                <w:rFonts w:ascii="Calibri" w:eastAsia="Yu Mincho" w:hAnsi="Calibri" w:cs="Calibri"/>
                <w:i/>
                <w:color w:val="000000"/>
                <w:sz w:val="20"/>
                <w:szCs w:val="20"/>
              </w:rPr>
              <w:t>Oral liquids</w:t>
            </w:r>
          </w:p>
        </w:tc>
        <w:tc>
          <w:tcPr>
            <w:tcW w:w="5124" w:type="dxa"/>
            <w:tcBorders>
              <w:left w:val="nil"/>
            </w:tcBorders>
          </w:tcPr>
          <w:p w14:paraId="72BBDC1D"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543FB510" w14:textId="77777777" w:rsidTr="00107F4F">
        <w:tc>
          <w:tcPr>
            <w:tcW w:w="3715" w:type="dxa"/>
          </w:tcPr>
          <w:p w14:paraId="6A58A7AF"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hydrochloride oral liquid (standard release)</w:t>
            </w:r>
          </w:p>
        </w:tc>
        <w:tc>
          <w:tcPr>
            <w:tcW w:w="5124" w:type="dxa"/>
          </w:tcPr>
          <w:p w14:paraId="06BED568" w14:textId="77777777" w:rsidR="009277B1" w:rsidRDefault="009277B1" w:rsidP="00C077B6">
            <w:pPr>
              <w:autoSpaceDE w:val="0"/>
              <w:autoSpaceDN w:val="0"/>
              <w:adjustRightInd w:val="0"/>
              <w:rPr>
                <w:rFonts w:ascii="Calibri" w:eastAsia="Yu Mincho" w:hAnsi="Calibri" w:cs="Calibri"/>
                <w:color w:val="000000"/>
                <w:sz w:val="20"/>
                <w:szCs w:val="20"/>
              </w:rPr>
            </w:pPr>
            <w:r w:rsidRPr="009277B1">
              <w:rPr>
                <w:rFonts w:ascii="Calibri" w:eastAsia="Yu Mincho" w:hAnsi="Calibri" w:cs="Calibri"/>
                <w:color w:val="000000"/>
                <w:sz w:val="20"/>
                <w:szCs w:val="20"/>
              </w:rPr>
              <w:t>Severe pain</w:t>
            </w:r>
          </w:p>
          <w:p w14:paraId="6625D3EA" w14:textId="56C2B5A1" w:rsidR="00C077B6" w:rsidRPr="00C077B6" w:rsidRDefault="00A6084A" w:rsidP="00C077B6">
            <w:pPr>
              <w:autoSpaceDE w:val="0"/>
              <w:autoSpaceDN w:val="0"/>
              <w:adjustRightInd w:val="0"/>
              <w:rPr>
                <w:rFonts w:ascii="Calibri" w:eastAsia="Yu Mincho" w:hAnsi="Calibri" w:cs="Calibri"/>
                <w:color w:val="000000"/>
                <w:sz w:val="20"/>
                <w:szCs w:val="20"/>
                <w:highlight w:val="cyan"/>
              </w:rPr>
            </w:pPr>
            <w:r w:rsidRPr="00A6084A">
              <w:rPr>
                <w:rFonts w:ascii="Calibri" w:eastAsia="Yu Mincho" w:hAnsi="Calibri" w:cs="Calibri"/>
                <w:color w:val="000000"/>
                <w:sz w:val="20"/>
                <w:szCs w:val="20"/>
              </w:rPr>
              <w:t>Severe pain</w:t>
            </w:r>
            <w:r>
              <w:rPr>
                <w:rFonts w:ascii="Calibri" w:eastAsia="Yu Mincho" w:hAnsi="Calibri" w:cs="Calibri"/>
                <w:color w:val="000000"/>
                <w:sz w:val="20"/>
                <w:szCs w:val="20"/>
              </w:rPr>
              <w:t xml:space="preserve"> (palliative)</w:t>
            </w:r>
          </w:p>
        </w:tc>
      </w:tr>
      <w:tr w:rsidR="00C077B6" w:rsidRPr="00C077B6" w14:paraId="1552DC24" w14:textId="77777777" w:rsidTr="00107F4F">
        <w:tc>
          <w:tcPr>
            <w:tcW w:w="3715" w:type="dxa"/>
          </w:tcPr>
          <w:p w14:paraId="2B1206B9"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controlled release granules for oral suspension (up to 100mg)</w:t>
            </w:r>
          </w:p>
        </w:tc>
        <w:tc>
          <w:tcPr>
            <w:tcW w:w="5124" w:type="dxa"/>
          </w:tcPr>
          <w:p w14:paraId="0DF3F04C" w14:textId="77777777" w:rsidR="009277B1" w:rsidRDefault="009277B1" w:rsidP="00C077B6">
            <w:pPr>
              <w:autoSpaceDE w:val="0"/>
              <w:autoSpaceDN w:val="0"/>
              <w:adjustRightInd w:val="0"/>
              <w:rPr>
                <w:rFonts w:ascii="Calibri" w:eastAsia="Yu Mincho" w:hAnsi="Calibri" w:cs="Calibri"/>
                <w:color w:val="000000"/>
                <w:sz w:val="20"/>
                <w:szCs w:val="20"/>
              </w:rPr>
            </w:pPr>
            <w:r w:rsidRPr="009277B1">
              <w:rPr>
                <w:rFonts w:ascii="Calibri" w:eastAsia="Yu Mincho" w:hAnsi="Calibri" w:cs="Calibri"/>
                <w:color w:val="000000"/>
                <w:sz w:val="20"/>
                <w:szCs w:val="20"/>
              </w:rPr>
              <w:t xml:space="preserve">Chronic severe pain </w:t>
            </w:r>
          </w:p>
          <w:p w14:paraId="6D98ADDD" w14:textId="7E7C9F30" w:rsidR="00A6084A" w:rsidRPr="00C077B6" w:rsidRDefault="00A6084A" w:rsidP="00C077B6">
            <w:pPr>
              <w:autoSpaceDE w:val="0"/>
              <w:autoSpaceDN w:val="0"/>
              <w:adjustRightInd w:val="0"/>
              <w:rPr>
                <w:rFonts w:ascii="Calibri" w:eastAsia="Yu Mincho" w:hAnsi="Calibri" w:cs="Calibri"/>
                <w:color w:val="000000"/>
                <w:sz w:val="20"/>
                <w:szCs w:val="20"/>
                <w:highlight w:val="cyan"/>
              </w:rPr>
            </w:pPr>
            <w:r w:rsidRPr="00A6084A">
              <w:rPr>
                <w:rFonts w:ascii="Calibri" w:eastAsia="Yu Mincho" w:hAnsi="Calibri" w:cs="Calibri"/>
                <w:color w:val="000000"/>
                <w:sz w:val="20"/>
                <w:szCs w:val="20"/>
              </w:rPr>
              <w:t>Severe disabling pain</w:t>
            </w:r>
            <w:r>
              <w:rPr>
                <w:rFonts w:ascii="Calibri" w:eastAsia="Yu Mincho" w:hAnsi="Calibri" w:cs="Calibri"/>
                <w:color w:val="000000"/>
                <w:sz w:val="20"/>
                <w:szCs w:val="20"/>
              </w:rPr>
              <w:t xml:space="preserve"> (palliative care)</w:t>
            </w:r>
          </w:p>
        </w:tc>
      </w:tr>
      <w:tr w:rsidR="00C077B6" w:rsidRPr="00C077B6" w14:paraId="12EB32D1" w14:textId="77777777" w:rsidTr="00107F4F">
        <w:tc>
          <w:tcPr>
            <w:tcW w:w="3715" w:type="dxa"/>
            <w:tcBorders>
              <w:bottom w:val="single" w:sz="4" w:space="0" w:color="auto"/>
            </w:tcBorders>
          </w:tcPr>
          <w:p w14:paraId="26D41770"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Morphine controlled release granules for oral suspension (200mg)</w:t>
            </w:r>
          </w:p>
        </w:tc>
        <w:tc>
          <w:tcPr>
            <w:tcW w:w="5124" w:type="dxa"/>
            <w:tcBorders>
              <w:bottom w:val="single" w:sz="4" w:space="0" w:color="auto"/>
            </w:tcBorders>
          </w:tcPr>
          <w:p w14:paraId="290DECCA" w14:textId="77777777" w:rsidR="00C077B6" w:rsidRDefault="00A6084A"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Chronic severe disabling pain</w:t>
            </w:r>
          </w:p>
          <w:p w14:paraId="3193ECAB" w14:textId="3052BD6F" w:rsidR="009277B1" w:rsidRPr="00C077B6" w:rsidRDefault="009277B1" w:rsidP="00C077B6">
            <w:pPr>
              <w:autoSpaceDE w:val="0"/>
              <w:autoSpaceDN w:val="0"/>
              <w:adjustRightInd w:val="0"/>
              <w:rPr>
                <w:rFonts w:ascii="Calibri" w:eastAsia="Yu Mincho" w:hAnsi="Calibri" w:cs="Calibri"/>
                <w:color w:val="000000"/>
                <w:sz w:val="20"/>
                <w:szCs w:val="20"/>
                <w:highlight w:val="cyan"/>
              </w:rPr>
            </w:pPr>
            <w:r w:rsidRPr="009277B1">
              <w:rPr>
                <w:rFonts w:ascii="Calibri" w:eastAsia="Yu Mincho" w:hAnsi="Calibri" w:cs="Calibri"/>
                <w:color w:val="000000"/>
                <w:sz w:val="20"/>
                <w:szCs w:val="20"/>
              </w:rPr>
              <w:t>Severe disabling pain</w:t>
            </w:r>
            <w:r>
              <w:rPr>
                <w:rFonts w:ascii="Calibri" w:eastAsia="Yu Mincho" w:hAnsi="Calibri" w:cs="Calibri"/>
                <w:color w:val="000000"/>
                <w:sz w:val="20"/>
                <w:szCs w:val="20"/>
              </w:rPr>
              <w:t xml:space="preserve"> </w:t>
            </w:r>
            <w:r w:rsidRPr="009277B1">
              <w:rPr>
                <w:rFonts w:ascii="Calibri" w:eastAsia="Yu Mincho" w:hAnsi="Calibri" w:cs="Calibri"/>
                <w:color w:val="000000"/>
                <w:sz w:val="20"/>
                <w:szCs w:val="20"/>
              </w:rPr>
              <w:t>(palliative care)</w:t>
            </w:r>
          </w:p>
        </w:tc>
      </w:tr>
      <w:tr w:rsidR="00C077B6" w:rsidRPr="00C077B6" w14:paraId="6E2A50E3" w14:textId="77777777" w:rsidTr="00107F4F">
        <w:tc>
          <w:tcPr>
            <w:tcW w:w="3715" w:type="dxa"/>
            <w:tcBorders>
              <w:right w:val="nil"/>
            </w:tcBorders>
          </w:tcPr>
          <w:p w14:paraId="64093578" w14:textId="77777777" w:rsidR="00C077B6" w:rsidRPr="00C077B6" w:rsidRDefault="00C077B6" w:rsidP="00C077B6">
            <w:pPr>
              <w:autoSpaceDE w:val="0"/>
              <w:autoSpaceDN w:val="0"/>
              <w:adjustRightInd w:val="0"/>
              <w:rPr>
                <w:rFonts w:ascii="Calibri" w:eastAsia="Yu Mincho" w:hAnsi="Calibri" w:cs="Calibri"/>
                <w:i/>
                <w:color w:val="000000"/>
                <w:sz w:val="20"/>
                <w:szCs w:val="20"/>
              </w:rPr>
            </w:pPr>
            <w:r w:rsidRPr="00C077B6">
              <w:rPr>
                <w:rFonts w:ascii="Calibri" w:eastAsia="Yu Mincho" w:hAnsi="Calibri" w:cs="Calibri"/>
                <w:i/>
                <w:color w:val="000000"/>
                <w:sz w:val="20"/>
                <w:szCs w:val="20"/>
              </w:rPr>
              <w:t>Injections</w:t>
            </w:r>
          </w:p>
        </w:tc>
        <w:tc>
          <w:tcPr>
            <w:tcW w:w="5124" w:type="dxa"/>
            <w:tcBorders>
              <w:left w:val="nil"/>
            </w:tcBorders>
          </w:tcPr>
          <w:p w14:paraId="5055299D"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000C86A8" w14:textId="77777777" w:rsidTr="00107F4F">
        <w:tc>
          <w:tcPr>
            <w:tcW w:w="3715" w:type="dxa"/>
            <w:tcBorders>
              <w:bottom w:val="single" w:sz="4" w:space="0" w:color="auto"/>
            </w:tcBorders>
          </w:tcPr>
          <w:p w14:paraId="686E0109"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lastRenderedPageBreak/>
              <w:t>Morphine sulphate injections</w:t>
            </w:r>
          </w:p>
        </w:tc>
        <w:tc>
          <w:tcPr>
            <w:tcW w:w="5124" w:type="dxa"/>
            <w:tcBorders>
              <w:bottom w:val="single" w:sz="4" w:space="0" w:color="auto"/>
            </w:tcBorders>
          </w:tcPr>
          <w:p w14:paraId="5CE803DA" w14:textId="3C4B8024" w:rsidR="00C077B6" w:rsidRDefault="00A6084A"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Severe pain</w:t>
            </w:r>
          </w:p>
          <w:p w14:paraId="0FF7B71D" w14:textId="77777777" w:rsidR="00A6084A" w:rsidRDefault="00A6084A"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Severe pain (palliative care)</w:t>
            </w:r>
          </w:p>
          <w:p w14:paraId="5F2A97C0" w14:textId="120CCBEB" w:rsidR="00A6084A" w:rsidRPr="00C077B6" w:rsidRDefault="00A6084A" w:rsidP="00C077B6">
            <w:pPr>
              <w:autoSpaceDE w:val="0"/>
              <w:autoSpaceDN w:val="0"/>
              <w:adjustRightInd w:val="0"/>
              <w:rPr>
                <w:rFonts w:ascii="Calibri" w:eastAsia="Yu Mincho" w:hAnsi="Calibri" w:cs="Calibri"/>
                <w:color w:val="000000"/>
                <w:sz w:val="20"/>
                <w:szCs w:val="20"/>
                <w:highlight w:val="cyan"/>
              </w:rPr>
            </w:pPr>
            <w:r w:rsidRPr="00A6084A">
              <w:rPr>
                <w:rFonts w:ascii="Calibri" w:eastAsia="Yu Mincho" w:hAnsi="Calibri" w:cs="Calibri"/>
                <w:color w:val="000000"/>
                <w:sz w:val="20"/>
                <w:szCs w:val="20"/>
              </w:rPr>
              <w:t>Prescriber bag as Unrestricted benefit</w:t>
            </w:r>
          </w:p>
        </w:tc>
      </w:tr>
      <w:tr w:rsidR="00A6084A" w:rsidRPr="00C077B6" w14:paraId="7792DD9B" w14:textId="77777777" w:rsidTr="00107F4F">
        <w:tc>
          <w:tcPr>
            <w:tcW w:w="3715" w:type="dxa"/>
            <w:tcBorders>
              <w:bottom w:val="single" w:sz="4" w:space="0" w:color="auto"/>
            </w:tcBorders>
          </w:tcPr>
          <w:p w14:paraId="0C079356" w14:textId="10DE6679" w:rsidR="00A6084A" w:rsidRPr="00C077B6" w:rsidRDefault="00A6084A" w:rsidP="00C077B6">
            <w:pPr>
              <w:autoSpaceDE w:val="0"/>
              <w:autoSpaceDN w:val="0"/>
              <w:adjustRightInd w:val="0"/>
              <w:rPr>
                <w:rFonts w:ascii="Calibri" w:eastAsia="Yu Mincho" w:hAnsi="Calibri" w:cs="Calibri"/>
                <w:color w:val="000000"/>
                <w:sz w:val="20"/>
                <w:szCs w:val="20"/>
              </w:rPr>
            </w:pPr>
            <w:r>
              <w:rPr>
                <w:rFonts w:ascii="Calibri" w:eastAsia="Yu Mincho" w:hAnsi="Calibri" w:cs="Calibri"/>
                <w:color w:val="000000"/>
                <w:sz w:val="20"/>
                <w:szCs w:val="20"/>
              </w:rPr>
              <w:t>M</w:t>
            </w:r>
            <w:r w:rsidRPr="00A6084A">
              <w:rPr>
                <w:rFonts w:ascii="Calibri" w:eastAsia="Yu Mincho" w:hAnsi="Calibri" w:cs="Calibri"/>
                <w:color w:val="000000"/>
                <w:sz w:val="20"/>
                <w:szCs w:val="20"/>
              </w:rPr>
              <w:t xml:space="preserve">orphine hydrochloride </w:t>
            </w:r>
            <w:r>
              <w:rPr>
                <w:rFonts w:ascii="Calibri" w:eastAsia="Yu Mincho" w:hAnsi="Calibri" w:cs="Calibri"/>
                <w:color w:val="000000"/>
                <w:sz w:val="20"/>
                <w:szCs w:val="20"/>
              </w:rPr>
              <w:t>injection</w:t>
            </w:r>
          </w:p>
        </w:tc>
        <w:tc>
          <w:tcPr>
            <w:tcW w:w="5124" w:type="dxa"/>
            <w:tcBorders>
              <w:bottom w:val="single" w:sz="4" w:space="0" w:color="auto"/>
            </w:tcBorders>
          </w:tcPr>
          <w:p w14:paraId="19AC06F0" w14:textId="53B7650B" w:rsidR="00A6084A" w:rsidRPr="00A6084A" w:rsidRDefault="00A6084A" w:rsidP="00C077B6">
            <w:pPr>
              <w:autoSpaceDE w:val="0"/>
              <w:autoSpaceDN w:val="0"/>
              <w:adjustRightInd w:val="0"/>
              <w:rPr>
                <w:rFonts w:ascii="Calibri" w:eastAsia="Yu Mincho" w:hAnsi="Calibri" w:cs="Calibri"/>
                <w:color w:val="000000"/>
                <w:sz w:val="20"/>
                <w:szCs w:val="20"/>
              </w:rPr>
            </w:pPr>
            <w:r w:rsidRPr="00A6084A">
              <w:rPr>
                <w:rFonts w:ascii="Calibri" w:eastAsia="Yu Mincho" w:hAnsi="Calibri" w:cs="Calibri"/>
                <w:color w:val="000000"/>
                <w:sz w:val="20"/>
                <w:szCs w:val="20"/>
              </w:rPr>
              <w:t>Severe pain</w:t>
            </w:r>
            <w:r>
              <w:rPr>
                <w:rFonts w:ascii="Calibri" w:eastAsia="Yu Mincho" w:hAnsi="Calibri" w:cs="Calibri"/>
                <w:color w:val="000000"/>
                <w:sz w:val="20"/>
                <w:szCs w:val="20"/>
              </w:rPr>
              <w:t xml:space="preserve"> </w:t>
            </w:r>
            <w:r w:rsidRPr="00A6084A">
              <w:rPr>
                <w:rFonts w:ascii="Calibri" w:eastAsia="Yu Mincho" w:hAnsi="Calibri" w:cs="Calibri"/>
                <w:color w:val="000000"/>
                <w:sz w:val="20"/>
                <w:szCs w:val="20"/>
              </w:rPr>
              <w:t>(palliative care)</w:t>
            </w:r>
          </w:p>
        </w:tc>
      </w:tr>
      <w:tr w:rsidR="00C077B6" w:rsidRPr="00C077B6" w14:paraId="47A516FB" w14:textId="77777777" w:rsidTr="00107F4F">
        <w:tc>
          <w:tcPr>
            <w:tcW w:w="3715" w:type="dxa"/>
            <w:tcBorders>
              <w:right w:val="nil"/>
            </w:tcBorders>
          </w:tcPr>
          <w:p w14:paraId="7B968FB4"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Oxycodone</w:t>
            </w:r>
          </w:p>
        </w:tc>
        <w:tc>
          <w:tcPr>
            <w:tcW w:w="5124" w:type="dxa"/>
            <w:tcBorders>
              <w:left w:val="nil"/>
            </w:tcBorders>
          </w:tcPr>
          <w:p w14:paraId="5A13E0D4"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1BFF2F2C" w14:textId="77777777" w:rsidTr="00107F4F">
        <w:tc>
          <w:tcPr>
            <w:tcW w:w="3715" w:type="dxa"/>
          </w:tcPr>
          <w:p w14:paraId="236F7F97"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Oxycodone tablet or capsule (standard release) </w:t>
            </w:r>
          </w:p>
        </w:tc>
        <w:tc>
          <w:tcPr>
            <w:tcW w:w="5124" w:type="dxa"/>
          </w:tcPr>
          <w:p w14:paraId="077E869F" w14:textId="701538CC" w:rsidR="00C077B6" w:rsidRPr="00C077B6" w:rsidRDefault="00C077B6" w:rsidP="00C077B6">
            <w:pPr>
              <w:autoSpaceDE w:val="0"/>
              <w:autoSpaceDN w:val="0"/>
              <w:adjustRightInd w:val="0"/>
              <w:rPr>
                <w:rFonts w:ascii="Calibri" w:eastAsia="Yu Mincho" w:hAnsi="Calibri" w:cs="Calibri"/>
                <w:color w:val="000000"/>
                <w:sz w:val="20"/>
                <w:szCs w:val="20"/>
                <w:highlight w:val="cyan"/>
              </w:rPr>
            </w:pPr>
            <w:r w:rsidRPr="008A1B8B">
              <w:rPr>
                <w:rFonts w:ascii="Calibri" w:eastAsia="Yu Mincho" w:hAnsi="Calibri" w:cs="Calibri"/>
                <w:color w:val="000000"/>
                <w:sz w:val="20"/>
                <w:szCs w:val="20"/>
              </w:rPr>
              <w:t>Severe pain</w:t>
            </w:r>
          </w:p>
        </w:tc>
      </w:tr>
      <w:tr w:rsidR="008A1B8B" w:rsidRPr="00C077B6" w14:paraId="239B6A79" w14:textId="77777777" w:rsidTr="00107F4F">
        <w:tc>
          <w:tcPr>
            <w:tcW w:w="3715" w:type="dxa"/>
          </w:tcPr>
          <w:p w14:paraId="13193D34" w14:textId="51C29985" w:rsidR="008A1B8B" w:rsidRPr="00C077B6" w:rsidRDefault="008A1B8B" w:rsidP="00C077B6">
            <w:pPr>
              <w:autoSpaceDE w:val="0"/>
              <w:autoSpaceDN w:val="0"/>
              <w:adjustRightInd w:val="0"/>
              <w:rPr>
                <w:rFonts w:ascii="Calibri" w:eastAsia="Yu Mincho" w:hAnsi="Calibri" w:cs="Calibri"/>
                <w:color w:val="000000"/>
                <w:sz w:val="20"/>
                <w:szCs w:val="20"/>
              </w:rPr>
            </w:pPr>
            <w:r w:rsidRPr="008A1B8B">
              <w:rPr>
                <w:rFonts w:ascii="Calibri" w:eastAsia="Yu Mincho" w:hAnsi="Calibri" w:cs="Calibri"/>
                <w:color w:val="000000"/>
                <w:sz w:val="20"/>
                <w:szCs w:val="20"/>
              </w:rPr>
              <w:t xml:space="preserve">Oxycodone tablet </w:t>
            </w:r>
            <w:r w:rsidR="002A54E1">
              <w:rPr>
                <w:rFonts w:ascii="Calibri" w:eastAsia="Yu Mincho" w:hAnsi="Calibri" w:cs="Calibri"/>
                <w:color w:val="000000"/>
                <w:sz w:val="20"/>
                <w:szCs w:val="20"/>
              </w:rPr>
              <w:t xml:space="preserve">or capsule </w:t>
            </w:r>
            <w:r w:rsidRPr="008A1B8B">
              <w:rPr>
                <w:rFonts w:ascii="Calibri" w:eastAsia="Yu Mincho" w:hAnsi="Calibri" w:cs="Calibri"/>
                <w:color w:val="000000"/>
                <w:sz w:val="20"/>
                <w:szCs w:val="20"/>
              </w:rPr>
              <w:t>(</w:t>
            </w:r>
            <w:r>
              <w:rPr>
                <w:rFonts w:ascii="Calibri" w:eastAsia="Yu Mincho" w:hAnsi="Calibri" w:cs="Calibri"/>
                <w:color w:val="000000"/>
                <w:sz w:val="20"/>
                <w:szCs w:val="20"/>
              </w:rPr>
              <w:t xml:space="preserve">5 mg </w:t>
            </w:r>
            <w:r w:rsidRPr="008A1B8B">
              <w:rPr>
                <w:rFonts w:ascii="Calibri" w:eastAsia="Yu Mincho" w:hAnsi="Calibri" w:cs="Calibri"/>
                <w:color w:val="000000"/>
                <w:sz w:val="20"/>
                <w:szCs w:val="20"/>
              </w:rPr>
              <w:t>modified release)</w:t>
            </w:r>
          </w:p>
        </w:tc>
        <w:tc>
          <w:tcPr>
            <w:tcW w:w="5124" w:type="dxa"/>
          </w:tcPr>
          <w:p w14:paraId="4A4DBEBE" w14:textId="72F6DBB3" w:rsidR="008A1B8B" w:rsidRPr="008A1B8B" w:rsidRDefault="008A1B8B" w:rsidP="00C077B6">
            <w:pPr>
              <w:autoSpaceDE w:val="0"/>
              <w:autoSpaceDN w:val="0"/>
              <w:adjustRightInd w:val="0"/>
              <w:rPr>
                <w:rFonts w:ascii="Calibri" w:eastAsia="Yu Mincho" w:hAnsi="Calibri" w:cs="Calibri"/>
                <w:color w:val="000000"/>
                <w:sz w:val="20"/>
                <w:szCs w:val="20"/>
              </w:rPr>
            </w:pPr>
            <w:r>
              <w:rPr>
                <w:rFonts w:ascii="Calibri" w:eastAsia="Yu Mincho" w:hAnsi="Calibri" w:cs="Calibri"/>
                <w:color w:val="000000"/>
                <w:sz w:val="20"/>
                <w:szCs w:val="20"/>
              </w:rPr>
              <w:t>Severe pain</w:t>
            </w:r>
          </w:p>
        </w:tc>
      </w:tr>
      <w:tr w:rsidR="00C077B6" w:rsidRPr="00C077B6" w14:paraId="75E28D5D" w14:textId="77777777" w:rsidTr="00107F4F">
        <w:tc>
          <w:tcPr>
            <w:tcW w:w="3715" w:type="dxa"/>
          </w:tcPr>
          <w:p w14:paraId="27C1614F" w14:textId="044F5209"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Oxycodone tablet (</w:t>
            </w:r>
            <w:r w:rsidR="002A54E1">
              <w:rPr>
                <w:rFonts w:ascii="Calibri" w:eastAsia="Yu Mincho" w:hAnsi="Calibri" w:cs="Calibri"/>
                <w:color w:val="000000"/>
                <w:sz w:val="20"/>
                <w:szCs w:val="20"/>
              </w:rPr>
              <w:t xml:space="preserve">10 mg to 80 mg </w:t>
            </w:r>
            <w:r w:rsidRPr="00C077B6">
              <w:rPr>
                <w:rFonts w:ascii="Calibri" w:eastAsia="Yu Mincho" w:hAnsi="Calibri" w:cs="Calibri"/>
                <w:color w:val="000000"/>
                <w:sz w:val="20"/>
                <w:szCs w:val="20"/>
              </w:rPr>
              <w:t xml:space="preserve">modified release) </w:t>
            </w:r>
          </w:p>
        </w:tc>
        <w:tc>
          <w:tcPr>
            <w:tcW w:w="5124" w:type="dxa"/>
          </w:tcPr>
          <w:p w14:paraId="222891B5" w14:textId="77777777" w:rsidR="008A1B8B" w:rsidRDefault="008A1B8B" w:rsidP="008A1B8B">
            <w:pPr>
              <w:autoSpaceDE w:val="0"/>
              <w:autoSpaceDN w:val="0"/>
              <w:adjustRightInd w:val="0"/>
              <w:rPr>
                <w:rFonts w:ascii="Calibri" w:eastAsia="Yu Mincho" w:hAnsi="Calibri" w:cs="Calibri"/>
                <w:color w:val="000000"/>
                <w:sz w:val="20"/>
                <w:szCs w:val="20"/>
              </w:rPr>
            </w:pPr>
            <w:r w:rsidRPr="008A1B8B">
              <w:rPr>
                <w:rFonts w:ascii="Calibri" w:eastAsia="Yu Mincho" w:hAnsi="Calibri" w:cs="Calibri"/>
                <w:color w:val="000000"/>
                <w:sz w:val="20"/>
                <w:szCs w:val="20"/>
              </w:rPr>
              <w:t xml:space="preserve">Chronic severe pain </w:t>
            </w:r>
          </w:p>
          <w:p w14:paraId="5A2D3E26" w14:textId="553984D2" w:rsidR="008A1B8B" w:rsidRDefault="008A1B8B" w:rsidP="008A1B8B">
            <w:pPr>
              <w:autoSpaceDE w:val="0"/>
              <w:autoSpaceDN w:val="0"/>
              <w:adjustRightInd w:val="0"/>
              <w:rPr>
                <w:rFonts w:ascii="Calibri" w:eastAsia="Yu Mincho" w:hAnsi="Calibri" w:cs="Calibri"/>
                <w:color w:val="000000"/>
                <w:sz w:val="20"/>
                <w:szCs w:val="20"/>
              </w:rPr>
            </w:pPr>
            <w:r w:rsidRPr="008A1B8B">
              <w:rPr>
                <w:rFonts w:ascii="Calibri" w:eastAsia="Yu Mincho" w:hAnsi="Calibri" w:cs="Calibri"/>
                <w:color w:val="000000"/>
                <w:sz w:val="20"/>
                <w:szCs w:val="20"/>
              </w:rPr>
              <w:t>Severe disabling pain</w:t>
            </w:r>
            <w:r>
              <w:rPr>
                <w:rFonts w:ascii="Calibri" w:eastAsia="Yu Mincho" w:hAnsi="Calibri" w:cs="Calibri"/>
                <w:color w:val="000000"/>
                <w:sz w:val="20"/>
                <w:szCs w:val="20"/>
              </w:rPr>
              <w:t xml:space="preserve"> </w:t>
            </w:r>
            <w:r w:rsidRPr="008A1B8B">
              <w:rPr>
                <w:rFonts w:ascii="Calibri" w:eastAsia="Yu Mincho" w:hAnsi="Calibri" w:cs="Calibri"/>
                <w:color w:val="000000"/>
                <w:sz w:val="20"/>
                <w:szCs w:val="20"/>
              </w:rPr>
              <w:t>(palliative care)</w:t>
            </w:r>
          </w:p>
          <w:p w14:paraId="40BEE1A0" w14:textId="14B613D2" w:rsidR="008A1B8B" w:rsidRPr="00C077B6" w:rsidRDefault="008A1B8B"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1626BE70" w14:textId="77777777" w:rsidTr="00107F4F">
        <w:tc>
          <w:tcPr>
            <w:tcW w:w="3715" w:type="dxa"/>
          </w:tcPr>
          <w:p w14:paraId="0F562B9D"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Oxycodone oral liquid</w:t>
            </w:r>
          </w:p>
        </w:tc>
        <w:tc>
          <w:tcPr>
            <w:tcW w:w="5124" w:type="dxa"/>
          </w:tcPr>
          <w:p w14:paraId="77D3DF34" w14:textId="7930D45B" w:rsidR="00C077B6" w:rsidRPr="00C077B6" w:rsidRDefault="00C077B6" w:rsidP="00C077B6">
            <w:pPr>
              <w:autoSpaceDE w:val="0"/>
              <w:autoSpaceDN w:val="0"/>
              <w:adjustRightInd w:val="0"/>
              <w:rPr>
                <w:rFonts w:ascii="Calibri" w:eastAsia="Yu Mincho" w:hAnsi="Calibri" w:cs="Calibri"/>
                <w:color w:val="000000"/>
                <w:sz w:val="20"/>
                <w:szCs w:val="20"/>
                <w:highlight w:val="cyan"/>
              </w:rPr>
            </w:pPr>
            <w:r w:rsidRPr="008A1B8B">
              <w:rPr>
                <w:rFonts w:ascii="Calibri" w:eastAsia="Yu Mincho" w:hAnsi="Calibri" w:cs="Calibri"/>
                <w:color w:val="000000"/>
                <w:sz w:val="20"/>
                <w:szCs w:val="20"/>
              </w:rPr>
              <w:t>Severe pain</w:t>
            </w:r>
          </w:p>
        </w:tc>
      </w:tr>
      <w:tr w:rsidR="00C077B6" w:rsidRPr="00C077B6" w14:paraId="3EF95B79" w14:textId="77777777" w:rsidTr="00107F4F">
        <w:tc>
          <w:tcPr>
            <w:tcW w:w="3715" w:type="dxa"/>
            <w:tcBorders>
              <w:bottom w:val="single" w:sz="4" w:space="0" w:color="auto"/>
            </w:tcBorders>
          </w:tcPr>
          <w:p w14:paraId="67647B91"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Oxycodone suppository</w:t>
            </w:r>
          </w:p>
        </w:tc>
        <w:tc>
          <w:tcPr>
            <w:tcW w:w="5124" w:type="dxa"/>
            <w:tcBorders>
              <w:bottom w:val="single" w:sz="4" w:space="0" w:color="auto"/>
            </w:tcBorders>
          </w:tcPr>
          <w:p w14:paraId="14E56250" w14:textId="0D0E13AB" w:rsidR="00C077B6" w:rsidRPr="00C077B6" w:rsidRDefault="00C077B6" w:rsidP="00C077B6">
            <w:pPr>
              <w:autoSpaceDE w:val="0"/>
              <w:autoSpaceDN w:val="0"/>
              <w:adjustRightInd w:val="0"/>
              <w:rPr>
                <w:rFonts w:ascii="Calibri" w:eastAsia="Yu Mincho" w:hAnsi="Calibri" w:cs="Calibri"/>
                <w:color w:val="000000"/>
                <w:sz w:val="20"/>
                <w:szCs w:val="20"/>
                <w:highlight w:val="cyan"/>
              </w:rPr>
            </w:pPr>
            <w:r w:rsidRPr="008A1B8B">
              <w:rPr>
                <w:rFonts w:ascii="Calibri" w:eastAsia="Yu Mincho" w:hAnsi="Calibri" w:cs="Calibri"/>
                <w:color w:val="000000"/>
                <w:sz w:val="20"/>
                <w:szCs w:val="20"/>
              </w:rPr>
              <w:t>Severe pain</w:t>
            </w:r>
          </w:p>
        </w:tc>
      </w:tr>
      <w:tr w:rsidR="00C077B6" w:rsidRPr="00C077B6" w14:paraId="24644E33" w14:textId="77777777" w:rsidTr="00107F4F">
        <w:tc>
          <w:tcPr>
            <w:tcW w:w="3715" w:type="dxa"/>
            <w:tcBorders>
              <w:right w:val="nil"/>
            </w:tcBorders>
          </w:tcPr>
          <w:p w14:paraId="7F370493"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Oxycodone + naloxone</w:t>
            </w:r>
          </w:p>
        </w:tc>
        <w:tc>
          <w:tcPr>
            <w:tcW w:w="5124" w:type="dxa"/>
            <w:tcBorders>
              <w:left w:val="nil"/>
            </w:tcBorders>
          </w:tcPr>
          <w:p w14:paraId="7CB77083"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2A51CCB9" w14:textId="77777777" w:rsidTr="00107F4F">
        <w:tc>
          <w:tcPr>
            <w:tcW w:w="3715" w:type="dxa"/>
            <w:tcBorders>
              <w:bottom w:val="single" w:sz="4" w:space="0" w:color="auto"/>
            </w:tcBorders>
          </w:tcPr>
          <w:p w14:paraId="3718B0B4" w14:textId="2265EEDB"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Oxycodone + naloxone </w:t>
            </w:r>
            <w:r w:rsidR="002A54E1">
              <w:rPr>
                <w:rFonts w:ascii="Calibri" w:eastAsia="Yu Mincho" w:hAnsi="Calibri" w:cs="Calibri"/>
                <w:color w:val="000000"/>
                <w:sz w:val="20"/>
                <w:szCs w:val="20"/>
              </w:rPr>
              <w:t xml:space="preserve">modified release </w:t>
            </w:r>
            <w:r w:rsidRPr="00C077B6">
              <w:rPr>
                <w:rFonts w:ascii="Calibri" w:eastAsia="Yu Mincho" w:hAnsi="Calibri" w:cs="Calibri"/>
                <w:color w:val="000000"/>
                <w:sz w:val="20"/>
                <w:szCs w:val="20"/>
              </w:rPr>
              <w:t>tablet</w:t>
            </w:r>
          </w:p>
        </w:tc>
        <w:tc>
          <w:tcPr>
            <w:tcW w:w="5124" w:type="dxa"/>
            <w:tcBorders>
              <w:bottom w:val="single" w:sz="4" w:space="0" w:color="auto"/>
            </w:tcBorders>
          </w:tcPr>
          <w:p w14:paraId="4B46EE99" w14:textId="77777777" w:rsidR="00C077B6" w:rsidRPr="002A54E1" w:rsidRDefault="00C077B6" w:rsidP="00C077B6">
            <w:pPr>
              <w:autoSpaceDE w:val="0"/>
              <w:autoSpaceDN w:val="0"/>
              <w:adjustRightInd w:val="0"/>
              <w:rPr>
                <w:rFonts w:ascii="Calibri" w:eastAsia="Yu Mincho" w:hAnsi="Calibri" w:cs="Calibri"/>
                <w:color w:val="000000"/>
                <w:sz w:val="20"/>
                <w:szCs w:val="20"/>
              </w:rPr>
            </w:pPr>
            <w:r w:rsidRPr="002A54E1">
              <w:rPr>
                <w:rFonts w:ascii="Calibri" w:eastAsia="Yu Mincho" w:hAnsi="Calibri" w:cs="Calibri"/>
                <w:color w:val="000000"/>
                <w:sz w:val="20"/>
                <w:szCs w:val="20"/>
              </w:rPr>
              <w:t>Chronic severe pain</w:t>
            </w:r>
          </w:p>
          <w:p w14:paraId="493FA961" w14:textId="5A26DA9E" w:rsidR="002A54E1"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Severe disabling pain (palliative care)</w:t>
            </w:r>
          </w:p>
        </w:tc>
      </w:tr>
      <w:tr w:rsidR="00C077B6" w:rsidRPr="00C077B6" w14:paraId="330D3090" w14:textId="77777777" w:rsidTr="00107F4F">
        <w:tc>
          <w:tcPr>
            <w:tcW w:w="3715" w:type="dxa"/>
            <w:tcBorders>
              <w:right w:val="nil"/>
            </w:tcBorders>
          </w:tcPr>
          <w:p w14:paraId="1F27B0EC"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Paracetamol + codeine</w:t>
            </w:r>
          </w:p>
        </w:tc>
        <w:tc>
          <w:tcPr>
            <w:tcW w:w="5124" w:type="dxa"/>
            <w:tcBorders>
              <w:left w:val="nil"/>
            </w:tcBorders>
          </w:tcPr>
          <w:p w14:paraId="50BB0DCC"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71CA5BC6" w14:textId="77777777" w:rsidTr="00107F4F">
        <w:tc>
          <w:tcPr>
            <w:tcW w:w="3715" w:type="dxa"/>
          </w:tcPr>
          <w:p w14:paraId="1C0CDBE8" w14:textId="6E0090ED"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Paracetamol 500mg + codeine phosphate 30mg – </w:t>
            </w:r>
            <w:r w:rsidR="002A54E1">
              <w:rPr>
                <w:rFonts w:ascii="Calibri" w:eastAsia="Yu Mincho" w:hAnsi="Calibri" w:cs="Calibri"/>
                <w:color w:val="000000"/>
                <w:sz w:val="20"/>
                <w:szCs w:val="20"/>
              </w:rPr>
              <w:t>1</w:t>
            </w:r>
            <w:r w:rsidRPr="00C077B6">
              <w:rPr>
                <w:rFonts w:ascii="Calibri" w:eastAsia="Yu Mincho" w:hAnsi="Calibri" w:cs="Calibri"/>
                <w:color w:val="000000"/>
                <w:sz w:val="20"/>
                <w:szCs w:val="20"/>
              </w:rPr>
              <w:t>0</w:t>
            </w:r>
            <w:r w:rsidR="002A54E1">
              <w:rPr>
                <w:rFonts w:ascii="Calibri" w:eastAsia="Yu Mincho" w:hAnsi="Calibri" w:cs="Calibri"/>
                <w:color w:val="000000"/>
                <w:sz w:val="20"/>
                <w:szCs w:val="20"/>
              </w:rPr>
              <w:t xml:space="preserve"> or 20</w:t>
            </w:r>
            <w:r w:rsidRPr="00C077B6">
              <w:rPr>
                <w:rFonts w:ascii="Calibri" w:eastAsia="Yu Mincho" w:hAnsi="Calibri" w:cs="Calibri"/>
                <w:color w:val="000000"/>
                <w:sz w:val="20"/>
                <w:szCs w:val="20"/>
              </w:rPr>
              <w:t xml:space="preserve"> tablets</w:t>
            </w:r>
          </w:p>
        </w:tc>
        <w:tc>
          <w:tcPr>
            <w:tcW w:w="5124" w:type="dxa"/>
          </w:tcPr>
          <w:p w14:paraId="345D13B8" w14:textId="12144FAE"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Severe pain</w:t>
            </w:r>
          </w:p>
        </w:tc>
      </w:tr>
      <w:tr w:rsidR="00C077B6" w:rsidRPr="00C077B6" w14:paraId="0613DDDA" w14:textId="77777777" w:rsidTr="00107F4F">
        <w:tc>
          <w:tcPr>
            <w:tcW w:w="3715" w:type="dxa"/>
            <w:tcBorders>
              <w:right w:val="nil"/>
            </w:tcBorders>
          </w:tcPr>
          <w:p w14:paraId="4BF89926"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 xml:space="preserve">Tramadol </w:t>
            </w:r>
          </w:p>
        </w:tc>
        <w:tc>
          <w:tcPr>
            <w:tcW w:w="5124" w:type="dxa"/>
            <w:tcBorders>
              <w:left w:val="nil"/>
            </w:tcBorders>
          </w:tcPr>
          <w:p w14:paraId="1B181615"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5F7E7FF3" w14:textId="77777777" w:rsidTr="00107F4F">
        <w:tc>
          <w:tcPr>
            <w:tcW w:w="3715" w:type="dxa"/>
          </w:tcPr>
          <w:p w14:paraId="4332ACD7"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Tramadol capsule 50mg (standard release)</w:t>
            </w:r>
          </w:p>
        </w:tc>
        <w:tc>
          <w:tcPr>
            <w:tcW w:w="5124" w:type="dxa"/>
          </w:tcPr>
          <w:p w14:paraId="2CB2B961" w14:textId="72811BF3"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Severe pain</w:t>
            </w:r>
          </w:p>
        </w:tc>
      </w:tr>
      <w:tr w:rsidR="00C077B6" w:rsidRPr="00C077B6" w14:paraId="3CF4F2B3" w14:textId="77777777" w:rsidTr="00107F4F">
        <w:tc>
          <w:tcPr>
            <w:tcW w:w="3715" w:type="dxa"/>
          </w:tcPr>
          <w:p w14:paraId="12FF7295"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Tramadol tablet (modified release) </w:t>
            </w:r>
          </w:p>
        </w:tc>
        <w:tc>
          <w:tcPr>
            <w:tcW w:w="5124" w:type="dxa"/>
          </w:tcPr>
          <w:p w14:paraId="6CDB87C8" w14:textId="5422DBA2"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Chronic severe pain</w:t>
            </w:r>
          </w:p>
        </w:tc>
      </w:tr>
      <w:tr w:rsidR="00C077B6" w:rsidRPr="00C077B6" w14:paraId="5997443E" w14:textId="77777777" w:rsidTr="00107F4F">
        <w:tc>
          <w:tcPr>
            <w:tcW w:w="3715" w:type="dxa"/>
          </w:tcPr>
          <w:p w14:paraId="1C0F9E5D" w14:textId="1A37BA6C"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Tramadol oral </w:t>
            </w:r>
            <w:r w:rsidR="002A54E1" w:rsidRPr="002A54E1">
              <w:rPr>
                <w:rFonts w:ascii="Calibri" w:eastAsia="Yu Mincho" w:hAnsi="Calibri" w:cs="Calibri"/>
                <w:color w:val="000000"/>
                <w:sz w:val="20"/>
                <w:szCs w:val="20"/>
              </w:rPr>
              <w:t>liquid</w:t>
            </w:r>
          </w:p>
        </w:tc>
        <w:tc>
          <w:tcPr>
            <w:tcW w:w="5124" w:type="dxa"/>
          </w:tcPr>
          <w:p w14:paraId="1E3B0764" w14:textId="2B22DAFB"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Severe pain</w:t>
            </w:r>
          </w:p>
        </w:tc>
      </w:tr>
      <w:tr w:rsidR="00C077B6" w:rsidRPr="00C077B6" w14:paraId="7B6BCB2B" w14:textId="77777777" w:rsidTr="00107F4F">
        <w:tc>
          <w:tcPr>
            <w:tcW w:w="3715" w:type="dxa"/>
            <w:tcBorders>
              <w:bottom w:val="single" w:sz="4" w:space="0" w:color="auto"/>
            </w:tcBorders>
          </w:tcPr>
          <w:p w14:paraId="1B21F237"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Tramadol injection</w:t>
            </w:r>
          </w:p>
        </w:tc>
        <w:tc>
          <w:tcPr>
            <w:tcW w:w="5124" w:type="dxa"/>
            <w:tcBorders>
              <w:bottom w:val="single" w:sz="4" w:space="0" w:color="auto"/>
            </w:tcBorders>
          </w:tcPr>
          <w:p w14:paraId="0055ECD8" w14:textId="26147A31"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Prescriber bag as Unrestricted benefit</w:t>
            </w:r>
            <w:r w:rsidR="005A4A15">
              <w:rPr>
                <w:rFonts w:ascii="Calibri" w:eastAsia="Yu Mincho" w:hAnsi="Calibri" w:cs="Calibri"/>
                <w:color w:val="000000"/>
                <w:sz w:val="20"/>
                <w:szCs w:val="20"/>
              </w:rPr>
              <w:t xml:space="preserve"> </w:t>
            </w:r>
            <w:r w:rsidR="00C077B6" w:rsidRPr="00C077B6">
              <w:rPr>
                <w:rFonts w:ascii="Calibri" w:eastAsia="Yu Mincho" w:hAnsi="Calibri" w:cs="Calibri"/>
                <w:color w:val="000000"/>
                <w:sz w:val="20"/>
                <w:szCs w:val="20"/>
                <w:highlight w:val="cyan"/>
              </w:rPr>
              <w:br/>
            </w:r>
            <w:r w:rsidRPr="002A54E1">
              <w:rPr>
                <w:rFonts w:ascii="Calibri" w:eastAsia="Yu Mincho" w:hAnsi="Calibri" w:cs="Calibri"/>
                <w:color w:val="000000"/>
                <w:sz w:val="20"/>
                <w:szCs w:val="20"/>
              </w:rPr>
              <w:t>Severe pain</w:t>
            </w:r>
          </w:p>
        </w:tc>
      </w:tr>
      <w:tr w:rsidR="00C077B6" w:rsidRPr="00C077B6" w14:paraId="16C680F1" w14:textId="77777777" w:rsidTr="00107F4F">
        <w:tc>
          <w:tcPr>
            <w:tcW w:w="3715" w:type="dxa"/>
            <w:tcBorders>
              <w:right w:val="nil"/>
            </w:tcBorders>
          </w:tcPr>
          <w:p w14:paraId="715E335F" w14:textId="77777777" w:rsidR="00C077B6" w:rsidRPr="00C077B6" w:rsidRDefault="00C077B6" w:rsidP="00C077B6">
            <w:pPr>
              <w:autoSpaceDE w:val="0"/>
              <w:autoSpaceDN w:val="0"/>
              <w:adjustRightInd w:val="0"/>
              <w:rPr>
                <w:rFonts w:ascii="Calibri" w:eastAsia="Yu Mincho" w:hAnsi="Calibri" w:cs="Calibri"/>
                <w:b/>
                <w:color w:val="000000"/>
                <w:sz w:val="20"/>
                <w:szCs w:val="20"/>
              </w:rPr>
            </w:pPr>
            <w:r w:rsidRPr="00C077B6">
              <w:rPr>
                <w:rFonts w:ascii="Calibri" w:eastAsia="Yu Mincho" w:hAnsi="Calibri" w:cs="Calibri"/>
                <w:b/>
                <w:color w:val="000000"/>
                <w:sz w:val="20"/>
                <w:szCs w:val="20"/>
              </w:rPr>
              <w:t>Tapentadol</w:t>
            </w:r>
          </w:p>
        </w:tc>
        <w:tc>
          <w:tcPr>
            <w:tcW w:w="5124" w:type="dxa"/>
            <w:tcBorders>
              <w:left w:val="nil"/>
            </w:tcBorders>
          </w:tcPr>
          <w:p w14:paraId="45E5AA63" w14:textId="77777777" w:rsidR="00C077B6" w:rsidRPr="00C077B6" w:rsidRDefault="00C077B6" w:rsidP="00C077B6">
            <w:pPr>
              <w:autoSpaceDE w:val="0"/>
              <w:autoSpaceDN w:val="0"/>
              <w:adjustRightInd w:val="0"/>
              <w:rPr>
                <w:rFonts w:ascii="Calibri" w:eastAsia="Yu Mincho" w:hAnsi="Calibri" w:cs="Calibri"/>
                <w:color w:val="000000"/>
                <w:sz w:val="20"/>
                <w:szCs w:val="20"/>
                <w:highlight w:val="cyan"/>
              </w:rPr>
            </w:pPr>
          </w:p>
        </w:tc>
      </w:tr>
      <w:tr w:rsidR="00C077B6" w:rsidRPr="00C077B6" w14:paraId="5FF7AD95" w14:textId="77777777" w:rsidTr="00107F4F">
        <w:tc>
          <w:tcPr>
            <w:tcW w:w="3715" w:type="dxa"/>
          </w:tcPr>
          <w:p w14:paraId="584D6362"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Yu Mincho" w:hAnsi="Calibri" w:cs="Calibri"/>
                <w:color w:val="000000"/>
                <w:sz w:val="20"/>
                <w:szCs w:val="20"/>
              </w:rPr>
              <w:t xml:space="preserve">Tapentadol tablet (modified release) </w:t>
            </w:r>
          </w:p>
        </w:tc>
        <w:tc>
          <w:tcPr>
            <w:tcW w:w="5124" w:type="dxa"/>
          </w:tcPr>
          <w:p w14:paraId="2BEA8B88" w14:textId="3D8241F0" w:rsidR="00C077B6" w:rsidRPr="00C077B6" w:rsidRDefault="002A54E1" w:rsidP="00C077B6">
            <w:pPr>
              <w:autoSpaceDE w:val="0"/>
              <w:autoSpaceDN w:val="0"/>
              <w:adjustRightInd w:val="0"/>
              <w:rPr>
                <w:rFonts w:ascii="Calibri" w:eastAsia="Yu Mincho" w:hAnsi="Calibri" w:cs="Calibri"/>
                <w:color w:val="000000"/>
                <w:sz w:val="20"/>
                <w:szCs w:val="20"/>
                <w:highlight w:val="cyan"/>
              </w:rPr>
            </w:pPr>
            <w:r w:rsidRPr="002A54E1">
              <w:rPr>
                <w:rFonts w:ascii="Calibri" w:eastAsia="Yu Mincho" w:hAnsi="Calibri" w:cs="Calibri"/>
                <w:color w:val="000000"/>
                <w:sz w:val="20"/>
                <w:szCs w:val="20"/>
              </w:rPr>
              <w:t>Chronic severe pain</w:t>
            </w:r>
          </w:p>
        </w:tc>
      </w:tr>
      <w:tr w:rsidR="00C077B6" w:rsidRPr="00C077B6" w14:paraId="08112491" w14:textId="77777777" w:rsidTr="00107F4F">
        <w:tc>
          <w:tcPr>
            <w:tcW w:w="3715" w:type="dxa"/>
            <w:vAlign w:val="center"/>
          </w:tcPr>
          <w:p w14:paraId="3BCB0A6A" w14:textId="77777777" w:rsidR="00C077B6" w:rsidRPr="00C077B6" w:rsidRDefault="00C077B6" w:rsidP="00C077B6">
            <w:pPr>
              <w:autoSpaceDE w:val="0"/>
              <w:autoSpaceDN w:val="0"/>
              <w:adjustRightInd w:val="0"/>
              <w:rPr>
                <w:rFonts w:ascii="Calibri" w:eastAsia="MS Mincho" w:hAnsi="Calibri" w:cs="Calibri"/>
                <w:b/>
                <w:color w:val="000000"/>
                <w:sz w:val="20"/>
                <w:szCs w:val="20"/>
              </w:rPr>
            </w:pPr>
            <w:r w:rsidRPr="00C077B6">
              <w:rPr>
                <w:rFonts w:ascii="Calibri" w:eastAsia="MS Mincho" w:hAnsi="Calibri" w:cs="Calibri"/>
                <w:b/>
                <w:color w:val="000000"/>
                <w:sz w:val="20"/>
                <w:szCs w:val="20"/>
              </w:rPr>
              <w:t>Gabapentinoids</w:t>
            </w:r>
          </w:p>
        </w:tc>
        <w:tc>
          <w:tcPr>
            <w:tcW w:w="5124" w:type="dxa"/>
            <w:vAlign w:val="center"/>
          </w:tcPr>
          <w:p w14:paraId="775B63D0" w14:textId="77777777" w:rsidR="00C077B6" w:rsidRPr="00C077B6" w:rsidRDefault="00C077B6" w:rsidP="00C077B6">
            <w:pPr>
              <w:autoSpaceDE w:val="0"/>
              <w:autoSpaceDN w:val="0"/>
              <w:adjustRightInd w:val="0"/>
              <w:rPr>
                <w:rFonts w:ascii="Calibri" w:eastAsia="MS Mincho" w:hAnsi="Calibri" w:cs="Calibri"/>
                <w:color w:val="000000"/>
                <w:sz w:val="20"/>
                <w:szCs w:val="20"/>
                <w:highlight w:val="cyan"/>
              </w:rPr>
            </w:pPr>
          </w:p>
        </w:tc>
      </w:tr>
      <w:tr w:rsidR="00C077B6" w:rsidRPr="00C077B6" w14:paraId="76A5F82F" w14:textId="77777777" w:rsidTr="00107F4F">
        <w:tc>
          <w:tcPr>
            <w:tcW w:w="3715" w:type="dxa"/>
            <w:vAlign w:val="center"/>
          </w:tcPr>
          <w:p w14:paraId="14B487D9"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MS Mincho" w:hAnsi="Calibri" w:cs="Calibri"/>
                <w:color w:val="000000"/>
                <w:sz w:val="20"/>
                <w:szCs w:val="20"/>
              </w:rPr>
              <w:t>Pregabalin</w:t>
            </w:r>
          </w:p>
        </w:tc>
        <w:tc>
          <w:tcPr>
            <w:tcW w:w="5124" w:type="dxa"/>
            <w:vAlign w:val="center"/>
          </w:tcPr>
          <w:p w14:paraId="6CCC5A02" w14:textId="77777777" w:rsidR="00C077B6" w:rsidRPr="00F15518" w:rsidRDefault="00C077B6" w:rsidP="00C077B6">
            <w:pPr>
              <w:autoSpaceDE w:val="0"/>
              <w:autoSpaceDN w:val="0"/>
              <w:adjustRightInd w:val="0"/>
              <w:rPr>
                <w:rFonts w:ascii="Calibri" w:eastAsia="Yu Mincho" w:hAnsi="Calibri" w:cs="Calibri"/>
                <w:color w:val="000000"/>
                <w:sz w:val="20"/>
                <w:szCs w:val="20"/>
              </w:rPr>
            </w:pPr>
            <w:r w:rsidRPr="00F15518">
              <w:rPr>
                <w:rFonts w:ascii="Calibri" w:eastAsia="MS Mincho" w:hAnsi="Calibri" w:cs="Calibri"/>
                <w:color w:val="000000"/>
                <w:sz w:val="20"/>
                <w:szCs w:val="20"/>
              </w:rPr>
              <w:t>Neuropathic pain</w:t>
            </w:r>
          </w:p>
        </w:tc>
      </w:tr>
      <w:tr w:rsidR="00C077B6" w:rsidRPr="00C077B6" w14:paraId="62343DC2" w14:textId="77777777" w:rsidTr="00107F4F">
        <w:tc>
          <w:tcPr>
            <w:tcW w:w="3715" w:type="dxa"/>
            <w:vAlign w:val="center"/>
          </w:tcPr>
          <w:p w14:paraId="582F0DD9" w14:textId="77777777" w:rsidR="00C077B6" w:rsidRPr="00C077B6" w:rsidRDefault="00C077B6" w:rsidP="00C077B6">
            <w:pPr>
              <w:autoSpaceDE w:val="0"/>
              <w:autoSpaceDN w:val="0"/>
              <w:adjustRightInd w:val="0"/>
              <w:rPr>
                <w:rFonts w:ascii="Calibri" w:eastAsia="Yu Mincho" w:hAnsi="Calibri" w:cs="Calibri"/>
                <w:color w:val="000000"/>
                <w:sz w:val="20"/>
                <w:szCs w:val="20"/>
              </w:rPr>
            </w:pPr>
            <w:r w:rsidRPr="00C077B6">
              <w:rPr>
                <w:rFonts w:ascii="Calibri" w:eastAsia="MS Mincho" w:hAnsi="Calibri" w:cs="Calibri"/>
                <w:color w:val="000000"/>
                <w:sz w:val="20"/>
                <w:szCs w:val="20"/>
              </w:rPr>
              <w:t>Gabapentin</w:t>
            </w:r>
          </w:p>
        </w:tc>
        <w:tc>
          <w:tcPr>
            <w:tcW w:w="5124" w:type="dxa"/>
            <w:vAlign w:val="center"/>
          </w:tcPr>
          <w:p w14:paraId="20331187" w14:textId="77777777" w:rsidR="00C077B6" w:rsidRPr="00F15518" w:rsidRDefault="00C077B6" w:rsidP="00C077B6">
            <w:pPr>
              <w:autoSpaceDE w:val="0"/>
              <w:autoSpaceDN w:val="0"/>
              <w:adjustRightInd w:val="0"/>
              <w:rPr>
                <w:rFonts w:ascii="Calibri" w:eastAsia="MS Mincho" w:hAnsi="Calibri" w:cs="Calibri"/>
                <w:color w:val="000000"/>
                <w:sz w:val="20"/>
                <w:szCs w:val="20"/>
              </w:rPr>
            </w:pPr>
            <w:r w:rsidRPr="00F15518">
              <w:rPr>
                <w:rFonts w:ascii="Calibri" w:eastAsia="MS Mincho" w:hAnsi="Calibri" w:cs="Calibri"/>
                <w:color w:val="000000"/>
                <w:sz w:val="20"/>
                <w:szCs w:val="20"/>
              </w:rPr>
              <w:t>Refractory neuropathic pain (RPBS only).</w:t>
            </w:r>
          </w:p>
        </w:tc>
      </w:tr>
    </w:tbl>
    <w:p w14:paraId="093233E4" w14:textId="1E44C4EE" w:rsidR="00C077B6" w:rsidRPr="00C077B6" w:rsidRDefault="00C077B6" w:rsidP="00C077B6">
      <w:pPr>
        <w:rPr>
          <w:rFonts w:ascii="Calibri" w:eastAsia="Yu Mincho" w:hAnsi="Calibri" w:cs="Baskerville"/>
          <w:sz w:val="20"/>
          <w:szCs w:val="20"/>
        </w:rPr>
      </w:pPr>
      <w:r w:rsidRPr="00C077B6">
        <w:rPr>
          <w:rFonts w:ascii="Calibri" w:eastAsia="Yu Mincho" w:hAnsi="Calibri" w:cs="Baskerville"/>
          <w:sz w:val="20"/>
          <w:szCs w:val="20"/>
        </w:rPr>
        <w:t xml:space="preserve">Source: </w:t>
      </w:r>
      <w:r w:rsidR="00841339">
        <w:rPr>
          <w:rFonts w:ascii="Calibri" w:eastAsia="Yu Mincho" w:hAnsi="Calibri" w:cs="Baskerville"/>
          <w:sz w:val="20"/>
          <w:szCs w:val="20"/>
        </w:rPr>
        <w:t>November 2022</w:t>
      </w:r>
      <w:r w:rsidRPr="00C077B6">
        <w:rPr>
          <w:rFonts w:ascii="Calibri" w:eastAsia="Yu Mincho" w:hAnsi="Calibri" w:cs="Baskerville"/>
          <w:sz w:val="20"/>
          <w:szCs w:val="20"/>
        </w:rPr>
        <w:t xml:space="preserve"> PBS Schedule</w:t>
      </w:r>
    </w:p>
    <w:p w14:paraId="22433632" w14:textId="4C8903ED" w:rsidR="006775F1" w:rsidRPr="006775F1" w:rsidDel="00EE2BBB" w:rsidRDefault="006775F1" w:rsidP="00A35800">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232720EF" w14:textId="7053BA43" w:rsidR="009C35F2" w:rsidRDefault="00841339" w:rsidP="00A35800">
      <w:r>
        <w:t>Since the previous DUSC review</w:t>
      </w:r>
      <w:r w:rsidR="0084063D">
        <w:t xml:space="preserve"> in February 2020</w:t>
      </w:r>
      <w:r>
        <w:t xml:space="preserve"> a number of changes have been implemented to PBS list</w:t>
      </w:r>
      <w:r w:rsidR="0084063D">
        <w:t>ings for opioids</w:t>
      </w:r>
      <w:r w:rsidR="00BD7FDA">
        <w:t xml:space="preserve">. </w:t>
      </w:r>
      <w:r w:rsidR="0084063D">
        <w:t xml:space="preserve">The </w:t>
      </w:r>
      <w:r w:rsidR="009D4347">
        <w:t xml:space="preserve">following changes were made </w:t>
      </w:r>
      <w:r w:rsidR="001834D6">
        <w:t xml:space="preserve">from </w:t>
      </w:r>
      <w:r w:rsidR="009D4347">
        <w:t>1 June 2020.</w:t>
      </w:r>
    </w:p>
    <w:p w14:paraId="5E65AD4B" w14:textId="0F01FA71" w:rsidR="0084063D" w:rsidRDefault="0084063D" w:rsidP="0084063D">
      <w:pPr>
        <w:pStyle w:val="ListParagraph"/>
        <w:numPr>
          <w:ilvl w:val="0"/>
          <w:numId w:val="17"/>
        </w:numPr>
      </w:pPr>
      <w:r>
        <w:t>Smaller pack sizes for some items</w:t>
      </w:r>
      <w:r w:rsidR="005D3DE7">
        <w:t xml:space="preserve"> were intended to be listed</w:t>
      </w:r>
      <w:r w:rsidR="009B725C">
        <w:t xml:space="preserve">. </w:t>
      </w:r>
      <w:r w:rsidR="006621E6">
        <w:t>P</w:t>
      </w:r>
      <w:r w:rsidR="009B725C">
        <w:t xml:space="preserve">rior to smaller pack sizes being available, new listings </w:t>
      </w:r>
      <w:r w:rsidR="006621E6">
        <w:t>were</w:t>
      </w:r>
      <w:r w:rsidR="009B725C">
        <w:t xml:space="preserve"> created with a smaller maximum quantity</w:t>
      </w:r>
      <w:r w:rsidR="006621E6">
        <w:t xml:space="preserve"> of 0.5 packs</w:t>
      </w:r>
      <w:r w:rsidR="009B725C">
        <w:t>. These are still listed</w:t>
      </w:r>
      <w:r w:rsidR="006621E6">
        <w:t>.</w:t>
      </w:r>
      <w:r w:rsidR="009B725C">
        <w:t xml:space="preserve"> </w:t>
      </w:r>
    </w:p>
    <w:p w14:paraId="64FCFC9E" w14:textId="6F10C3D4" w:rsidR="0084063D" w:rsidRDefault="0084063D" w:rsidP="0084063D">
      <w:pPr>
        <w:pStyle w:val="ListParagraph"/>
        <w:numPr>
          <w:ilvl w:val="0"/>
          <w:numId w:val="17"/>
        </w:numPr>
      </w:pPr>
      <w:r>
        <w:t xml:space="preserve">Authority level has increased for some listings, </w:t>
      </w:r>
      <w:r w:rsidR="004F0025">
        <w:t xml:space="preserve">for example </w:t>
      </w:r>
      <w:r>
        <w:t>from Unrestricted to Restricted Benefit</w:t>
      </w:r>
      <w:r w:rsidR="004F0025">
        <w:t xml:space="preserve"> or from </w:t>
      </w:r>
      <w:r w:rsidR="004F0025" w:rsidRPr="004F0025">
        <w:t>Restricted Benefit</w:t>
      </w:r>
      <w:r w:rsidR="004F0025">
        <w:t xml:space="preserve"> to </w:t>
      </w:r>
      <w:r w:rsidR="004F0025" w:rsidRPr="004F0025">
        <w:t>Authority Required (</w:t>
      </w:r>
      <w:r w:rsidR="004F0025">
        <w:t>Streamlined</w:t>
      </w:r>
      <w:r w:rsidR="004F0025" w:rsidRPr="004F0025">
        <w:t>)</w:t>
      </w:r>
      <w:r w:rsidR="004F0025">
        <w:t>.</w:t>
      </w:r>
    </w:p>
    <w:p w14:paraId="7135A189" w14:textId="0BA37B72" w:rsidR="00E3047A" w:rsidRDefault="00E3047A" w:rsidP="0084063D">
      <w:pPr>
        <w:pStyle w:val="ListParagraph"/>
        <w:numPr>
          <w:ilvl w:val="0"/>
          <w:numId w:val="17"/>
        </w:numPr>
      </w:pPr>
      <w:r>
        <w:t>Additional criteria added to PBS restrictions.</w:t>
      </w:r>
    </w:p>
    <w:p w14:paraId="1AD50B96" w14:textId="4A38280B" w:rsidR="0084063D" w:rsidRDefault="0084063D" w:rsidP="0084063D">
      <w:pPr>
        <w:pStyle w:val="ListParagraph"/>
        <w:numPr>
          <w:ilvl w:val="0"/>
          <w:numId w:val="17"/>
        </w:numPr>
      </w:pPr>
      <w:r>
        <w:t xml:space="preserve">The deletion of the listing for </w:t>
      </w:r>
      <w:r w:rsidRPr="0084063D">
        <w:t>paracetamol 500 mg + codeine phosphate hemihydrate 30 mg tablet</w:t>
      </w:r>
      <w:r>
        <w:t xml:space="preserve"> which allowed three packs of 20 tablets to be dispensed at once.</w:t>
      </w:r>
    </w:p>
    <w:p w14:paraId="67651D1D" w14:textId="7A6A613A" w:rsidR="0084063D" w:rsidDel="00EE2BBB" w:rsidRDefault="004F0025" w:rsidP="0084063D">
      <w:pPr>
        <w:pStyle w:val="ListParagraph"/>
        <w:numPr>
          <w:ilvl w:val="0"/>
          <w:numId w:val="17"/>
        </w:numPr>
      </w:pPr>
      <w:r>
        <w:t xml:space="preserve">The deletion of the listing for tramadol for dose titration. </w:t>
      </w:r>
    </w:p>
    <w:p w14:paraId="30C47934" w14:textId="59F17E7E" w:rsidR="009D4347" w:rsidRDefault="009D4347" w:rsidP="009D4347">
      <w:r>
        <w:lastRenderedPageBreak/>
        <w:t xml:space="preserve">From 1 October 2020, some revised changes were implemented to </w:t>
      </w:r>
      <w:r w:rsidR="00C1198E">
        <w:t>facilitate</w:t>
      </w:r>
      <w:r>
        <w:t xml:space="preserve"> access to opioid medication to palliative care patients. PBS listings that require an annual secondary review were altered to allow a palliative care nurse practitioner to conduct the review, and the requirements for the annual secondary reviews were removed for patients whose clinical condition is such that a secondary review is rendered not possible.</w:t>
      </w:r>
    </w:p>
    <w:p w14:paraId="1F5F1AB4" w14:textId="37090BF6" w:rsidR="009D4347" w:rsidRDefault="009D4347" w:rsidP="00BF544D">
      <w:r w:rsidRPr="009D4347">
        <w:t>From 1 June 2021, the Palliative Care Schedule (PCS) included new and amended listings for opioid medications. Following consideration of the Department of Health commissioned review of the PCS, the Pharmaceutical Benefits Advisory Committee recommended the inclusion of additional formulations of fentanyl, hydromorphone, methadone and morphine on PCS, and the addition of new listings for oxycodone and oxycodone with naloxone modified release products. These changes reflect the PBAC’s recommendations and were intended to further reduce barriers to the prescribing and timely supply of opioid analgesic medications for palliative care patients.</w:t>
      </w:r>
    </w:p>
    <w:p w14:paraId="174C260C" w14:textId="77777777" w:rsidR="00310C38" w:rsidRPr="00310C38" w:rsidRDefault="00310C38" w:rsidP="00310C38">
      <w:r w:rsidRPr="00310C38">
        <w:t>From 1 August 2022 amendments in the below table were made to the PBS listings of hydromorphone oral solutions to allow pharmacists to dispense volumes smaller than a whole bottle at PBS subsidised prices.</w:t>
      </w:r>
      <w:r w:rsidRPr="00310C38">
        <w:rPr>
          <w:vertAlign w:val="superscript"/>
        </w:rPr>
        <w:footnoteReference w:id="2"/>
      </w:r>
    </w:p>
    <w:p w14:paraId="5F5C5DDE" w14:textId="3B163ED9" w:rsidR="00310C38" w:rsidRPr="00310C38" w:rsidRDefault="00310C38" w:rsidP="00535AE5">
      <w:pPr>
        <w:pStyle w:val="Tabletitle"/>
      </w:pPr>
      <w:r w:rsidRPr="00310C38">
        <w:t xml:space="preserve">Table </w:t>
      </w:r>
      <w:r w:rsidR="00373F55">
        <w:t>3</w:t>
      </w:r>
      <w:r w:rsidRPr="00310C38">
        <w:t>: Amendments to hydromorphone oral solution effective 1 August 2022</w:t>
      </w:r>
    </w:p>
    <w:tbl>
      <w:tblPr>
        <w:tblStyle w:val="TableGrid"/>
        <w:tblW w:w="0" w:type="auto"/>
        <w:tblLook w:val="04A0" w:firstRow="1" w:lastRow="0" w:firstColumn="1" w:lastColumn="0" w:noHBand="0" w:noVBand="1"/>
      </w:tblPr>
      <w:tblGrid>
        <w:gridCol w:w="2982"/>
        <w:gridCol w:w="2982"/>
        <w:gridCol w:w="2983"/>
      </w:tblGrid>
      <w:tr w:rsidR="00310C38" w:rsidRPr="00310C38" w14:paraId="5E37DD3E" w14:textId="77777777" w:rsidTr="00C70F86">
        <w:tc>
          <w:tcPr>
            <w:tcW w:w="2982" w:type="dxa"/>
            <w:shd w:val="clear" w:color="auto" w:fill="BFBFBF" w:themeFill="background1" w:themeFillShade="BF"/>
          </w:tcPr>
          <w:p w14:paraId="758A00BC" w14:textId="77777777" w:rsidR="00310C38" w:rsidRPr="00310C38" w:rsidRDefault="00310C38" w:rsidP="00535AE5">
            <w:pPr>
              <w:rPr>
                <w:rFonts w:cstheme="minorHAnsi"/>
                <w:sz w:val="20"/>
                <w:szCs w:val="20"/>
              </w:rPr>
            </w:pPr>
            <w:r w:rsidRPr="00310C38">
              <w:rPr>
                <w:rFonts w:cstheme="minorHAnsi"/>
                <w:b/>
                <w:bCs/>
                <w:sz w:val="20"/>
                <w:szCs w:val="20"/>
                <w:bdr w:val="none" w:sz="0" w:space="0" w:color="auto" w:frame="1"/>
              </w:rPr>
              <w:t>Change</w:t>
            </w:r>
          </w:p>
        </w:tc>
        <w:tc>
          <w:tcPr>
            <w:tcW w:w="2982" w:type="dxa"/>
            <w:shd w:val="clear" w:color="auto" w:fill="BFBFBF" w:themeFill="background1" w:themeFillShade="BF"/>
            <w:vAlign w:val="center"/>
          </w:tcPr>
          <w:p w14:paraId="4A4B2C80" w14:textId="77777777" w:rsidR="00310C38" w:rsidRPr="00310C38" w:rsidRDefault="00310C38" w:rsidP="00535AE5">
            <w:pPr>
              <w:jc w:val="center"/>
              <w:rPr>
                <w:rFonts w:cstheme="minorHAnsi"/>
                <w:sz w:val="20"/>
                <w:szCs w:val="20"/>
              </w:rPr>
            </w:pPr>
            <w:r w:rsidRPr="00310C38">
              <w:rPr>
                <w:rFonts w:cstheme="minorHAnsi"/>
                <w:b/>
                <w:bCs/>
                <w:sz w:val="20"/>
                <w:szCs w:val="20"/>
                <w:bdr w:val="none" w:sz="0" w:space="0" w:color="auto" w:frame="1"/>
              </w:rPr>
              <w:t>Previous listing</w:t>
            </w:r>
          </w:p>
        </w:tc>
        <w:tc>
          <w:tcPr>
            <w:tcW w:w="2983" w:type="dxa"/>
            <w:shd w:val="clear" w:color="auto" w:fill="BFBFBF" w:themeFill="background1" w:themeFillShade="BF"/>
            <w:vAlign w:val="center"/>
          </w:tcPr>
          <w:p w14:paraId="40F6FC3F" w14:textId="77777777" w:rsidR="00310C38" w:rsidRPr="00310C38" w:rsidRDefault="00310C38" w:rsidP="00535AE5">
            <w:pPr>
              <w:jc w:val="center"/>
              <w:rPr>
                <w:rFonts w:cstheme="minorHAnsi"/>
                <w:sz w:val="20"/>
                <w:szCs w:val="20"/>
              </w:rPr>
            </w:pPr>
            <w:r w:rsidRPr="00310C38">
              <w:rPr>
                <w:rFonts w:cstheme="minorHAnsi"/>
                <w:b/>
                <w:bCs/>
                <w:sz w:val="20"/>
                <w:szCs w:val="20"/>
                <w:bdr w:val="none" w:sz="0" w:space="0" w:color="auto" w:frame="1"/>
              </w:rPr>
              <w:t>Amendments from 1 August 2022</w:t>
            </w:r>
          </w:p>
        </w:tc>
      </w:tr>
      <w:tr w:rsidR="00310C38" w:rsidRPr="00535AE5" w14:paraId="6838A3A6" w14:textId="77777777" w:rsidTr="00535AE5">
        <w:trPr>
          <w:trHeight w:val="227"/>
        </w:trPr>
        <w:tc>
          <w:tcPr>
            <w:tcW w:w="2982" w:type="dxa"/>
          </w:tcPr>
          <w:p w14:paraId="202F83FE" w14:textId="77777777" w:rsidR="00310C38" w:rsidRPr="00535AE5" w:rsidRDefault="00310C38" w:rsidP="00535AE5">
            <w:pPr>
              <w:rPr>
                <w:rFonts w:cstheme="minorHAnsi"/>
                <w:sz w:val="20"/>
                <w:szCs w:val="20"/>
              </w:rPr>
            </w:pPr>
            <w:r w:rsidRPr="00535AE5">
              <w:rPr>
                <w:rFonts w:cstheme="minorHAnsi"/>
                <w:sz w:val="20"/>
                <w:szCs w:val="20"/>
                <w:bdr w:val="none" w:sz="0" w:space="0" w:color="auto" w:frame="1"/>
              </w:rPr>
              <w:t>Legislative Instrument form descriptions</w:t>
            </w:r>
          </w:p>
        </w:tc>
        <w:tc>
          <w:tcPr>
            <w:tcW w:w="2982" w:type="dxa"/>
            <w:vAlign w:val="center"/>
          </w:tcPr>
          <w:p w14:paraId="59E77366" w14:textId="77777777" w:rsidR="00310C38" w:rsidRPr="00535AE5" w:rsidRDefault="00310C38" w:rsidP="00535AE5">
            <w:pPr>
              <w:jc w:val="center"/>
              <w:rPr>
                <w:rFonts w:cstheme="minorHAnsi"/>
                <w:sz w:val="20"/>
                <w:szCs w:val="20"/>
              </w:rPr>
            </w:pPr>
            <w:r w:rsidRPr="00535AE5">
              <w:rPr>
                <w:rFonts w:cstheme="minorHAnsi"/>
                <w:sz w:val="20"/>
                <w:szCs w:val="20"/>
              </w:rPr>
              <w:t>Oral solution containing hydromorphone hydrochloride 1 mg per mL, </w:t>
            </w:r>
            <w:r w:rsidRPr="00535AE5">
              <w:rPr>
                <w:rFonts w:cstheme="minorHAnsi"/>
                <w:b/>
                <w:bCs/>
                <w:sz w:val="20"/>
                <w:szCs w:val="20"/>
                <w:bdr w:val="none" w:sz="0" w:space="0" w:color="auto" w:frame="1"/>
              </w:rPr>
              <w:t>473 mL</w:t>
            </w:r>
          </w:p>
        </w:tc>
        <w:tc>
          <w:tcPr>
            <w:tcW w:w="2983" w:type="dxa"/>
            <w:vAlign w:val="center"/>
          </w:tcPr>
          <w:p w14:paraId="1F42FEE0" w14:textId="77777777" w:rsidR="00310C38" w:rsidRPr="00535AE5" w:rsidRDefault="00310C38" w:rsidP="00535AE5">
            <w:pPr>
              <w:jc w:val="center"/>
              <w:rPr>
                <w:rFonts w:cstheme="minorHAnsi"/>
                <w:sz w:val="20"/>
                <w:szCs w:val="20"/>
              </w:rPr>
            </w:pPr>
            <w:r w:rsidRPr="00535AE5">
              <w:rPr>
                <w:rFonts w:cstheme="minorHAnsi"/>
                <w:sz w:val="20"/>
                <w:szCs w:val="20"/>
              </w:rPr>
              <w:t>Oral solution containing hydromorphone hydrochloride 1 mg per mL, </w:t>
            </w:r>
            <w:r w:rsidRPr="00535AE5">
              <w:rPr>
                <w:rFonts w:cstheme="minorHAnsi"/>
                <w:b/>
                <w:bCs/>
                <w:sz w:val="20"/>
                <w:szCs w:val="20"/>
                <w:bdr w:val="none" w:sz="0" w:space="0" w:color="auto" w:frame="1"/>
              </w:rPr>
              <w:t>1 mL</w:t>
            </w:r>
          </w:p>
        </w:tc>
      </w:tr>
      <w:tr w:rsidR="00310C38" w:rsidRPr="00535AE5" w14:paraId="4091D7D0" w14:textId="77777777" w:rsidTr="00535AE5">
        <w:trPr>
          <w:trHeight w:val="227"/>
        </w:trPr>
        <w:tc>
          <w:tcPr>
            <w:tcW w:w="2982" w:type="dxa"/>
          </w:tcPr>
          <w:p w14:paraId="5FEB140F" w14:textId="77777777" w:rsidR="00310C38" w:rsidRPr="00535AE5" w:rsidRDefault="00310C38" w:rsidP="00535AE5">
            <w:pPr>
              <w:rPr>
                <w:rFonts w:cstheme="minorHAnsi"/>
                <w:sz w:val="20"/>
                <w:szCs w:val="20"/>
              </w:rPr>
            </w:pPr>
            <w:r w:rsidRPr="00535AE5">
              <w:rPr>
                <w:rFonts w:cstheme="minorHAnsi"/>
                <w:sz w:val="20"/>
                <w:szCs w:val="20"/>
                <w:bdr w:val="none" w:sz="0" w:space="0" w:color="auto" w:frame="1"/>
              </w:rPr>
              <w:t>Pharmaceutical Item value</w:t>
            </w:r>
          </w:p>
        </w:tc>
        <w:tc>
          <w:tcPr>
            <w:tcW w:w="2982" w:type="dxa"/>
            <w:vAlign w:val="center"/>
          </w:tcPr>
          <w:p w14:paraId="586D6DD9" w14:textId="77777777" w:rsidR="00310C38" w:rsidRPr="00535AE5" w:rsidRDefault="00310C38" w:rsidP="00535AE5">
            <w:pPr>
              <w:jc w:val="center"/>
              <w:rPr>
                <w:rFonts w:cstheme="minorHAnsi"/>
                <w:sz w:val="20"/>
                <w:szCs w:val="20"/>
              </w:rPr>
            </w:pPr>
            <w:r w:rsidRPr="00535AE5">
              <w:rPr>
                <w:rFonts w:cstheme="minorHAnsi"/>
                <w:sz w:val="20"/>
                <w:szCs w:val="20"/>
              </w:rPr>
              <w:t>1 unit (i.e. bottle)</w:t>
            </w:r>
          </w:p>
        </w:tc>
        <w:tc>
          <w:tcPr>
            <w:tcW w:w="2983" w:type="dxa"/>
            <w:vAlign w:val="center"/>
          </w:tcPr>
          <w:p w14:paraId="791BF4F8" w14:textId="77777777" w:rsidR="00310C38" w:rsidRPr="00535AE5" w:rsidRDefault="00310C38" w:rsidP="00535AE5">
            <w:pPr>
              <w:jc w:val="center"/>
              <w:rPr>
                <w:rFonts w:cstheme="minorHAnsi"/>
                <w:sz w:val="20"/>
                <w:szCs w:val="20"/>
              </w:rPr>
            </w:pPr>
            <w:r w:rsidRPr="00535AE5">
              <w:rPr>
                <w:rFonts w:cstheme="minorHAnsi"/>
                <w:sz w:val="20"/>
                <w:szCs w:val="20"/>
              </w:rPr>
              <w:t>473 units (i.e. millilitres)</w:t>
            </w:r>
          </w:p>
        </w:tc>
      </w:tr>
      <w:tr w:rsidR="00310C38" w:rsidRPr="00535AE5" w14:paraId="6141C703" w14:textId="77777777" w:rsidTr="00535AE5">
        <w:trPr>
          <w:trHeight w:val="227"/>
        </w:trPr>
        <w:tc>
          <w:tcPr>
            <w:tcW w:w="2982" w:type="dxa"/>
          </w:tcPr>
          <w:p w14:paraId="36111B02" w14:textId="77777777" w:rsidR="00310C38" w:rsidRPr="00535AE5" w:rsidRDefault="00310C38" w:rsidP="00535AE5">
            <w:pPr>
              <w:rPr>
                <w:rFonts w:cstheme="minorHAnsi"/>
                <w:sz w:val="20"/>
                <w:szCs w:val="20"/>
              </w:rPr>
            </w:pPr>
            <w:r w:rsidRPr="00535AE5">
              <w:rPr>
                <w:rFonts w:cstheme="minorHAnsi"/>
                <w:sz w:val="20"/>
                <w:szCs w:val="20"/>
                <w:bdr w:val="none" w:sz="0" w:space="0" w:color="auto" w:frame="1"/>
              </w:rPr>
              <w:t>Pack Qty</w:t>
            </w:r>
          </w:p>
        </w:tc>
        <w:tc>
          <w:tcPr>
            <w:tcW w:w="2982" w:type="dxa"/>
            <w:vAlign w:val="center"/>
          </w:tcPr>
          <w:p w14:paraId="4945EA67" w14:textId="77777777" w:rsidR="00310C38" w:rsidRPr="00535AE5" w:rsidRDefault="00310C38" w:rsidP="00535AE5">
            <w:pPr>
              <w:jc w:val="center"/>
              <w:rPr>
                <w:rFonts w:cstheme="minorHAnsi"/>
                <w:sz w:val="20"/>
                <w:szCs w:val="20"/>
              </w:rPr>
            </w:pPr>
            <w:r w:rsidRPr="00535AE5">
              <w:rPr>
                <w:rFonts w:cstheme="minorHAnsi"/>
                <w:sz w:val="20"/>
                <w:szCs w:val="20"/>
              </w:rPr>
              <w:t>1</w:t>
            </w:r>
          </w:p>
        </w:tc>
        <w:tc>
          <w:tcPr>
            <w:tcW w:w="2983" w:type="dxa"/>
            <w:vAlign w:val="center"/>
          </w:tcPr>
          <w:p w14:paraId="1A3E409F" w14:textId="77777777" w:rsidR="00310C38" w:rsidRPr="00535AE5" w:rsidRDefault="00310C38" w:rsidP="00535AE5">
            <w:pPr>
              <w:jc w:val="center"/>
              <w:rPr>
                <w:rFonts w:cstheme="minorHAnsi"/>
                <w:sz w:val="20"/>
                <w:szCs w:val="20"/>
              </w:rPr>
            </w:pPr>
            <w:r w:rsidRPr="00535AE5">
              <w:rPr>
                <w:rFonts w:cstheme="minorHAnsi"/>
                <w:sz w:val="20"/>
                <w:szCs w:val="20"/>
              </w:rPr>
              <w:t>473</w:t>
            </w:r>
          </w:p>
        </w:tc>
      </w:tr>
      <w:tr w:rsidR="00310C38" w:rsidRPr="00535AE5" w14:paraId="286EFC65" w14:textId="77777777" w:rsidTr="00535AE5">
        <w:trPr>
          <w:trHeight w:val="227"/>
        </w:trPr>
        <w:tc>
          <w:tcPr>
            <w:tcW w:w="2982" w:type="dxa"/>
          </w:tcPr>
          <w:p w14:paraId="337CA139" w14:textId="77777777" w:rsidR="00310C38" w:rsidRPr="00535AE5" w:rsidRDefault="00310C38" w:rsidP="00535AE5">
            <w:pPr>
              <w:rPr>
                <w:rFonts w:cstheme="minorHAnsi"/>
                <w:sz w:val="20"/>
                <w:szCs w:val="20"/>
              </w:rPr>
            </w:pPr>
            <w:r w:rsidRPr="00535AE5">
              <w:rPr>
                <w:rFonts w:cstheme="minorHAnsi"/>
                <w:sz w:val="20"/>
                <w:szCs w:val="20"/>
                <w:bdr w:val="none" w:sz="0" w:space="0" w:color="auto" w:frame="1"/>
              </w:rPr>
              <w:t>Pricing Qty</w:t>
            </w:r>
          </w:p>
        </w:tc>
        <w:tc>
          <w:tcPr>
            <w:tcW w:w="2982" w:type="dxa"/>
            <w:vAlign w:val="center"/>
          </w:tcPr>
          <w:p w14:paraId="4F41C719" w14:textId="77777777" w:rsidR="00310C38" w:rsidRPr="00535AE5" w:rsidRDefault="00310C38" w:rsidP="00535AE5">
            <w:pPr>
              <w:jc w:val="center"/>
              <w:rPr>
                <w:rFonts w:cstheme="minorHAnsi"/>
                <w:sz w:val="20"/>
                <w:szCs w:val="20"/>
              </w:rPr>
            </w:pPr>
            <w:r w:rsidRPr="00535AE5">
              <w:rPr>
                <w:rFonts w:cstheme="minorHAnsi"/>
                <w:sz w:val="20"/>
                <w:szCs w:val="20"/>
              </w:rPr>
              <w:t>1</w:t>
            </w:r>
          </w:p>
        </w:tc>
        <w:tc>
          <w:tcPr>
            <w:tcW w:w="2983" w:type="dxa"/>
            <w:vAlign w:val="center"/>
          </w:tcPr>
          <w:p w14:paraId="297FD72F" w14:textId="77777777" w:rsidR="00310C38" w:rsidRPr="00535AE5" w:rsidRDefault="00310C38" w:rsidP="00535AE5">
            <w:pPr>
              <w:jc w:val="center"/>
              <w:rPr>
                <w:rFonts w:cstheme="minorHAnsi"/>
                <w:sz w:val="20"/>
                <w:szCs w:val="20"/>
              </w:rPr>
            </w:pPr>
            <w:r w:rsidRPr="00535AE5">
              <w:rPr>
                <w:rFonts w:cstheme="minorHAnsi"/>
                <w:sz w:val="20"/>
                <w:szCs w:val="20"/>
              </w:rPr>
              <w:t>473</w:t>
            </w:r>
          </w:p>
        </w:tc>
      </w:tr>
      <w:tr w:rsidR="00310C38" w:rsidRPr="00535AE5" w14:paraId="76A2D864" w14:textId="77777777" w:rsidTr="00535AE5">
        <w:trPr>
          <w:trHeight w:val="155"/>
        </w:trPr>
        <w:tc>
          <w:tcPr>
            <w:tcW w:w="2982" w:type="dxa"/>
          </w:tcPr>
          <w:p w14:paraId="44D56BC2" w14:textId="77777777" w:rsidR="00310C38" w:rsidRPr="00535AE5" w:rsidRDefault="00310C38" w:rsidP="00535AE5">
            <w:pPr>
              <w:rPr>
                <w:rFonts w:cstheme="minorHAnsi"/>
                <w:sz w:val="20"/>
                <w:szCs w:val="20"/>
              </w:rPr>
            </w:pPr>
            <w:r w:rsidRPr="00535AE5">
              <w:rPr>
                <w:rFonts w:cstheme="minorHAnsi"/>
                <w:sz w:val="20"/>
                <w:szCs w:val="20"/>
                <w:bdr w:val="none" w:sz="0" w:space="0" w:color="auto" w:frame="1"/>
              </w:rPr>
              <w:t>Max Qty Units</w:t>
            </w:r>
          </w:p>
        </w:tc>
        <w:tc>
          <w:tcPr>
            <w:tcW w:w="2982" w:type="dxa"/>
            <w:vAlign w:val="center"/>
          </w:tcPr>
          <w:p w14:paraId="4A93CCBD" w14:textId="77777777" w:rsidR="00310C38" w:rsidRPr="00535AE5" w:rsidRDefault="00310C38" w:rsidP="00535AE5">
            <w:pPr>
              <w:jc w:val="center"/>
              <w:rPr>
                <w:rFonts w:cstheme="minorHAnsi"/>
                <w:sz w:val="20"/>
                <w:szCs w:val="20"/>
              </w:rPr>
            </w:pPr>
            <w:r w:rsidRPr="00535AE5">
              <w:rPr>
                <w:rFonts w:cstheme="minorHAnsi"/>
                <w:sz w:val="20"/>
                <w:szCs w:val="20"/>
              </w:rPr>
              <w:t>1</w:t>
            </w:r>
          </w:p>
        </w:tc>
        <w:tc>
          <w:tcPr>
            <w:tcW w:w="2983" w:type="dxa"/>
            <w:vAlign w:val="center"/>
          </w:tcPr>
          <w:p w14:paraId="232251A4" w14:textId="77777777" w:rsidR="00310C38" w:rsidRPr="00535AE5" w:rsidRDefault="00310C38" w:rsidP="00535AE5">
            <w:pPr>
              <w:jc w:val="center"/>
              <w:rPr>
                <w:rFonts w:cstheme="minorHAnsi"/>
                <w:sz w:val="20"/>
                <w:szCs w:val="20"/>
              </w:rPr>
            </w:pPr>
            <w:r w:rsidRPr="00535AE5">
              <w:rPr>
                <w:rFonts w:cstheme="minorHAnsi"/>
                <w:sz w:val="20"/>
                <w:szCs w:val="20"/>
              </w:rPr>
              <w:t>473</w:t>
            </w:r>
          </w:p>
        </w:tc>
      </w:tr>
    </w:tbl>
    <w:p w14:paraId="711CB2FB" w14:textId="77777777" w:rsidR="00310C38" w:rsidRDefault="00310C38" w:rsidP="00BF544D"/>
    <w:p w14:paraId="64C94A85" w14:textId="3E15D3DF" w:rsidR="00BF544D" w:rsidRPr="002F61CA" w:rsidDel="00EE2BBB"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0C5CC564" w14:textId="77777777" w:rsidR="00C077B6" w:rsidRPr="005E22C2" w:rsidRDefault="00C077B6" w:rsidP="00C077B6">
      <w:pPr>
        <w:pStyle w:val="Heading2"/>
      </w:pPr>
      <w:r>
        <w:t>Relevant aspects of</w:t>
      </w:r>
      <w:r w:rsidRPr="005E22C2">
        <w:t xml:space="preserve"> consideration</w:t>
      </w:r>
      <w:r>
        <w:t xml:space="preserve"> by the Pharmaceutical Benefits Advisory Committee (PBAC)</w:t>
      </w:r>
    </w:p>
    <w:p w14:paraId="5E0D3A22" w14:textId="127B1FCE" w:rsidR="00C077B6" w:rsidRDefault="00C077B6" w:rsidP="00C077B6">
      <w:r>
        <w:t xml:space="preserve">At its December 2019 meeting, the PBAC considered a number of proposed changes to the </w:t>
      </w:r>
      <w:r w:rsidR="00121BEE">
        <w:t>listing of</w:t>
      </w:r>
      <w:r w:rsidRPr="00066CCB">
        <w:t xml:space="preserve"> opioids on the P</w:t>
      </w:r>
      <w:r>
        <w:t>BS.</w:t>
      </w:r>
    </w:p>
    <w:p w14:paraId="3F3978FB" w14:textId="36B2C584" w:rsidR="00BE0FC7" w:rsidRDefault="00BE0FC7" w:rsidP="00BE0FC7">
      <w:r>
        <w:t>In July 2019, in response to a submission sponsored by Mundipharma Pty Ltd</w:t>
      </w:r>
      <w:r w:rsidR="00DE464C" w:rsidRPr="00DE464C">
        <w:t xml:space="preserve"> to register a smaller pack size for oxycodone 5mg capsules</w:t>
      </w:r>
      <w:r>
        <w:t>, the PBAC recommended the Restricted Benefit listing of a new maximum quantity (MQ) of 10 for oxycodone 5 mg capsules and tablets. The PBAC acknowledged the potential quality use of medicine benefit of reduced</w:t>
      </w:r>
      <w:r w:rsidR="00794EF1">
        <w:t xml:space="preserve"> maximum quantities</w:t>
      </w:r>
      <w:r>
        <w:t xml:space="preserve"> for opioids used in the acute pain setting (e.g. after surgery)</w:t>
      </w:r>
      <w:r w:rsidR="00353B54">
        <w:t>.</w:t>
      </w:r>
    </w:p>
    <w:p w14:paraId="6C6F43F2" w14:textId="0D3289D0" w:rsidR="00F22DD3" w:rsidRDefault="00BE0FC7" w:rsidP="00BE0FC7">
      <w:r>
        <w:lastRenderedPageBreak/>
        <w:t>The TGA was undertaking regulatory measures which aimed to reduce the harms associated with prescription opioid dependence and inappropriate use, including overdose fatalities. The regulatory measures were based on the findings from the TGA’s 2018 prescription opioid review, and advice received from the Opioid Regulatory Advisory Group (ORAG).</w:t>
      </w:r>
      <w:r w:rsidR="006E7523">
        <w:t xml:space="preserve"> </w:t>
      </w:r>
      <w:r w:rsidR="006E7523" w:rsidRPr="006E7523">
        <w:t>The TGA opioid reform regulatory measures</w:t>
      </w:r>
      <w:r w:rsidR="006E7523">
        <w:t xml:space="preserve"> were:</w:t>
      </w:r>
    </w:p>
    <w:p w14:paraId="7270B462" w14:textId="0A60F8B4" w:rsidR="004F0025" w:rsidRDefault="004F0025" w:rsidP="004F0025">
      <w:pPr>
        <w:pStyle w:val="ListParagraph"/>
        <w:numPr>
          <w:ilvl w:val="0"/>
          <w:numId w:val="18"/>
        </w:numPr>
      </w:pPr>
      <w:r>
        <w:t>Registration of smaller pack sizes for immediate release opioid products indicated for acute pain, including oxycodone, tramadol, tramadol/paracetamol, paracetamol/codeine, codeine, hydromorphone, morphine, tapentadol, and buprenorphine.</w:t>
      </w:r>
    </w:p>
    <w:p w14:paraId="4531C9A9" w14:textId="76A13E0B" w:rsidR="004F0025" w:rsidRDefault="004F0025" w:rsidP="00107F4F">
      <w:pPr>
        <w:pStyle w:val="ListParagraph"/>
        <w:numPr>
          <w:ilvl w:val="0"/>
          <w:numId w:val="18"/>
        </w:numPr>
      </w:pPr>
      <w:r>
        <w:t>Restricting the indications for fentanyl patches to the management of pain associated with cancer, palliative care and other conditions in opioid-tolerant patients</w:t>
      </w:r>
      <w:r w:rsidR="00E918D2">
        <w:t>.</w:t>
      </w:r>
    </w:p>
    <w:p w14:paraId="22D62EE6" w14:textId="3FC8D767" w:rsidR="00E918D2" w:rsidRDefault="00E918D2" w:rsidP="00107F4F">
      <w:pPr>
        <w:pStyle w:val="ListParagraph"/>
        <w:numPr>
          <w:ilvl w:val="0"/>
          <w:numId w:val="18"/>
        </w:numPr>
      </w:pPr>
      <w:r>
        <w:t>Revised indications for immediate- and modified-</w:t>
      </w:r>
      <w:r w:rsidR="009A2908">
        <w:t xml:space="preserve"> </w:t>
      </w:r>
      <w:r>
        <w:t>release prescription opioids.</w:t>
      </w:r>
    </w:p>
    <w:p w14:paraId="3A4BAA18" w14:textId="042C8534" w:rsidR="00E918D2" w:rsidRDefault="00E918D2" w:rsidP="00107F4F">
      <w:pPr>
        <w:pStyle w:val="ListParagraph"/>
        <w:numPr>
          <w:ilvl w:val="0"/>
          <w:numId w:val="18"/>
        </w:numPr>
      </w:pPr>
      <w:r>
        <w:t xml:space="preserve">Boxed warnings and class statements in the </w:t>
      </w:r>
      <w:r w:rsidR="006D7A0C">
        <w:t>Product Information (</w:t>
      </w:r>
      <w:r>
        <w:t>PI</w:t>
      </w:r>
      <w:r w:rsidR="006D7A0C">
        <w:t>)</w:t>
      </w:r>
      <w:r>
        <w:t xml:space="preserve"> of all prescription opioids, and stronger warnings in the Consumer Medicines Information (CMI). </w:t>
      </w:r>
    </w:p>
    <w:p w14:paraId="6E54B97E" w14:textId="0E6E7369" w:rsidR="004830F3" w:rsidRDefault="004830F3" w:rsidP="004830F3">
      <w:r>
        <w:t>The PBAC recommended changes to opioids listed on the PBS as:</w:t>
      </w:r>
    </w:p>
    <w:p w14:paraId="2C0700E6" w14:textId="6088FE31" w:rsidR="004830F3" w:rsidRDefault="004830F3" w:rsidP="00ED787A">
      <w:pPr>
        <w:pStyle w:val="ListParagraph"/>
        <w:numPr>
          <w:ilvl w:val="0"/>
          <w:numId w:val="8"/>
        </w:numPr>
      </w:pPr>
      <w:r>
        <w:t xml:space="preserve">implementing new Restricted Benefit listings for smaller </w:t>
      </w:r>
      <w:r w:rsidR="009A2908">
        <w:t>maximum quantities</w:t>
      </w:r>
      <w:r>
        <w:t xml:space="preserve"> of immediate release opioids with no increased quantities or repeats for patients requiring short-term relief of acute severe pain that is unresponsive to non-opioid analgesics;</w:t>
      </w:r>
    </w:p>
    <w:p w14:paraId="73940BDA" w14:textId="5E20F7DD" w:rsidR="00BE0FC7" w:rsidRDefault="004830F3" w:rsidP="00ED787A">
      <w:pPr>
        <w:pStyle w:val="ListParagraph"/>
        <w:numPr>
          <w:ilvl w:val="0"/>
          <w:numId w:val="8"/>
        </w:numPr>
      </w:pPr>
      <w:r>
        <w:t>amending the listings for immediate- and modified-release opioids to support the appropriate prescribing and use of opioids.</w:t>
      </w:r>
    </w:p>
    <w:p w14:paraId="0A9EB49F" w14:textId="028C7AB7" w:rsidR="00ED787A" w:rsidRDefault="00ED787A" w:rsidP="00ED787A">
      <w:r>
        <w:t xml:space="preserve">The PBAC noted that the smaller </w:t>
      </w:r>
      <w:r w:rsidR="007F396F">
        <w:t>maximum quantity</w:t>
      </w:r>
      <w:r>
        <w:t xml:space="preserve"> listings would be priced proportionally to the existing listings, in accordance with the requirements of Section 85D of the </w:t>
      </w:r>
      <w:r w:rsidR="00C5717F" w:rsidRPr="00C5717F">
        <w:rPr>
          <w:i/>
          <w:iCs/>
        </w:rPr>
        <w:t>National Health Act 1953</w:t>
      </w:r>
      <w:r w:rsidR="00C5717F">
        <w:t xml:space="preserve"> (the </w:t>
      </w:r>
      <w:r>
        <w:t>Act</w:t>
      </w:r>
      <w:r w:rsidR="00C5717F">
        <w:t>)</w:t>
      </w:r>
      <w:r>
        <w:t>.</w:t>
      </w:r>
    </w:p>
    <w:p w14:paraId="64B1F0E3" w14:textId="173036C8" w:rsidR="00ED787A" w:rsidRDefault="00ED787A" w:rsidP="00ED787A">
      <w:r>
        <w:t>The PBAC noted that the TGA had revised the indications of several opioid analgesics, including fentanyl patches, to broadly categorise them into opioids for acute severe pain and for chronic severe pain. The PBAC recommended that the PBS restrictions for immediate- and modified-</w:t>
      </w:r>
      <w:r w:rsidR="00CC34D2">
        <w:t xml:space="preserve"> </w:t>
      </w:r>
      <w:r>
        <w:t>release opioids should be changed in the following manner to align with the TGA indication changes:</w:t>
      </w:r>
    </w:p>
    <w:p w14:paraId="1E12A5AE" w14:textId="624C7AF2" w:rsidR="00ED787A" w:rsidRDefault="00ED787A" w:rsidP="00ED787A">
      <w:pPr>
        <w:pStyle w:val="ListParagraph"/>
        <w:numPr>
          <w:ilvl w:val="0"/>
          <w:numId w:val="8"/>
        </w:numPr>
      </w:pPr>
      <w:r>
        <w:t>Opioids for short-term use in the first-line setting (codeine tablets, codeine + paracetamol tablets, tramadol capsule, injection, and oral drops, and oxycodone tablets, capsules, suppository, and oral solution) to be Restricted Benefits limited to patients who have not responded to, are intolerant to or whose condition would not respond to non-opioid analgesics</w:t>
      </w:r>
      <w:r w:rsidR="00265E7D">
        <w:t>.</w:t>
      </w:r>
    </w:p>
    <w:p w14:paraId="7242C882" w14:textId="0A49D0B6" w:rsidR="00ED787A" w:rsidRDefault="00ED787A" w:rsidP="00ED787A">
      <w:pPr>
        <w:pStyle w:val="ListParagraph"/>
        <w:numPr>
          <w:ilvl w:val="0"/>
          <w:numId w:val="8"/>
        </w:numPr>
      </w:pPr>
      <w:r>
        <w:t>Opioids for short-term use in the second-line setting (hydromorphone tablets, injections, and oral liquid, morphine tablets, oral solution and injections) to be Restricted Benefits limited to patients who have not responded to, are intolerant to or whose condition would not respond to non-opioid nor other opioid analgesics.</w:t>
      </w:r>
    </w:p>
    <w:p w14:paraId="4F149579" w14:textId="140E392A" w:rsidR="00ED787A" w:rsidRDefault="00ED787A" w:rsidP="00ED787A">
      <w:pPr>
        <w:pStyle w:val="ListParagraph"/>
        <w:numPr>
          <w:ilvl w:val="0"/>
          <w:numId w:val="8"/>
        </w:numPr>
      </w:pPr>
      <w:r>
        <w:t>Opioids for long-term use in the first-line setting (buprenorphine transdermal patches, morphine capsules, tablets and granules, oxycodone tablets, oxycodone with naloxone tablets, tapentadol tablets, and tramadol tablets) to have authority level increased to Authority Required (STREAMLINED) for daily, continuous, long</w:t>
      </w:r>
      <w:r w:rsidR="00545ED3">
        <w:t>-</w:t>
      </w:r>
      <w:r>
        <w:t xml:space="preserve">term management of </w:t>
      </w:r>
      <w:r>
        <w:lastRenderedPageBreak/>
        <w:t>pain due to cancer or who have not responded to, are intolerant to or who experience inadequate pain management at maximum doses of non-opioid or other opioid analgesics.</w:t>
      </w:r>
    </w:p>
    <w:p w14:paraId="2FE1A079" w14:textId="59B3F32A" w:rsidR="00ED787A" w:rsidRDefault="00ED787A" w:rsidP="00ED787A">
      <w:pPr>
        <w:pStyle w:val="ListParagraph"/>
        <w:numPr>
          <w:ilvl w:val="0"/>
          <w:numId w:val="8"/>
        </w:numPr>
      </w:pPr>
      <w:r>
        <w:t xml:space="preserve">Opioids for long-term use in the second-line setting (hydromorphone tablets, methadone tablets and injection, fentanyl transdermal patches) to have authority level increased to Authority Required (STREAMLINED) with the same restrictions as opioids in the long-term first-line setting with the additional requirement that the patient must not be opioid-naïve, and the additional advice to “Consider consultation with a multidisciplinary pain service prior to, or after commencement of this medication”. </w:t>
      </w:r>
    </w:p>
    <w:p w14:paraId="5D2878C8" w14:textId="15BEB955" w:rsidR="00ED787A" w:rsidRDefault="00ED787A" w:rsidP="00ED787A">
      <w:r>
        <w:t>The PBAC noted that the opioids for long-term use in the first- and second-</w:t>
      </w:r>
      <w:r w:rsidR="00026E4D">
        <w:t xml:space="preserve"> </w:t>
      </w:r>
      <w:r>
        <w:t xml:space="preserve">line settings </w:t>
      </w:r>
      <w:r w:rsidR="00026E4D">
        <w:t>we</w:t>
      </w:r>
      <w:r>
        <w:t xml:space="preserve">re currently listed as Restricted Benefits on the PBS. The PBAC recommended an increase in the authority level to Authority Required (STREAMLINED) in line with the aims of the TGA’s opioid reforms. The PBAC also noted that, as </w:t>
      </w:r>
      <w:r w:rsidR="00026E4D">
        <w:t>wa</w:t>
      </w:r>
      <w:r>
        <w:t>s currently the case for these items, authority requests for increased quantities to extend treatment up to one month will still need to be made by telephone, and treatment beyond one month and up to three months will require a written authority requesting additional repeats.</w:t>
      </w:r>
    </w:p>
    <w:p w14:paraId="0F42C5C4" w14:textId="72D9DD86" w:rsidR="002105D5" w:rsidRDefault="006E7523" w:rsidP="00ED787A">
      <w:r w:rsidRPr="009E45C3">
        <w:t>The PBAC recommended addition</w:t>
      </w:r>
      <w:r w:rsidR="002105D5" w:rsidRPr="009E45C3">
        <w:t>al</w:t>
      </w:r>
      <w:r w:rsidR="002105D5">
        <w:t xml:space="preserve"> criteria be added</w:t>
      </w:r>
      <w:r>
        <w:t xml:space="preserve"> to the PBS restrictions</w:t>
      </w:r>
      <w:r w:rsidR="002105D5">
        <w:t xml:space="preserve"> as described in Section 9 </w:t>
      </w:r>
      <w:r w:rsidR="00E3047A">
        <w:t xml:space="preserve">(pp13-112) </w:t>
      </w:r>
      <w:r w:rsidR="002105D5">
        <w:t>of the Public Summary Document:</w:t>
      </w:r>
    </w:p>
    <w:p w14:paraId="093E050A" w14:textId="3336B0B4" w:rsidR="002C15D7" w:rsidRDefault="002105D5" w:rsidP="00107F4F">
      <w:pPr>
        <w:pStyle w:val="ListParagraph"/>
        <w:numPr>
          <w:ilvl w:val="0"/>
          <w:numId w:val="19"/>
        </w:numPr>
      </w:pPr>
      <w:r>
        <w:t xml:space="preserve">For </w:t>
      </w:r>
      <w:r w:rsidR="00D34898">
        <w:t xml:space="preserve">the </w:t>
      </w:r>
      <w:r>
        <w:t xml:space="preserve">short term pain indication in first or second line setting, </w:t>
      </w:r>
      <w:r w:rsidR="00836088">
        <w:t>under the PBS indication for severe pa</w:t>
      </w:r>
      <w:r w:rsidR="00E3047A">
        <w:t>i</w:t>
      </w:r>
      <w:r w:rsidR="00836088">
        <w:t xml:space="preserve">n, </w:t>
      </w:r>
      <w:r>
        <w:t>new criteria that</w:t>
      </w:r>
      <w:r w:rsidR="00936DE4">
        <w:t>:</w:t>
      </w:r>
      <w:r>
        <w:t xml:space="preserve"> </w:t>
      </w:r>
    </w:p>
    <w:p w14:paraId="50B2DD67" w14:textId="77777777" w:rsidR="002C15D7" w:rsidRDefault="002105D5" w:rsidP="002C15D7">
      <w:pPr>
        <w:pStyle w:val="ListParagraph"/>
        <w:numPr>
          <w:ilvl w:val="0"/>
          <w:numId w:val="21"/>
        </w:numPr>
      </w:pPr>
      <w:r>
        <w:t xml:space="preserve">Patient must have had or would have inadequate pain management with maximum tolerated doses of non-opioid analgesics OR </w:t>
      </w:r>
    </w:p>
    <w:p w14:paraId="58A984E9" w14:textId="78E4A98E" w:rsidR="006E7523" w:rsidRDefault="002105D5" w:rsidP="002C15D7">
      <w:pPr>
        <w:pStyle w:val="ListParagraph"/>
        <w:numPr>
          <w:ilvl w:val="0"/>
          <w:numId w:val="21"/>
        </w:numPr>
      </w:pPr>
      <w:r>
        <w:t xml:space="preserve">Patient must be unable to use non-opioid analgesics due to contraindications or intolerance. </w:t>
      </w:r>
    </w:p>
    <w:p w14:paraId="1251482D" w14:textId="05A39959" w:rsidR="00936DE4" w:rsidRDefault="00936DE4" w:rsidP="00936DE4">
      <w:pPr>
        <w:pStyle w:val="ListParagraph"/>
        <w:numPr>
          <w:ilvl w:val="0"/>
          <w:numId w:val="19"/>
        </w:numPr>
      </w:pPr>
      <w:bookmarkStart w:id="0" w:name="_Hlk118285095"/>
      <w:r>
        <w:t xml:space="preserve">For </w:t>
      </w:r>
      <w:r w:rsidR="00D34898">
        <w:t xml:space="preserve">the </w:t>
      </w:r>
      <w:r>
        <w:t xml:space="preserve">short term pain indication in first or second line setting, under the PBS indication for cancer pain (standard release morphine tablets 10 and 20 mg), new criteria that: </w:t>
      </w:r>
    </w:p>
    <w:p w14:paraId="051F5998" w14:textId="6A42455C" w:rsidR="00936DE4" w:rsidRDefault="00936DE4" w:rsidP="00936DE4">
      <w:pPr>
        <w:pStyle w:val="ListParagraph"/>
        <w:numPr>
          <w:ilvl w:val="0"/>
          <w:numId w:val="21"/>
        </w:numPr>
      </w:pPr>
      <w:r w:rsidRPr="00936DE4">
        <w:t>Patient must have cancer pain AND</w:t>
      </w:r>
    </w:p>
    <w:p w14:paraId="534AB1BA" w14:textId="0B6BD575" w:rsidR="00936DE4" w:rsidRDefault="00936DE4" w:rsidP="00936DE4">
      <w:pPr>
        <w:pStyle w:val="ListParagraph"/>
        <w:numPr>
          <w:ilvl w:val="0"/>
          <w:numId w:val="21"/>
        </w:numPr>
      </w:pPr>
      <w:r>
        <w:t xml:space="preserve">Patient must have had or would have inadequate pain management with maximum tolerated doses of non-opioid analgesics OR </w:t>
      </w:r>
    </w:p>
    <w:p w14:paraId="7390FC11" w14:textId="77777777" w:rsidR="00936DE4" w:rsidRDefault="00936DE4" w:rsidP="00936DE4">
      <w:pPr>
        <w:pStyle w:val="ListParagraph"/>
        <w:numPr>
          <w:ilvl w:val="0"/>
          <w:numId w:val="21"/>
        </w:numPr>
      </w:pPr>
      <w:r>
        <w:t xml:space="preserve">Patient must be unable to use non-opioid analgesics due to contraindications or intolerance. </w:t>
      </w:r>
    </w:p>
    <w:bookmarkEnd w:id="0"/>
    <w:p w14:paraId="16FB230A" w14:textId="08B6C386" w:rsidR="00936DE4" w:rsidRDefault="00936DE4" w:rsidP="00936DE4">
      <w:pPr>
        <w:pStyle w:val="ListParagraph"/>
        <w:numPr>
          <w:ilvl w:val="0"/>
          <w:numId w:val="19"/>
        </w:numPr>
      </w:pPr>
      <w:r>
        <w:t xml:space="preserve">For </w:t>
      </w:r>
      <w:r w:rsidR="00F4170B">
        <w:t xml:space="preserve">the </w:t>
      </w:r>
      <w:r>
        <w:t xml:space="preserve">short term pain indication in first or second line setting, under the PBS indication for severe pain (morphine injections), new criteria that: </w:t>
      </w:r>
    </w:p>
    <w:p w14:paraId="1DF04D67" w14:textId="42E8A6B8" w:rsidR="00936DE4" w:rsidRDefault="00936DE4" w:rsidP="00936DE4">
      <w:pPr>
        <w:pStyle w:val="ListParagraph"/>
        <w:numPr>
          <w:ilvl w:val="0"/>
          <w:numId w:val="21"/>
        </w:numPr>
      </w:pPr>
      <w:r>
        <w:t xml:space="preserve">Patient must have had or would have inadequate pain management with maximum tolerated doses of non-opioid analgesics OR </w:t>
      </w:r>
    </w:p>
    <w:p w14:paraId="26D63632" w14:textId="7250CA0A" w:rsidR="00936DE4" w:rsidRDefault="00936DE4" w:rsidP="00936DE4">
      <w:pPr>
        <w:pStyle w:val="ListParagraph"/>
        <w:numPr>
          <w:ilvl w:val="0"/>
          <w:numId w:val="21"/>
        </w:numPr>
      </w:pPr>
      <w:r>
        <w:t>Patient must be unable to use non-opioid analgesics due to contraindications or intolerance OR</w:t>
      </w:r>
    </w:p>
    <w:p w14:paraId="625E7478" w14:textId="2B158629" w:rsidR="00936DE4" w:rsidRDefault="00936DE4" w:rsidP="00936DE4">
      <w:pPr>
        <w:pStyle w:val="ListParagraph"/>
        <w:numPr>
          <w:ilvl w:val="0"/>
          <w:numId w:val="21"/>
        </w:numPr>
      </w:pPr>
      <w:r>
        <w:t>The treatment must be part of pre-operative care OR</w:t>
      </w:r>
    </w:p>
    <w:p w14:paraId="663B25F0" w14:textId="0021D6D5" w:rsidR="00936DE4" w:rsidRDefault="00936DE4" w:rsidP="00936DE4">
      <w:pPr>
        <w:pStyle w:val="ListParagraph"/>
        <w:numPr>
          <w:ilvl w:val="0"/>
          <w:numId w:val="21"/>
        </w:numPr>
      </w:pPr>
      <w:r>
        <w:t>The treatment must be used as an analgesic adjunct in general anaesthesia.</w:t>
      </w:r>
    </w:p>
    <w:p w14:paraId="3CF11DAC" w14:textId="06B62C10" w:rsidR="00936DE4" w:rsidRDefault="00936DE4" w:rsidP="002C15D7">
      <w:pPr>
        <w:pStyle w:val="ListParagraph"/>
        <w:numPr>
          <w:ilvl w:val="0"/>
          <w:numId w:val="19"/>
        </w:numPr>
      </w:pPr>
      <w:r>
        <w:t xml:space="preserve">For PBS restrictions for reduced pack sizes in the first line setting, </w:t>
      </w:r>
      <w:r w:rsidRPr="00936DE4">
        <w:t>new criteria that:</w:t>
      </w:r>
    </w:p>
    <w:p w14:paraId="763FE362" w14:textId="12E9EF7B" w:rsidR="00936DE4" w:rsidRDefault="00936DE4" w:rsidP="00936DE4">
      <w:pPr>
        <w:pStyle w:val="ListParagraph"/>
        <w:numPr>
          <w:ilvl w:val="0"/>
          <w:numId w:val="21"/>
        </w:numPr>
      </w:pPr>
      <w:r>
        <w:t>The treatment must be for short term therapy of acute severe pain AND</w:t>
      </w:r>
    </w:p>
    <w:p w14:paraId="77D47FD2" w14:textId="06FE793E" w:rsidR="00936DE4" w:rsidRDefault="00936DE4" w:rsidP="00936DE4">
      <w:pPr>
        <w:pStyle w:val="ListParagraph"/>
        <w:numPr>
          <w:ilvl w:val="0"/>
          <w:numId w:val="21"/>
        </w:numPr>
      </w:pPr>
      <w:r>
        <w:lastRenderedPageBreak/>
        <w:t>Patient must have had or would have inadequate pain management with maximum tolerated doses of non-opioid analgesics OR</w:t>
      </w:r>
    </w:p>
    <w:p w14:paraId="1A221748" w14:textId="03D2DE97" w:rsidR="00936DE4" w:rsidRDefault="00936DE4" w:rsidP="00936DE4">
      <w:pPr>
        <w:pStyle w:val="ListParagraph"/>
        <w:numPr>
          <w:ilvl w:val="0"/>
          <w:numId w:val="21"/>
        </w:numPr>
      </w:pPr>
      <w:r>
        <w:t xml:space="preserve">Patient must be unable to use non-opioid analgesics due to contraindications or intolerance. </w:t>
      </w:r>
    </w:p>
    <w:p w14:paraId="043D66D5" w14:textId="41CC011B" w:rsidR="002C15D7" w:rsidRDefault="002105D5" w:rsidP="002C15D7">
      <w:pPr>
        <w:pStyle w:val="ListParagraph"/>
        <w:numPr>
          <w:ilvl w:val="0"/>
          <w:numId w:val="19"/>
        </w:numPr>
      </w:pPr>
      <w:r>
        <w:t>F</w:t>
      </w:r>
      <w:r w:rsidRPr="002105D5">
        <w:t xml:space="preserve">or </w:t>
      </w:r>
      <w:r w:rsidR="00D34898">
        <w:t xml:space="preserve">the </w:t>
      </w:r>
      <w:r>
        <w:t>long</w:t>
      </w:r>
      <w:r w:rsidRPr="002105D5">
        <w:t xml:space="preserve"> term pain indication in </w:t>
      </w:r>
      <w:r>
        <w:t>first</w:t>
      </w:r>
      <w:r w:rsidRPr="002105D5">
        <w:t xml:space="preserve"> line setting</w:t>
      </w:r>
      <w:r w:rsidR="00836088">
        <w:t>, under the PBS criteria for chronic severe pain or chronic severe disabling pain, new criteria that</w:t>
      </w:r>
      <w:r w:rsidR="00936DE4">
        <w:t>:</w:t>
      </w:r>
      <w:r w:rsidR="00836088">
        <w:t xml:space="preserve"> </w:t>
      </w:r>
    </w:p>
    <w:p w14:paraId="411D7A27" w14:textId="77777777" w:rsidR="002C15D7" w:rsidRDefault="00836088" w:rsidP="002C15D7">
      <w:pPr>
        <w:pStyle w:val="ListParagraph"/>
        <w:numPr>
          <w:ilvl w:val="0"/>
          <w:numId w:val="21"/>
        </w:numPr>
      </w:pPr>
      <w:r>
        <w:t xml:space="preserve">The condition must require daily, continuous, long term opioid treatment OR </w:t>
      </w:r>
    </w:p>
    <w:p w14:paraId="20805224" w14:textId="77777777" w:rsidR="002C15D7" w:rsidRDefault="00836088" w:rsidP="002C15D7">
      <w:pPr>
        <w:pStyle w:val="ListParagraph"/>
        <w:numPr>
          <w:ilvl w:val="0"/>
          <w:numId w:val="21"/>
        </w:numPr>
      </w:pPr>
      <w:r>
        <w:t xml:space="preserve">Patient must have had or would have inadequate pain management with maximum tolerated doses of non-opioid or other opioid analgesics OR </w:t>
      </w:r>
    </w:p>
    <w:p w14:paraId="6D839042" w14:textId="73C8A11E" w:rsidR="002105D5" w:rsidRDefault="00836088" w:rsidP="002C15D7">
      <w:pPr>
        <w:pStyle w:val="ListParagraph"/>
        <w:numPr>
          <w:ilvl w:val="0"/>
          <w:numId w:val="21"/>
        </w:numPr>
      </w:pPr>
      <w:r>
        <w:t xml:space="preserve">Patient must be unable to use non-opioid or other opioid analgesics due to contraindications or intolerance. </w:t>
      </w:r>
    </w:p>
    <w:p w14:paraId="6BC59BED" w14:textId="6C731049" w:rsidR="002C15D7" w:rsidRDefault="00836088" w:rsidP="00836088">
      <w:pPr>
        <w:pStyle w:val="ListParagraph"/>
        <w:numPr>
          <w:ilvl w:val="0"/>
          <w:numId w:val="19"/>
        </w:numPr>
      </w:pPr>
      <w:r w:rsidRPr="00836088">
        <w:t xml:space="preserve">For </w:t>
      </w:r>
      <w:r w:rsidR="00D34898">
        <w:t xml:space="preserve">the </w:t>
      </w:r>
      <w:r w:rsidRPr="00836088">
        <w:t xml:space="preserve">long term pain indication in </w:t>
      </w:r>
      <w:r>
        <w:t>second</w:t>
      </w:r>
      <w:r w:rsidRPr="00836088">
        <w:t xml:space="preserve"> line setting</w:t>
      </w:r>
      <w:r>
        <w:t xml:space="preserve"> (fentanyl patches, hydromo</w:t>
      </w:r>
      <w:r w:rsidR="002C15D7">
        <w:t>r</w:t>
      </w:r>
      <w:r>
        <w:t>phone MR tablets</w:t>
      </w:r>
      <w:r w:rsidR="002C15D7">
        <w:t xml:space="preserve">, </w:t>
      </w:r>
      <w:r w:rsidR="002C15D7" w:rsidRPr="002C15D7">
        <w:t>methadone injection and IR tablet</w:t>
      </w:r>
      <w:r>
        <w:t>)</w:t>
      </w:r>
      <w:r w:rsidRPr="00836088">
        <w:t xml:space="preserve">, under the PBS criteria for </w:t>
      </w:r>
      <w:r w:rsidR="002C15D7" w:rsidRPr="002C15D7">
        <w:t xml:space="preserve">chronic severe pain </w:t>
      </w:r>
      <w:r w:rsidR="002C15D7">
        <w:t xml:space="preserve">or </w:t>
      </w:r>
      <w:r w:rsidRPr="00836088">
        <w:t>chronic severe disabling pain, new criteria that</w:t>
      </w:r>
      <w:r w:rsidR="002C15D7">
        <w:t>:</w:t>
      </w:r>
      <w:r w:rsidRPr="00836088">
        <w:t xml:space="preserve"> </w:t>
      </w:r>
    </w:p>
    <w:p w14:paraId="45883D24" w14:textId="77777777" w:rsidR="002C15D7" w:rsidRDefault="00836088" w:rsidP="002C15D7">
      <w:pPr>
        <w:pStyle w:val="ListParagraph"/>
        <w:numPr>
          <w:ilvl w:val="0"/>
          <w:numId w:val="21"/>
        </w:numPr>
      </w:pPr>
      <w:r w:rsidRPr="00836088">
        <w:t xml:space="preserve">The condition must require daily, continuous, long term opioid treatment </w:t>
      </w:r>
      <w:r>
        <w:t xml:space="preserve">AND </w:t>
      </w:r>
    </w:p>
    <w:p w14:paraId="57CE7F7B" w14:textId="659E415A" w:rsidR="002C15D7" w:rsidRDefault="00836088" w:rsidP="002C15D7">
      <w:pPr>
        <w:pStyle w:val="ListParagraph"/>
        <w:numPr>
          <w:ilvl w:val="0"/>
          <w:numId w:val="21"/>
        </w:numPr>
      </w:pPr>
      <w:r w:rsidRPr="00836088">
        <w:t>Patient must</w:t>
      </w:r>
      <w:r w:rsidR="002C15D7">
        <w:t xml:space="preserve"> </w:t>
      </w:r>
      <w:r w:rsidRPr="00836088">
        <w:t>not be opioid naïve</w:t>
      </w:r>
      <w:r>
        <w:t xml:space="preserve"> </w:t>
      </w:r>
      <w:r w:rsidR="0004412D">
        <w:t>AND</w:t>
      </w:r>
    </w:p>
    <w:p w14:paraId="3F8BAB6E" w14:textId="2D8CDB82" w:rsidR="002C15D7" w:rsidRDefault="002C15D7" w:rsidP="002C15D7">
      <w:pPr>
        <w:pStyle w:val="ListParagraph"/>
        <w:numPr>
          <w:ilvl w:val="0"/>
          <w:numId w:val="21"/>
        </w:numPr>
      </w:pPr>
      <w:r w:rsidRPr="002C15D7">
        <w:t xml:space="preserve">Patient must have cancer pain </w:t>
      </w:r>
      <w:r>
        <w:t xml:space="preserve">OR </w:t>
      </w:r>
    </w:p>
    <w:p w14:paraId="66904BAF" w14:textId="77777777" w:rsidR="002C15D7" w:rsidRDefault="00836088" w:rsidP="002C15D7">
      <w:pPr>
        <w:pStyle w:val="ListParagraph"/>
        <w:numPr>
          <w:ilvl w:val="0"/>
          <w:numId w:val="21"/>
        </w:numPr>
      </w:pPr>
      <w:r w:rsidRPr="00836088">
        <w:t xml:space="preserve">Patient must have had or would have inadequate pain management with maximum tolerated doses of non-opioid or other opioid analgesics OR </w:t>
      </w:r>
    </w:p>
    <w:p w14:paraId="00F9598B" w14:textId="0FCDCBCB" w:rsidR="00836088" w:rsidRDefault="00836088" w:rsidP="002C15D7">
      <w:pPr>
        <w:pStyle w:val="ListParagraph"/>
        <w:numPr>
          <w:ilvl w:val="0"/>
          <w:numId w:val="21"/>
        </w:numPr>
      </w:pPr>
      <w:r w:rsidRPr="00836088">
        <w:t xml:space="preserve">Patient must be unable to use non-opioid or other opioid analgesics due to contraindications or intolerance. </w:t>
      </w:r>
    </w:p>
    <w:p w14:paraId="6218BD3B" w14:textId="23356532" w:rsidR="00ED787A" w:rsidRDefault="00ED787A" w:rsidP="00ED787A">
      <w:r>
        <w:t>The PBAC noted that paracetamol with codeine had two listings, one of which allowed up to a 6 month supply on a single script with a written authority. The PBAC noted that this was inconsistent with</w:t>
      </w:r>
      <w:r w:rsidR="0046280F">
        <w:t xml:space="preserve"> </w:t>
      </w:r>
      <w:r>
        <w:t xml:space="preserve">other opioids listings on the PBS, for which written authority for increased quantity and repeats can only provide a supply for up to 3 months. The PBAC considered that this listing should be brought in line with all other opioid analgesics, noting that it may result in an increased volume of authority requests to </w:t>
      </w:r>
      <w:r w:rsidR="009B3A4B">
        <w:t>Services Australia</w:t>
      </w:r>
      <w:r>
        <w:t>.</w:t>
      </w:r>
    </w:p>
    <w:p w14:paraId="4F50317F" w14:textId="0A984703" w:rsidR="00ED787A" w:rsidRDefault="001D05E4" w:rsidP="001D05E4">
      <w:r>
        <w:t>The PBAC noted that tramadol immediate release tablets also had two restricted benefits listings, one indicated for acute pain with no repeats, and another indicated for dose-titration in chronic pain with 2 repeats. The PBAC considered that there was no need for a specific dose-titration listing, and that the proposed restriction changes outlined in above would encompass the intent of the existing listings as well as the intent of the new TGA indication for short-term pain management. The PBAC therefore considered that there should only be one listing for tramadol immediate release tablets as proposed, and that the listing for dose-titration should be deleted.</w:t>
      </w:r>
    </w:p>
    <w:p w14:paraId="3992C707" w14:textId="13B60B5E" w:rsidR="00ED787A" w:rsidRDefault="001D05E4" w:rsidP="001D05E4">
      <w:r>
        <w:t>The PBAC expressed its concern regarding the high number of deaths and hospitalisations caused by prescription opioids in Australia, and acknowledged the significant work being undertaken by the TGA to help tackle the problem. The PBAC considered that its recommended changes to opioid listings on the PBS would complement the TGA’s efforts to support the safe and clinically appropriate use of opioids while recognising the important role they play in providing pain relief for many people.</w:t>
      </w:r>
    </w:p>
    <w:p w14:paraId="3C7C1C05" w14:textId="74AE69AB" w:rsidR="00C077B6" w:rsidRPr="00F65F0D" w:rsidRDefault="00C077B6" w:rsidP="00C077B6">
      <w:r>
        <w:t xml:space="preserve">For further details refer to </w:t>
      </w:r>
      <w:r w:rsidRPr="00F65F0D">
        <w:t xml:space="preserve">the </w:t>
      </w:r>
      <w:hyperlink r:id="rId14" w:history="1">
        <w:r w:rsidRPr="00066CCB">
          <w:rPr>
            <w:rStyle w:val="Hyperlink"/>
          </w:rPr>
          <w:t>Public Summary Document</w:t>
        </w:r>
      </w:hyperlink>
      <w:r>
        <w:t xml:space="preserve"> </w:t>
      </w:r>
      <w:r w:rsidRPr="00F65F0D">
        <w:t>from the</w:t>
      </w:r>
      <w:r>
        <w:t xml:space="preserve"> December 2019 PBAC meeting.</w:t>
      </w:r>
    </w:p>
    <w:p w14:paraId="004BB45A" w14:textId="77777777" w:rsidR="00C077B6" w:rsidRDefault="00C077B6" w:rsidP="00C077B6">
      <w:pPr>
        <w:pStyle w:val="Heading2"/>
      </w:pPr>
      <w:r>
        <w:lastRenderedPageBreak/>
        <w:t>Approach taken to estimate utilisation</w:t>
      </w:r>
    </w:p>
    <w:p w14:paraId="73528D93" w14:textId="2C6E26A6" w:rsidR="00C077B6" w:rsidRPr="00832324" w:rsidRDefault="00C077B6" w:rsidP="00C077B6">
      <w:pPr>
        <w:rPr>
          <w:highlight w:val="yellow"/>
        </w:rPr>
      </w:pPr>
      <w:r w:rsidRPr="00066CCB">
        <w:t xml:space="preserve">Due to the broken pack fees, the estimated net cost to the PBS was approximately $3 million per year. Sensitivity analyses were conducted to estimate an upper and lower limit of the net costs. If 99% of scripts switched to the smaller </w:t>
      </w:r>
      <w:r w:rsidR="00562C82">
        <w:t>maximum quantity</w:t>
      </w:r>
      <w:r w:rsidRPr="00066CCB">
        <w:t xml:space="preserve">, the net cost to the PBS/RPBS was estimated to be around $4.9 million per year. If only 20% of scripts switched to the smaller </w:t>
      </w:r>
      <w:r w:rsidR="00562C82">
        <w:t>maximum quantity</w:t>
      </w:r>
      <w:r w:rsidRPr="00066CCB">
        <w:t>, the net cost was estimated to be around $1.0 million per year.</w:t>
      </w:r>
    </w:p>
    <w:p w14:paraId="0DEBD50F" w14:textId="69B931E7" w:rsidR="00094DCF" w:rsidRDefault="00ED633B" w:rsidP="00841339">
      <w:pPr>
        <w:pStyle w:val="Heading2"/>
        <w:keepNext/>
      </w:pPr>
      <w:r>
        <w:t xml:space="preserve">Previous reviews by </w:t>
      </w:r>
      <w:r w:rsidR="00177B86">
        <w:t xml:space="preserve">the </w:t>
      </w:r>
      <w:r>
        <w:t>DUSC</w:t>
      </w:r>
    </w:p>
    <w:p w14:paraId="406D1289" w14:textId="6EE56624" w:rsidR="00ED633B" w:rsidRDefault="00A63FB2" w:rsidP="003C1690">
      <w:r>
        <w:t xml:space="preserve">The utilisation of opioids was reviewed by DUSC </w:t>
      </w:r>
      <w:r w:rsidR="003C1690">
        <w:t>at its February 2008, February 2010,</w:t>
      </w:r>
      <w:r>
        <w:t xml:space="preserve"> October 2014 and February 2020</w:t>
      </w:r>
      <w:r w:rsidR="003C1690">
        <w:t xml:space="preserve"> meetings</w:t>
      </w:r>
      <w:r>
        <w:t>.</w:t>
      </w:r>
      <w:r w:rsidR="003C1690">
        <w:t xml:space="preserve"> In addition, a 24 month predicted versus actual analysis of pregabalin was considered at the October 2015 DUSC meeting and its use was included in the February 2020 report.</w:t>
      </w:r>
    </w:p>
    <w:p w14:paraId="37390B6A" w14:textId="0005F77C" w:rsidR="00A63FB2" w:rsidRPr="00A63FB2" w:rsidRDefault="00A63FB2" w:rsidP="00A35800">
      <w:pPr>
        <w:rPr>
          <w:u w:val="single"/>
        </w:rPr>
      </w:pPr>
      <w:r w:rsidRPr="00A63FB2">
        <w:rPr>
          <w:u w:val="single"/>
        </w:rPr>
        <w:t>October 2014</w:t>
      </w:r>
    </w:p>
    <w:p w14:paraId="2C412CE9" w14:textId="00D5A4F2" w:rsidR="00A04055" w:rsidRDefault="00A04055" w:rsidP="00A04055">
      <w:r>
        <w:t>The report examined PBS opioid use from October 2009 to March 2014. The key findings were:</w:t>
      </w:r>
    </w:p>
    <w:p w14:paraId="4BD8EB29" w14:textId="2F998BFF" w:rsidR="00A04055" w:rsidRDefault="00A04055" w:rsidP="00A04055">
      <w:pPr>
        <w:pStyle w:val="ListParagraph"/>
        <w:numPr>
          <w:ilvl w:val="0"/>
          <w:numId w:val="3"/>
        </w:numPr>
      </w:pPr>
      <w:r>
        <w:t>2,968,733 people received at least one PBS-listed opioid analgesic in the 12 months from April 2013 to March 2014. Of these individuals, approximately 5% (approximately 150,000 people) accounted for 61% of opioid use over the year.</w:t>
      </w:r>
    </w:p>
    <w:p w14:paraId="4D4787CD" w14:textId="683ED2DA" w:rsidR="00A04055" w:rsidRDefault="00A04055" w:rsidP="00A04055">
      <w:pPr>
        <w:pStyle w:val="ListParagraph"/>
        <w:numPr>
          <w:ilvl w:val="0"/>
          <w:numId w:val="3"/>
        </w:numPr>
      </w:pPr>
      <w:r>
        <w:t xml:space="preserve">Total use of opioids, in terms of prescriptions and </w:t>
      </w:r>
      <w:r w:rsidR="008E6F2C">
        <w:t>defined daily doses (</w:t>
      </w:r>
      <w:r>
        <w:t>DDDs</w:t>
      </w:r>
      <w:r w:rsidR="008E6F2C">
        <w:t>)</w:t>
      </w:r>
      <w:r>
        <w:t>/1000 population/day had continued to increase.</w:t>
      </w:r>
    </w:p>
    <w:p w14:paraId="30A4391D" w14:textId="1C8EE11D" w:rsidR="00A04055" w:rsidRDefault="00A04055" w:rsidP="00A04055">
      <w:pPr>
        <w:pStyle w:val="ListParagraph"/>
        <w:numPr>
          <w:ilvl w:val="0"/>
          <w:numId w:val="3"/>
        </w:numPr>
      </w:pPr>
      <w:r>
        <w:t>Paracetamol with codeine had the highest rate of use in terms of DDDs/1000 population/day. In 2013, oxycodone became the second highest used opioid analgesic, exceeding the use of tramadol.</w:t>
      </w:r>
    </w:p>
    <w:p w14:paraId="7FF3EF83" w14:textId="6BB66380" w:rsidR="00A63FB2" w:rsidRDefault="00A04055" w:rsidP="00A04055">
      <w:pPr>
        <w:pStyle w:val="ListParagraph"/>
        <w:numPr>
          <w:ilvl w:val="0"/>
          <w:numId w:val="3"/>
        </w:numPr>
      </w:pPr>
      <w:r>
        <w:t>Utilisation of oxycodone, fentanyl, buprenorphine and hydromorphone was increasing. The utilisation of morphine and tramadol appeared to be decreasing.</w:t>
      </w:r>
    </w:p>
    <w:p w14:paraId="2E8EDC24" w14:textId="603154FB" w:rsidR="00A63FB2" w:rsidRDefault="00A63FB2" w:rsidP="00A35800">
      <w:r w:rsidRPr="00A63FB2">
        <w:t xml:space="preserve">For details of the DUSC consideration of </w:t>
      </w:r>
      <w:r>
        <w:t xml:space="preserve">opioids in October 2014 </w:t>
      </w:r>
      <w:r w:rsidRPr="00A63FB2">
        <w:t xml:space="preserve">refer to the </w:t>
      </w:r>
      <w:hyperlink r:id="rId15" w:history="1">
        <w:r w:rsidRPr="00A63FB2">
          <w:rPr>
            <w:rStyle w:val="Hyperlink"/>
          </w:rPr>
          <w:t>Public Release Document</w:t>
        </w:r>
      </w:hyperlink>
      <w:r w:rsidRPr="00A63FB2">
        <w:t xml:space="preserve"> from the </w:t>
      </w:r>
      <w:r>
        <w:t>October 2014</w:t>
      </w:r>
      <w:r w:rsidRPr="00A63FB2">
        <w:t xml:space="preserve"> DUSC meeting.</w:t>
      </w:r>
    </w:p>
    <w:p w14:paraId="4ED7FF59" w14:textId="03301145" w:rsidR="00A63FB2" w:rsidRPr="00A63FB2" w:rsidRDefault="00A63FB2" w:rsidP="00A35800">
      <w:pPr>
        <w:rPr>
          <w:u w:val="single"/>
        </w:rPr>
      </w:pPr>
      <w:r w:rsidRPr="00A63FB2">
        <w:rPr>
          <w:u w:val="single"/>
        </w:rPr>
        <w:t>February 2020</w:t>
      </w:r>
    </w:p>
    <w:p w14:paraId="040DBB94" w14:textId="6DF7D706" w:rsidR="00A04055" w:rsidRDefault="00A04055" w:rsidP="00A04055">
      <w:r w:rsidRPr="00A04055">
        <w:t xml:space="preserve">The report examined PBS opioid use from </w:t>
      </w:r>
      <w:r>
        <w:t>April 2012</w:t>
      </w:r>
      <w:r w:rsidRPr="00A04055">
        <w:t xml:space="preserve"> to </w:t>
      </w:r>
      <w:r>
        <w:t>September 2019</w:t>
      </w:r>
      <w:r w:rsidRPr="00A04055">
        <w:t>. The key findings were:</w:t>
      </w:r>
    </w:p>
    <w:p w14:paraId="2C7D2779" w14:textId="0B66DBDF" w:rsidR="00A04055" w:rsidRDefault="00A04055" w:rsidP="00A04055">
      <w:pPr>
        <w:pStyle w:val="ListParagraph"/>
        <w:numPr>
          <w:ilvl w:val="0"/>
          <w:numId w:val="7"/>
        </w:numPr>
      </w:pPr>
      <w:r>
        <w:t>Pregabalin had become the most supplied analgesic in the opioid and pregabalin analgesic market.</w:t>
      </w:r>
    </w:p>
    <w:p w14:paraId="33FE5118" w14:textId="4D16A0A6" w:rsidR="00A04055" w:rsidRDefault="00A04055" w:rsidP="00A04055">
      <w:pPr>
        <w:pStyle w:val="ListParagraph"/>
        <w:numPr>
          <w:ilvl w:val="0"/>
          <w:numId w:val="3"/>
        </w:numPr>
      </w:pPr>
      <w:r>
        <w:t>Pregabalin and tapentadol were the only two drugs in this market currently not decreasing in utilisation. Tapentadol was increasing and pregabalin had plateaued and may have been starting to decrease.</w:t>
      </w:r>
    </w:p>
    <w:p w14:paraId="6D19D8D8" w14:textId="660B2389" w:rsidR="00A04055" w:rsidRDefault="00A04055" w:rsidP="00A04055">
      <w:pPr>
        <w:pStyle w:val="ListParagraph"/>
        <w:numPr>
          <w:ilvl w:val="0"/>
          <w:numId w:val="3"/>
        </w:numPr>
      </w:pPr>
      <w:r>
        <w:t>The up-scheduling by the TGA</w:t>
      </w:r>
      <w:r w:rsidR="00932A15">
        <w:t xml:space="preserve"> </w:t>
      </w:r>
      <w:r>
        <w:t xml:space="preserve">of low dose codeine combination products to Schedule 4 Prescription Only on 1 February 2018 had a minor upward impact on the utilisation of PBS listed high dose codeine (i.e. 30mg) combination products. The low dose codeine combination products were not PBS listed, so had to be supplied as private </w:t>
      </w:r>
      <w:r>
        <w:lastRenderedPageBreak/>
        <w:t>prescriptions. This may have provided a financial incentive to substitute low dose codeine private prescriptions with high dose PBS subsidised prescriptions.</w:t>
      </w:r>
    </w:p>
    <w:p w14:paraId="7B5905EB" w14:textId="34958FC2" w:rsidR="00A04055" w:rsidRDefault="00A04055" w:rsidP="00A04055">
      <w:pPr>
        <w:pStyle w:val="ListParagraph"/>
        <w:numPr>
          <w:ilvl w:val="0"/>
          <w:numId w:val="3"/>
        </w:numPr>
      </w:pPr>
      <w:r>
        <w:t>Prescriptions from the palliative care schedule accounted for only 0.8% of the opioid market in 2019 Q3. However prescriptions for palliative care patients accounted for at least 7.1% of the opioid market and 5.0% of the pregabalin market in the same period.</w:t>
      </w:r>
    </w:p>
    <w:p w14:paraId="2144F65E" w14:textId="06CB11A2" w:rsidR="00A04055" w:rsidRDefault="00A04055" w:rsidP="00A04055">
      <w:r>
        <w:t>The patient drug regimen analysis showed that</w:t>
      </w:r>
      <w:r w:rsidR="00E33CB6">
        <w:t>:</w:t>
      </w:r>
    </w:p>
    <w:p w14:paraId="3EF21D59" w14:textId="75303D22" w:rsidR="00A04055" w:rsidRDefault="00A04055" w:rsidP="00A04055">
      <w:pPr>
        <w:pStyle w:val="ListParagraph"/>
        <w:numPr>
          <w:ilvl w:val="0"/>
          <w:numId w:val="3"/>
        </w:numPr>
      </w:pPr>
      <w:r>
        <w:t>The listing of pregabalin for neuropathic pain in March 2013 coincided with the start of an increase in both two product and more than two product drug regimens.</w:t>
      </w:r>
    </w:p>
    <w:p w14:paraId="4CCD8979" w14:textId="6595E70E" w:rsidR="00A04055" w:rsidRDefault="00616C75" w:rsidP="00A04055">
      <w:pPr>
        <w:pStyle w:val="ListParagraph"/>
        <w:numPr>
          <w:ilvl w:val="0"/>
          <w:numId w:val="3"/>
        </w:numPr>
      </w:pPr>
      <w:r>
        <w:t>A</w:t>
      </w:r>
      <w:r w:rsidR="00A04055">
        <w:t>s at August 2019</w:t>
      </w:r>
      <w:r>
        <w:t>,</w:t>
      </w:r>
      <w:r w:rsidR="00A04055">
        <w:t xml:space="preserve"> 5 of the 10 most common two-product regimens contain pregabalin and 8 of the 10 most common three-product regimens contain pregabalin. </w:t>
      </w:r>
    </w:p>
    <w:p w14:paraId="15C1357C" w14:textId="418BAE73" w:rsidR="00A04055" w:rsidRDefault="00A04055" w:rsidP="00A04055">
      <w:pPr>
        <w:pStyle w:val="ListParagraph"/>
        <w:numPr>
          <w:ilvl w:val="0"/>
          <w:numId w:val="3"/>
        </w:numPr>
      </w:pPr>
      <w:r>
        <w:t>At the time of reporting, 79%, 17% and 4% of patients were on a one, two or more than two product drug regimens respectively.</w:t>
      </w:r>
    </w:p>
    <w:p w14:paraId="4502FEF0" w14:textId="2635B810" w:rsidR="00A63FB2" w:rsidRDefault="00A04055" w:rsidP="00A04055">
      <w:pPr>
        <w:pStyle w:val="ListParagraph"/>
        <w:numPr>
          <w:ilvl w:val="0"/>
          <w:numId w:val="3"/>
        </w:numPr>
      </w:pPr>
      <w:r>
        <w:t>The number of patients on two or more than two product drug regimens had started to decrease.</w:t>
      </w:r>
    </w:p>
    <w:p w14:paraId="5C143877" w14:textId="0DDF5E38" w:rsidR="00E371EA" w:rsidRPr="00ED633B" w:rsidRDefault="009D1ED5" w:rsidP="00A35800">
      <w:r>
        <w:t xml:space="preserve">For details of the DUSC consideration of </w:t>
      </w:r>
      <w:r w:rsidR="00A63FB2">
        <w:t>opioids in February 2020</w:t>
      </w:r>
      <w:r>
        <w:t xml:space="preserve"> refer to the </w:t>
      </w:r>
      <w:hyperlink r:id="rId16" w:history="1">
        <w:r w:rsidRPr="00A63FB2">
          <w:rPr>
            <w:rStyle w:val="Hyperlink"/>
          </w:rPr>
          <w:t>Public Release Document</w:t>
        </w:r>
      </w:hyperlink>
      <w:r>
        <w:t xml:space="preserve"> from the </w:t>
      </w:r>
      <w:r w:rsidR="00A63FB2" w:rsidRPr="00A63FB2">
        <w:t xml:space="preserve">February 2020 </w:t>
      </w:r>
      <w:r>
        <w:t>DUSC meeting.</w:t>
      </w:r>
    </w:p>
    <w:p w14:paraId="0312FFEC" w14:textId="5C6A9662" w:rsidR="00E677DD" w:rsidRPr="005E22C2" w:rsidRDefault="00E677DD" w:rsidP="00CF5E22">
      <w:pPr>
        <w:pStyle w:val="Heading1"/>
      </w:pPr>
      <w:r w:rsidRPr="005E22C2">
        <w:t>Method</w:t>
      </w:r>
      <w:r w:rsidR="001B5D37" w:rsidRPr="005E22C2">
        <w:t>s</w:t>
      </w:r>
    </w:p>
    <w:p w14:paraId="68197C51" w14:textId="45E5A297" w:rsidR="00C53E2C" w:rsidRDefault="00B95721" w:rsidP="00524D13">
      <w:r w:rsidRPr="00B95721">
        <w:t>Data extracted from the PBS claims database maintained by the Department of Health and Aged Care and processed by Services Australia were used for the analyses. Prescription data were extracted from 1 January 201</w:t>
      </w:r>
      <w:r w:rsidR="00C53E2C">
        <w:t>6</w:t>
      </w:r>
      <w:r w:rsidRPr="00B95721">
        <w:t xml:space="preserve"> up to and </w:t>
      </w:r>
      <w:r w:rsidRPr="00D636DF">
        <w:t>including 30 September 2022</w:t>
      </w:r>
      <w:r w:rsidR="00861510">
        <w:t xml:space="preserve"> based on the date of supply</w:t>
      </w:r>
      <w:r w:rsidRPr="00B95721">
        <w:t xml:space="preserve">. </w:t>
      </w:r>
      <w:r w:rsidR="00EC612C">
        <w:t>Prescription data were l</w:t>
      </w:r>
      <w:r w:rsidR="00C53E2C">
        <w:t xml:space="preserve">inked to </w:t>
      </w:r>
      <w:r w:rsidR="00EC612C">
        <w:t xml:space="preserve">date of </w:t>
      </w:r>
      <w:r w:rsidR="00C53E2C">
        <w:t xml:space="preserve">death data, </w:t>
      </w:r>
      <w:r w:rsidR="00EC612C">
        <w:t xml:space="preserve">which was last </w:t>
      </w:r>
      <w:r w:rsidR="00C53E2C">
        <w:t xml:space="preserve">updated </w:t>
      </w:r>
      <w:r w:rsidR="00EC612C">
        <w:t xml:space="preserve">24 </w:t>
      </w:r>
      <w:r w:rsidR="00C53E2C">
        <w:t>August 2022</w:t>
      </w:r>
      <w:r w:rsidR="00FF7DA0">
        <w:t>.</w:t>
      </w:r>
    </w:p>
    <w:p w14:paraId="69EE63E8" w14:textId="15EF7601" w:rsidR="00A86211" w:rsidRDefault="00A86211" w:rsidP="009D7F00">
      <w:pPr>
        <w:spacing w:after="0"/>
        <w:contextualSpacing/>
      </w:pPr>
      <w:r>
        <w:t>Data were extracted for:</w:t>
      </w:r>
    </w:p>
    <w:p w14:paraId="43922A8C" w14:textId="217A9B3F" w:rsidR="00A86211" w:rsidRDefault="00A86211" w:rsidP="009D7F00">
      <w:pPr>
        <w:pStyle w:val="ListParagraph"/>
        <w:numPr>
          <w:ilvl w:val="0"/>
          <w:numId w:val="22"/>
        </w:numPr>
        <w:spacing w:after="0"/>
      </w:pPr>
      <w:r>
        <w:t>N02A (analgesics – opioids).</w:t>
      </w:r>
    </w:p>
    <w:p w14:paraId="3393B063" w14:textId="77777777" w:rsidR="00A86211" w:rsidRDefault="00A86211" w:rsidP="008366B8">
      <w:pPr>
        <w:pStyle w:val="ListParagraph"/>
        <w:numPr>
          <w:ilvl w:val="0"/>
          <w:numId w:val="22"/>
        </w:numPr>
      </w:pPr>
      <w:r>
        <w:t>N02BG (Other analgesics and antipyretics) – pregabalin and gabapentin.</w:t>
      </w:r>
    </w:p>
    <w:p w14:paraId="1E8EBE6F" w14:textId="1E0BE7E7" w:rsidR="00A86211" w:rsidRDefault="00A86211" w:rsidP="009D7F00">
      <w:pPr>
        <w:pStyle w:val="ListParagraph"/>
        <w:numPr>
          <w:ilvl w:val="0"/>
          <w:numId w:val="22"/>
        </w:numPr>
      </w:pPr>
      <w:r>
        <w:t xml:space="preserve">Where the </w:t>
      </w:r>
      <w:r w:rsidR="00AC0A56">
        <w:t xml:space="preserve">PBS </w:t>
      </w:r>
      <w:r>
        <w:t xml:space="preserve">restriction included ‘pain’. </w:t>
      </w:r>
    </w:p>
    <w:p w14:paraId="0A418AE9" w14:textId="1110E818" w:rsidR="001F2AE0" w:rsidRDefault="00B95721" w:rsidP="00524D13">
      <w:r w:rsidRPr="00B95721">
        <w:t xml:space="preserve">These data were used to determine the prescription and patients counts for the </w:t>
      </w:r>
      <w:r>
        <w:t>opioid analgesic</w:t>
      </w:r>
      <w:r w:rsidRPr="00B95721">
        <w:t xml:space="preserve"> market counted by supply quarter</w:t>
      </w:r>
      <w:r w:rsidR="00A26AB4">
        <w:t>, supply month</w:t>
      </w:r>
      <w:r w:rsidRPr="00B95721">
        <w:t xml:space="preserve"> and calendar year.</w:t>
      </w:r>
      <w:r w:rsidR="00FF7DA0">
        <w:t xml:space="preserve"> Counts of initiating patients are presented from 1 January 2018 to allow for a two year lookback.</w:t>
      </w:r>
      <w:r w:rsidR="001F2AE0" w:rsidRPr="001F2AE0">
        <w:t xml:space="preserve"> </w:t>
      </w:r>
    </w:p>
    <w:p w14:paraId="2533D5EF" w14:textId="469E9F99" w:rsidR="00B95721" w:rsidRDefault="001F2AE0" w:rsidP="00524D13">
      <w:r>
        <w:t xml:space="preserve">The number of prescriptions supplied through the palliative </w:t>
      </w:r>
      <w:r w:rsidR="00A26AB4">
        <w:t xml:space="preserve">care </w:t>
      </w:r>
      <w:r>
        <w:t xml:space="preserve">schedule compared to general schedule is presented over time, and compared to the number of prescriptions supplied to palliative patients, where a </w:t>
      </w:r>
      <w:r w:rsidRPr="001F2AE0">
        <w:t xml:space="preserve">patient </w:t>
      </w:r>
      <w:r>
        <w:t xml:space="preserve">was determined to be palliative for all prescriptions supplied </w:t>
      </w:r>
      <w:r w:rsidRPr="001F2AE0">
        <w:t>subsequent to their first opioid prescription supply from the palliative care schedule.</w:t>
      </w:r>
    </w:p>
    <w:p w14:paraId="188BAE2F" w14:textId="246C3AEC" w:rsidR="00FF7DA0" w:rsidRDefault="00FF7DA0" w:rsidP="00524D13">
      <w:r>
        <w:t xml:space="preserve">Age and gender is presented for patients supplied an opioid or non-opioid in 2021. </w:t>
      </w:r>
      <w:r w:rsidR="004A6C76">
        <w:t>Patients are only counted for their first treatment in 2021 (for all use) and last treatment in 2021 (for patients who were supplied a prescription under a palliative care item code) to ensure they are only included in one age group.</w:t>
      </w:r>
    </w:p>
    <w:p w14:paraId="61741399" w14:textId="36D6753D" w:rsidR="00FF7DA0" w:rsidRDefault="006369C0" w:rsidP="00524D13">
      <w:r>
        <w:lastRenderedPageBreak/>
        <w:t xml:space="preserve">The number and percent of patients who were supplied two or more medicines under different item codes on the same day at least once in a calendar year was calculated for 2019 and 2021. </w:t>
      </w:r>
    </w:p>
    <w:p w14:paraId="2A267307" w14:textId="6AB4F520" w:rsidR="00FF7DA0" w:rsidRDefault="006369C0" w:rsidP="00524D13">
      <w:r>
        <w:t>The number and percent of repeats was calculated as the number of supplied prescriptions as either original or repeat prescriptions, and as the number of original prescriptions written with repeats or no repeats prescribed.</w:t>
      </w:r>
    </w:p>
    <w:p w14:paraId="53D6E4E9" w14:textId="6B8BE2EA" w:rsidR="00BE3BD8" w:rsidRDefault="006369C0" w:rsidP="00524D13">
      <w:r>
        <w:t xml:space="preserve">The utilisation of </w:t>
      </w:r>
      <w:r w:rsidR="00A26AB4">
        <w:t xml:space="preserve">PBS listings that had </w:t>
      </w:r>
      <w:r>
        <w:t xml:space="preserve">reduced pack sizes </w:t>
      </w:r>
      <w:r w:rsidR="00A26AB4">
        <w:t xml:space="preserve">as a result of the reforms </w:t>
      </w:r>
      <w:r>
        <w:t xml:space="preserve">is presented over time, and the number of </w:t>
      </w:r>
      <w:r w:rsidRPr="006369C0">
        <w:t>original prescriptions written with repeats or no repeats prescribed</w:t>
      </w:r>
      <w:r w:rsidR="00A26AB4">
        <w:t xml:space="preserve"> </w:t>
      </w:r>
      <w:r w:rsidR="00B32BCB">
        <w:t xml:space="preserve">for these listings </w:t>
      </w:r>
      <w:r w:rsidR="00A26AB4">
        <w:t>is analysed</w:t>
      </w:r>
      <w:r w:rsidRPr="006369C0">
        <w:t>.</w:t>
      </w:r>
    </w:p>
    <w:p w14:paraId="2744FB1E" w14:textId="77777777" w:rsidR="006369C0" w:rsidRDefault="006369C0" w:rsidP="006369C0">
      <w:r>
        <w:t xml:space="preserve">Sequence analysis lists the drugs that a patient was supplied, for cohort of patients who initiated in 2019. </w:t>
      </w:r>
      <w:r w:rsidRPr="00FF7DA0">
        <w:t>Medicines are only counted once</w:t>
      </w:r>
      <w:r>
        <w:t xml:space="preserve"> for each patient</w:t>
      </w:r>
      <w:r w:rsidRPr="00FF7DA0">
        <w:t>, for example if a patient is supplied A &gt; B &gt; A this is counted as A &gt; B.</w:t>
      </w:r>
    </w:p>
    <w:p w14:paraId="47AB78E1" w14:textId="5D0529BD" w:rsidR="00BE3BD8" w:rsidRDefault="006369C0" w:rsidP="00524D13">
      <w:r>
        <w:t>The m</w:t>
      </w:r>
      <w:r w:rsidR="00BE3BD8">
        <w:t>ean quantity over time</w:t>
      </w:r>
      <w:r>
        <w:t xml:space="preserve"> is presented by year and by drug and form. Strength is not included. </w:t>
      </w:r>
    </w:p>
    <w:p w14:paraId="0712D9D5" w14:textId="5C471EDC" w:rsidR="00524D13" w:rsidRDefault="00E7594B" w:rsidP="00524D13">
      <w:r>
        <w:t xml:space="preserve">As this analysis uses date of supply </w:t>
      </w:r>
      <w:r w:rsidR="005E085C">
        <w:t xml:space="preserve">prescription </w:t>
      </w:r>
      <w:r>
        <w:t xml:space="preserve">data, there may be small differences </w:t>
      </w:r>
      <w:r w:rsidR="00B95721" w:rsidRPr="00B95721">
        <w:t>compared with publicly available Services Australia Medicare date of processing data</w:t>
      </w:r>
      <w:r>
        <w:t>.</w:t>
      </w:r>
      <w:r w:rsidR="00576B18">
        <w:rPr>
          <w:rStyle w:val="FootnoteReference"/>
        </w:rPr>
        <w:footnoteReference w:id="3"/>
      </w:r>
      <w:r w:rsidR="0046280F">
        <w:t xml:space="preserve"> </w:t>
      </w:r>
    </w:p>
    <w:p w14:paraId="1AF6A238" w14:textId="673F7B9E" w:rsidR="00B95721" w:rsidRDefault="00F12B2E" w:rsidP="00524D13">
      <w:r>
        <w:t xml:space="preserve">Data were extracted on 16 November 2022. </w:t>
      </w:r>
      <w:r w:rsidR="00B95721" w:rsidRPr="00B95721">
        <w:t>Data manipulation was undertaken using SAS.</w:t>
      </w:r>
    </w:p>
    <w:p w14:paraId="4F91A98A" w14:textId="00180E30" w:rsidR="00C714D0" w:rsidRPr="005E22C2" w:rsidRDefault="00C714D0" w:rsidP="007007DF">
      <w:pPr>
        <w:pStyle w:val="Heading1"/>
      </w:pPr>
      <w:r w:rsidRPr="005E22C2">
        <w:lastRenderedPageBreak/>
        <w:t>Results</w:t>
      </w:r>
    </w:p>
    <w:p w14:paraId="2221FF19" w14:textId="336CE8B2" w:rsidR="00736041" w:rsidRPr="005E22C2" w:rsidRDefault="001B5D37" w:rsidP="007007DF">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7007DF">
      <w:pPr>
        <w:pStyle w:val="Heading3"/>
        <w:keepNext/>
      </w:pPr>
      <w:r w:rsidRPr="005E22C2">
        <w:t>Overall utilisation</w:t>
      </w:r>
    </w:p>
    <w:p w14:paraId="58487B8D" w14:textId="7E0C5FF7" w:rsidR="00083016" w:rsidRDefault="0030202B" w:rsidP="00A35800">
      <w:r>
        <w:rPr>
          <w:noProof/>
        </w:rPr>
        <w:drawing>
          <wp:inline distT="0" distB="0" distL="0" distR="0" wp14:anchorId="3BCA7F24" wp14:editId="15EEB2BF">
            <wp:extent cx="5374256" cy="3890645"/>
            <wp:effectExtent l="0" t="0" r="17145" b="14605"/>
            <wp:docPr id="3" name="Chart 3" descr="Number of treated patients, initiating patients and prescriptions over time&#10;">
              <a:extLst xmlns:a="http://schemas.openxmlformats.org/drawingml/2006/main">
                <a:ext uri="{FF2B5EF4-FFF2-40B4-BE49-F238E27FC236}">
                  <a16:creationId xmlns:a16="http://schemas.microsoft.com/office/drawing/2014/main" id="{97C79331-DE6C-41D2-A51E-B7A9BAA2B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B42A3A" w14:textId="74838944" w:rsidR="00083016" w:rsidRDefault="006D2339" w:rsidP="006D2339">
      <w:pPr>
        <w:pStyle w:val="Figuretitle"/>
      </w:pPr>
      <w:r>
        <w:t xml:space="preserve">Figure </w:t>
      </w:r>
      <w:r w:rsidR="00783E67">
        <w:t>1</w:t>
      </w:r>
      <w:r>
        <w:t>: Number of treated patient</w:t>
      </w:r>
      <w:r w:rsidR="0030202B">
        <w:t>s</w:t>
      </w:r>
      <w:r>
        <w:t>, initiating patients and prescriptions over time</w:t>
      </w:r>
    </w:p>
    <w:p w14:paraId="3A0205D7" w14:textId="77777777" w:rsidR="00083016" w:rsidRDefault="00083016" w:rsidP="00A35800"/>
    <w:p w14:paraId="6E37FCC6" w14:textId="4A4D9F0B" w:rsidR="00083016" w:rsidRDefault="006D2339" w:rsidP="00A35800">
      <w:r>
        <w:t xml:space="preserve">It appears the number of initiating patients is decreasing over time and has been since before the </w:t>
      </w:r>
      <w:r w:rsidR="003F317B">
        <w:t xml:space="preserve">TGA </w:t>
      </w:r>
      <w:r>
        <w:t xml:space="preserve">reform changes. This may be </w:t>
      </w:r>
      <w:r w:rsidR="003F317B">
        <w:t xml:space="preserve">partly </w:t>
      </w:r>
      <w:r>
        <w:t xml:space="preserve">because patients are less likely to be counted as initiating the further from the first date of </w:t>
      </w:r>
      <w:r w:rsidR="00200574">
        <w:t xml:space="preserve">including </w:t>
      </w:r>
      <w:r>
        <w:t>initiating patient counts.</w:t>
      </w:r>
    </w:p>
    <w:p w14:paraId="5EF67048" w14:textId="50B70D7F" w:rsidR="00BF09AD" w:rsidRDefault="007007DF" w:rsidP="00A35800">
      <w:pPr>
        <w:rPr>
          <w:highlight w:val="cyan"/>
        </w:rPr>
      </w:pPr>
      <w:r>
        <w:t>F</w:t>
      </w:r>
      <w:r w:rsidR="00BF09AD" w:rsidRPr="00BF09AD">
        <w:t xml:space="preserve">igure </w:t>
      </w:r>
      <w:r w:rsidR="0046280F">
        <w:t>2</w:t>
      </w:r>
      <w:r w:rsidR="00BF09AD" w:rsidRPr="00BF09AD">
        <w:t xml:space="preserve"> shows the utilisation of PBS prescriptions for opioids and other selected analgesics by drug.</w:t>
      </w:r>
    </w:p>
    <w:p w14:paraId="08622A32" w14:textId="74AED0D9" w:rsidR="00BF09AD" w:rsidRDefault="00F80A92" w:rsidP="00A35800">
      <w:pPr>
        <w:rPr>
          <w:highlight w:val="cyan"/>
        </w:rPr>
      </w:pPr>
      <w:r>
        <w:rPr>
          <w:noProof/>
        </w:rPr>
        <w:lastRenderedPageBreak/>
        <w:drawing>
          <wp:inline distT="0" distB="0" distL="0" distR="0" wp14:anchorId="718F10B0" wp14:editId="7A7C62D0">
            <wp:extent cx="5687695" cy="4201064"/>
            <wp:effectExtent l="0" t="0" r="8255" b="9525"/>
            <wp:docPr id="1" name="Chart 1" descr="Number of prescriptions by quarter and by drug&#10;">
              <a:extLst xmlns:a="http://schemas.openxmlformats.org/drawingml/2006/main">
                <a:ext uri="{FF2B5EF4-FFF2-40B4-BE49-F238E27FC236}">
                  <a16:creationId xmlns:a16="http://schemas.microsoft.com/office/drawing/2014/main" id="{096DA87F-B975-4028-AC22-6C49430E8C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E4588F" w14:textId="315000A7" w:rsidR="00BF09AD" w:rsidRDefault="0075009A" w:rsidP="0075009A">
      <w:pPr>
        <w:pStyle w:val="Figuretitle"/>
        <w:rPr>
          <w:highlight w:val="cyan"/>
        </w:rPr>
      </w:pPr>
      <w:r w:rsidRPr="0075009A">
        <w:t xml:space="preserve">Figure </w:t>
      </w:r>
      <w:r w:rsidR="00783E67">
        <w:t>2</w:t>
      </w:r>
      <w:r w:rsidRPr="0075009A">
        <w:t xml:space="preserve">: Number of prescriptions </w:t>
      </w:r>
      <w:r w:rsidR="006A690B">
        <w:t xml:space="preserve">by quarter and </w:t>
      </w:r>
      <w:r w:rsidR="003F317B">
        <w:t>by drug</w:t>
      </w:r>
    </w:p>
    <w:p w14:paraId="72A59B17" w14:textId="77777777" w:rsidR="0075009A" w:rsidRDefault="0075009A" w:rsidP="00A35800"/>
    <w:p w14:paraId="4F7485C8" w14:textId="6873BB02" w:rsidR="00301EEB" w:rsidRDefault="00301EEB" w:rsidP="00A35800">
      <w:r>
        <w:t xml:space="preserve">It appears the medicine that has decreased the most </w:t>
      </w:r>
      <w:r w:rsidR="003E758E">
        <w:t xml:space="preserve">in prescriptions supplied </w:t>
      </w:r>
      <w:r>
        <w:t xml:space="preserve">over this time is tramadol, while tapentadol appears to have increased the most. This is confirmed by </w:t>
      </w:r>
      <w:r w:rsidR="001F2AE0">
        <w:t xml:space="preserve">table </w:t>
      </w:r>
      <w:r w:rsidR="0046280F">
        <w:t>4</w:t>
      </w:r>
      <w:r w:rsidR="00AB0119">
        <w:t xml:space="preserve"> below. </w:t>
      </w:r>
    </w:p>
    <w:p w14:paraId="79CC6231" w14:textId="77777777" w:rsidR="00301EEB" w:rsidRDefault="00301EEB" w:rsidP="00A35800"/>
    <w:p w14:paraId="3677B4D2" w14:textId="77777777" w:rsidR="00C80CE7" w:rsidRDefault="00C80CE7">
      <w:pPr>
        <w:spacing w:line="276" w:lineRule="auto"/>
        <w:rPr>
          <w:b/>
        </w:rPr>
      </w:pPr>
      <w:r>
        <w:br w:type="page"/>
      </w:r>
    </w:p>
    <w:p w14:paraId="0B790F66" w14:textId="6D0A1294" w:rsidR="00A05EED" w:rsidRDefault="00A05EED" w:rsidP="00AB0119">
      <w:pPr>
        <w:pStyle w:val="Tabletitle"/>
        <w:rPr>
          <w:highlight w:val="cyan"/>
        </w:rPr>
      </w:pPr>
      <w:r>
        <w:lastRenderedPageBreak/>
        <w:t xml:space="preserve">Table </w:t>
      </w:r>
      <w:r w:rsidR="00373F55">
        <w:t>4</w:t>
      </w:r>
      <w:r>
        <w:t>: Number of prescriptions and rate of growth from previous year</w:t>
      </w:r>
    </w:p>
    <w:tbl>
      <w:tblPr>
        <w:tblStyle w:val="TableGrid"/>
        <w:tblW w:w="8606" w:type="dxa"/>
        <w:tblLayout w:type="fixed"/>
        <w:tblLook w:val="04A0" w:firstRow="1" w:lastRow="0" w:firstColumn="1" w:lastColumn="0" w:noHBand="0" w:noVBand="1"/>
      </w:tblPr>
      <w:tblGrid>
        <w:gridCol w:w="1802"/>
        <w:gridCol w:w="1134"/>
        <w:gridCol w:w="1134"/>
        <w:gridCol w:w="1134"/>
        <w:gridCol w:w="1134"/>
        <w:gridCol w:w="1134"/>
        <w:gridCol w:w="1134"/>
      </w:tblGrid>
      <w:tr w:rsidR="005E6DC9" w:rsidRPr="005E6DC9" w14:paraId="0A80C601" w14:textId="77777777" w:rsidTr="00C80CE7">
        <w:trPr>
          <w:trHeight w:val="300"/>
        </w:trPr>
        <w:tc>
          <w:tcPr>
            <w:tcW w:w="1802" w:type="dxa"/>
            <w:shd w:val="clear" w:color="auto" w:fill="BFBFBF" w:themeFill="background1" w:themeFillShade="BF"/>
            <w:noWrap/>
            <w:vAlign w:val="center"/>
            <w:hideMark/>
          </w:tcPr>
          <w:p w14:paraId="012EABB5" w14:textId="77777777" w:rsidR="005E6DC9" w:rsidRPr="005E6DC9" w:rsidRDefault="005E6DC9" w:rsidP="00C80CE7">
            <w:pPr>
              <w:rPr>
                <w:sz w:val="20"/>
                <w:szCs w:val="20"/>
              </w:rPr>
            </w:pPr>
          </w:p>
        </w:tc>
        <w:tc>
          <w:tcPr>
            <w:tcW w:w="1134" w:type="dxa"/>
            <w:shd w:val="clear" w:color="auto" w:fill="BFBFBF" w:themeFill="background1" w:themeFillShade="BF"/>
            <w:noWrap/>
            <w:vAlign w:val="center"/>
            <w:hideMark/>
          </w:tcPr>
          <w:p w14:paraId="767DFD77" w14:textId="77777777" w:rsidR="005E6DC9" w:rsidRPr="00AB0119" w:rsidRDefault="005E6DC9" w:rsidP="00C80CE7">
            <w:pPr>
              <w:jc w:val="center"/>
              <w:rPr>
                <w:b/>
                <w:bCs/>
                <w:sz w:val="20"/>
                <w:szCs w:val="20"/>
              </w:rPr>
            </w:pPr>
            <w:r w:rsidRPr="00AB0119">
              <w:rPr>
                <w:b/>
                <w:bCs/>
                <w:sz w:val="20"/>
                <w:szCs w:val="20"/>
              </w:rPr>
              <w:t>2016</w:t>
            </w:r>
          </w:p>
        </w:tc>
        <w:tc>
          <w:tcPr>
            <w:tcW w:w="1134" w:type="dxa"/>
            <w:shd w:val="clear" w:color="auto" w:fill="BFBFBF" w:themeFill="background1" w:themeFillShade="BF"/>
            <w:noWrap/>
            <w:vAlign w:val="center"/>
            <w:hideMark/>
          </w:tcPr>
          <w:p w14:paraId="5A71BFB5" w14:textId="77777777" w:rsidR="005E6DC9" w:rsidRPr="00AB0119" w:rsidRDefault="005E6DC9" w:rsidP="00C80CE7">
            <w:pPr>
              <w:jc w:val="center"/>
              <w:rPr>
                <w:b/>
                <w:bCs/>
                <w:sz w:val="20"/>
                <w:szCs w:val="20"/>
              </w:rPr>
            </w:pPr>
            <w:r w:rsidRPr="00AB0119">
              <w:rPr>
                <w:b/>
                <w:bCs/>
                <w:sz w:val="20"/>
                <w:szCs w:val="20"/>
              </w:rPr>
              <w:t>2017</w:t>
            </w:r>
          </w:p>
        </w:tc>
        <w:tc>
          <w:tcPr>
            <w:tcW w:w="1134" w:type="dxa"/>
            <w:shd w:val="clear" w:color="auto" w:fill="BFBFBF" w:themeFill="background1" w:themeFillShade="BF"/>
            <w:noWrap/>
            <w:vAlign w:val="center"/>
            <w:hideMark/>
          </w:tcPr>
          <w:p w14:paraId="58D46356" w14:textId="77777777" w:rsidR="005E6DC9" w:rsidRPr="00AB0119" w:rsidRDefault="005E6DC9" w:rsidP="00C80CE7">
            <w:pPr>
              <w:jc w:val="center"/>
              <w:rPr>
                <w:b/>
                <w:bCs/>
                <w:sz w:val="20"/>
                <w:szCs w:val="20"/>
              </w:rPr>
            </w:pPr>
            <w:r w:rsidRPr="00AB0119">
              <w:rPr>
                <w:b/>
                <w:bCs/>
                <w:sz w:val="20"/>
                <w:szCs w:val="20"/>
              </w:rPr>
              <w:t>2018</w:t>
            </w:r>
          </w:p>
        </w:tc>
        <w:tc>
          <w:tcPr>
            <w:tcW w:w="1134" w:type="dxa"/>
            <w:shd w:val="clear" w:color="auto" w:fill="BFBFBF" w:themeFill="background1" w:themeFillShade="BF"/>
            <w:noWrap/>
            <w:vAlign w:val="center"/>
            <w:hideMark/>
          </w:tcPr>
          <w:p w14:paraId="66F3B940" w14:textId="77777777" w:rsidR="005E6DC9" w:rsidRPr="00AB0119" w:rsidRDefault="005E6DC9" w:rsidP="00C80CE7">
            <w:pPr>
              <w:jc w:val="center"/>
              <w:rPr>
                <w:b/>
                <w:bCs/>
                <w:sz w:val="20"/>
                <w:szCs w:val="20"/>
              </w:rPr>
            </w:pPr>
            <w:r w:rsidRPr="00AB0119">
              <w:rPr>
                <w:b/>
                <w:bCs/>
                <w:sz w:val="20"/>
                <w:szCs w:val="20"/>
              </w:rPr>
              <w:t>2019</w:t>
            </w:r>
          </w:p>
        </w:tc>
        <w:tc>
          <w:tcPr>
            <w:tcW w:w="1134" w:type="dxa"/>
            <w:shd w:val="clear" w:color="auto" w:fill="BFBFBF" w:themeFill="background1" w:themeFillShade="BF"/>
            <w:noWrap/>
            <w:vAlign w:val="center"/>
            <w:hideMark/>
          </w:tcPr>
          <w:p w14:paraId="2F16B261" w14:textId="77777777" w:rsidR="005E6DC9" w:rsidRPr="00AB0119" w:rsidRDefault="005E6DC9" w:rsidP="00C80CE7">
            <w:pPr>
              <w:jc w:val="center"/>
              <w:rPr>
                <w:b/>
                <w:bCs/>
                <w:sz w:val="20"/>
                <w:szCs w:val="20"/>
              </w:rPr>
            </w:pPr>
            <w:r w:rsidRPr="00AB0119">
              <w:rPr>
                <w:b/>
                <w:bCs/>
                <w:sz w:val="20"/>
                <w:szCs w:val="20"/>
              </w:rPr>
              <w:t>2020</w:t>
            </w:r>
          </w:p>
        </w:tc>
        <w:tc>
          <w:tcPr>
            <w:tcW w:w="1134" w:type="dxa"/>
            <w:shd w:val="clear" w:color="auto" w:fill="BFBFBF" w:themeFill="background1" w:themeFillShade="BF"/>
            <w:noWrap/>
            <w:vAlign w:val="center"/>
            <w:hideMark/>
          </w:tcPr>
          <w:p w14:paraId="14C5FCD2" w14:textId="77777777" w:rsidR="005E6DC9" w:rsidRPr="00AB0119" w:rsidRDefault="005E6DC9" w:rsidP="00C80CE7">
            <w:pPr>
              <w:jc w:val="center"/>
              <w:rPr>
                <w:b/>
                <w:bCs/>
                <w:sz w:val="20"/>
                <w:szCs w:val="20"/>
              </w:rPr>
            </w:pPr>
            <w:r w:rsidRPr="00AB0119">
              <w:rPr>
                <w:b/>
                <w:bCs/>
                <w:sz w:val="20"/>
                <w:szCs w:val="20"/>
              </w:rPr>
              <w:t>2021</w:t>
            </w:r>
          </w:p>
        </w:tc>
      </w:tr>
      <w:tr w:rsidR="005E6DC9" w:rsidRPr="005E6DC9" w14:paraId="58224447" w14:textId="77777777" w:rsidTr="00C80CE7">
        <w:trPr>
          <w:trHeight w:val="300"/>
        </w:trPr>
        <w:tc>
          <w:tcPr>
            <w:tcW w:w="1802" w:type="dxa"/>
            <w:noWrap/>
            <w:vAlign w:val="center"/>
            <w:hideMark/>
          </w:tcPr>
          <w:p w14:paraId="0938D34F" w14:textId="77777777" w:rsidR="005E6DC9" w:rsidRPr="005E6DC9" w:rsidRDefault="005E6DC9" w:rsidP="00C80CE7">
            <w:pPr>
              <w:rPr>
                <w:sz w:val="20"/>
                <w:szCs w:val="20"/>
              </w:rPr>
            </w:pPr>
            <w:r w:rsidRPr="005E6DC9">
              <w:rPr>
                <w:sz w:val="20"/>
                <w:szCs w:val="20"/>
              </w:rPr>
              <w:t>BUPRENORPHINE</w:t>
            </w:r>
          </w:p>
        </w:tc>
        <w:tc>
          <w:tcPr>
            <w:tcW w:w="1134" w:type="dxa"/>
            <w:noWrap/>
            <w:vAlign w:val="center"/>
            <w:hideMark/>
          </w:tcPr>
          <w:p w14:paraId="640F20FD" w14:textId="5826AB9A" w:rsidR="005E6DC9" w:rsidRPr="005E6DC9" w:rsidRDefault="005E6DC9" w:rsidP="00C80CE7">
            <w:pPr>
              <w:jc w:val="right"/>
              <w:rPr>
                <w:sz w:val="20"/>
                <w:szCs w:val="20"/>
              </w:rPr>
            </w:pPr>
            <w:r w:rsidRPr="005E6DC9">
              <w:rPr>
                <w:sz w:val="20"/>
                <w:szCs w:val="20"/>
              </w:rPr>
              <w:t>1</w:t>
            </w:r>
            <w:r>
              <w:rPr>
                <w:sz w:val="20"/>
                <w:szCs w:val="20"/>
              </w:rPr>
              <w:t>,</w:t>
            </w:r>
            <w:r w:rsidRPr="005E6DC9">
              <w:rPr>
                <w:sz w:val="20"/>
                <w:szCs w:val="20"/>
              </w:rPr>
              <w:t>450</w:t>
            </w:r>
            <w:r>
              <w:rPr>
                <w:sz w:val="20"/>
                <w:szCs w:val="20"/>
              </w:rPr>
              <w:t>,</w:t>
            </w:r>
            <w:r w:rsidRPr="005E6DC9">
              <w:rPr>
                <w:sz w:val="20"/>
                <w:szCs w:val="20"/>
              </w:rPr>
              <w:t>629</w:t>
            </w:r>
          </w:p>
        </w:tc>
        <w:tc>
          <w:tcPr>
            <w:tcW w:w="1134" w:type="dxa"/>
            <w:noWrap/>
            <w:vAlign w:val="center"/>
            <w:hideMark/>
          </w:tcPr>
          <w:p w14:paraId="2B542408" w14:textId="1E7075A1"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422</w:t>
            </w:r>
            <w:r w:rsidR="00EF4455">
              <w:rPr>
                <w:sz w:val="20"/>
                <w:szCs w:val="20"/>
              </w:rPr>
              <w:t>,</w:t>
            </w:r>
            <w:r w:rsidRPr="005E6DC9">
              <w:rPr>
                <w:sz w:val="20"/>
                <w:szCs w:val="20"/>
              </w:rPr>
              <w:t>313</w:t>
            </w:r>
          </w:p>
          <w:p w14:paraId="337178F4" w14:textId="39DF2243" w:rsidR="005E6DC9" w:rsidRPr="005E6DC9" w:rsidRDefault="005E6DC9" w:rsidP="00C80CE7">
            <w:pPr>
              <w:jc w:val="right"/>
              <w:rPr>
                <w:sz w:val="20"/>
                <w:szCs w:val="20"/>
              </w:rPr>
            </w:pPr>
            <w:r w:rsidRPr="005E6DC9">
              <w:rPr>
                <w:sz w:val="20"/>
                <w:szCs w:val="20"/>
              </w:rPr>
              <w:t>(-1.95</w:t>
            </w:r>
            <w:r>
              <w:rPr>
                <w:sz w:val="20"/>
                <w:szCs w:val="20"/>
              </w:rPr>
              <w:t>%)</w:t>
            </w:r>
          </w:p>
        </w:tc>
        <w:tc>
          <w:tcPr>
            <w:tcW w:w="1134" w:type="dxa"/>
            <w:noWrap/>
            <w:vAlign w:val="center"/>
            <w:hideMark/>
          </w:tcPr>
          <w:p w14:paraId="7FAE0ABC" w14:textId="42128EC6"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390</w:t>
            </w:r>
            <w:r w:rsidR="00EF4455">
              <w:rPr>
                <w:sz w:val="20"/>
                <w:szCs w:val="20"/>
              </w:rPr>
              <w:t>,</w:t>
            </w:r>
            <w:r w:rsidRPr="005E6DC9">
              <w:rPr>
                <w:sz w:val="20"/>
                <w:szCs w:val="20"/>
              </w:rPr>
              <w:t>820</w:t>
            </w:r>
          </w:p>
          <w:p w14:paraId="233A09D3" w14:textId="63EF8C37" w:rsidR="005E6DC9" w:rsidRPr="005E6DC9" w:rsidRDefault="005E6DC9" w:rsidP="00C80CE7">
            <w:pPr>
              <w:jc w:val="right"/>
              <w:rPr>
                <w:sz w:val="20"/>
                <w:szCs w:val="20"/>
              </w:rPr>
            </w:pPr>
            <w:r w:rsidRPr="005E6DC9">
              <w:rPr>
                <w:sz w:val="20"/>
                <w:szCs w:val="20"/>
              </w:rPr>
              <w:t>(-2.21</w:t>
            </w:r>
            <w:r>
              <w:rPr>
                <w:sz w:val="20"/>
                <w:szCs w:val="20"/>
              </w:rPr>
              <w:t>%)</w:t>
            </w:r>
          </w:p>
        </w:tc>
        <w:tc>
          <w:tcPr>
            <w:tcW w:w="1134" w:type="dxa"/>
            <w:noWrap/>
            <w:vAlign w:val="center"/>
            <w:hideMark/>
          </w:tcPr>
          <w:p w14:paraId="480F5CF9" w14:textId="140669E5"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346</w:t>
            </w:r>
            <w:r w:rsidR="00EF4455">
              <w:rPr>
                <w:sz w:val="20"/>
                <w:szCs w:val="20"/>
              </w:rPr>
              <w:t>,</w:t>
            </w:r>
            <w:r w:rsidRPr="005E6DC9">
              <w:rPr>
                <w:sz w:val="20"/>
                <w:szCs w:val="20"/>
              </w:rPr>
              <w:t>354</w:t>
            </w:r>
          </w:p>
          <w:p w14:paraId="0497ADAF" w14:textId="3BEC29AD" w:rsidR="005E6DC9" w:rsidRPr="005E6DC9" w:rsidRDefault="005E6DC9" w:rsidP="00C80CE7">
            <w:pPr>
              <w:jc w:val="right"/>
              <w:rPr>
                <w:sz w:val="20"/>
                <w:szCs w:val="20"/>
              </w:rPr>
            </w:pPr>
            <w:r w:rsidRPr="005E6DC9">
              <w:rPr>
                <w:sz w:val="20"/>
                <w:szCs w:val="20"/>
              </w:rPr>
              <w:t>(-3.2</w:t>
            </w:r>
            <w:r w:rsidR="007E4823">
              <w:rPr>
                <w:sz w:val="20"/>
                <w:szCs w:val="20"/>
              </w:rPr>
              <w:t>0</w:t>
            </w:r>
            <w:r>
              <w:rPr>
                <w:sz w:val="20"/>
                <w:szCs w:val="20"/>
              </w:rPr>
              <w:t>%)</w:t>
            </w:r>
          </w:p>
        </w:tc>
        <w:tc>
          <w:tcPr>
            <w:tcW w:w="1134" w:type="dxa"/>
            <w:noWrap/>
            <w:vAlign w:val="center"/>
            <w:hideMark/>
          </w:tcPr>
          <w:p w14:paraId="7C216372" w14:textId="181C101E"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327</w:t>
            </w:r>
            <w:r w:rsidR="00EF4455">
              <w:rPr>
                <w:sz w:val="20"/>
                <w:szCs w:val="20"/>
              </w:rPr>
              <w:t>,</w:t>
            </w:r>
            <w:r w:rsidRPr="005E6DC9">
              <w:rPr>
                <w:sz w:val="20"/>
                <w:szCs w:val="20"/>
              </w:rPr>
              <w:t>970</w:t>
            </w:r>
          </w:p>
          <w:p w14:paraId="49EED7BC" w14:textId="7CBED8C3" w:rsidR="005E6DC9" w:rsidRPr="005E6DC9" w:rsidRDefault="005E6DC9" w:rsidP="00C80CE7">
            <w:pPr>
              <w:jc w:val="right"/>
              <w:rPr>
                <w:sz w:val="20"/>
                <w:szCs w:val="20"/>
              </w:rPr>
            </w:pPr>
            <w:r w:rsidRPr="005E6DC9">
              <w:rPr>
                <w:sz w:val="20"/>
                <w:szCs w:val="20"/>
              </w:rPr>
              <w:t>(-1.37</w:t>
            </w:r>
            <w:r>
              <w:rPr>
                <w:sz w:val="20"/>
                <w:szCs w:val="20"/>
              </w:rPr>
              <w:t>%)</w:t>
            </w:r>
          </w:p>
        </w:tc>
        <w:tc>
          <w:tcPr>
            <w:tcW w:w="1134" w:type="dxa"/>
            <w:noWrap/>
            <w:vAlign w:val="center"/>
            <w:hideMark/>
          </w:tcPr>
          <w:p w14:paraId="622261BD" w14:textId="76B450A6"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287</w:t>
            </w:r>
            <w:r w:rsidR="00EF4455">
              <w:rPr>
                <w:sz w:val="20"/>
                <w:szCs w:val="20"/>
              </w:rPr>
              <w:t>,</w:t>
            </w:r>
            <w:r w:rsidRPr="005E6DC9">
              <w:rPr>
                <w:sz w:val="20"/>
                <w:szCs w:val="20"/>
              </w:rPr>
              <w:t>078</w:t>
            </w:r>
          </w:p>
          <w:p w14:paraId="6AD713DF" w14:textId="3E3338D8" w:rsidR="005E6DC9" w:rsidRPr="005E6DC9" w:rsidRDefault="005E6DC9" w:rsidP="00C80CE7">
            <w:pPr>
              <w:jc w:val="right"/>
              <w:rPr>
                <w:sz w:val="20"/>
                <w:szCs w:val="20"/>
              </w:rPr>
            </w:pPr>
            <w:r w:rsidRPr="005E6DC9">
              <w:rPr>
                <w:sz w:val="20"/>
                <w:szCs w:val="20"/>
              </w:rPr>
              <w:t>(-3.08</w:t>
            </w:r>
            <w:r>
              <w:rPr>
                <w:sz w:val="20"/>
                <w:szCs w:val="20"/>
              </w:rPr>
              <w:t>%)</w:t>
            </w:r>
          </w:p>
        </w:tc>
      </w:tr>
      <w:tr w:rsidR="005E6DC9" w:rsidRPr="005E6DC9" w14:paraId="26AE978B" w14:textId="77777777" w:rsidTr="00C80CE7">
        <w:trPr>
          <w:trHeight w:val="300"/>
        </w:trPr>
        <w:tc>
          <w:tcPr>
            <w:tcW w:w="1802" w:type="dxa"/>
            <w:noWrap/>
            <w:vAlign w:val="center"/>
            <w:hideMark/>
          </w:tcPr>
          <w:p w14:paraId="35A231C8" w14:textId="77777777" w:rsidR="005E6DC9" w:rsidRPr="005E6DC9" w:rsidRDefault="005E6DC9" w:rsidP="00C80CE7">
            <w:pPr>
              <w:rPr>
                <w:sz w:val="20"/>
                <w:szCs w:val="20"/>
              </w:rPr>
            </w:pPr>
            <w:r w:rsidRPr="005E6DC9">
              <w:rPr>
                <w:sz w:val="20"/>
                <w:szCs w:val="20"/>
              </w:rPr>
              <w:t>CODEINE</w:t>
            </w:r>
          </w:p>
        </w:tc>
        <w:tc>
          <w:tcPr>
            <w:tcW w:w="1134" w:type="dxa"/>
            <w:noWrap/>
            <w:vAlign w:val="center"/>
            <w:hideMark/>
          </w:tcPr>
          <w:p w14:paraId="2A5CA544" w14:textId="5E921998" w:rsidR="005E6DC9" w:rsidRPr="005E6DC9" w:rsidRDefault="005E6DC9" w:rsidP="00C80CE7">
            <w:pPr>
              <w:jc w:val="right"/>
              <w:rPr>
                <w:sz w:val="20"/>
                <w:szCs w:val="20"/>
              </w:rPr>
            </w:pPr>
            <w:r w:rsidRPr="005E6DC9">
              <w:rPr>
                <w:sz w:val="20"/>
                <w:szCs w:val="20"/>
              </w:rPr>
              <w:t>68</w:t>
            </w:r>
            <w:r>
              <w:rPr>
                <w:sz w:val="20"/>
                <w:szCs w:val="20"/>
              </w:rPr>
              <w:t>,</w:t>
            </w:r>
            <w:r w:rsidRPr="005E6DC9">
              <w:rPr>
                <w:sz w:val="20"/>
                <w:szCs w:val="20"/>
              </w:rPr>
              <w:t>496</w:t>
            </w:r>
          </w:p>
        </w:tc>
        <w:tc>
          <w:tcPr>
            <w:tcW w:w="1134" w:type="dxa"/>
            <w:noWrap/>
            <w:vAlign w:val="center"/>
            <w:hideMark/>
          </w:tcPr>
          <w:p w14:paraId="63D63E0F" w14:textId="663F5083" w:rsidR="005E6DC9" w:rsidRPr="005E6DC9" w:rsidRDefault="005E6DC9" w:rsidP="00C80CE7">
            <w:pPr>
              <w:jc w:val="right"/>
              <w:rPr>
                <w:sz w:val="20"/>
                <w:szCs w:val="20"/>
              </w:rPr>
            </w:pPr>
            <w:r w:rsidRPr="005E6DC9">
              <w:rPr>
                <w:sz w:val="20"/>
                <w:szCs w:val="20"/>
              </w:rPr>
              <w:t>63</w:t>
            </w:r>
            <w:r w:rsidR="00EF4455">
              <w:rPr>
                <w:sz w:val="20"/>
                <w:szCs w:val="20"/>
              </w:rPr>
              <w:t>,</w:t>
            </w:r>
            <w:r w:rsidRPr="005E6DC9">
              <w:rPr>
                <w:sz w:val="20"/>
                <w:szCs w:val="20"/>
              </w:rPr>
              <w:t>632</w:t>
            </w:r>
          </w:p>
          <w:p w14:paraId="3F3CF2DA" w14:textId="39B51605" w:rsidR="005E6DC9" w:rsidRPr="005E6DC9" w:rsidRDefault="005E6DC9" w:rsidP="00C80CE7">
            <w:pPr>
              <w:jc w:val="right"/>
              <w:rPr>
                <w:sz w:val="20"/>
                <w:szCs w:val="20"/>
              </w:rPr>
            </w:pPr>
            <w:r w:rsidRPr="005E6DC9">
              <w:rPr>
                <w:sz w:val="20"/>
                <w:szCs w:val="20"/>
              </w:rPr>
              <w:t>(-7.1</w:t>
            </w:r>
            <w:r w:rsidR="007E4823">
              <w:rPr>
                <w:sz w:val="20"/>
                <w:szCs w:val="20"/>
              </w:rPr>
              <w:t>0</w:t>
            </w:r>
            <w:r>
              <w:rPr>
                <w:sz w:val="20"/>
                <w:szCs w:val="20"/>
              </w:rPr>
              <w:t>%)</w:t>
            </w:r>
          </w:p>
        </w:tc>
        <w:tc>
          <w:tcPr>
            <w:tcW w:w="1134" w:type="dxa"/>
            <w:noWrap/>
            <w:vAlign w:val="center"/>
            <w:hideMark/>
          </w:tcPr>
          <w:p w14:paraId="7EBC8640" w14:textId="5CFC285B" w:rsidR="005E6DC9" w:rsidRPr="005E6DC9" w:rsidRDefault="005E6DC9" w:rsidP="00C80CE7">
            <w:pPr>
              <w:jc w:val="right"/>
              <w:rPr>
                <w:sz w:val="20"/>
                <w:szCs w:val="20"/>
              </w:rPr>
            </w:pPr>
            <w:r w:rsidRPr="005E6DC9">
              <w:rPr>
                <w:sz w:val="20"/>
                <w:szCs w:val="20"/>
              </w:rPr>
              <w:t>67</w:t>
            </w:r>
            <w:r w:rsidR="00EF4455">
              <w:rPr>
                <w:sz w:val="20"/>
                <w:szCs w:val="20"/>
              </w:rPr>
              <w:t>,</w:t>
            </w:r>
            <w:r w:rsidRPr="005E6DC9">
              <w:rPr>
                <w:sz w:val="20"/>
                <w:szCs w:val="20"/>
              </w:rPr>
              <w:t>100</w:t>
            </w:r>
          </w:p>
          <w:p w14:paraId="203D642C" w14:textId="1754D2F4" w:rsidR="005E6DC9" w:rsidRPr="005E6DC9" w:rsidRDefault="005E6DC9" w:rsidP="00C80CE7">
            <w:pPr>
              <w:jc w:val="right"/>
              <w:rPr>
                <w:sz w:val="20"/>
                <w:szCs w:val="20"/>
              </w:rPr>
            </w:pPr>
            <w:r w:rsidRPr="005E6DC9">
              <w:rPr>
                <w:sz w:val="20"/>
                <w:szCs w:val="20"/>
              </w:rPr>
              <w:t>(5.45</w:t>
            </w:r>
            <w:r>
              <w:rPr>
                <w:sz w:val="20"/>
                <w:szCs w:val="20"/>
              </w:rPr>
              <w:t>%)</w:t>
            </w:r>
          </w:p>
        </w:tc>
        <w:tc>
          <w:tcPr>
            <w:tcW w:w="1134" w:type="dxa"/>
            <w:noWrap/>
            <w:vAlign w:val="center"/>
            <w:hideMark/>
          </w:tcPr>
          <w:p w14:paraId="754C0081" w14:textId="5B5D66DF" w:rsidR="005E6DC9" w:rsidRPr="005E6DC9" w:rsidRDefault="005E6DC9" w:rsidP="00C80CE7">
            <w:pPr>
              <w:jc w:val="right"/>
              <w:rPr>
                <w:sz w:val="20"/>
                <w:szCs w:val="20"/>
              </w:rPr>
            </w:pPr>
            <w:r w:rsidRPr="005E6DC9">
              <w:rPr>
                <w:sz w:val="20"/>
                <w:szCs w:val="20"/>
              </w:rPr>
              <w:t>67</w:t>
            </w:r>
            <w:r w:rsidR="00EF4455">
              <w:rPr>
                <w:sz w:val="20"/>
                <w:szCs w:val="20"/>
              </w:rPr>
              <w:t>,</w:t>
            </w:r>
            <w:r w:rsidRPr="005E6DC9">
              <w:rPr>
                <w:sz w:val="20"/>
                <w:szCs w:val="20"/>
              </w:rPr>
              <w:t>372</w:t>
            </w:r>
          </w:p>
          <w:p w14:paraId="6E38B0B1" w14:textId="6B7DFD63" w:rsidR="005E6DC9" w:rsidRPr="005E6DC9" w:rsidRDefault="005E6DC9" w:rsidP="00C80CE7">
            <w:pPr>
              <w:jc w:val="right"/>
              <w:rPr>
                <w:sz w:val="20"/>
                <w:szCs w:val="20"/>
              </w:rPr>
            </w:pPr>
            <w:r w:rsidRPr="005E6DC9">
              <w:rPr>
                <w:sz w:val="20"/>
                <w:szCs w:val="20"/>
              </w:rPr>
              <w:t>(0.41</w:t>
            </w:r>
            <w:r>
              <w:rPr>
                <w:sz w:val="20"/>
                <w:szCs w:val="20"/>
              </w:rPr>
              <w:t>%)</w:t>
            </w:r>
          </w:p>
        </w:tc>
        <w:tc>
          <w:tcPr>
            <w:tcW w:w="1134" w:type="dxa"/>
            <w:noWrap/>
            <w:vAlign w:val="center"/>
            <w:hideMark/>
          </w:tcPr>
          <w:p w14:paraId="786E4F9B" w14:textId="29405A7F" w:rsidR="005E6DC9" w:rsidRPr="005E6DC9" w:rsidRDefault="005E6DC9" w:rsidP="00C80CE7">
            <w:pPr>
              <w:jc w:val="right"/>
              <w:rPr>
                <w:sz w:val="20"/>
                <w:szCs w:val="20"/>
              </w:rPr>
            </w:pPr>
            <w:r w:rsidRPr="005E6DC9">
              <w:rPr>
                <w:sz w:val="20"/>
                <w:szCs w:val="20"/>
              </w:rPr>
              <w:t>51</w:t>
            </w:r>
            <w:r w:rsidR="00EF4455">
              <w:rPr>
                <w:sz w:val="20"/>
                <w:szCs w:val="20"/>
              </w:rPr>
              <w:t>,</w:t>
            </w:r>
            <w:r w:rsidRPr="005E6DC9">
              <w:rPr>
                <w:sz w:val="20"/>
                <w:szCs w:val="20"/>
              </w:rPr>
              <w:t>118</w:t>
            </w:r>
          </w:p>
          <w:p w14:paraId="0FDF65CC" w14:textId="3EFCB095" w:rsidR="005E6DC9" w:rsidRPr="005E6DC9" w:rsidRDefault="005E6DC9" w:rsidP="00C80CE7">
            <w:pPr>
              <w:jc w:val="right"/>
              <w:rPr>
                <w:sz w:val="20"/>
                <w:szCs w:val="20"/>
              </w:rPr>
            </w:pPr>
            <w:r w:rsidRPr="005E6DC9">
              <w:rPr>
                <w:sz w:val="20"/>
                <w:szCs w:val="20"/>
              </w:rPr>
              <w:t>(-24.13</w:t>
            </w:r>
            <w:r>
              <w:rPr>
                <w:sz w:val="20"/>
                <w:szCs w:val="20"/>
              </w:rPr>
              <w:t>%)</w:t>
            </w:r>
          </w:p>
        </w:tc>
        <w:tc>
          <w:tcPr>
            <w:tcW w:w="1134" w:type="dxa"/>
            <w:noWrap/>
            <w:vAlign w:val="center"/>
            <w:hideMark/>
          </w:tcPr>
          <w:p w14:paraId="455C28CA" w14:textId="78F9BAB8" w:rsidR="005E6DC9" w:rsidRPr="005E6DC9" w:rsidRDefault="005E6DC9" w:rsidP="00C80CE7">
            <w:pPr>
              <w:jc w:val="right"/>
              <w:rPr>
                <w:sz w:val="20"/>
                <w:szCs w:val="20"/>
              </w:rPr>
            </w:pPr>
            <w:r w:rsidRPr="005E6DC9">
              <w:rPr>
                <w:sz w:val="20"/>
                <w:szCs w:val="20"/>
              </w:rPr>
              <w:t>54</w:t>
            </w:r>
            <w:r w:rsidR="00EF4455">
              <w:rPr>
                <w:sz w:val="20"/>
                <w:szCs w:val="20"/>
              </w:rPr>
              <w:t>,</w:t>
            </w:r>
            <w:r w:rsidRPr="005E6DC9">
              <w:rPr>
                <w:sz w:val="20"/>
                <w:szCs w:val="20"/>
              </w:rPr>
              <w:t>356</w:t>
            </w:r>
          </w:p>
          <w:p w14:paraId="08510161" w14:textId="02A71D24" w:rsidR="005E6DC9" w:rsidRPr="005E6DC9" w:rsidRDefault="005E6DC9" w:rsidP="00C80CE7">
            <w:pPr>
              <w:jc w:val="right"/>
              <w:rPr>
                <w:sz w:val="20"/>
                <w:szCs w:val="20"/>
              </w:rPr>
            </w:pPr>
            <w:r w:rsidRPr="005E6DC9">
              <w:rPr>
                <w:sz w:val="20"/>
                <w:szCs w:val="20"/>
              </w:rPr>
              <w:t>(6.33</w:t>
            </w:r>
            <w:r>
              <w:rPr>
                <w:sz w:val="20"/>
                <w:szCs w:val="20"/>
              </w:rPr>
              <w:t>%)</w:t>
            </w:r>
          </w:p>
        </w:tc>
      </w:tr>
      <w:tr w:rsidR="005E6DC9" w:rsidRPr="005E6DC9" w14:paraId="58EB3A44" w14:textId="77777777" w:rsidTr="00C80CE7">
        <w:trPr>
          <w:trHeight w:val="300"/>
        </w:trPr>
        <w:tc>
          <w:tcPr>
            <w:tcW w:w="1802" w:type="dxa"/>
            <w:noWrap/>
            <w:vAlign w:val="center"/>
            <w:hideMark/>
          </w:tcPr>
          <w:p w14:paraId="12F876E8" w14:textId="77777777" w:rsidR="005E6DC9" w:rsidRPr="005E6DC9" w:rsidRDefault="005E6DC9" w:rsidP="00C80CE7">
            <w:pPr>
              <w:rPr>
                <w:sz w:val="20"/>
                <w:szCs w:val="20"/>
              </w:rPr>
            </w:pPr>
            <w:r w:rsidRPr="005E6DC9">
              <w:rPr>
                <w:sz w:val="20"/>
                <w:szCs w:val="20"/>
              </w:rPr>
              <w:t>FENTANYL</w:t>
            </w:r>
          </w:p>
        </w:tc>
        <w:tc>
          <w:tcPr>
            <w:tcW w:w="1134" w:type="dxa"/>
            <w:noWrap/>
            <w:vAlign w:val="center"/>
            <w:hideMark/>
          </w:tcPr>
          <w:p w14:paraId="60F659BA" w14:textId="25ECD694" w:rsidR="005E6DC9" w:rsidRPr="005E6DC9" w:rsidRDefault="005E6DC9" w:rsidP="00C80CE7">
            <w:pPr>
              <w:jc w:val="right"/>
              <w:rPr>
                <w:sz w:val="20"/>
                <w:szCs w:val="20"/>
              </w:rPr>
            </w:pPr>
            <w:r w:rsidRPr="005E6DC9">
              <w:rPr>
                <w:sz w:val="20"/>
                <w:szCs w:val="20"/>
              </w:rPr>
              <w:t>604</w:t>
            </w:r>
            <w:r>
              <w:rPr>
                <w:sz w:val="20"/>
                <w:szCs w:val="20"/>
              </w:rPr>
              <w:t>,</w:t>
            </w:r>
            <w:r w:rsidRPr="005E6DC9">
              <w:rPr>
                <w:sz w:val="20"/>
                <w:szCs w:val="20"/>
              </w:rPr>
              <w:t>910</w:t>
            </w:r>
          </w:p>
        </w:tc>
        <w:tc>
          <w:tcPr>
            <w:tcW w:w="1134" w:type="dxa"/>
            <w:noWrap/>
            <w:vAlign w:val="center"/>
            <w:hideMark/>
          </w:tcPr>
          <w:p w14:paraId="361AB471" w14:textId="6777492E" w:rsidR="005E6DC9" w:rsidRPr="005E6DC9" w:rsidRDefault="005E6DC9" w:rsidP="00C80CE7">
            <w:pPr>
              <w:jc w:val="right"/>
              <w:rPr>
                <w:sz w:val="20"/>
                <w:szCs w:val="20"/>
              </w:rPr>
            </w:pPr>
            <w:r w:rsidRPr="005E6DC9">
              <w:rPr>
                <w:sz w:val="20"/>
                <w:szCs w:val="20"/>
              </w:rPr>
              <w:t>543</w:t>
            </w:r>
            <w:r w:rsidR="00EF4455">
              <w:rPr>
                <w:sz w:val="20"/>
                <w:szCs w:val="20"/>
              </w:rPr>
              <w:t>,</w:t>
            </w:r>
            <w:r w:rsidRPr="005E6DC9">
              <w:rPr>
                <w:sz w:val="20"/>
                <w:szCs w:val="20"/>
              </w:rPr>
              <w:t>196</w:t>
            </w:r>
          </w:p>
          <w:p w14:paraId="65DD1E4B" w14:textId="36E3ED48" w:rsidR="005E6DC9" w:rsidRPr="005E6DC9" w:rsidRDefault="005E6DC9" w:rsidP="00C80CE7">
            <w:pPr>
              <w:jc w:val="right"/>
              <w:rPr>
                <w:sz w:val="20"/>
                <w:szCs w:val="20"/>
              </w:rPr>
            </w:pPr>
            <w:r w:rsidRPr="005E6DC9">
              <w:rPr>
                <w:sz w:val="20"/>
                <w:szCs w:val="20"/>
              </w:rPr>
              <w:t>(-10.2</w:t>
            </w:r>
            <w:r>
              <w:rPr>
                <w:sz w:val="20"/>
                <w:szCs w:val="20"/>
              </w:rPr>
              <w:t>%)</w:t>
            </w:r>
          </w:p>
        </w:tc>
        <w:tc>
          <w:tcPr>
            <w:tcW w:w="1134" w:type="dxa"/>
            <w:noWrap/>
            <w:vAlign w:val="center"/>
            <w:hideMark/>
          </w:tcPr>
          <w:p w14:paraId="5DA0431A" w14:textId="50A51083" w:rsidR="005E6DC9" w:rsidRPr="005E6DC9" w:rsidRDefault="005E6DC9" w:rsidP="00C80CE7">
            <w:pPr>
              <w:jc w:val="right"/>
              <w:rPr>
                <w:sz w:val="20"/>
                <w:szCs w:val="20"/>
              </w:rPr>
            </w:pPr>
            <w:r w:rsidRPr="005E6DC9">
              <w:rPr>
                <w:sz w:val="20"/>
                <w:szCs w:val="20"/>
              </w:rPr>
              <w:t>456</w:t>
            </w:r>
            <w:r w:rsidR="00EF4455">
              <w:rPr>
                <w:sz w:val="20"/>
                <w:szCs w:val="20"/>
              </w:rPr>
              <w:t>,</w:t>
            </w:r>
            <w:r w:rsidRPr="005E6DC9">
              <w:rPr>
                <w:sz w:val="20"/>
                <w:szCs w:val="20"/>
              </w:rPr>
              <w:t>579</w:t>
            </w:r>
          </w:p>
          <w:p w14:paraId="6EE00866" w14:textId="253D0794" w:rsidR="005E6DC9" w:rsidRPr="005E6DC9" w:rsidRDefault="005E6DC9" w:rsidP="00C80CE7">
            <w:pPr>
              <w:jc w:val="right"/>
              <w:rPr>
                <w:sz w:val="20"/>
                <w:szCs w:val="20"/>
              </w:rPr>
            </w:pPr>
            <w:r w:rsidRPr="005E6DC9">
              <w:rPr>
                <w:sz w:val="20"/>
                <w:szCs w:val="20"/>
              </w:rPr>
              <w:t>(-15.95</w:t>
            </w:r>
            <w:r>
              <w:rPr>
                <w:sz w:val="20"/>
                <w:szCs w:val="20"/>
              </w:rPr>
              <w:t>%)</w:t>
            </w:r>
          </w:p>
        </w:tc>
        <w:tc>
          <w:tcPr>
            <w:tcW w:w="1134" w:type="dxa"/>
            <w:noWrap/>
            <w:vAlign w:val="center"/>
            <w:hideMark/>
          </w:tcPr>
          <w:p w14:paraId="42678B6D" w14:textId="26009386" w:rsidR="005E6DC9" w:rsidRPr="005E6DC9" w:rsidRDefault="005E6DC9" w:rsidP="00C80CE7">
            <w:pPr>
              <w:jc w:val="right"/>
              <w:rPr>
                <w:sz w:val="20"/>
                <w:szCs w:val="20"/>
              </w:rPr>
            </w:pPr>
            <w:r w:rsidRPr="005E6DC9">
              <w:rPr>
                <w:sz w:val="20"/>
                <w:szCs w:val="20"/>
              </w:rPr>
              <w:t>375</w:t>
            </w:r>
            <w:r w:rsidR="00EF4455">
              <w:rPr>
                <w:sz w:val="20"/>
                <w:szCs w:val="20"/>
              </w:rPr>
              <w:t>,</w:t>
            </w:r>
            <w:r w:rsidRPr="005E6DC9">
              <w:rPr>
                <w:sz w:val="20"/>
                <w:szCs w:val="20"/>
              </w:rPr>
              <w:t>352</w:t>
            </w:r>
          </w:p>
          <w:p w14:paraId="23AF1323" w14:textId="2DF4765F" w:rsidR="005E6DC9" w:rsidRPr="005E6DC9" w:rsidRDefault="005E6DC9" w:rsidP="00C80CE7">
            <w:pPr>
              <w:jc w:val="right"/>
              <w:rPr>
                <w:sz w:val="20"/>
                <w:szCs w:val="20"/>
              </w:rPr>
            </w:pPr>
            <w:r w:rsidRPr="005E6DC9">
              <w:rPr>
                <w:sz w:val="20"/>
                <w:szCs w:val="20"/>
              </w:rPr>
              <w:t>(-17.79</w:t>
            </w:r>
            <w:r>
              <w:rPr>
                <w:sz w:val="20"/>
                <w:szCs w:val="20"/>
              </w:rPr>
              <w:t>%)</w:t>
            </w:r>
          </w:p>
        </w:tc>
        <w:tc>
          <w:tcPr>
            <w:tcW w:w="1134" w:type="dxa"/>
            <w:noWrap/>
            <w:vAlign w:val="center"/>
            <w:hideMark/>
          </w:tcPr>
          <w:p w14:paraId="148885C2" w14:textId="7F283EA9" w:rsidR="005E6DC9" w:rsidRPr="005E6DC9" w:rsidRDefault="005E6DC9" w:rsidP="00C80CE7">
            <w:pPr>
              <w:jc w:val="right"/>
              <w:rPr>
                <w:sz w:val="20"/>
                <w:szCs w:val="20"/>
              </w:rPr>
            </w:pPr>
            <w:r w:rsidRPr="005E6DC9">
              <w:rPr>
                <w:sz w:val="20"/>
                <w:szCs w:val="20"/>
              </w:rPr>
              <w:t>310</w:t>
            </w:r>
            <w:r w:rsidR="00EF4455">
              <w:rPr>
                <w:sz w:val="20"/>
                <w:szCs w:val="20"/>
              </w:rPr>
              <w:t>,</w:t>
            </w:r>
            <w:r w:rsidRPr="005E6DC9">
              <w:rPr>
                <w:sz w:val="20"/>
                <w:szCs w:val="20"/>
              </w:rPr>
              <w:t>915</w:t>
            </w:r>
          </w:p>
          <w:p w14:paraId="0E7DF6B7" w14:textId="0F4D4006" w:rsidR="005E6DC9" w:rsidRPr="005E6DC9" w:rsidRDefault="005E6DC9" w:rsidP="00C80CE7">
            <w:pPr>
              <w:jc w:val="right"/>
              <w:rPr>
                <w:sz w:val="20"/>
                <w:szCs w:val="20"/>
              </w:rPr>
            </w:pPr>
            <w:r w:rsidRPr="005E6DC9">
              <w:rPr>
                <w:sz w:val="20"/>
                <w:szCs w:val="20"/>
              </w:rPr>
              <w:t>(-17.17</w:t>
            </w:r>
            <w:r>
              <w:rPr>
                <w:sz w:val="20"/>
                <w:szCs w:val="20"/>
              </w:rPr>
              <w:t>%)</w:t>
            </w:r>
          </w:p>
        </w:tc>
        <w:tc>
          <w:tcPr>
            <w:tcW w:w="1134" w:type="dxa"/>
            <w:noWrap/>
            <w:vAlign w:val="center"/>
            <w:hideMark/>
          </w:tcPr>
          <w:p w14:paraId="5205D46A" w14:textId="45F8E86F" w:rsidR="005E6DC9" w:rsidRPr="005E6DC9" w:rsidRDefault="005E6DC9" w:rsidP="00C80CE7">
            <w:pPr>
              <w:jc w:val="right"/>
              <w:rPr>
                <w:sz w:val="20"/>
                <w:szCs w:val="20"/>
              </w:rPr>
            </w:pPr>
            <w:r w:rsidRPr="005E6DC9">
              <w:rPr>
                <w:sz w:val="20"/>
                <w:szCs w:val="20"/>
              </w:rPr>
              <w:t>262</w:t>
            </w:r>
            <w:r w:rsidR="00EF4455">
              <w:rPr>
                <w:sz w:val="20"/>
                <w:szCs w:val="20"/>
              </w:rPr>
              <w:t>,</w:t>
            </w:r>
            <w:r w:rsidRPr="005E6DC9">
              <w:rPr>
                <w:sz w:val="20"/>
                <w:szCs w:val="20"/>
              </w:rPr>
              <w:t>045</w:t>
            </w:r>
          </w:p>
          <w:p w14:paraId="116E8B85" w14:textId="3F2CB9C8" w:rsidR="005E6DC9" w:rsidRPr="005E6DC9" w:rsidRDefault="005E6DC9" w:rsidP="00C80CE7">
            <w:pPr>
              <w:jc w:val="right"/>
              <w:rPr>
                <w:sz w:val="20"/>
                <w:szCs w:val="20"/>
              </w:rPr>
            </w:pPr>
            <w:r w:rsidRPr="005E6DC9">
              <w:rPr>
                <w:sz w:val="20"/>
                <w:szCs w:val="20"/>
              </w:rPr>
              <w:t>(-15.72</w:t>
            </w:r>
            <w:r>
              <w:rPr>
                <w:sz w:val="20"/>
                <w:szCs w:val="20"/>
              </w:rPr>
              <w:t>%)</w:t>
            </w:r>
          </w:p>
        </w:tc>
      </w:tr>
      <w:tr w:rsidR="005E6DC9" w:rsidRPr="005E6DC9" w14:paraId="1489DF5B" w14:textId="77777777" w:rsidTr="00C80CE7">
        <w:trPr>
          <w:trHeight w:val="300"/>
        </w:trPr>
        <w:tc>
          <w:tcPr>
            <w:tcW w:w="1802" w:type="dxa"/>
            <w:noWrap/>
            <w:vAlign w:val="center"/>
            <w:hideMark/>
          </w:tcPr>
          <w:p w14:paraId="53273172" w14:textId="77777777" w:rsidR="005E6DC9" w:rsidRPr="005E6DC9" w:rsidRDefault="005E6DC9" w:rsidP="00C80CE7">
            <w:pPr>
              <w:rPr>
                <w:sz w:val="20"/>
                <w:szCs w:val="20"/>
              </w:rPr>
            </w:pPr>
            <w:r w:rsidRPr="005E6DC9">
              <w:rPr>
                <w:sz w:val="20"/>
                <w:szCs w:val="20"/>
              </w:rPr>
              <w:t>GABAPENTIN</w:t>
            </w:r>
          </w:p>
        </w:tc>
        <w:tc>
          <w:tcPr>
            <w:tcW w:w="1134" w:type="dxa"/>
            <w:noWrap/>
            <w:vAlign w:val="center"/>
            <w:hideMark/>
          </w:tcPr>
          <w:p w14:paraId="21A0CE17" w14:textId="09F0B6FF" w:rsidR="005E6DC9" w:rsidRPr="005E6DC9" w:rsidRDefault="005E6DC9" w:rsidP="00C80CE7">
            <w:pPr>
              <w:jc w:val="right"/>
              <w:rPr>
                <w:sz w:val="20"/>
                <w:szCs w:val="20"/>
              </w:rPr>
            </w:pPr>
            <w:r w:rsidRPr="005E6DC9">
              <w:rPr>
                <w:sz w:val="20"/>
                <w:szCs w:val="20"/>
              </w:rPr>
              <w:t>5</w:t>
            </w:r>
            <w:r>
              <w:rPr>
                <w:sz w:val="20"/>
                <w:szCs w:val="20"/>
              </w:rPr>
              <w:t>,</w:t>
            </w:r>
            <w:r w:rsidRPr="005E6DC9">
              <w:rPr>
                <w:sz w:val="20"/>
                <w:szCs w:val="20"/>
              </w:rPr>
              <w:t>516</w:t>
            </w:r>
          </w:p>
        </w:tc>
        <w:tc>
          <w:tcPr>
            <w:tcW w:w="1134" w:type="dxa"/>
            <w:noWrap/>
            <w:vAlign w:val="center"/>
            <w:hideMark/>
          </w:tcPr>
          <w:p w14:paraId="19252106" w14:textId="24DC79AE"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877</w:t>
            </w:r>
          </w:p>
          <w:p w14:paraId="310EFC82" w14:textId="7AC30259" w:rsidR="005E6DC9" w:rsidRPr="005E6DC9" w:rsidRDefault="005E6DC9" w:rsidP="00C80CE7">
            <w:pPr>
              <w:jc w:val="right"/>
              <w:rPr>
                <w:sz w:val="20"/>
                <w:szCs w:val="20"/>
              </w:rPr>
            </w:pPr>
            <w:r w:rsidRPr="005E6DC9">
              <w:rPr>
                <w:sz w:val="20"/>
                <w:szCs w:val="20"/>
              </w:rPr>
              <w:t>(-29.71</w:t>
            </w:r>
            <w:r>
              <w:rPr>
                <w:sz w:val="20"/>
                <w:szCs w:val="20"/>
              </w:rPr>
              <w:t>%)</w:t>
            </w:r>
          </w:p>
        </w:tc>
        <w:tc>
          <w:tcPr>
            <w:tcW w:w="1134" w:type="dxa"/>
            <w:noWrap/>
            <w:vAlign w:val="center"/>
            <w:hideMark/>
          </w:tcPr>
          <w:p w14:paraId="3B64704A" w14:textId="5F8BCE11"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366</w:t>
            </w:r>
          </w:p>
          <w:p w14:paraId="26F9CAE3" w14:textId="35BF8CEF" w:rsidR="005E6DC9" w:rsidRPr="005E6DC9" w:rsidRDefault="005E6DC9" w:rsidP="00C80CE7">
            <w:pPr>
              <w:jc w:val="right"/>
              <w:rPr>
                <w:sz w:val="20"/>
                <w:szCs w:val="20"/>
              </w:rPr>
            </w:pPr>
            <w:r w:rsidRPr="005E6DC9">
              <w:rPr>
                <w:sz w:val="20"/>
                <w:szCs w:val="20"/>
              </w:rPr>
              <w:t>(-13.18</w:t>
            </w:r>
            <w:r>
              <w:rPr>
                <w:sz w:val="20"/>
                <w:szCs w:val="20"/>
              </w:rPr>
              <w:t>%)</w:t>
            </w:r>
          </w:p>
        </w:tc>
        <w:tc>
          <w:tcPr>
            <w:tcW w:w="1134" w:type="dxa"/>
            <w:noWrap/>
            <w:vAlign w:val="center"/>
            <w:hideMark/>
          </w:tcPr>
          <w:p w14:paraId="57298059" w14:textId="116D5113"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529</w:t>
            </w:r>
          </w:p>
          <w:p w14:paraId="57E94120" w14:textId="462D20CD" w:rsidR="005E6DC9" w:rsidRPr="005E6DC9" w:rsidRDefault="005E6DC9" w:rsidP="00C80CE7">
            <w:pPr>
              <w:jc w:val="right"/>
              <w:rPr>
                <w:sz w:val="20"/>
                <w:szCs w:val="20"/>
              </w:rPr>
            </w:pPr>
            <w:r w:rsidRPr="005E6DC9">
              <w:rPr>
                <w:sz w:val="20"/>
                <w:szCs w:val="20"/>
              </w:rPr>
              <w:t>(4.84</w:t>
            </w:r>
            <w:r>
              <w:rPr>
                <w:sz w:val="20"/>
                <w:szCs w:val="20"/>
              </w:rPr>
              <w:t>%)</w:t>
            </w:r>
          </w:p>
        </w:tc>
        <w:tc>
          <w:tcPr>
            <w:tcW w:w="1134" w:type="dxa"/>
            <w:noWrap/>
            <w:vAlign w:val="center"/>
            <w:hideMark/>
          </w:tcPr>
          <w:p w14:paraId="68C3E58D" w14:textId="29CBF2C9"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182</w:t>
            </w:r>
          </w:p>
          <w:p w14:paraId="2A746096" w14:textId="6E07A6BD" w:rsidR="005E6DC9" w:rsidRPr="005E6DC9" w:rsidRDefault="005E6DC9" w:rsidP="00C80CE7">
            <w:pPr>
              <w:jc w:val="right"/>
              <w:rPr>
                <w:sz w:val="20"/>
                <w:szCs w:val="20"/>
              </w:rPr>
            </w:pPr>
            <w:r w:rsidRPr="005E6DC9">
              <w:rPr>
                <w:sz w:val="20"/>
                <w:szCs w:val="20"/>
              </w:rPr>
              <w:t>(18.5</w:t>
            </w:r>
            <w:r w:rsidR="007E4823">
              <w:rPr>
                <w:sz w:val="20"/>
                <w:szCs w:val="20"/>
              </w:rPr>
              <w:t>0</w:t>
            </w:r>
            <w:r>
              <w:rPr>
                <w:sz w:val="20"/>
                <w:szCs w:val="20"/>
              </w:rPr>
              <w:t>%)</w:t>
            </w:r>
          </w:p>
        </w:tc>
        <w:tc>
          <w:tcPr>
            <w:tcW w:w="1134" w:type="dxa"/>
            <w:noWrap/>
            <w:vAlign w:val="center"/>
            <w:hideMark/>
          </w:tcPr>
          <w:p w14:paraId="4390F98C" w14:textId="102DDB4B"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878</w:t>
            </w:r>
          </w:p>
          <w:p w14:paraId="4DAA2CEA" w14:textId="6EFA92B8" w:rsidR="005E6DC9" w:rsidRPr="005E6DC9" w:rsidRDefault="005E6DC9" w:rsidP="00C80CE7">
            <w:pPr>
              <w:jc w:val="right"/>
              <w:rPr>
                <w:sz w:val="20"/>
                <w:szCs w:val="20"/>
              </w:rPr>
            </w:pPr>
            <w:r w:rsidRPr="005E6DC9">
              <w:rPr>
                <w:sz w:val="20"/>
                <w:szCs w:val="20"/>
              </w:rPr>
              <w:t>(-7.27</w:t>
            </w:r>
            <w:r>
              <w:rPr>
                <w:sz w:val="20"/>
                <w:szCs w:val="20"/>
              </w:rPr>
              <w:t>%)</w:t>
            </w:r>
          </w:p>
        </w:tc>
      </w:tr>
      <w:tr w:rsidR="005E6DC9" w:rsidRPr="005E6DC9" w14:paraId="37B3471D" w14:textId="77777777" w:rsidTr="00C80CE7">
        <w:trPr>
          <w:trHeight w:val="300"/>
        </w:trPr>
        <w:tc>
          <w:tcPr>
            <w:tcW w:w="1802" w:type="dxa"/>
            <w:noWrap/>
            <w:vAlign w:val="center"/>
            <w:hideMark/>
          </w:tcPr>
          <w:p w14:paraId="084A7171" w14:textId="77777777" w:rsidR="005E6DC9" w:rsidRPr="005E6DC9" w:rsidRDefault="005E6DC9" w:rsidP="00C80CE7">
            <w:pPr>
              <w:rPr>
                <w:sz w:val="20"/>
                <w:szCs w:val="20"/>
              </w:rPr>
            </w:pPr>
            <w:r w:rsidRPr="005E6DC9">
              <w:rPr>
                <w:sz w:val="20"/>
                <w:szCs w:val="20"/>
              </w:rPr>
              <w:t>HYDROMORPHONE</w:t>
            </w:r>
          </w:p>
        </w:tc>
        <w:tc>
          <w:tcPr>
            <w:tcW w:w="1134" w:type="dxa"/>
            <w:noWrap/>
            <w:vAlign w:val="center"/>
            <w:hideMark/>
          </w:tcPr>
          <w:p w14:paraId="2AEEA530" w14:textId="72A91632" w:rsidR="005E6DC9" w:rsidRPr="005E6DC9" w:rsidRDefault="005E6DC9" w:rsidP="00C80CE7">
            <w:pPr>
              <w:jc w:val="right"/>
              <w:rPr>
                <w:sz w:val="20"/>
                <w:szCs w:val="20"/>
              </w:rPr>
            </w:pPr>
            <w:r w:rsidRPr="005E6DC9">
              <w:rPr>
                <w:sz w:val="20"/>
                <w:szCs w:val="20"/>
              </w:rPr>
              <w:t>167</w:t>
            </w:r>
            <w:r>
              <w:rPr>
                <w:sz w:val="20"/>
                <w:szCs w:val="20"/>
              </w:rPr>
              <w:t>,</w:t>
            </w:r>
            <w:r w:rsidRPr="005E6DC9">
              <w:rPr>
                <w:sz w:val="20"/>
                <w:szCs w:val="20"/>
              </w:rPr>
              <w:t>472</w:t>
            </w:r>
          </w:p>
        </w:tc>
        <w:tc>
          <w:tcPr>
            <w:tcW w:w="1134" w:type="dxa"/>
            <w:noWrap/>
            <w:vAlign w:val="center"/>
            <w:hideMark/>
          </w:tcPr>
          <w:p w14:paraId="56C8F2C0" w14:textId="61E3B4BC" w:rsidR="005E6DC9" w:rsidRPr="005E6DC9" w:rsidRDefault="005E6DC9" w:rsidP="00C80CE7">
            <w:pPr>
              <w:jc w:val="right"/>
              <w:rPr>
                <w:sz w:val="20"/>
                <w:szCs w:val="20"/>
              </w:rPr>
            </w:pPr>
            <w:r w:rsidRPr="005E6DC9">
              <w:rPr>
                <w:sz w:val="20"/>
                <w:szCs w:val="20"/>
              </w:rPr>
              <w:t>165</w:t>
            </w:r>
            <w:r w:rsidR="00EF4455">
              <w:rPr>
                <w:sz w:val="20"/>
                <w:szCs w:val="20"/>
              </w:rPr>
              <w:t>,</w:t>
            </w:r>
            <w:r w:rsidRPr="005E6DC9">
              <w:rPr>
                <w:sz w:val="20"/>
                <w:szCs w:val="20"/>
              </w:rPr>
              <w:t>512</w:t>
            </w:r>
          </w:p>
          <w:p w14:paraId="2043F190" w14:textId="09B22EBD" w:rsidR="005E6DC9" w:rsidRPr="005E6DC9" w:rsidRDefault="005E6DC9" w:rsidP="00C80CE7">
            <w:pPr>
              <w:jc w:val="right"/>
              <w:rPr>
                <w:sz w:val="20"/>
                <w:szCs w:val="20"/>
              </w:rPr>
            </w:pPr>
            <w:r w:rsidRPr="005E6DC9">
              <w:rPr>
                <w:sz w:val="20"/>
                <w:szCs w:val="20"/>
              </w:rPr>
              <w:t>(-1.17</w:t>
            </w:r>
            <w:r>
              <w:rPr>
                <w:sz w:val="20"/>
                <w:szCs w:val="20"/>
              </w:rPr>
              <w:t>%)</w:t>
            </w:r>
          </w:p>
        </w:tc>
        <w:tc>
          <w:tcPr>
            <w:tcW w:w="1134" w:type="dxa"/>
            <w:noWrap/>
            <w:vAlign w:val="center"/>
            <w:hideMark/>
          </w:tcPr>
          <w:p w14:paraId="363795E7" w14:textId="2D34D994" w:rsidR="005E6DC9" w:rsidRPr="005E6DC9" w:rsidRDefault="005E6DC9" w:rsidP="00C80CE7">
            <w:pPr>
              <w:jc w:val="right"/>
              <w:rPr>
                <w:sz w:val="20"/>
                <w:szCs w:val="20"/>
              </w:rPr>
            </w:pPr>
            <w:r w:rsidRPr="005E6DC9">
              <w:rPr>
                <w:sz w:val="20"/>
                <w:szCs w:val="20"/>
              </w:rPr>
              <w:t>163</w:t>
            </w:r>
            <w:r w:rsidR="00EF4455">
              <w:rPr>
                <w:sz w:val="20"/>
                <w:szCs w:val="20"/>
              </w:rPr>
              <w:t>,</w:t>
            </w:r>
            <w:r w:rsidRPr="005E6DC9">
              <w:rPr>
                <w:sz w:val="20"/>
                <w:szCs w:val="20"/>
              </w:rPr>
              <w:t>464</w:t>
            </w:r>
          </w:p>
          <w:p w14:paraId="6996F3F5" w14:textId="0A887E97" w:rsidR="005E6DC9" w:rsidRPr="005E6DC9" w:rsidRDefault="005E6DC9" w:rsidP="00C80CE7">
            <w:pPr>
              <w:jc w:val="right"/>
              <w:rPr>
                <w:sz w:val="20"/>
                <w:szCs w:val="20"/>
              </w:rPr>
            </w:pPr>
            <w:r w:rsidRPr="005E6DC9">
              <w:rPr>
                <w:sz w:val="20"/>
                <w:szCs w:val="20"/>
              </w:rPr>
              <w:t>(-1.24</w:t>
            </w:r>
            <w:r>
              <w:rPr>
                <w:sz w:val="20"/>
                <w:szCs w:val="20"/>
              </w:rPr>
              <w:t>%)</w:t>
            </w:r>
          </w:p>
        </w:tc>
        <w:tc>
          <w:tcPr>
            <w:tcW w:w="1134" w:type="dxa"/>
            <w:noWrap/>
            <w:vAlign w:val="center"/>
            <w:hideMark/>
          </w:tcPr>
          <w:p w14:paraId="4D131802" w14:textId="0B837851" w:rsidR="005E6DC9" w:rsidRPr="005E6DC9" w:rsidRDefault="005E6DC9" w:rsidP="00C80CE7">
            <w:pPr>
              <w:jc w:val="right"/>
              <w:rPr>
                <w:sz w:val="20"/>
                <w:szCs w:val="20"/>
              </w:rPr>
            </w:pPr>
            <w:r w:rsidRPr="005E6DC9">
              <w:rPr>
                <w:sz w:val="20"/>
                <w:szCs w:val="20"/>
              </w:rPr>
              <w:t>161</w:t>
            </w:r>
            <w:r w:rsidR="00EF4455">
              <w:rPr>
                <w:sz w:val="20"/>
                <w:szCs w:val="20"/>
              </w:rPr>
              <w:t>,</w:t>
            </w:r>
            <w:r w:rsidRPr="005E6DC9">
              <w:rPr>
                <w:sz w:val="20"/>
                <w:szCs w:val="20"/>
              </w:rPr>
              <w:t>088</w:t>
            </w:r>
          </w:p>
          <w:p w14:paraId="5F19E541" w14:textId="4086ECD6" w:rsidR="005E6DC9" w:rsidRPr="005E6DC9" w:rsidRDefault="005E6DC9" w:rsidP="00C80CE7">
            <w:pPr>
              <w:jc w:val="right"/>
              <w:rPr>
                <w:sz w:val="20"/>
                <w:szCs w:val="20"/>
              </w:rPr>
            </w:pPr>
            <w:r w:rsidRPr="005E6DC9">
              <w:rPr>
                <w:sz w:val="20"/>
                <w:szCs w:val="20"/>
              </w:rPr>
              <w:t>(-1.45</w:t>
            </w:r>
            <w:r>
              <w:rPr>
                <w:sz w:val="20"/>
                <w:szCs w:val="20"/>
              </w:rPr>
              <w:t>%)</w:t>
            </w:r>
          </w:p>
        </w:tc>
        <w:tc>
          <w:tcPr>
            <w:tcW w:w="1134" w:type="dxa"/>
            <w:noWrap/>
            <w:vAlign w:val="center"/>
            <w:hideMark/>
          </w:tcPr>
          <w:p w14:paraId="6A6DCDE0" w14:textId="373F1E8A" w:rsidR="005E6DC9" w:rsidRPr="005E6DC9" w:rsidRDefault="005E6DC9" w:rsidP="00C80CE7">
            <w:pPr>
              <w:jc w:val="right"/>
              <w:rPr>
                <w:sz w:val="20"/>
                <w:szCs w:val="20"/>
              </w:rPr>
            </w:pPr>
            <w:r w:rsidRPr="005E6DC9">
              <w:rPr>
                <w:sz w:val="20"/>
                <w:szCs w:val="20"/>
              </w:rPr>
              <w:t>165</w:t>
            </w:r>
            <w:r w:rsidR="00EF4455">
              <w:rPr>
                <w:sz w:val="20"/>
                <w:szCs w:val="20"/>
              </w:rPr>
              <w:t>,</w:t>
            </w:r>
            <w:r w:rsidRPr="005E6DC9">
              <w:rPr>
                <w:sz w:val="20"/>
                <w:szCs w:val="20"/>
              </w:rPr>
              <w:t>279</w:t>
            </w:r>
          </w:p>
          <w:p w14:paraId="7F7CD3FD" w14:textId="36949925" w:rsidR="005E6DC9" w:rsidRPr="005E6DC9" w:rsidRDefault="005E6DC9" w:rsidP="00C80CE7">
            <w:pPr>
              <w:jc w:val="right"/>
              <w:rPr>
                <w:sz w:val="20"/>
                <w:szCs w:val="20"/>
              </w:rPr>
            </w:pPr>
            <w:r w:rsidRPr="005E6DC9">
              <w:rPr>
                <w:sz w:val="20"/>
                <w:szCs w:val="20"/>
              </w:rPr>
              <w:t>(2.6</w:t>
            </w:r>
            <w:r w:rsidR="007E4823">
              <w:rPr>
                <w:sz w:val="20"/>
                <w:szCs w:val="20"/>
              </w:rPr>
              <w:t>0</w:t>
            </w:r>
            <w:r>
              <w:rPr>
                <w:sz w:val="20"/>
                <w:szCs w:val="20"/>
              </w:rPr>
              <w:t>%)</w:t>
            </w:r>
          </w:p>
        </w:tc>
        <w:tc>
          <w:tcPr>
            <w:tcW w:w="1134" w:type="dxa"/>
            <w:noWrap/>
            <w:vAlign w:val="center"/>
            <w:hideMark/>
          </w:tcPr>
          <w:p w14:paraId="7662359C" w14:textId="3934BCE3" w:rsidR="005E6DC9" w:rsidRPr="005E6DC9" w:rsidRDefault="005E6DC9" w:rsidP="00C80CE7">
            <w:pPr>
              <w:jc w:val="right"/>
              <w:rPr>
                <w:sz w:val="20"/>
                <w:szCs w:val="20"/>
              </w:rPr>
            </w:pPr>
            <w:r w:rsidRPr="005E6DC9">
              <w:rPr>
                <w:sz w:val="20"/>
                <w:szCs w:val="20"/>
              </w:rPr>
              <w:t>155</w:t>
            </w:r>
            <w:r w:rsidR="00EF4455">
              <w:rPr>
                <w:sz w:val="20"/>
                <w:szCs w:val="20"/>
              </w:rPr>
              <w:t>,</w:t>
            </w:r>
            <w:r w:rsidRPr="005E6DC9">
              <w:rPr>
                <w:sz w:val="20"/>
                <w:szCs w:val="20"/>
              </w:rPr>
              <w:t>894</w:t>
            </w:r>
          </w:p>
          <w:p w14:paraId="72DD87E5" w14:textId="5B86ED95" w:rsidR="005E6DC9" w:rsidRPr="005E6DC9" w:rsidRDefault="005E6DC9" w:rsidP="00C80CE7">
            <w:pPr>
              <w:jc w:val="right"/>
              <w:rPr>
                <w:sz w:val="20"/>
                <w:szCs w:val="20"/>
              </w:rPr>
            </w:pPr>
            <w:r w:rsidRPr="005E6DC9">
              <w:rPr>
                <w:sz w:val="20"/>
                <w:szCs w:val="20"/>
              </w:rPr>
              <w:t>(-5.68</w:t>
            </w:r>
            <w:r>
              <w:rPr>
                <w:sz w:val="20"/>
                <w:szCs w:val="20"/>
              </w:rPr>
              <w:t>%)</w:t>
            </w:r>
          </w:p>
        </w:tc>
      </w:tr>
      <w:tr w:rsidR="005E6DC9" w:rsidRPr="005E6DC9" w14:paraId="7AB75C18" w14:textId="77777777" w:rsidTr="00C80CE7">
        <w:trPr>
          <w:trHeight w:val="300"/>
        </w:trPr>
        <w:tc>
          <w:tcPr>
            <w:tcW w:w="1802" w:type="dxa"/>
            <w:noWrap/>
            <w:vAlign w:val="center"/>
            <w:hideMark/>
          </w:tcPr>
          <w:p w14:paraId="73BC052A" w14:textId="77777777" w:rsidR="005E6DC9" w:rsidRPr="005E6DC9" w:rsidRDefault="005E6DC9" w:rsidP="00C80CE7">
            <w:pPr>
              <w:rPr>
                <w:sz w:val="20"/>
                <w:szCs w:val="20"/>
              </w:rPr>
            </w:pPr>
            <w:r w:rsidRPr="005E6DC9">
              <w:rPr>
                <w:sz w:val="20"/>
                <w:szCs w:val="20"/>
              </w:rPr>
              <w:t>METHADONE</w:t>
            </w:r>
          </w:p>
        </w:tc>
        <w:tc>
          <w:tcPr>
            <w:tcW w:w="1134" w:type="dxa"/>
            <w:noWrap/>
            <w:vAlign w:val="center"/>
            <w:hideMark/>
          </w:tcPr>
          <w:p w14:paraId="0F1F101A" w14:textId="5BC579E4" w:rsidR="005E6DC9" w:rsidRPr="005E6DC9" w:rsidRDefault="005E6DC9" w:rsidP="00C80CE7">
            <w:pPr>
              <w:jc w:val="right"/>
              <w:rPr>
                <w:sz w:val="20"/>
                <w:szCs w:val="20"/>
              </w:rPr>
            </w:pPr>
            <w:r w:rsidRPr="005E6DC9">
              <w:rPr>
                <w:sz w:val="20"/>
                <w:szCs w:val="20"/>
              </w:rPr>
              <w:t>90</w:t>
            </w:r>
            <w:r>
              <w:rPr>
                <w:sz w:val="20"/>
                <w:szCs w:val="20"/>
              </w:rPr>
              <w:t>,</w:t>
            </w:r>
            <w:r w:rsidRPr="005E6DC9">
              <w:rPr>
                <w:sz w:val="20"/>
                <w:szCs w:val="20"/>
              </w:rPr>
              <w:t>211</w:t>
            </w:r>
          </w:p>
        </w:tc>
        <w:tc>
          <w:tcPr>
            <w:tcW w:w="1134" w:type="dxa"/>
            <w:noWrap/>
            <w:vAlign w:val="center"/>
            <w:hideMark/>
          </w:tcPr>
          <w:p w14:paraId="5B6C30EF" w14:textId="4DAB6948" w:rsidR="005E6DC9" w:rsidRPr="005E6DC9" w:rsidRDefault="005E6DC9" w:rsidP="00C80CE7">
            <w:pPr>
              <w:jc w:val="right"/>
              <w:rPr>
                <w:sz w:val="20"/>
                <w:szCs w:val="20"/>
              </w:rPr>
            </w:pPr>
            <w:r w:rsidRPr="005E6DC9">
              <w:rPr>
                <w:sz w:val="20"/>
                <w:szCs w:val="20"/>
              </w:rPr>
              <w:t>87</w:t>
            </w:r>
            <w:r w:rsidR="00EF4455">
              <w:rPr>
                <w:sz w:val="20"/>
                <w:szCs w:val="20"/>
              </w:rPr>
              <w:t>,</w:t>
            </w:r>
            <w:r w:rsidRPr="005E6DC9">
              <w:rPr>
                <w:sz w:val="20"/>
                <w:szCs w:val="20"/>
              </w:rPr>
              <w:t>818</w:t>
            </w:r>
          </w:p>
          <w:p w14:paraId="35B96207" w14:textId="016A31E7" w:rsidR="005E6DC9" w:rsidRPr="005E6DC9" w:rsidRDefault="005E6DC9" w:rsidP="00C80CE7">
            <w:pPr>
              <w:jc w:val="right"/>
              <w:rPr>
                <w:sz w:val="20"/>
                <w:szCs w:val="20"/>
              </w:rPr>
            </w:pPr>
            <w:r w:rsidRPr="005E6DC9">
              <w:rPr>
                <w:sz w:val="20"/>
                <w:szCs w:val="20"/>
              </w:rPr>
              <w:t>(-2.65</w:t>
            </w:r>
            <w:r>
              <w:rPr>
                <w:sz w:val="20"/>
                <w:szCs w:val="20"/>
              </w:rPr>
              <w:t>%)</w:t>
            </w:r>
          </w:p>
        </w:tc>
        <w:tc>
          <w:tcPr>
            <w:tcW w:w="1134" w:type="dxa"/>
            <w:noWrap/>
            <w:vAlign w:val="center"/>
            <w:hideMark/>
          </w:tcPr>
          <w:p w14:paraId="2D381482" w14:textId="473DE988" w:rsidR="005E6DC9" w:rsidRPr="005E6DC9" w:rsidRDefault="005E6DC9" w:rsidP="00C80CE7">
            <w:pPr>
              <w:jc w:val="right"/>
              <w:rPr>
                <w:sz w:val="20"/>
                <w:szCs w:val="20"/>
              </w:rPr>
            </w:pPr>
            <w:r w:rsidRPr="005E6DC9">
              <w:rPr>
                <w:sz w:val="20"/>
                <w:szCs w:val="20"/>
              </w:rPr>
              <w:t>85</w:t>
            </w:r>
            <w:r w:rsidR="00EF4455">
              <w:rPr>
                <w:sz w:val="20"/>
                <w:szCs w:val="20"/>
              </w:rPr>
              <w:t>,</w:t>
            </w:r>
            <w:r w:rsidRPr="005E6DC9">
              <w:rPr>
                <w:sz w:val="20"/>
                <w:szCs w:val="20"/>
              </w:rPr>
              <w:t>399</w:t>
            </w:r>
          </w:p>
          <w:p w14:paraId="23F2834E" w14:textId="1078B60B" w:rsidR="005E6DC9" w:rsidRPr="005E6DC9" w:rsidRDefault="005E6DC9" w:rsidP="00C80CE7">
            <w:pPr>
              <w:jc w:val="right"/>
              <w:rPr>
                <w:sz w:val="20"/>
                <w:szCs w:val="20"/>
              </w:rPr>
            </w:pPr>
            <w:r w:rsidRPr="005E6DC9">
              <w:rPr>
                <w:sz w:val="20"/>
                <w:szCs w:val="20"/>
              </w:rPr>
              <w:t>(-2.75</w:t>
            </w:r>
            <w:r>
              <w:rPr>
                <w:sz w:val="20"/>
                <w:szCs w:val="20"/>
              </w:rPr>
              <w:t>%)</w:t>
            </w:r>
          </w:p>
        </w:tc>
        <w:tc>
          <w:tcPr>
            <w:tcW w:w="1134" w:type="dxa"/>
            <w:noWrap/>
            <w:vAlign w:val="center"/>
            <w:hideMark/>
          </w:tcPr>
          <w:p w14:paraId="13C82EEA" w14:textId="43F2CF4A" w:rsidR="005E6DC9" w:rsidRPr="005E6DC9" w:rsidRDefault="005E6DC9" w:rsidP="00C80CE7">
            <w:pPr>
              <w:jc w:val="right"/>
              <w:rPr>
                <w:sz w:val="20"/>
                <w:szCs w:val="20"/>
              </w:rPr>
            </w:pPr>
            <w:r w:rsidRPr="005E6DC9">
              <w:rPr>
                <w:sz w:val="20"/>
                <w:szCs w:val="20"/>
              </w:rPr>
              <w:t>81</w:t>
            </w:r>
            <w:r w:rsidR="00EF4455">
              <w:rPr>
                <w:sz w:val="20"/>
                <w:szCs w:val="20"/>
              </w:rPr>
              <w:t>,</w:t>
            </w:r>
            <w:r w:rsidRPr="005E6DC9">
              <w:rPr>
                <w:sz w:val="20"/>
                <w:szCs w:val="20"/>
              </w:rPr>
              <w:t>964</w:t>
            </w:r>
          </w:p>
          <w:p w14:paraId="29A41C3B" w14:textId="69457C64" w:rsidR="005E6DC9" w:rsidRPr="005E6DC9" w:rsidRDefault="005E6DC9" w:rsidP="00C80CE7">
            <w:pPr>
              <w:jc w:val="right"/>
              <w:rPr>
                <w:sz w:val="20"/>
                <w:szCs w:val="20"/>
              </w:rPr>
            </w:pPr>
            <w:r w:rsidRPr="005E6DC9">
              <w:rPr>
                <w:sz w:val="20"/>
                <w:szCs w:val="20"/>
              </w:rPr>
              <w:t>(-4.02</w:t>
            </w:r>
            <w:r>
              <w:rPr>
                <w:sz w:val="20"/>
                <w:szCs w:val="20"/>
              </w:rPr>
              <w:t>%)</w:t>
            </w:r>
          </w:p>
        </w:tc>
        <w:tc>
          <w:tcPr>
            <w:tcW w:w="1134" w:type="dxa"/>
            <w:noWrap/>
            <w:vAlign w:val="center"/>
            <w:hideMark/>
          </w:tcPr>
          <w:p w14:paraId="386B84EF" w14:textId="55072572" w:rsidR="005E6DC9" w:rsidRPr="005E6DC9" w:rsidRDefault="005E6DC9" w:rsidP="00C80CE7">
            <w:pPr>
              <w:jc w:val="right"/>
              <w:rPr>
                <w:sz w:val="20"/>
                <w:szCs w:val="20"/>
              </w:rPr>
            </w:pPr>
            <w:r w:rsidRPr="005E6DC9">
              <w:rPr>
                <w:sz w:val="20"/>
                <w:szCs w:val="20"/>
              </w:rPr>
              <w:t>77</w:t>
            </w:r>
            <w:r w:rsidR="00EF4455">
              <w:rPr>
                <w:sz w:val="20"/>
                <w:szCs w:val="20"/>
              </w:rPr>
              <w:t>,</w:t>
            </w:r>
            <w:r w:rsidRPr="005E6DC9">
              <w:rPr>
                <w:sz w:val="20"/>
                <w:szCs w:val="20"/>
              </w:rPr>
              <w:t>636</w:t>
            </w:r>
          </w:p>
          <w:p w14:paraId="17DBD58F" w14:textId="12E55C8F" w:rsidR="005E6DC9" w:rsidRPr="005E6DC9" w:rsidRDefault="005E6DC9" w:rsidP="00C80CE7">
            <w:pPr>
              <w:jc w:val="right"/>
              <w:rPr>
                <w:sz w:val="20"/>
                <w:szCs w:val="20"/>
              </w:rPr>
            </w:pPr>
            <w:r w:rsidRPr="005E6DC9">
              <w:rPr>
                <w:sz w:val="20"/>
                <w:szCs w:val="20"/>
              </w:rPr>
              <w:t>(-5.28</w:t>
            </w:r>
            <w:r>
              <w:rPr>
                <w:sz w:val="20"/>
                <w:szCs w:val="20"/>
              </w:rPr>
              <w:t>%)</w:t>
            </w:r>
          </w:p>
        </w:tc>
        <w:tc>
          <w:tcPr>
            <w:tcW w:w="1134" w:type="dxa"/>
            <w:noWrap/>
            <w:vAlign w:val="center"/>
            <w:hideMark/>
          </w:tcPr>
          <w:p w14:paraId="5B5C860C" w14:textId="0E345EE8" w:rsidR="005E6DC9" w:rsidRPr="005E6DC9" w:rsidRDefault="005E6DC9" w:rsidP="00C80CE7">
            <w:pPr>
              <w:jc w:val="right"/>
              <w:rPr>
                <w:sz w:val="20"/>
                <w:szCs w:val="20"/>
              </w:rPr>
            </w:pPr>
            <w:r w:rsidRPr="005E6DC9">
              <w:rPr>
                <w:sz w:val="20"/>
                <w:szCs w:val="20"/>
              </w:rPr>
              <w:t>71</w:t>
            </w:r>
            <w:r w:rsidR="00EF4455">
              <w:rPr>
                <w:sz w:val="20"/>
                <w:szCs w:val="20"/>
              </w:rPr>
              <w:t>,</w:t>
            </w:r>
            <w:r w:rsidRPr="005E6DC9">
              <w:rPr>
                <w:sz w:val="20"/>
                <w:szCs w:val="20"/>
              </w:rPr>
              <w:t>931</w:t>
            </w:r>
          </w:p>
          <w:p w14:paraId="679C856C" w14:textId="59054244" w:rsidR="005E6DC9" w:rsidRPr="005E6DC9" w:rsidRDefault="005E6DC9" w:rsidP="00C80CE7">
            <w:pPr>
              <w:jc w:val="right"/>
              <w:rPr>
                <w:sz w:val="20"/>
                <w:szCs w:val="20"/>
              </w:rPr>
            </w:pPr>
            <w:r w:rsidRPr="005E6DC9">
              <w:rPr>
                <w:sz w:val="20"/>
                <w:szCs w:val="20"/>
              </w:rPr>
              <w:t>(-7.35</w:t>
            </w:r>
            <w:r>
              <w:rPr>
                <w:sz w:val="20"/>
                <w:szCs w:val="20"/>
              </w:rPr>
              <w:t>%)</w:t>
            </w:r>
          </w:p>
        </w:tc>
      </w:tr>
      <w:tr w:rsidR="005E6DC9" w:rsidRPr="005E6DC9" w14:paraId="7D22BF45" w14:textId="77777777" w:rsidTr="00C80CE7">
        <w:trPr>
          <w:trHeight w:val="300"/>
        </w:trPr>
        <w:tc>
          <w:tcPr>
            <w:tcW w:w="1802" w:type="dxa"/>
            <w:noWrap/>
            <w:vAlign w:val="center"/>
            <w:hideMark/>
          </w:tcPr>
          <w:p w14:paraId="6754F915" w14:textId="77777777" w:rsidR="005E6DC9" w:rsidRPr="005E6DC9" w:rsidRDefault="005E6DC9" w:rsidP="00C80CE7">
            <w:pPr>
              <w:rPr>
                <w:sz w:val="20"/>
                <w:szCs w:val="20"/>
              </w:rPr>
            </w:pPr>
            <w:r w:rsidRPr="005E6DC9">
              <w:rPr>
                <w:sz w:val="20"/>
                <w:szCs w:val="20"/>
              </w:rPr>
              <w:t>MORPHINE</w:t>
            </w:r>
          </w:p>
        </w:tc>
        <w:tc>
          <w:tcPr>
            <w:tcW w:w="1134" w:type="dxa"/>
            <w:noWrap/>
            <w:vAlign w:val="center"/>
            <w:hideMark/>
          </w:tcPr>
          <w:p w14:paraId="41E477EA" w14:textId="41E2183D" w:rsidR="005E6DC9" w:rsidRPr="005E6DC9" w:rsidRDefault="005E6DC9" w:rsidP="00C80CE7">
            <w:pPr>
              <w:jc w:val="right"/>
              <w:rPr>
                <w:sz w:val="20"/>
                <w:szCs w:val="20"/>
              </w:rPr>
            </w:pPr>
            <w:r w:rsidRPr="005E6DC9">
              <w:rPr>
                <w:sz w:val="20"/>
                <w:szCs w:val="20"/>
              </w:rPr>
              <w:t>553</w:t>
            </w:r>
            <w:r>
              <w:rPr>
                <w:sz w:val="20"/>
                <w:szCs w:val="20"/>
              </w:rPr>
              <w:t>,</w:t>
            </w:r>
            <w:r w:rsidRPr="005E6DC9">
              <w:rPr>
                <w:sz w:val="20"/>
                <w:szCs w:val="20"/>
              </w:rPr>
              <w:t>040</w:t>
            </w:r>
          </w:p>
        </w:tc>
        <w:tc>
          <w:tcPr>
            <w:tcW w:w="1134" w:type="dxa"/>
            <w:noWrap/>
            <w:vAlign w:val="center"/>
            <w:hideMark/>
          </w:tcPr>
          <w:p w14:paraId="22A362EC" w14:textId="4AEF8590" w:rsidR="005E6DC9" w:rsidRPr="005E6DC9" w:rsidRDefault="005E6DC9" w:rsidP="00C80CE7">
            <w:pPr>
              <w:jc w:val="right"/>
              <w:rPr>
                <w:sz w:val="20"/>
                <w:szCs w:val="20"/>
              </w:rPr>
            </w:pPr>
            <w:r w:rsidRPr="005E6DC9">
              <w:rPr>
                <w:sz w:val="20"/>
                <w:szCs w:val="20"/>
              </w:rPr>
              <w:t>532</w:t>
            </w:r>
            <w:r w:rsidR="00EF4455">
              <w:rPr>
                <w:sz w:val="20"/>
                <w:szCs w:val="20"/>
              </w:rPr>
              <w:t>,</w:t>
            </w:r>
            <w:r w:rsidRPr="005E6DC9">
              <w:rPr>
                <w:sz w:val="20"/>
                <w:szCs w:val="20"/>
              </w:rPr>
              <w:t>823</w:t>
            </w:r>
          </w:p>
          <w:p w14:paraId="74D92B50" w14:textId="6338D5C5" w:rsidR="005E6DC9" w:rsidRPr="005E6DC9" w:rsidRDefault="005E6DC9" w:rsidP="00C80CE7">
            <w:pPr>
              <w:jc w:val="right"/>
              <w:rPr>
                <w:sz w:val="20"/>
                <w:szCs w:val="20"/>
              </w:rPr>
            </w:pPr>
            <w:r w:rsidRPr="005E6DC9">
              <w:rPr>
                <w:sz w:val="20"/>
                <w:szCs w:val="20"/>
              </w:rPr>
              <w:t>(-3.66</w:t>
            </w:r>
            <w:r>
              <w:rPr>
                <w:sz w:val="20"/>
                <w:szCs w:val="20"/>
              </w:rPr>
              <w:t>%)</w:t>
            </w:r>
          </w:p>
        </w:tc>
        <w:tc>
          <w:tcPr>
            <w:tcW w:w="1134" w:type="dxa"/>
            <w:noWrap/>
            <w:vAlign w:val="center"/>
            <w:hideMark/>
          </w:tcPr>
          <w:p w14:paraId="11731D19" w14:textId="1257A411" w:rsidR="005E6DC9" w:rsidRPr="005E6DC9" w:rsidRDefault="005E6DC9" w:rsidP="00C80CE7">
            <w:pPr>
              <w:jc w:val="right"/>
              <w:rPr>
                <w:sz w:val="20"/>
                <w:szCs w:val="20"/>
              </w:rPr>
            </w:pPr>
            <w:r w:rsidRPr="005E6DC9">
              <w:rPr>
                <w:sz w:val="20"/>
                <w:szCs w:val="20"/>
              </w:rPr>
              <w:t>508</w:t>
            </w:r>
            <w:r w:rsidR="00EF4455">
              <w:rPr>
                <w:sz w:val="20"/>
                <w:szCs w:val="20"/>
              </w:rPr>
              <w:t>,</w:t>
            </w:r>
            <w:r w:rsidRPr="005E6DC9">
              <w:rPr>
                <w:sz w:val="20"/>
                <w:szCs w:val="20"/>
              </w:rPr>
              <w:t>097</w:t>
            </w:r>
          </w:p>
          <w:p w14:paraId="4A5F9E10" w14:textId="0D699136" w:rsidR="005E6DC9" w:rsidRPr="005E6DC9" w:rsidRDefault="005E6DC9" w:rsidP="00C80CE7">
            <w:pPr>
              <w:jc w:val="right"/>
              <w:rPr>
                <w:sz w:val="20"/>
                <w:szCs w:val="20"/>
              </w:rPr>
            </w:pPr>
            <w:r w:rsidRPr="005E6DC9">
              <w:rPr>
                <w:sz w:val="20"/>
                <w:szCs w:val="20"/>
              </w:rPr>
              <w:t>(-4.64</w:t>
            </w:r>
            <w:r>
              <w:rPr>
                <w:sz w:val="20"/>
                <w:szCs w:val="20"/>
              </w:rPr>
              <w:t>%)</w:t>
            </w:r>
          </w:p>
        </w:tc>
        <w:tc>
          <w:tcPr>
            <w:tcW w:w="1134" w:type="dxa"/>
            <w:noWrap/>
            <w:vAlign w:val="center"/>
            <w:hideMark/>
          </w:tcPr>
          <w:p w14:paraId="34736761" w14:textId="2E9B4139" w:rsidR="005E6DC9" w:rsidRPr="005E6DC9" w:rsidRDefault="005E6DC9" w:rsidP="00C80CE7">
            <w:pPr>
              <w:jc w:val="right"/>
              <w:rPr>
                <w:sz w:val="20"/>
                <w:szCs w:val="20"/>
              </w:rPr>
            </w:pPr>
            <w:r w:rsidRPr="005E6DC9">
              <w:rPr>
                <w:sz w:val="20"/>
                <w:szCs w:val="20"/>
              </w:rPr>
              <w:t>482</w:t>
            </w:r>
            <w:r w:rsidR="00EF4455">
              <w:rPr>
                <w:sz w:val="20"/>
                <w:szCs w:val="20"/>
              </w:rPr>
              <w:t>,</w:t>
            </w:r>
            <w:r w:rsidRPr="005E6DC9">
              <w:rPr>
                <w:sz w:val="20"/>
                <w:szCs w:val="20"/>
              </w:rPr>
              <w:t>166</w:t>
            </w:r>
          </w:p>
          <w:p w14:paraId="513FAB58" w14:textId="13D3A6DD" w:rsidR="005E6DC9" w:rsidRPr="005E6DC9" w:rsidRDefault="005E6DC9" w:rsidP="00C80CE7">
            <w:pPr>
              <w:jc w:val="right"/>
              <w:rPr>
                <w:sz w:val="20"/>
                <w:szCs w:val="20"/>
              </w:rPr>
            </w:pPr>
            <w:r w:rsidRPr="005E6DC9">
              <w:rPr>
                <w:sz w:val="20"/>
                <w:szCs w:val="20"/>
              </w:rPr>
              <w:t>(-5.1</w:t>
            </w:r>
            <w:r w:rsidR="007E4823">
              <w:rPr>
                <w:sz w:val="20"/>
                <w:szCs w:val="20"/>
              </w:rPr>
              <w:t>0</w:t>
            </w:r>
            <w:r>
              <w:rPr>
                <w:sz w:val="20"/>
                <w:szCs w:val="20"/>
              </w:rPr>
              <w:t>%)</w:t>
            </w:r>
          </w:p>
        </w:tc>
        <w:tc>
          <w:tcPr>
            <w:tcW w:w="1134" w:type="dxa"/>
            <w:noWrap/>
            <w:vAlign w:val="center"/>
            <w:hideMark/>
          </w:tcPr>
          <w:p w14:paraId="3F3368C0" w14:textId="7C8FAAE0" w:rsidR="005E6DC9" w:rsidRPr="005E6DC9" w:rsidRDefault="005E6DC9" w:rsidP="00C80CE7">
            <w:pPr>
              <w:jc w:val="right"/>
              <w:rPr>
                <w:sz w:val="20"/>
                <w:szCs w:val="20"/>
              </w:rPr>
            </w:pPr>
            <w:r w:rsidRPr="005E6DC9">
              <w:rPr>
                <w:sz w:val="20"/>
                <w:szCs w:val="20"/>
              </w:rPr>
              <w:t>463</w:t>
            </w:r>
            <w:r w:rsidR="00EF4455">
              <w:rPr>
                <w:sz w:val="20"/>
                <w:szCs w:val="20"/>
              </w:rPr>
              <w:t>,</w:t>
            </w:r>
            <w:r w:rsidRPr="005E6DC9">
              <w:rPr>
                <w:sz w:val="20"/>
                <w:szCs w:val="20"/>
              </w:rPr>
              <w:t>776</w:t>
            </w:r>
          </w:p>
          <w:p w14:paraId="129D3F84" w14:textId="0DA86932" w:rsidR="005E6DC9" w:rsidRPr="005E6DC9" w:rsidRDefault="005E6DC9" w:rsidP="00C80CE7">
            <w:pPr>
              <w:jc w:val="right"/>
              <w:rPr>
                <w:sz w:val="20"/>
                <w:szCs w:val="20"/>
              </w:rPr>
            </w:pPr>
            <w:r w:rsidRPr="005E6DC9">
              <w:rPr>
                <w:sz w:val="20"/>
                <w:szCs w:val="20"/>
              </w:rPr>
              <w:t>(-3.81</w:t>
            </w:r>
            <w:r>
              <w:rPr>
                <w:sz w:val="20"/>
                <w:szCs w:val="20"/>
              </w:rPr>
              <w:t>%)</w:t>
            </w:r>
          </w:p>
        </w:tc>
        <w:tc>
          <w:tcPr>
            <w:tcW w:w="1134" w:type="dxa"/>
            <w:noWrap/>
            <w:vAlign w:val="center"/>
            <w:hideMark/>
          </w:tcPr>
          <w:p w14:paraId="4F157F27" w14:textId="0A29B19E" w:rsidR="005E6DC9" w:rsidRPr="005E6DC9" w:rsidRDefault="005E6DC9" w:rsidP="00C80CE7">
            <w:pPr>
              <w:jc w:val="right"/>
              <w:rPr>
                <w:sz w:val="20"/>
                <w:szCs w:val="20"/>
              </w:rPr>
            </w:pPr>
            <w:r w:rsidRPr="005E6DC9">
              <w:rPr>
                <w:sz w:val="20"/>
                <w:szCs w:val="20"/>
              </w:rPr>
              <w:t>447</w:t>
            </w:r>
            <w:r w:rsidR="00EF4455">
              <w:rPr>
                <w:sz w:val="20"/>
                <w:szCs w:val="20"/>
              </w:rPr>
              <w:t>,</w:t>
            </w:r>
            <w:r w:rsidRPr="005E6DC9">
              <w:rPr>
                <w:sz w:val="20"/>
                <w:szCs w:val="20"/>
              </w:rPr>
              <w:t>400</w:t>
            </w:r>
          </w:p>
          <w:p w14:paraId="359A57B0" w14:textId="59D93CB6" w:rsidR="005E6DC9" w:rsidRPr="005E6DC9" w:rsidRDefault="005E6DC9" w:rsidP="00C80CE7">
            <w:pPr>
              <w:jc w:val="right"/>
              <w:rPr>
                <w:sz w:val="20"/>
                <w:szCs w:val="20"/>
              </w:rPr>
            </w:pPr>
            <w:r w:rsidRPr="005E6DC9">
              <w:rPr>
                <w:sz w:val="20"/>
                <w:szCs w:val="20"/>
              </w:rPr>
              <w:t>(-3.53</w:t>
            </w:r>
            <w:r>
              <w:rPr>
                <w:sz w:val="20"/>
                <w:szCs w:val="20"/>
              </w:rPr>
              <w:t>%)</w:t>
            </w:r>
          </w:p>
        </w:tc>
      </w:tr>
      <w:tr w:rsidR="005E6DC9" w:rsidRPr="005E6DC9" w14:paraId="332B57D9" w14:textId="77777777" w:rsidTr="00C80CE7">
        <w:trPr>
          <w:trHeight w:val="300"/>
        </w:trPr>
        <w:tc>
          <w:tcPr>
            <w:tcW w:w="1802" w:type="dxa"/>
            <w:noWrap/>
            <w:vAlign w:val="center"/>
            <w:hideMark/>
          </w:tcPr>
          <w:p w14:paraId="3910AD15" w14:textId="77777777" w:rsidR="005E6DC9" w:rsidRPr="005E6DC9" w:rsidRDefault="005E6DC9" w:rsidP="00C80CE7">
            <w:pPr>
              <w:rPr>
                <w:sz w:val="20"/>
                <w:szCs w:val="20"/>
              </w:rPr>
            </w:pPr>
            <w:r w:rsidRPr="005E6DC9">
              <w:rPr>
                <w:sz w:val="20"/>
                <w:szCs w:val="20"/>
              </w:rPr>
              <w:t>OXYCODONE</w:t>
            </w:r>
          </w:p>
        </w:tc>
        <w:tc>
          <w:tcPr>
            <w:tcW w:w="1134" w:type="dxa"/>
            <w:noWrap/>
            <w:vAlign w:val="center"/>
            <w:hideMark/>
          </w:tcPr>
          <w:p w14:paraId="4FCCD193" w14:textId="43629687" w:rsidR="005E6DC9" w:rsidRPr="005E6DC9" w:rsidRDefault="005E6DC9" w:rsidP="00C80CE7">
            <w:pPr>
              <w:jc w:val="right"/>
              <w:rPr>
                <w:sz w:val="20"/>
                <w:szCs w:val="20"/>
              </w:rPr>
            </w:pPr>
            <w:r w:rsidRPr="005E6DC9">
              <w:rPr>
                <w:sz w:val="20"/>
                <w:szCs w:val="20"/>
              </w:rPr>
              <w:t>3</w:t>
            </w:r>
            <w:r>
              <w:rPr>
                <w:sz w:val="20"/>
                <w:szCs w:val="20"/>
              </w:rPr>
              <w:t>,</w:t>
            </w:r>
            <w:r w:rsidRPr="005E6DC9">
              <w:rPr>
                <w:sz w:val="20"/>
                <w:szCs w:val="20"/>
              </w:rPr>
              <w:t>572</w:t>
            </w:r>
            <w:r>
              <w:rPr>
                <w:sz w:val="20"/>
                <w:szCs w:val="20"/>
              </w:rPr>
              <w:t>,</w:t>
            </w:r>
            <w:r w:rsidRPr="005E6DC9">
              <w:rPr>
                <w:sz w:val="20"/>
                <w:szCs w:val="20"/>
              </w:rPr>
              <w:t>372</w:t>
            </w:r>
          </w:p>
        </w:tc>
        <w:tc>
          <w:tcPr>
            <w:tcW w:w="1134" w:type="dxa"/>
            <w:noWrap/>
            <w:vAlign w:val="center"/>
            <w:hideMark/>
          </w:tcPr>
          <w:p w14:paraId="6E6EC4D4" w14:textId="4BDBD10C"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553</w:t>
            </w:r>
            <w:r w:rsidR="00EF4455">
              <w:rPr>
                <w:sz w:val="20"/>
                <w:szCs w:val="20"/>
              </w:rPr>
              <w:t>,</w:t>
            </w:r>
            <w:r w:rsidRPr="005E6DC9">
              <w:rPr>
                <w:sz w:val="20"/>
                <w:szCs w:val="20"/>
              </w:rPr>
              <w:t>863</w:t>
            </w:r>
          </w:p>
          <w:p w14:paraId="7F90D129" w14:textId="1E18693B" w:rsidR="005E6DC9" w:rsidRPr="005E6DC9" w:rsidRDefault="005E6DC9" w:rsidP="00C80CE7">
            <w:pPr>
              <w:jc w:val="right"/>
              <w:rPr>
                <w:sz w:val="20"/>
                <w:szCs w:val="20"/>
              </w:rPr>
            </w:pPr>
            <w:r w:rsidRPr="005E6DC9">
              <w:rPr>
                <w:sz w:val="20"/>
                <w:szCs w:val="20"/>
              </w:rPr>
              <w:t>(-0.52</w:t>
            </w:r>
            <w:r>
              <w:rPr>
                <w:sz w:val="20"/>
                <w:szCs w:val="20"/>
              </w:rPr>
              <w:t>%)</w:t>
            </w:r>
          </w:p>
        </w:tc>
        <w:tc>
          <w:tcPr>
            <w:tcW w:w="1134" w:type="dxa"/>
            <w:noWrap/>
            <w:vAlign w:val="center"/>
            <w:hideMark/>
          </w:tcPr>
          <w:p w14:paraId="5462CC32" w14:textId="06F223E4"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433</w:t>
            </w:r>
            <w:r w:rsidR="00EF4455">
              <w:rPr>
                <w:sz w:val="20"/>
                <w:szCs w:val="20"/>
              </w:rPr>
              <w:t>,</w:t>
            </w:r>
            <w:r w:rsidRPr="005E6DC9">
              <w:rPr>
                <w:sz w:val="20"/>
                <w:szCs w:val="20"/>
              </w:rPr>
              <w:t>501</w:t>
            </w:r>
          </w:p>
          <w:p w14:paraId="71B50D26" w14:textId="23CC3CB2" w:rsidR="005E6DC9" w:rsidRPr="005E6DC9" w:rsidRDefault="005E6DC9" w:rsidP="00C80CE7">
            <w:pPr>
              <w:jc w:val="right"/>
              <w:rPr>
                <w:sz w:val="20"/>
                <w:szCs w:val="20"/>
              </w:rPr>
            </w:pPr>
            <w:r w:rsidRPr="005E6DC9">
              <w:rPr>
                <w:sz w:val="20"/>
                <w:szCs w:val="20"/>
              </w:rPr>
              <w:t>(-3.39</w:t>
            </w:r>
            <w:r>
              <w:rPr>
                <w:sz w:val="20"/>
                <w:szCs w:val="20"/>
              </w:rPr>
              <w:t>%)</w:t>
            </w:r>
          </w:p>
        </w:tc>
        <w:tc>
          <w:tcPr>
            <w:tcW w:w="1134" w:type="dxa"/>
            <w:noWrap/>
            <w:vAlign w:val="center"/>
            <w:hideMark/>
          </w:tcPr>
          <w:p w14:paraId="60890FAD" w14:textId="508BD89B"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239</w:t>
            </w:r>
            <w:r w:rsidR="00EF4455">
              <w:rPr>
                <w:sz w:val="20"/>
                <w:szCs w:val="20"/>
              </w:rPr>
              <w:t>,</w:t>
            </w:r>
            <w:r w:rsidRPr="005E6DC9">
              <w:rPr>
                <w:sz w:val="20"/>
                <w:szCs w:val="20"/>
              </w:rPr>
              <w:t>540</w:t>
            </w:r>
          </w:p>
          <w:p w14:paraId="49C6635D" w14:textId="7B43D059" w:rsidR="005E6DC9" w:rsidRPr="005E6DC9" w:rsidRDefault="005E6DC9" w:rsidP="00C80CE7">
            <w:pPr>
              <w:jc w:val="right"/>
              <w:rPr>
                <w:sz w:val="20"/>
                <w:szCs w:val="20"/>
              </w:rPr>
            </w:pPr>
            <w:r w:rsidRPr="005E6DC9">
              <w:rPr>
                <w:sz w:val="20"/>
                <w:szCs w:val="20"/>
              </w:rPr>
              <w:t>(-5.65</w:t>
            </w:r>
            <w:r>
              <w:rPr>
                <w:sz w:val="20"/>
                <w:szCs w:val="20"/>
              </w:rPr>
              <w:t>%)</w:t>
            </w:r>
          </w:p>
        </w:tc>
        <w:tc>
          <w:tcPr>
            <w:tcW w:w="1134" w:type="dxa"/>
            <w:noWrap/>
            <w:vAlign w:val="center"/>
            <w:hideMark/>
          </w:tcPr>
          <w:p w14:paraId="67259D0A" w14:textId="76EE9986"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123</w:t>
            </w:r>
            <w:r w:rsidR="00EF4455">
              <w:rPr>
                <w:sz w:val="20"/>
                <w:szCs w:val="20"/>
              </w:rPr>
              <w:t>,</w:t>
            </w:r>
            <w:r w:rsidRPr="005E6DC9">
              <w:rPr>
                <w:sz w:val="20"/>
                <w:szCs w:val="20"/>
              </w:rPr>
              <w:t>233</w:t>
            </w:r>
          </w:p>
          <w:p w14:paraId="5ADECAAA" w14:textId="61E68E50" w:rsidR="005E6DC9" w:rsidRPr="005E6DC9" w:rsidRDefault="005E6DC9" w:rsidP="00C80CE7">
            <w:pPr>
              <w:jc w:val="right"/>
              <w:rPr>
                <w:sz w:val="20"/>
                <w:szCs w:val="20"/>
              </w:rPr>
            </w:pPr>
            <w:r w:rsidRPr="005E6DC9">
              <w:rPr>
                <w:sz w:val="20"/>
                <w:szCs w:val="20"/>
              </w:rPr>
              <w:t>(-3.59</w:t>
            </w:r>
            <w:r>
              <w:rPr>
                <w:sz w:val="20"/>
                <w:szCs w:val="20"/>
              </w:rPr>
              <w:t>%)</w:t>
            </w:r>
          </w:p>
        </w:tc>
        <w:tc>
          <w:tcPr>
            <w:tcW w:w="1134" w:type="dxa"/>
            <w:noWrap/>
            <w:vAlign w:val="center"/>
            <w:hideMark/>
          </w:tcPr>
          <w:p w14:paraId="75360B0A" w14:textId="0EBB11BF"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128</w:t>
            </w:r>
            <w:r w:rsidR="00EF4455">
              <w:rPr>
                <w:sz w:val="20"/>
                <w:szCs w:val="20"/>
              </w:rPr>
              <w:t>,</w:t>
            </w:r>
            <w:r w:rsidRPr="005E6DC9">
              <w:rPr>
                <w:sz w:val="20"/>
                <w:szCs w:val="20"/>
              </w:rPr>
              <w:t>491</w:t>
            </w:r>
          </w:p>
          <w:p w14:paraId="3011BA78" w14:textId="2C1F1135" w:rsidR="005E6DC9" w:rsidRPr="005E6DC9" w:rsidRDefault="005E6DC9" w:rsidP="00C80CE7">
            <w:pPr>
              <w:jc w:val="right"/>
              <w:rPr>
                <w:sz w:val="20"/>
                <w:szCs w:val="20"/>
              </w:rPr>
            </w:pPr>
            <w:r w:rsidRPr="005E6DC9">
              <w:rPr>
                <w:sz w:val="20"/>
                <w:szCs w:val="20"/>
              </w:rPr>
              <w:t>(0.17</w:t>
            </w:r>
            <w:r>
              <w:rPr>
                <w:sz w:val="20"/>
                <w:szCs w:val="20"/>
              </w:rPr>
              <w:t>%)</w:t>
            </w:r>
          </w:p>
        </w:tc>
      </w:tr>
      <w:tr w:rsidR="005E6DC9" w:rsidRPr="005E6DC9" w14:paraId="56B8C349" w14:textId="77777777" w:rsidTr="00C80CE7">
        <w:trPr>
          <w:trHeight w:val="300"/>
        </w:trPr>
        <w:tc>
          <w:tcPr>
            <w:tcW w:w="1802" w:type="dxa"/>
            <w:noWrap/>
            <w:vAlign w:val="center"/>
            <w:hideMark/>
          </w:tcPr>
          <w:p w14:paraId="20D5F9E6" w14:textId="77777777" w:rsidR="005E6DC9" w:rsidRPr="005E6DC9" w:rsidRDefault="005E6DC9" w:rsidP="00C80CE7">
            <w:pPr>
              <w:rPr>
                <w:sz w:val="20"/>
                <w:szCs w:val="20"/>
              </w:rPr>
            </w:pPr>
            <w:r w:rsidRPr="005E6DC9">
              <w:rPr>
                <w:sz w:val="20"/>
                <w:szCs w:val="20"/>
              </w:rPr>
              <w:t>OXYCODONE + NALOXONE</w:t>
            </w:r>
          </w:p>
        </w:tc>
        <w:tc>
          <w:tcPr>
            <w:tcW w:w="1134" w:type="dxa"/>
            <w:noWrap/>
            <w:vAlign w:val="center"/>
            <w:hideMark/>
          </w:tcPr>
          <w:p w14:paraId="4BE0ACC5" w14:textId="787C2EDA" w:rsidR="005E6DC9" w:rsidRPr="005E6DC9" w:rsidRDefault="005E6DC9" w:rsidP="00C80CE7">
            <w:pPr>
              <w:jc w:val="right"/>
              <w:rPr>
                <w:sz w:val="20"/>
                <w:szCs w:val="20"/>
              </w:rPr>
            </w:pPr>
            <w:r w:rsidRPr="005E6DC9">
              <w:rPr>
                <w:sz w:val="20"/>
                <w:szCs w:val="20"/>
              </w:rPr>
              <w:t>1</w:t>
            </w:r>
            <w:r>
              <w:rPr>
                <w:sz w:val="20"/>
                <w:szCs w:val="20"/>
              </w:rPr>
              <w:t>,</w:t>
            </w:r>
            <w:r w:rsidRPr="005E6DC9">
              <w:rPr>
                <w:sz w:val="20"/>
                <w:szCs w:val="20"/>
              </w:rPr>
              <w:t>992</w:t>
            </w:r>
            <w:r>
              <w:rPr>
                <w:sz w:val="20"/>
                <w:szCs w:val="20"/>
              </w:rPr>
              <w:t>,</w:t>
            </w:r>
            <w:r w:rsidRPr="005E6DC9">
              <w:rPr>
                <w:sz w:val="20"/>
                <w:szCs w:val="20"/>
              </w:rPr>
              <w:t>434</w:t>
            </w:r>
          </w:p>
        </w:tc>
        <w:tc>
          <w:tcPr>
            <w:tcW w:w="1134" w:type="dxa"/>
            <w:noWrap/>
            <w:vAlign w:val="center"/>
            <w:hideMark/>
          </w:tcPr>
          <w:p w14:paraId="37ECF418" w14:textId="0A3FDD54"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188</w:t>
            </w:r>
            <w:r w:rsidR="00EF4455">
              <w:rPr>
                <w:sz w:val="20"/>
                <w:szCs w:val="20"/>
              </w:rPr>
              <w:t>,</w:t>
            </w:r>
            <w:r w:rsidRPr="005E6DC9">
              <w:rPr>
                <w:sz w:val="20"/>
                <w:szCs w:val="20"/>
              </w:rPr>
              <w:t>057</w:t>
            </w:r>
          </w:p>
          <w:p w14:paraId="0550CE99" w14:textId="4B1EBD7A" w:rsidR="005E6DC9" w:rsidRPr="005E6DC9" w:rsidRDefault="005E6DC9" w:rsidP="00C80CE7">
            <w:pPr>
              <w:jc w:val="right"/>
              <w:rPr>
                <w:sz w:val="20"/>
                <w:szCs w:val="20"/>
              </w:rPr>
            </w:pPr>
            <w:r w:rsidRPr="005E6DC9">
              <w:rPr>
                <w:sz w:val="20"/>
                <w:szCs w:val="20"/>
              </w:rPr>
              <w:t>(9.82</w:t>
            </w:r>
            <w:r>
              <w:rPr>
                <w:sz w:val="20"/>
                <w:szCs w:val="20"/>
              </w:rPr>
              <w:t>%)</w:t>
            </w:r>
          </w:p>
        </w:tc>
        <w:tc>
          <w:tcPr>
            <w:tcW w:w="1134" w:type="dxa"/>
            <w:noWrap/>
            <w:vAlign w:val="center"/>
            <w:hideMark/>
          </w:tcPr>
          <w:p w14:paraId="46179F0B" w14:textId="02F1893D"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210</w:t>
            </w:r>
            <w:r w:rsidR="00EF4455">
              <w:rPr>
                <w:sz w:val="20"/>
                <w:szCs w:val="20"/>
              </w:rPr>
              <w:t>,</w:t>
            </w:r>
            <w:r w:rsidRPr="005E6DC9">
              <w:rPr>
                <w:sz w:val="20"/>
                <w:szCs w:val="20"/>
              </w:rPr>
              <w:t>758</w:t>
            </w:r>
          </w:p>
          <w:p w14:paraId="08126C92" w14:textId="438FBBC6" w:rsidR="005E6DC9" w:rsidRPr="005E6DC9" w:rsidRDefault="005E6DC9" w:rsidP="00C80CE7">
            <w:pPr>
              <w:jc w:val="right"/>
              <w:rPr>
                <w:sz w:val="20"/>
                <w:szCs w:val="20"/>
              </w:rPr>
            </w:pPr>
            <w:r w:rsidRPr="005E6DC9">
              <w:rPr>
                <w:sz w:val="20"/>
                <w:szCs w:val="20"/>
              </w:rPr>
              <w:t>(1.04</w:t>
            </w:r>
            <w:r>
              <w:rPr>
                <w:sz w:val="20"/>
                <w:szCs w:val="20"/>
              </w:rPr>
              <w:t>%)</w:t>
            </w:r>
          </w:p>
        </w:tc>
        <w:tc>
          <w:tcPr>
            <w:tcW w:w="1134" w:type="dxa"/>
            <w:noWrap/>
            <w:vAlign w:val="center"/>
            <w:hideMark/>
          </w:tcPr>
          <w:p w14:paraId="3133F22A" w14:textId="3ECBD141"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071</w:t>
            </w:r>
            <w:r w:rsidR="00EF4455">
              <w:rPr>
                <w:sz w:val="20"/>
                <w:szCs w:val="20"/>
              </w:rPr>
              <w:t>,</w:t>
            </w:r>
            <w:r w:rsidRPr="005E6DC9">
              <w:rPr>
                <w:sz w:val="20"/>
                <w:szCs w:val="20"/>
              </w:rPr>
              <w:t>159</w:t>
            </w:r>
          </w:p>
          <w:p w14:paraId="45DBDE3A" w14:textId="781DF168" w:rsidR="005E6DC9" w:rsidRPr="005E6DC9" w:rsidRDefault="005E6DC9" w:rsidP="00C80CE7">
            <w:pPr>
              <w:jc w:val="right"/>
              <w:rPr>
                <w:sz w:val="20"/>
                <w:szCs w:val="20"/>
              </w:rPr>
            </w:pPr>
            <w:r w:rsidRPr="005E6DC9">
              <w:rPr>
                <w:sz w:val="20"/>
                <w:szCs w:val="20"/>
              </w:rPr>
              <w:t>(-6.31</w:t>
            </w:r>
            <w:r>
              <w:rPr>
                <w:sz w:val="20"/>
                <w:szCs w:val="20"/>
              </w:rPr>
              <w:t>%)</w:t>
            </w:r>
          </w:p>
        </w:tc>
        <w:tc>
          <w:tcPr>
            <w:tcW w:w="1134" w:type="dxa"/>
            <w:noWrap/>
            <w:vAlign w:val="center"/>
            <w:hideMark/>
          </w:tcPr>
          <w:p w14:paraId="4FE7FB6B" w14:textId="20C2505B"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900</w:t>
            </w:r>
            <w:r w:rsidR="00EF4455">
              <w:rPr>
                <w:sz w:val="20"/>
                <w:szCs w:val="20"/>
              </w:rPr>
              <w:t>,</w:t>
            </w:r>
            <w:r w:rsidRPr="005E6DC9">
              <w:rPr>
                <w:sz w:val="20"/>
                <w:szCs w:val="20"/>
              </w:rPr>
              <w:t>625</w:t>
            </w:r>
          </w:p>
          <w:p w14:paraId="1EE931F6" w14:textId="6B24FAAC" w:rsidR="005E6DC9" w:rsidRPr="005E6DC9" w:rsidRDefault="005E6DC9" w:rsidP="00C80CE7">
            <w:pPr>
              <w:jc w:val="right"/>
              <w:rPr>
                <w:sz w:val="20"/>
                <w:szCs w:val="20"/>
              </w:rPr>
            </w:pPr>
            <w:r w:rsidRPr="005E6DC9">
              <w:rPr>
                <w:sz w:val="20"/>
                <w:szCs w:val="20"/>
              </w:rPr>
              <w:t>(-8.23</w:t>
            </w:r>
            <w:r>
              <w:rPr>
                <w:sz w:val="20"/>
                <w:szCs w:val="20"/>
              </w:rPr>
              <w:t>%)</w:t>
            </w:r>
          </w:p>
        </w:tc>
        <w:tc>
          <w:tcPr>
            <w:tcW w:w="1134" w:type="dxa"/>
            <w:noWrap/>
            <w:vAlign w:val="center"/>
            <w:hideMark/>
          </w:tcPr>
          <w:p w14:paraId="085CB9FC" w14:textId="7A310BC5"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798</w:t>
            </w:r>
            <w:r w:rsidR="00EF4455">
              <w:rPr>
                <w:sz w:val="20"/>
                <w:szCs w:val="20"/>
              </w:rPr>
              <w:t>,</w:t>
            </w:r>
            <w:r w:rsidRPr="005E6DC9">
              <w:rPr>
                <w:sz w:val="20"/>
                <w:szCs w:val="20"/>
              </w:rPr>
              <w:t>620</w:t>
            </w:r>
          </w:p>
          <w:p w14:paraId="732E6A81" w14:textId="2A10A2B9" w:rsidR="005E6DC9" w:rsidRPr="005E6DC9" w:rsidRDefault="005E6DC9" w:rsidP="00C80CE7">
            <w:pPr>
              <w:jc w:val="right"/>
              <w:rPr>
                <w:sz w:val="20"/>
                <w:szCs w:val="20"/>
              </w:rPr>
            </w:pPr>
            <w:r w:rsidRPr="005E6DC9">
              <w:rPr>
                <w:sz w:val="20"/>
                <w:szCs w:val="20"/>
              </w:rPr>
              <w:t>(-5.37</w:t>
            </w:r>
            <w:r>
              <w:rPr>
                <w:sz w:val="20"/>
                <w:szCs w:val="20"/>
              </w:rPr>
              <w:t>%)</w:t>
            </w:r>
          </w:p>
        </w:tc>
      </w:tr>
      <w:tr w:rsidR="005E6DC9" w:rsidRPr="005E6DC9" w14:paraId="738CE7C7" w14:textId="77777777" w:rsidTr="00C80CE7">
        <w:trPr>
          <w:trHeight w:val="300"/>
        </w:trPr>
        <w:tc>
          <w:tcPr>
            <w:tcW w:w="1802" w:type="dxa"/>
            <w:noWrap/>
            <w:vAlign w:val="center"/>
            <w:hideMark/>
          </w:tcPr>
          <w:p w14:paraId="09289B11" w14:textId="77777777" w:rsidR="005E6DC9" w:rsidRPr="005E6DC9" w:rsidRDefault="005E6DC9" w:rsidP="00C80CE7">
            <w:pPr>
              <w:rPr>
                <w:sz w:val="20"/>
                <w:szCs w:val="20"/>
              </w:rPr>
            </w:pPr>
            <w:r w:rsidRPr="005E6DC9">
              <w:rPr>
                <w:sz w:val="20"/>
                <w:szCs w:val="20"/>
              </w:rPr>
              <w:t>PARACETAMOL + CODEINE</w:t>
            </w:r>
          </w:p>
        </w:tc>
        <w:tc>
          <w:tcPr>
            <w:tcW w:w="1134" w:type="dxa"/>
            <w:noWrap/>
            <w:vAlign w:val="center"/>
            <w:hideMark/>
          </w:tcPr>
          <w:p w14:paraId="75D1A2F4" w14:textId="58A8991D" w:rsidR="005E6DC9" w:rsidRPr="005E6DC9" w:rsidRDefault="005E6DC9" w:rsidP="00C80CE7">
            <w:pPr>
              <w:jc w:val="right"/>
              <w:rPr>
                <w:sz w:val="20"/>
                <w:szCs w:val="20"/>
              </w:rPr>
            </w:pPr>
            <w:r w:rsidRPr="005E6DC9">
              <w:rPr>
                <w:sz w:val="20"/>
                <w:szCs w:val="20"/>
              </w:rPr>
              <w:t>3</w:t>
            </w:r>
            <w:r>
              <w:rPr>
                <w:sz w:val="20"/>
                <w:szCs w:val="20"/>
              </w:rPr>
              <w:t>,</w:t>
            </w:r>
            <w:r w:rsidRPr="005E6DC9">
              <w:rPr>
                <w:sz w:val="20"/>
                <w:szCs w:val="20"/>
              </w:rPr>
              <w:t>638</w:t>
            </w:r>
            <w:r>
              <w:rPr>
                <w:sz w:val="20"/>
                <w:szCs w:val="20"/>
              </w:rPr>
              <w:t>,</w:t>
            </w:r>
            <w:r w:rsidRPr="005E6DC9">
              <w:rPr>
                <w:sz w:val="20"/>
                <w:szCs w:val="20"/>
              </w:rPr>
              <w:t>329</w:t>
            </w:r>
          </w:p>
        </w:tc>
        <w:tc>
          <w:tcPr>
            <w:tcW w:w="1134" w:type="dxa"/>
            <w:noWrap/>
            <w:vAlign w:val="center"/>
            <w:hideMark/>
          </w:tcPr>
          <w:p w14:paraId="08EA7746" w14:textId="09C1FFA4"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546</w:t>
            </w:r>
            <w:r w:rsidR="00EF4455">
              <w:rPr>
                <w:sz w:val="20"/>
                <w:szCs w:val="20"/>
              </w:rPr>
              <w:t>,</w:t>
            </w:r>
            <w:r w:rsidRPr="005E6DC9">
              <w:rPr>
                <w:sz w:val="20"/>
                <w:szCs w:val="20"/>
              </w:rPr>
              <w:t>024</w:t>
            </w:r>
          </w:p>
          <w:p w14:paraId="06656B4C" w14:textId="260313B0" w:rsidR="005E6DC9" w:rsidRPr="005E6DC9" w:rsidRDefault="005E6DC9" w:rsidP="00C80CE7">
            <w:pPr>
              <w:jc w:val="right"/>
              <w:rPr>
                <w:sz w:val="20"/>
                <w:szCs w:val="20"/>
              </w:rPr>
            </w:pPr>
            <w:r w:rsidRPr="005E6DC9">
              <w:rPr>
                <w:sz w:val="20"/>
                <w:szCs w:val="20"/>
              </w:rPr>
              <w:t>(-2.54</w:t>
            </w:r>
            <w:r>
              <w:rPr>
                <w:sz w:val="20"/>
                <w:szCs w:val="20"/>
              </w:rPr>
              <w:t>%)</w:t>
            </w:r>
          </w:p>
        </w:tc>
        <w:tc>
          <w:tcPr>
            <w:tcW w:w="1134" w:type="dxa"/>
            <w:noWrap/>
            <w:vAlign w:val="center"/>
            <w:hideMark/>
          </w:tcPr>
          <w:p w14:paraId="481B8487" w14:textId="251C00BD"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004</w:t>
            </w:r>
            <w:r w:rsidR="00EF4455">
              <w:rPr>
                <w:sz w:val="20"/>
                <w:szCs w:val="20"/>
              </w:rPr>
              <w:t>,</w:t>
            </w:r>
            <w:r w:rsidRPr="005E6DC9">
              <w:rPr>
                <w:sz w:val="20"/>
                <w:szCs w:val="20"/>
              </w:rPr>
              <w:t>165</w:t>
            </w:r>
          </w:p>
          <w:p w14:paraId="7BD1F170" w14:textId="11B0CDBD" w:rsidR="005E6DC9" w:rsidRPr="005E6DC9" w:rsidRDefault="005E6DC9" w:rsidP="00C80CE7">
            <w:pPr>
              <w:jc w:val="right"/>
              <w:rPr>
                <w:sz w:val="20"/>
                <w:szCs w:val="20"/>
              </w:rPr>
            </w:pPr>
            <w:r w:rsidRPr="005E6DC9">
              <w:rPr>
                <w:sz w:val="20"/>
                <w:szCs w:val="20"/>
              </w:rPr>
              <w:t>(12.92</w:t>
            </w:r>
            <w:r>
              <w:rPr>
                <w:sz w:val="20"/>
                <w:szCs w:val="20"/>
              </w:rPr>
              <w:t>%)</w:t>
            </w:r>
          </w:p>
        </w:tc>
        <w:tc>
          <w:tcPr>
            <w:tcW w:w="1134" w:type="dxa"/>
            <w:noWrap/>
            <w:vAlign w:val="center"/>
            <w:hideMark/>
          </w:tcPr>
          <w:p w14:paraId="4B3660E2" w14:textId="637F48D8"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892</w:t>
            </w:r>
            <w:r w:rsidR="00EF4455">
              <w:rPr>
                <w:sz w:val="20"/>
                <w:szCs w:val="20"/>
              </w:rPr>
              <w:t>,</w:t>
            </w:r>
            <w:r w:rsidRPr="005E6DC9">
              <w:rPr>
                <w:sz w:val="20"/>
                <w:szCs w:val="20"/>
              </w:rPr>
              <w:t>053</w:t>
            </w:r>
          </w:p>
          <w:p w14:paraId="402843AF" w14:textId="2333C32F" w:rsidR="005E6DC9" w:rsidRPr="005E6DC9" w:rsidRDefault="005E6DC9" w:rsidP="00C80CE7">
            <w:pPr>
              <w:jc w:val="right"/>
              <w:rPr>
                <w:sz w:val="20"/>
                <w:szCs w:val="20"/>
              </w:rPr>
            </w:pPr>
            <w:r w:rsidRPr="005E6DC9">
              <w:rPr>
                <w:sz w:val="20"/>
                <w:szCs w:val="20"/>
              </w:rPr>
              <w:t>(-2.8</w:t>
            </w:r>
            <w:r w:rsidR="007E4823">
              <w:rPr>
                <w:sz w:val="20"/>
                <w:szCs w:val="20"/>
              </w:rPr>
              <w:t>0</w:t>
            </w:r>
            <w:r>
              <w:rPr>
                <w:sz w:val="20"/>
                <w:szCs w:val="20"/>
              </w:rPr>
              <w:t>%)</w:t>
            </w:r>
          </w:p>
        </w:tc>
        <w:tc>
          <w:tcPr>
            <w:tcW w:w="1134" w:type="dxa"/>
            <w:noWrap/>
            <w:vAlign w:val="center"/>
            <w:hideMark/>
          </w:tcPr>
          <w:p w14:paraId="3CBF6BE8" w14:textId="02E4663C"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639</w:t>
            </w:r>
            <w:r w:rsidR="00EF4455">
              <w:rPr>
                <w:sz w:val="20"/>
                <w:szCs w:val="20"/>
              </w:rPr>
              <w:t>,</w:t>
            </w:r>
            <w:r w:rsidRPr="005E6DC9">
              <w:rPr>
                <w:sz w:val="20"/>
                <w:szCs w:val="20"/>
              </w:rPr>
              <w:t>428</w:t>
            </w:r>
          </w:p>
          <w:p w14:paraId="63B95CED" w14:textId="57130674" w:rsidR="005E6DC9" w:rsidRPr="005E6DC9" w:rsidRDefault="005E6DC9" w:rsidP="00C80CE7">
            <w:pPr>
              <w:jc w:val="right"/>
              <w:rPr>
                <w:sz w:val="20"/>
                <w:szCs w:val="20"/>
              </w:rPr>
            </w:pPr>
            <w:r w:rsidRPr="005E6DC9">
              <w:rPr>
                <w:sz w:val="20"/>
                <w:szCs w:val="20"/>
              </w:rPr>
              <w:t>(-6.49</w:t>
            </w:r>
            <w:r>
              <w:rPr>
                <w:sz w:val="20"/>
                <w:szCs w:val="20"/>
              </w:rPr>
              <w:t>%)</w:t>
            </w:r>
          </w:p>
        </w:tc>
        <w:tc>
          <w:tcPr>
            <w:tcW w:w="1134" w:type="dxa"/>
            <w:noWrap/>
            <w:vAlign w:val="center"/>
            <w:hideMark/>
          </w:tcPr>
          <w:p w14:paraId="6292770E" w14:textId="26BE8AAD"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394</w:t>
            </w:r>
            <w:r w:rsidR="00EF4455">
              <w:rPr>
                <w:sz w:val="20"/>
                <w:szCs w:val="20"/>
              </w:rPr>
              <w:t>,</w:t>
            </w:r>
            <w:r w:rsidRPr="005E6DC9">
              <w:rPr>
                <w:sz w:val="20"/>
                <w:szCs w:val="20"/>
              </w:rPr>
              <w:t>697</w:t>
            </w:r>
          </w:p>
          <w:p w14:paraId="592ECD75" w14:textId="57AC1891" w:rsidR="005E6DC9" w:rsidRPr="005E6DC9" w:rsidRDefault="005E6DC9" w:rsidP="00C80CE7">
            <w:pPr>
              <w:jc w:val="right"/>
              <w:rPr>
                <w:sz w:val="20"/>
                <w:szCs w:val="20"/>
              </w:rPr>
            </w:pPr>
            <w:r w:rsidRPr="005E6DC9">
              <w:rPr>
                <w:sz w:val="20"/>
                <w:szCs w:val="20"/>
              </w:rPr>
              <w:t>(-6.72</w:t>
            </w:r>
            <w:r>
              <w:rPr>
                <w:sz w:val="20"/>
                <w:szCs w:val="20"/>
              </w:rPr>
              <w:t>%)</w:t>
            </w:r>
          </w:p>
        </w:tc>
      </w:tr>
      <w:tr w:rsidR="005E6DC9" w:rsidRPr="005E6DC9" w14:paraId="778F137B" w14:textId="77777777" w:rsidTr="00C80CE7">
        <w:trPr>
          <w:trHeight w:val="300"/>
        </w:trPr>
        <w:tc>
          <w:tcPr>
            <w:tcW w:w="1802" w:type="dxa"/>
            <w:noWrap/>
            <w:vAlign w:val="center"/>
            <w:hideMark/>
          </w:tcPr>
          <w:p w14:paraId="7FA4BB2B" w14:textId="77777777" w:rsidR="005E6DC9" w:rsidRPr="005E6DC9" w:rsidRDefault="005E6DC9" w:rsidP="00C80CE7">
            <w:pPr>
              <w:rPr>
                <w:sz w:val="20"/>
                <w:szCs w:val="20"/>
              </w:rPr>
            </w:pPr>
            <w:r w:rsidRPr="005E6DC9">
              <w:rPr>
                <w:sz w:val="20"/>
                <w:szCs w:val="20"/>
              </w:rPr>
              <w:t>PREGABALIN</w:t>
            </w:r>
          </w:p>
        </w:tc>
        <w:tc>
          <w:tcPr>
            <w:tcW w:w="1134" w:type="dxa"/>
            <w:noWrap/>
            <w:vAlign w:val="center"/>
            <w:hideMark/>
          </w:tcPr>
          <w:p w14:paraId="6DAD66D1" w14:textId="7EFB5E6C" w:rsidR="005E6DC9" w:rsidRPr="005E6DC9" w:rsidRDefault="005E6DC9" w:rsidP="00C80CE7">
            <w:pPr>
              <w:jc w:val="right"/>
              <w:rPr>
                <w:sz w:val="20"/>
                <w:szCs w:val="20"/>
              </w:rPr>
            </w:pPr>
            <w:r w:rsidRPr="005E6DC9">
              <w:rPr>
                <w:sz w:val="20"/>
                <w:szCs w:val="20"/>
              </w:rPr>
              <w:t>3</w:t>
            </w:r>
            <w:r w:rsidR="00EF4455">
              <w:rPr>
                <w:sz w:val="20"/>
                <w:szCs w:val="20"/>
              </w:rPr>
              <w:t>,</w:t>
            </w:r>
            <w:r w:rsidRPr="005E6DC9">
              <w:rPr>
                <w:sz w:val="20"/>
                <w:szCs w:val="20"/>
              </w:rPr>
              <w:t>644</w:t>
            </w:r>
            <w:r w:rsidR="00EF4455">
              <w:rPr>
                <w:sz w:val="20"/>
                <w:szCs w:val="20"/>
              </w:rPr>
              <w:t>,</w:t>
            </w:r>
            <w:r w:rsidRPr="005E6DC9">
              <w:rPr>
                <w:sz w:val="20"/>
                <w:szCs w:val="20"/>
              </w:rPr>
              <w:t>033</w:t>
            </w:r>
          </w:p>
        </w:tc>
        <w:tc>
          <w:tcPr>
            <w:tcW w:w="1134" w:type="dxa"/>
            <w:noWrap/>
            <w:vAlign w:val="center"/>
            <w:hideMark/>
          </w:tcPr>
          <w:p w14:paraId="7B6CA057" w14:textId="77777777" w:rsidR="005E6DC9" w:rsidRPr="005E6DC9" w:rsidRDefault="005E6DC9" w:rsidP="00C80CE7">
            <w:pPr>
              <w:jc w:val="right"/>
              <w:rPr>
                <w:sz w:val="20"/>
                <w:szCs w:val="20"/>
              </w:rPr>
            </w:pPr>
            <w:r w:rsidRPr="005E6DC9">
              <w:rPr>
                <w:sz w:val="20"/>
                <w:szCs w:val="20"/>
              </w:rPr>
              <w:t>3951026</w:t>
            </w:r>
          </w:p>
          <w:p w14:paraId="304E460E" w14:textId="66598049" w:rsidR="005E6DC9" w:rsidRPr="005E6DC9" w:rsidRDefault="005E6DC9" w:rsidP="00C80CE7">
            <w:pPr>
              <w:jc w:val="right"/>
              <w:rPr>
                <w:sz w:val="20"/>
                <w:szCs w:val="20"/>
              </w:rPr>
            </w:pPr>
            <w:r w:rsidRPr="005E6DC9">
              <w:rPr>
                <w:sz w:val="20"/>
                <w:szCs w:val="20"/>
              </w:rPr>
              <w:t>(8.42</w:t>
            </w:r>
            <w:r>
              <w:rPr>
                <w:sz w:val="20"/>
                <w:szCs w:val="20"/>
              </w:rPr>
              <w:t>%)</w:t>
            </w:r>
          </w:p>
        </w:tc>
        <w:tc>
          <w:tcPr>
            <w:tcW w:w="1134" w:type="dxa"/>
            <w:noWrap/>
            <w:vAlign w:val="center"/>
            <w:hideMark/>
          </w:tcPr>
          <w:p w14:paraId="4810C206" w14:textId="2D0A29D4"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141</w:t>
            </w:r>
            <w:r w:rsidR="00EF4455">
              <w:rPr>
                <w:sz w:val="20"/>
                <w:szCs w:val="20"/>
              </w:rPr>
              <w:t>,</w:t>
            </w:r>
            <w:r w:rsidRPr="005E6DC9">
              <w:rPr>
                <w:sz w:val="20"/>
                <w:szCs w:val="20"/>
              </w:rPr>
              <w:t>471</w:t>
            </w:r>
          </w:p>
          <w:p w14:paraId="45E250BE" w14:textId="6C049A05" w:rsidR="005E6DC9" w:rsidRPr="005E6DC9" w:rsidRDefault="005E6DC9" w:rsidP="00C80CE7">
            <w:pPr>
              <w:jc w:val="right"/>
              <w:rPr>
                <w:sz w:val="20"/>
                <w:szCs w:val="20"/>
              </w:rPr>
            </w:pPr>
            <w:r w:rsidRPr="005E6DC9">
              <w:rPr>
                <w:sz w:val="20"/>
                <w:szCs w:val="20"/>
              </w:rPr>
              <w:t>(4.82</w:t>
            </w:r>
            <w:r>
              <w:rPr>
                <w:sz w:val="20"/>
                <w:szCs w:val="20"/>
              </w:rPr>
              <w:t>%)</w:t>
            </w:r>
          </w:p>
        </w:tc>
        <w:tc>
          <w:tcPr>
            <w:tcW w:w="1134" w:type="dxa"/>
            <w:noWrap/>
            <w:vAlign w:val="center"/>
            <w:hideMark/>
          </w:tcPr>
          <w:p w14:paraId="2A1458D4" w14:textId="3B6CAD3D"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032</w:t>
            </w:r>
            <w:r w:rsidR="00EF4455">
              <w:rPr>
                <w:sz w:val="20"/>
                <w:szCs w:val="20"/>
              </w:rPr>
              <w:t>,</w:t>
            </w:r>
            <w:r w:rsidRPr="005E6DC9">
              <w:rPr>
                <w:sz w:val="20"/>
                <w:szCs w:val="20"/>
              </w:rPr>
              <w:t>332</w:t>
            </w:r>
          </w:p>
          <w:p w14:paraId="164051B5" w14:textId="112F45C8" w:rsidR="005E6DC9" w:rsidRPr="005E6DC9" w:rsidRDefault="005E6DC9" w:rsidP="00C80CE7">
            <w:pPr>
              <w:jc w:val="right"/>
              <w:rPr>
                <w:sz w:val="20"/>
                <w:szCs w:val="20"/>
              </w:rPr>
            </w:pPr>
            <w:r w:rsidRPr="005E6DC9">
              <w:rPr>
                <w:sz w:val="20"/>
                <w:szCs w:val="20"/>
              </w:rPr>
              <w:t>(-2.64</w:t>
            </w:r>
            <w:r>
              <w:rPr>
                <w:sz w:val="20"/>
                <w:szCs w:val="20"/>
              </w:rPr>
              <w:t>%)</w:t>
            </w:r>
          </w:p>
        </w:tc>
        <w:tc>
          <w:tcPr>
            <w:tcW w:w="1134" w:type="dxa"/>
            <w:noWrap/>
            <w:vAlign w:val="center"/>
            <w:hideMark/>
          </w:tcPr>
          <w:p w14:paraId="4F21943E" w14:textId="3403D6B5"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098</w:t>
            </w:r>
            <w:r w:rsidR="00EF4455">
              <w:rPr>
                <w:sz w:val="20"/>
                <w:szCs w:val="20"/>
              </w:rPr>
              <w:t>,</w:t>
            </w:r>
            <w:r w:rsidRPr="005E6DC9">
              <w:rPr>
                <w:sz w:val="20"/>
                <w:szCs w:val="20"/>
              </w:rPr>
              <w:t>539</w:t>
            </w:r>
          </w:p>
          <w:p w14:paraId="3C8B4793" w14:textId="2ED22B65" w:rsidR="005E6DC9" w:rsidRPr="005E6DC9" w:rsidRDefault="005E6DC9" w:rsidP="00C80CE7">
            <w:pPr>
              <w:jc w:val="right"/>
              <w:rPr>
                <w:sz w:val="20"/>
                <w:szCs w:val="20"/>
              </w:rPr>
            </w:pPr>
            <w:r w:rsidRPr="005E6DC9">
              <w:rPr>
                <w:sz w:val="20"/>
                <w:szCs w:val="20"/>
              </w:rPr>
              <w:t>(1.64</w:t>
            </w:r>
            <w:r>
              <w:rPr>
                <w:sz w:val="20"/>
                <w:szCs w:val="20"/>
              </w:rPr>
              <w:t>%)</w:t>
            </w:r>
          </w:p>
        </w:tc>
        <w:tc>
          <w:tcPr>
            <w:tcW w:w="1134" w:type="dxa"/>
            <w:noWrap/>
            <w:vAlign w:val="center"/>
            <w:hideMark/>
          </w:tcPr>
          <w:p w14:paraId="11DA3813" w14:textId="471A99BD" w:rsidR="005E6DC9" w:rsidRPr="005E6DC9" w:rsidRDefault="005E6DC9" w:rsidP="00C80CE7">
            <w:pPr>
              <w:jc w:val="right"/>
              <w:rPr>
                <w:sz w:val="20"/>
                <w:szCs w:val="20"/>
              </w:rPr>
            </w:pPr>
            <w:r w:rsidRPr="005E6DC9">
              <w:rPr>
                <w:sz w:val="20"/>
                <w:szCs w:val="20"/>
              </w:rPr>
              <w:t>4</w:t>
            </w:r>
            <w:r w:rsidR="00EF4455">
              <w:rPr>
                <w:sz w:val="20"/>
                <w:szCs w:val="20"/>
              </w:rPr>
              <w:t>,</w:t>
            </w:r>
            <w:r w:rsidRPr="005E6DC9">
              <w:rPr>
                <w:sz w:val="20"/>
                <w:szCs w:val="20"/>
              </w:rPr>
              <w:t>090</w:t>
            </w:r>
            <w:r w:rsidR="00EF4455">
              <w:rPr>
                <w:sz w:val="20"/>
                <w:szCs w:val="20"/>
              </w:rPr>
              <w:t>,</w:t>
            </w:r>
            <w:r w:rsidRPr="005E6DC9">
              <w:rPr>
                <w:sz w:val="20"/>
                <w:szCs w:val="20"/>
              </w:rPr>
              <w:t>620</w:t>
            </w:r>
          </w:p>
          <w:p w14:paraId="46459C6E" w14:textId="1B73F93B" w:rsidR="005E6DC9" w:rsidRPr="005E6DC9" w:rsidRDefault="005E6DC9" w:rsidP="00C80CE7">
            <w:pPr>
              <w:jc w:val="right"/>
              <w:rPr>
                <w:sz w:val="20"/>
                <w:szCs w:val="20"/>
              </w:rPr>
            </w:pPr>
            <w:r w:rsidRPr="005E6DC9">
              <w:rPr>
                <w:sz w:val="20"/>
                <w:szCs w:val="20"/>
              </w:rPr>
              <w:t>(-0.19</w:t>
            </w:r>
            <w:r>
              <w:rPr>
                <w:sz w:val="20"/>
                <w:szCs w:val="20"/>
              </w:rPr>
              <w:t>%)</w:t>
            </w:r>
          </w:p>
        </w:tc>
      </w:tr>
      <w:tr w:rsidR="005E6DC9" w:rsidRPr="005E6DC9" w14:paraId="279236F3" w14:textId="77777777" w:rsidTr="00C80CE7">
        <w:trPr>
          <w:trHeight w:val="300"/>
        </w:trPr>
        <w:tc>
          <w:tcPr>
            <w:tcW w:w="1802" w:type="dxa"/>
            <w:noWrap/>
            <w:vAlign w:val="center"/>
            <w:hideMark/>
          </w:tcPr>
          <w:p w14:paraId="46EB48A0" w14:textId="77777777" w:rsidR="005E6DC9" w:rsidRPr="005E6DC9" w:rsidRDefault="005E6DC9" w:rsidP="00C80CE7">
            <w:pPr>
              <w:rPr>
                <w:sz w:val="20"/>
                <w:szCs w:val="20"/>
              </w:rPr>
            </w:pPr>
            <w:r w:rsidRPr="005E6DC9">
              <w:rPr>
                <w:sz w:val="20"/>
                <w:szCs w:val="20"/>
              </w:rPr>
              <w:t>TAPENTADOL</w:t>
            </w:r>
          </w:p>
        </w:tc>
        <w:tc>
          <w:tcPr>
            <w:tcW w:w="1134" w:type="dxa"/>
            <w:noWrap/>
            <w:vAlign w:val="center"/>
            <w:hideMark/>
          </w:tcPr>
          <w:p w14:paraId="4B4DEE2D" w14:textId="50F557F7" w:rsidR="005E6DC9" w:rsidRPr="005E6DC9" w:rsidRDefault="005E6DC9" w:rsidP="00C80CE7">
            <w:pPr>
              <w:jc w:val="right"/>
              <w:rPr>
                <w:sz w:val="20"/>
                <w:szCs w:val="20"/>
              </w:rPr>
            </w:pPr>
            <w:r w:rsidRPr="005E6DC9">
              <w:rPr>
                <w:sz w:val="20"/>
                <w:szCs w:val="20"/>
              </w:rPr>
              <w:t>421</w:t>
            </w:r>
            <w:r w:rsidR="00EF4455">
              <w:rPr>
                <w:sz w:val="20"/>
                <w:szCs w:val="20"/>
              </w:rPr>
              <w:t>,</w:t>
            </w:r>
            <w:r w:rsidRPr="005E6DC9">
              <w:rPr>
                <w:sz w:val="20"/>
                <w:szCs w:val="20"/>
              </w:rPr>
              <w:t>131</w:t>
            </w:r>
          </w:p>
        </w:tc>
        <w:tc>
          <w:tcPr>
            <w:tcW w:w="1134" w:type="dxa"/>
            <w:noWrap/>
            <w:vAlign w:val="center"/>
            <w:hideMark/>
          </w:tcPr>
          <w:p w14:paraId="26F20681" w14:textId="0BEE5311" w:rsidR="005E6DC9" w:rsidRPr="005E6DC9" w:rsidRDefault="005E6DC9" w:rsidP="00C80CE7">
            <w:pPr>
              <w:jc w:val="right"/>
              <w:rPr>
                <w:sz w:val="20"/>
                <w:szCs w:val="20"/>
              </w:rPr>
            </w:pPr>
            <w:r w:rsidRPr="005E6DC9">
              <w:rPr>
                <w:sz w:val="20"/>
                <w:szCs w:val="20"/>
              </w:rPr>
              <w:t>635</w:t>
            </w:r>
            <w:r w:rsidR="00EF4455">
              <w:rPr>
                <w:sz w:val="20"/>
                <w:szCs w:val="20"/>
              </w:rPr>
              <w:t>,</w:t>
            </w:r>
            <w:r w:rsidRPr="005E6DC9">
              <w:rPr>
                <w:sz w:val="20"/>
                <w:szCs w:val="20"/>
              </w:rPr>
              <w:t>853</w:t>
            </w:r>
          </w:p>
          <w:p w14:paraId="07B71C34" w14:textId="19A170F7" w:rsidR="005E6DC9" w:rsidRPr="005E6DC9" w:rsidRDefault="005E6DC9" w:rsidP="00C80CE7">
            <w:pPr>
              <w:jc w:val="right"/>
              <w:rPr>
                <w:sz w:val="20"/>
                <w:szCs w:val="20"/>
              </w:rPr>
            </w:pPr>
            <w:r w:rsidRPr="005E6DC9">
              <w:rPr>
                <w:sz w:val="20"/>
                <w:szCs w:val="20"/>
              </w:rPr>
              <w:t>(50.99</w:t>
            </w:r>
            <w:r>
              <w:rPr>
                <w:sz w:val="20"/>
                <w:szCs w:val="20"/>
              </w:rPr>
              <w:t>%)</w:t>
            </w:r>
          </w:p>
        </w:tc>
        <w:tc>
          <w:tcPr>
            <w:tcW w:w="1134" w:type="dxa"/>
            <w:noWrap/>
            <w:vAlign w:val="center"/>
            <w:hideMark/>
          </w:tcPr>
          <w:p w14:paraId="792CB68B" w14:textId="79F37577" w:rsidR="005E6DC9" w:rsidRPr="005E6DC9" w:rsidRDefault="005E6DC9" w:rsidP="00C80CE7">
            <w:pPr>
              <w:jc w:val="right"/>
              <w:rPr>
                <w:sz w:val="20"/>
                <w:szCs w:val="20"/>
              </w:rPr>
            </w:pPr>
            <w:r w:rsidRPr="005E6DC9">
              <w:rPr>
                <w:sz w:val="20"/>
                <w:szCs w:val="20"/>
              </w:rPr>
              <w:t>819</w:t>
            </w:r>
            <w:r w:rsidR="00EF4455">
              <w:rPr>
                <w:sz w:val="20"/>
                <w:szCs w:val="20"/>
              </w:rPr>
              <w:t>,</w:t>
            </w:r>
            <w:r w:rsidRPr="005E6DC9">
              <w:rPr>
                <w:sz w:val="20"/>
                <w:szCs w:val="20"/>
              </w:rPr>
              <w:t>534</w:t>
            </w:r>
          </w:p>
          <w:p w14:paraId="16C1A0EE" w14:textId="3D1E09A9" w:rsidR="005E6DC9" w:rsidRPr="005E6DC9" w:rsidRDefault="005E6DC9" w:rsidP="00C80CE7">
            <w:pPr>
              <w:jc w:val="right"/>
              <w:rPr>
                <w:sz w:val="20"/>
                <w:szCs w:val="20"/>
              </w:rPr>
            </w:pPr>
            <w:r w:rsidRPr="005E6DC9">
              <w:rPr>
                <w:sz w:val="20"/>
                <w:szCs w:val="20"/>
              </w:rPr>
              <w:t>(28.89</w:t>
            </w:r>
            <w:r>
              <w:rPr>
                <w:sz w:val="20"/>
                <w:szCs w:val="20"/>
              </w:rPr>
              <w:t>%)</w:t>
            </w:r>
          </w:p>
        </w:tc>
        <w:tc>
          <w:tcPr>
            <w:tcW w:w="1134" w:type="dxa"/>
            <w:noWrap/>
            <w:vAlign w:val="center"/>
            <w:hideMark/>
          </w:tcPr>
          <w:p w14:paraId="69D8EC00" w14:textId="407D1B22" w:rsidR="005E6DC9" w:rsidRPr="005E6DC9" w:rsidRDefault="005E6DC9" w:rsidP="00C80CE7">
            <w:pPr>
              <w:jc w:val="right"/>
              <w:rPr>
                <w:sz w:val="20"/>
                <w:szCs w:val="20"/>
              </w:rPr>
            </w:pPr>
            <w:r w:rsidRPr="005E6DC9">
              <w:rPr>
                <w:sz w:val="20"/>
                <w:szCs w:val="20"/>
              </w:rPr>
              <w:t>990</w:t>
            </w:r>
            <w:r w:rsidR="00EF4455">
              <w:rPr>
                <w:sz w:val="20"/>
                <w:szCs w:val="20"/>
              </w:rPr>
              <w:t>,</w:t>
            </w:r>
            <w:r w:rsidRPr="005E6DC9">
              <w:rPr>
                <w:sz w:val="20"/>
                <w:szCs w:val="20"/>
              </w:rPr>
              <w:t>826</w:t>
            </w:r>
          </w:p>
          <w:p w14:paraId="1D477A1E" w14:textId="7DC3FD46" w:rsidR="005E6DC9" w:rsidRPr="005E6DC9" w:rsidRDefault="005E6DC9" w:rsidP="00C80CE7">
            <w:pPr>
              <w:jc w:val="right"/>
              <w:rPr>
                <w:sz w:val="20"/>
                <w:szCs w:val="20"/>
              </w:rPr>
            </w:pPr>
            <w:r w:rsidRPr="005E6DC9">
              <w:rPr>
                <w:sz w:val="20"/>
                <w:szCs w:val="20"/>
              </w:rPr>
              <w:t>(20.9</w:t>
            </w:r>
            <w:r w:rsidR="007E4823">
              <w:rPr>
                <w:sz w:val="20"/>
                <w:szCs w:val="20"/>
              </w:rPr>
              <w:t>0</w:t>
            </w:r>
            <w:r>
              <w:rPr>
                <w:sz w:val="20"/>
                <w:szCs w:val="20"/>
              </w:rPr>
              <w:t>%)</w:t>
            </w:r>
          </w:p>
        </w:tc>
        <w:tc>
          <w:tcPr>
            <w:tcW w:w="1134" w:type="dxa"/>
            <w:noWrap/>
            <w:vAlign w:val="center"/>
            <w:hideMark/>
          </w:tcPr>
          <w:p w14:paraId="2F2D6D2A" w14:textId="20C1F99B"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089</w:t>
            </w:r>
            <w:r w:rsidR="00EF4455">
              <w:rPr>
                <w:sz w:val="20"/>
                <w:szCs w:val="20"/>
              </w:rPr>
              <w:t>,</w:t>
            </w:r>
            <w:r w:rsidRPr="005E6DC9">
              <w:rPr>
                <w:sz w:val="20"/>
                <w:szCs w:val="20"/>
              </w:rPr>
              <w:t>257</w:t>
            </w:r>
          </w:p>
          <w:p w14:paraId="5A249874" w14:textId="38E60CFC" w:rsidR="005E6DC9" w:rsidRPr="005E6DC9" w:rsidRDefault="005E6DC9" w:rsidP="00C80CE7">
            <w:pPr>
              <w:jc w:val="right"/>
              <w:rPr>
                <w:sz w:val="20"/>
                <w:szCs w:val="20"/>
              </w:rPr>
            </w:pPr>
            <w:r w:rsidRPr="005E6DC9">
              <w:rPr>
                <w:sz w:val="20"/>
                <w:szCs w:val="20"/>
              </w:rPr>
              <w:t>(9.93</w:t>
            </w:r>
            <w:r>
              <w:rPr>
                <w:sz w:val="20"/>
                <w:szCs w:val="20"/>
              </w:rPr>
              <w:t>%)</w:t>
            </w:r>
          </w:p>
        </w:tc>
        <w:tc>
          <w:tcPr>
            <w:tcW w:w="1134" w:type="dxa"/>
            <w:noWrap/>
            <w:vAlign w:val="center"/>
            <w:hideMark/>
          </w:tcPr>
          <w:p w14:paraId="2C22DF3C" w14:textId="2B3A50CE"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173</w:t>
            </w:r>
            <w:r w:rsidR="00EF4455">
              <w:rPr>
                <w:sz w:val="20"/>
                <w:szCs w:val="20"/>
              </w:rPr>
              <w:t>,</w:t>
            </w:r>
            <w:r w:rsidRPr="005E6DC9">
              <w:rPr>
                <w:sz w:val="20"/>
                <w:szCs w:val="20"/>
              </w:rPr>
              <w:t>306</w:t>
            </w:r>
          </w:p>
          <w:p w14:paraId="48F985E3" w14:textId="761A4A37" w:rsidR="005E6DC9" w:rsidRPr="005E6DC9" w:rsidRDefault="005E6DC9" w:rsidP="00C80CE7">
            <w:pPr>
              <w:jc w:val="right"/>
              <w:rPr>
                <w:sz w:val="20"/>
                <w:szCs w:val="20"/>
              </w:rPr>
            </w:pPr>
            <w:r w:rsidRPr="005E6DC9">
              <w:rPr>
                <w:sz w:val="20"/>
                <w:szCs w:val="20"/>
              </w:rPr>
              <w:t>(7.72</w:t>
            </w:r>
            <w:r>
              <w:rPr>
                <w:sz w:val="20"/>
                <w:szCs w:val="20"/>
              </w:rPr>
              <w:t>%)</w:t>
            </w:r>
          </w:p>
        </w:tc>
      </w:tr>
      <w:tr w:rsidR="005E6DC9" w:rsidRPr="005E6DC9" w14:paraId="4205E3DC" w14:textId="77777777" w:rsidTr="00C80CE7">
        <w:trPr>
          <w:trHeight w:val="300"/>
        </w:trPr>
        <w:tc>
          <w:tcPr>
            <w:tcW w:w="1802" w:type="dxa"/>
            <w:noWrap/>
            <w:vAlign w:val="center"/>
            <w:hideMark/>
          </w:tcPr>
          <w:p w14:paraId="2F52C7D1" w14:textId="77777777" w:rsidR="005E6DC9" w:rsidRPr="005E6DC9" w:rsidRDefault="005E6DC9" w:rsidP="00C80CE7">
            <w:pPr>
              <w:rPr>
                <w:sz w:val="20"/>
                <w:szCs w:val="20"/>
              </w:rPr>
            </w:pPr>
            <w:r w:rsidRPr="005E6DC9">
              <w:rPr>
                <w:sz w:val="20"/>
                <w:szCs w:val="20"/>
              </w:rPr>
              <w:t>TRAMADOL</w:t>
            </w:r>
          </w:p>
        </w:tc>
        <w:tc>
          <w:tcPr>
            <w:tcW w:w="1134" w:type="dxa"/>
            <w:noWrap/>
            <w:vAlign w:val="center"/>
            <w:hideMark/>
          </w:tcPr>
          <w:p w14:paraId="15C877F7" w14:textId="323849A9"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709</w:t>
            </w:r>
            <w:r w:rsidR="00EF4455">
              <w:rPr>
                <w:sz w:val="20"/>
                <w:szCs w:val="20"/>
              </w:rPr>
              <w:t>,</w:t>
            </w:r>
            <w:r w:rsidRPr="005E6DC9">
              <w:rPr>
                <w:sz w:val="20"/>
                <w:szCs w:val="20"/>
              </w:rPr>
              <w:t>328</w:t>
            </w:r>
          </w:p>
        </w:tc>
        <w:tc>
          <w:tcPr>
            <w:tcW w:w="1134" w:type="dxa"/>
            <w:noWrap/>
            <w:vAlign w:val="center"/>
            <w:hideMark/>
          </w:tcPr>
          <w:p w14:paraId="74C94A7E" w14:textId="15A45A60"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661</w:t>
            </w:r>
            <w:r w:rsidR="00EF4455">
              <w:rPr>
                <w:sz w:val="20"/>
                <w:szCs w:val="20"/>
              </w:rPr>
              <w:t>,</w:t>
            </w:r>
            <w:r w:rsidRPr="005E6DC9">
              <w:rPr>
                <w:sz w:val="20"/>
                <w:szCs w:val="20"/>
              </w:rPr>
              <w:t>166</w:t>
            </w:r>
          </w:p>
          <w:p w14:paraId="46AF0CCE" w14:textId="6E126D30" w:rsidR="005E6DC9" w:rsidRPr="005E6DC9" w:rsidRDefault="005E6DC9" w:rsidP="00C80CE7">
            <w:pPr>
              <w:jc w:val="right"/>
              <w:rPr>
                <w:sz w:val="20"/>
                <w:szCs w:val="20"/>
              </w:rPr>
            </w:pPr>
            <w:r w:rsidRPr="005E6DC9">
              <w:rPr>
                <w:sz w:val="20"/>
                <w:szCs w:val="20"/>
              </w:rPr>
              <w:t>(-1.78</w:t>
            </w:r>
            <w:r>
              <w:rPr>
                <w:sz w:val="20"/>
                <w:szCs w:val="20"/>
              </w:rPr>
              <w:t>%)</w:t>
            </w:r>
          </w:p>
        </w:tc>
        <w:tc>
          <w:tcPr>
            <w:tcW w:w="1134" w:type="dxa"/>
            <w:noWrap/>
            <w:vAlign w:val="center"/>
            <w:hideMark/>
          </w:tcPr>
          <w:p w14:paraId="3095D0B6" w14:textId="389064A5"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688</w:t>
            </w:r>
            <w:r w:rsidR="00EF4455">
              <w:rPr>
                <w:sz w:val="20"/>
                <w:szCs w:val="20"/>
              </w:rPr>
              <w:t>,</w:t>
            </w:r>
            <w:r w:rsidRPr="005E6DC9">
              <w:rPr>
                <w:sz w:val="20"/>
                <w:szCs w:val="20"/>
              </w:rPr>
              <w:t>619</w:t>
            </w:r>
          </w:p>
          <w:p w14:paraId="448B1F04" w14:textId="46EED293" w:rsidR="005E6DC9" w:rsidRPr="005E6DC9" w:rsidRDefault="005E6DC9" w:rsidP="00C80CE7">
            <w:pPr>
              <w:jc w:val="right"/>
              <w:rPr>
                <w:sz w:val="20"/>
                <w:szCs w:val="20"/>
              </w:rPr>
            </w:pPr>
            <w:r w:rsidRPr="005E6DC9">
              <w:rPr>
                <w:sz w:val="20"/>
                <w:szCs w:val="20"/>
              </w:rPr>
              <w:t>(1.03</w:t>
            </w:r>
            <w:r>
              <w:rPr>
                <w:sz w:val="20"/>
                <w:szCs w:val="20"/>
              </w:rPr>
              <w:t>%)</w:t>
            </w:r>
          </w:p>
        </w:tc>
        <w:tc>
          <w:tcPr>
            <w:tcW w:w="1134" w:type="dxa"/>
            <w:noWrap/>
            <w:vAlign w:val="center"/>
            <w:hideMark/>
          </w:tcPr>
          <w:p w14:paraId="5D80BC52" w14:textId="7C9795DD"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586</w:t>
            </w:r>
            <w:r w:rsidR="00EF4455">
              <w:rPr>
                <w:sz w:val="20"/>
                <w:szCs w:val="20"/>
              </w:rPr>
              <w:t>,</w:t>
            </w:r>
            <w:r w:rsidRPr="005E6DC9">
              <w:rPr>
                <w:sz w:val="20"/>
                <w:szCs w:val="20"/>
              </w:rPr>
              <w:t>222</w:t>
            </w:r>
          </w:p>
          <w:p w14:paraId="2831B0AD" w14:textId="548F5CE0" w:rsidR="005E6DC9" w:rsidRPr="005E6DC9" w:rsidRDefault="005E6DC9" w:rsidP="00C80CE7">
            <w:pPr>
              <w:jc w:val="right"/>
              <w:rPr>
                <w:sz w:val="20"/>
                <w:szCs w:val="20"/>
              </w:rPr>
            </w:pPr>
            <w:r w:rsidRPr="005E6DC9">
              <w:rPr>
                <w:sz w:val="20"/>
                <w:szCs w:val="20"/>
              </w:rPr>
              <w:t>(-3.81</w:t>
            </w:r>
            <w:r>
              <w:rPr>
                <w:sz w:val="20"/>
                <w:szCs w:val="20"/>
              </w:rPr>
              <w:t>%)</w:t>
            </w:r>
          </w:p>
        </w:tc>
        <w:tc>
          <w:tcPr>
            <w:tcW w:w="1134" w:type="dxa"/>
            <w:noWrap/>
            <w:vAlign w:val="center"/>
            <w:hideMark/>
          </w:tcPr>
          <w:p w14:paraId="6A60623D" w14:textId="18B73236" w:rsidR="005E6DC9" w:rsidRPr="005E6DC9" w:rsidRDefault="005E6DC9" w:rsidP="00C80CE7">
            <w:pPr>
              <w:jc w:val="right"/>
              <w:rPr>
                <w:sz w:val="20"/>
                <w:szCs w:val="20"/>
              </w:rPr>
            </w:pPr>
            <w:r w:rsidRPr="005E6DC9">
              <w:rPr>
                <w:sz w:val="20"/>
                <w:szCs w:val="20"/>
              </w:rPr>
              <w:t>2</w:t>
            </w:r>
            <w:r w:rsidR="00EF4455">
              <w:rPr>
                <w:sz w:val="20"/>
                <w:szCs w:val="20"/>
              </w:rPr>
              <w:t>,</w:t>
            </w:r>
            <w:r w:rsidRPr="005E6DC9">
              <w:rPr>
                <w:sz w:val="20"/>
                <w:szCs w:val="20"/>
              </w:rPr>
              <w:t>151</w:t>
            </w:r>
            <w:r w:rsidR="00EF4455">
              <w:rPr>
                <w:sz w:val="20"/>
                <w:szCs w:val="20"/>
              </w:rPr>
              <w:t>,</w:t>
            </w:r>
            <w:r w:rsidRPr="005E6DC9">
              <w:rPr>
                <w:sz w:val="20"/>
                <w:szCs w:val="20"/>
              </w:rPr>
              <w:t>893</w:t>
            </w:r>
          </w:p>
          <w:p w14:paraId="1553969F" w14:textId="4085712D" w:rsidR="005E6DC9" w:rsidRPr="005E6DC9" w:rsidRDefault="005E6DC9" w:rsidP="00C80CE7">
            <w:pPr>
              <w:jc w:val="right"/>
              <w:rPr>
                <w:sz w:val="20"/>
                <w:szCs w:val="20"/>
              </w:rPr>
            </w:pPr>
            <w:r w:rsidRPr="005E6DC9">
              <w:rPr>
                <w:sz w:val="20"/>
                <w:szCs w:val="20"/>
              </w:rPr>
              <w:t>(-16.79</w:t>
            </w:r>
            <w:r>
              <w:rPr>
                <w:sz w:val="20"/>
                <w:szCs w:val="20"/>
              </w:rPr>
              <w:t>%)</w:t>
            </w:r>
          </w:p>
        </w:tc>
        <w:tc>
          <w:tcPr>
            <w:tcW w:w="1134" w:type="dxa"/>
            <w:noWrap/>
            <w:vAlign w:val="center"/>
            <w:hideMark/>
          </w:tcPr>
          <w:p w14:paraId="076DC87F" w14:textId="77F36559" w:rsidR="005E6DC9" w:rsidRPr="005E6DC9" w:rsidRDefault="005E6DC9" w:rsidP="00C80CE7">
            <w:pPr>
              <w:jc w:val="right"/>
              <w:rPr>
                <w:sz w:val="20"/>
                <w:szCs w:val="20"/>
              </w:rPr>
            </w:pPr>
            <w:r w:rsidRPr="005E6DC9">
              <w:rPr>
                <w:sz w:val="20"/>
                <w:szCs w:val="20"/>
              </w:rPr>
              <w:t>1</w:t>
            </w:r>
            <w:r w:rsidR="00EF4455">
              <w:rPr>
                <w:sz w:val="20"/>
                <w:szCs w:val="20"/>
              </w:rPr>
              <w:t>,</w:t>
            </w:r>
            <w:r w:rsidRPr="005E6DC9">
              <w:rPr>
                <w:sz w:val="20"/>
                <w:szCs w:val="20"/>
              </w:rPr>
              <w:t>764</w:t>
            </w:r>
            <w:r w:rsidR="00EF4455">
              <w:rPr>
                <w:sz w:val="20"/>
                <w:szCs w:val="20"/>
              </w:rPr>
              <w:t>,</w:t>
            </w:r>
            <w:r w:rsidRPr="005E6DC9">
              <w:rPr>
                <w:sz w:val="20"/>
                <w:szCs w:val="20"/>
              </w:rPr>
              <w:t>083</w:t>
            </w:r>
          </w:p>
          <w:p w14:paraId="42C606F6" w14:textId="54F51F9E" w:rsidR="005E6DC9" w:rsidRPr="005E6DC9" w:rsidRDefault="005E6DC9" w:rsidP="00C80CE7">
            <w:pPr>
              <w:jc w:val="right"/>
              <w:rPr>
                <w:sz w:val="20"/>
                <w:szCs w:val="20"/>
              </w:rPr>
            </w:pPr>
            <w:r w:rsidRPr="005E6DC9">
              <w:rPr>
                <w:sz w:val="20"/>
                <w:szCs w:val="20"/>
              </w:rPr>
              <w:t>(-18.02</w:t>
            </w:r>
            <w:r>
              <w:rPr>
                <w:sz w:val="20"/>
                <w:szCs w:val="20"/>
              </w:rPr>
              <w:t>%)</w:t>
            </w:r>
          </w:p>
        </w:tc>
      </w:tr>
      <w:tr w:rsidR="00AF43E5" w:rsidRPr="005E6DC9" w14:paraId="2539F39A" w14:textId="77777777" w:rsidTr="00C80CE7">
        <w:trPr>
          <w:trHeight w:val="300"/>
        </w:trPr>
        <w:tc>
          <w:tcPr>
            <w:tcW w:w="1802" w:type="dxa"/>
            <w:noWrap/>
            <w:vAlign w:val="center"/>
          </w:tcPr>
          <w:p w14:paraId="405FADB6" w14:textId="353CAD60" w:rsidR="00AF43E5" w:rsidRPr="00AF43E5" w:rsidRDefault="00AF43E5" w:rsidP="00C80CE7">
            <w:pPr>
              <w:rPr>
                <w:sz w:val="20"/>
                <w:szCs w:val="20"/>
              </w:rPr>
            </w:pPr>
            <w:r w:rsidRPr="00AF43E5">
              <w:rPr>
                <w:sz w:val="20"/>
                <w:szCs w:val="20"/>
              </w:rPr>
              <w:t>TOTAL</w:t>
            </w:r>
            <w:r w:rsidR="0019255B">
              <w:rPr>
                <w:sz w:val="20"/>
                <w:szCs w:val="20"/>
              </w:rPr>
              <w:t xml:space="preserve"> PRESCRIPTIONS</w:t>
            </w:r>
          </w:p>
        </w:tc>
        <w:tc>
          <w:tcPr>
            <w:tcW w:w="1134" w:type="dxa"/>
            <w:noWrap/>
            <w:vAlign w:val="center"/>
          </w:tcPr>
          <w:p w14:paraId="3197FE81" w14:textId="27216160" w:rsidR="00AF43E5" w:rsidRPr="00AF43E5" w:rsidRDefault="00AF43E5" w:rsidP="00C80CE7">
            <w:pPr>
              <w:jc w:val="right"/>
              <w:rPr>
                <w:sz w:val="20"/>
                <w:szCs w:val="20"/>
              </w:rPr>
            </w:pPr>
            <w:r w:rsidRPr="00AF43E5">
              <w:rPr>
                <w:sz w:val="20"/>
                <w:szCs w:val="20"/>
              </w:rPr>
              <w:t>18</w:t>
            </w:r>
            <w:r>
              <w:rPr>
                <w:sz w:val="20"/>
                <w:szCs w:val="20"/>
              </w:rPr>
              <w:t>,</w:t>
            </w:r>
            <w:r w:rsidRPr="00AF43E5">
              <w:rPr>
                <w:sz w:val="20"/>
                <w:szCs w:val="20"/>
              </w:rPr>
              <w:t>917</w:t>
            </w:r>
            <w:r>
              <w:rPr>
                <w:sz w:val="20"/>
                <w:szCs w:val="20"/>
              </w:rPr>
              <w:t>,</w:t>
            </w:r>
            <w:r w:rsidRPr="00AF43E5">
              <w:rPr>
                <w:sz w:val="20"/>
                <w:szCs w:val="20"/>
              </w:rPr>
              <w:t>901</w:t>
            </w:r>
          </w:p>
        </w:tc>
        <w:tc>
          <w:tcPr>
            <w:tcW w:w="1134" w:type="dxa"/>
            <w:noWrap/>
            <w:vAlign w:val="center"/>
          </w:tcPr>
          <w:p w14:paraId="37C50153" w14:textId="000DBD52" w:rsidR="00AF43E5" w:rsidRDefault="00AF43E5" w:rsidP="00C80CE7">
            <w:pPr>
              <w:jc w:val="right"/>
              <w:rPr>
                <w:sz w:val="20"/>
                <w:szCs w:val="20"/>
              </w:rPr>
            </w:pPr>
            <w:r w:rsidRPr="00AF43E5">
              <w:rPr>
                <w:sz w:val="20"/>
                <w:szCs w:val="20"/>
              </w:rPr>
              <w:t>19</w:t>
            </w:r>
            <w:r>
              <w:rPr>
                <w:sz w:val="20"/>
                <w:szCs w:val="20"/>
              </w:rPr>
              <w:t>,</w:t>
            </w:r>
            <w:r w:rsidRPr="00AF43E5">
              <w:rPr>
                <w:sz w:val="20"/>
                <w:szCs w:val="20"/>
              </w:rPr>
              <w:t>355</w:t>
            </w:r>
            <w:r>
              <w:rPr>
                <w:sz w:val="20"/>
                <w:szCs w:val="20"/>
              </w:rPr>
              <w:t>,</w:t>
            </w:r>
            <w:r w:rsidRPr="00AF43E5">
              <w:rPr>
                <w:sz w:val="20"/>
                <w:szCs w:val="20"/>
              </w:rPr>
              <w:t>160</w:t>
            </w:r>
          </w:p>
          <w:p w14:paraId="2F0B571B" w14:textId="04F4F091" w:rsidR="00AF43E5" w:rsidRPr="00AF43E5" w:rsidRDefault="00AF43E5" w:rsidP="00C80CE7">
            <w:pPr>
              <w:jc w:val="right"/>
              <w:rPr>
                <w:sz w:val="20"/>
                <w:szCs w:val="20"/>
              </w:rPr>
            </w:pPr>
            <w:r w:rsidRPr="00AF43E5">
              <w:rPr>
                <w:sz w:val="20"/>
                <w:szCs w:val="20"/>
              </w:rPr>
              <w:t>(2.31</w:t>
            </w:r>
            <w:r>
              <w:rPr>
                <w:sz w:val="20"/>
                <w:szCs w:val="20"/>
              </w:rPr>
              <w:t>%)</w:t>
            </w:r>
          </w:p>
        </w:tc>
        <w:tc>
          <w:tcPr>
            <w:tcW w:w="1134" w:type="dxa"/>
            <w:noWrap/>
            <w:vAlign w:val="center"/>
          </w:tcPr>
          <w:p w14:paraId="2AD4BBCA" w14:textId="5B0E303F" w:rsidR="00AF43E5" w:rsidRDefault="00AF43E5" w:rsidP="00C80CE7">
            <w:pPr>
              <w:jc w:val="right"/>
              <w:rPr>
                <w:sz w:val="20"/>
                <w:szCs w:val="20"/>
              </w:rPr>
            </w:pPr>
            <w:r w:rsidRPr="00AF43E5">
              <w:rPr>
                <w:sz w:val="20"/>
                <w:szCs w:val="20"/>
              </w:rPr>
              <w:t>19</w:t>
            </w:r>
            <w:r>
              <w:rPr>
                <w:sz w:val="20"/>
                <w:szCs w:val="20"/>
              </w:rPr>
              <w:t>,</w:t>
            </w:r>
            <w:r w:rsidRPr="00AF43E5">
              <w:rPr>
                <w:sz w:val="20"/>
                <w:szCs w:val="20"/>
              </w:rPr>
              <w:t>972</w:t>
            </w:r>
            <w:r>
              <w:rPr>
                <w:sz w:val="20"/>
                <w:szCs w:val="20"/>
              </w:rPr>
              <w:t>,</w:t>
            </w:r>
            <w:r w:rsidRPr="00AF43E5">
              <w:rPr>
                <w:sz w:val="20"/>
                <w:szCs w:val="20"/>
              </w:rPr>
              <w:t>873</w:t>
            </w:r>
          </w:p>
          <w:p w14:paraId="61198225" w14:textId="5B8E99AB" w:rsidR="00AF43E5" w:rsidRPr="00AF43E5" w:rsidRDefault="00AF43E5" w:rsidP="00C80CE7">
            <w:pPr>
              <w:jc w:val="right"/>
              <w:rPr>
                <w:sz w:val="20"/>
                <w:szCs w:val="20"/>
              </w:rPr>
            </w:pPr>
            <w:r w:rsidRPr="00AF43E5">
              <w:rPr>
                <w:sz w:val="20"/>
                <w:szCs w:val="20"/>
              </w:rPr>
              <w:t>(3.19</w:t>
            </w:r>
            <w:r>
              <w:rPr>
                <w:sz w:val="20"/>
                <w:szCs w:val="20"/>
              </w:rPr>
              <w:t>%)</w:t>
            </w:r>
          </w:p>
        </w:tc>
        <w:tc>
          <w:tcPr>
            <w:tcW w:w="1134" w:type="dxa"/>
            <w:noWrap/>
            <w:vAlign w:val="center"/>
          </w:tcPr>
          <w:p w14:paraId="1102B9D4" w14:textId="0A2D1399" w:rsidR="00AF43E5" w:rsidRDefault="00AF43E5" w:rsidP="00C80CE7">
            <w:pPr>
              <w:jc w:val="right"/>
              <w:rPr>
                <w:sz w:val="20"/>
                <w:szCs w:val="20"/>
              </w:rPr>
            </w:pPr>
            <w:r w:rsidRPr="00AF43E5">
              <w:rPr>
                <w:sz w:val="20"/>
                <w:szCs w:val="20"/>
              </w:rPr>
              <w:t>19</w:t>
            </w:r>
            <w:r>
              <w:rPr>
                <w:sz w:val="20"/>
                <w:szCs w:val="20"/>
              </w:rPr>
              <w:t>,</w:t>
            </w:r>
            <w:r w:rsidRPr="00AF43E5">
              <w:rPr>
                <w:sz w:val="20"/>
                <w:szCs w:val="20"/>
              </w:rPr>
              <w:t>329</w:t>
            </w:r>
            <w:r>
              <w:rPr>
                <w:sz w:val="20"/>
                <w:szCs w:val="20"/>
              </w:rPr>
              <w:t>,</w:t>
            </w:r>
            <w:r w:rsidRPr="00AF43E5">
              <w:rPr>
                <w:sz w:val="20"/>
                <w:szCs w:val="20"/>
              </w:rPr>
              <w:t>957</w:t>
            </w:r>
          </w:p>
          <w:p w14:paraId="2AA2AF64" w14:textId="7FECFAF3" w:rsidR="00AF43E5" w:rsidRPr="00AF43E5" w:rsidRDefault="00AF43E5" w:rsidP="00C80CE7">
            <w:pPr>
              <w:jc w:val="right"/>
              <w:rPr>
                <w:sz w:val="20"/>
                <w:szCs w:val="20"/>
              </w:rPr>
            </w:pPr>
            <w:r w:rsidRPr="00AF43E5">
              <w:rPr>
                <w:sz w:val="20"/>
                <w:szCs w:val="20"/>
              </w:rPr>
              <w:t>(-3.22</w:t>
            </w:r>
            <w:r>
              <w:rPr>
                <w:sz w:val="20"/>
                <w:szCs w:val="20"/>
              </w:rPr>
              <w:t>%)</w:t>
            </w:r>
          </w:p>
        </w:tc>
        <w:tc>
          <w:tcPr>
            <w:tcW w:w="1134" w:type="dxa"/>
            <w:noWrap/>
            <w:vAlign w:val="center"/>
          </w:tcPr>
          <w:p w14:paraId="77627CDE" w14:textId="324319C5" w:rsidR="00AF43E5" w:rsidRDefault="00AF43E5" w:rsidP="00C80CE7">
            <w:pPr>
              <w:jc w:val="right"/>
              <w:rPr>
                <w:sz w:val="20"/>
                <w:szCs w:val="20"/>
              </w:rPr>
            </w:pPr>
            <w:r w:rsidRPr="00AF43E5">
              <w:rPr>
                <w:sz w:val="20"/>
                <w:szCs w:val="20"/>
              </w:rPr>
              <w:t>18</w:t>
            </w:r>
            <w:r>
              <w:rPr>
                <w:sz w:val="20"/>
                <w:szCs w:val="20"/>
              </w:rPr>
              <w:t>,</w:t>
            </w:r>
            <w:r w:rsidRPr="00AF43E5">
              <w:rPr>
                <w:sz w:val="20"/>
                <w:szCs w:val="20"/>
              </w:rPr>
              <w:t>403</w:t>
            </w:r>
            <w:r>
              <w:rPr>
                <w:sz w:val="20"/>
                <w:szCs w:val="20"/>
              </w:rPr>
              <w:t>,</w:t>
            </w:r>
            <w:r w:rsidRPr="00AF43E5">
              <w:rPr>
                <w:sz w:val="20"/>
                <w:szCs w:val="20"/>
              </w:rPr>
              <w:t>851</w:t>
            </w:r>
          </w:p>
          <w:p w14:paraId="3E2F6306" w14:textId="3B32264C" w:rsidR="00AF43E5" w:rsidRPr="00AF43E5" w:rsidRDefault="00AF43E5" w:rsidP="00C80CE7">
            <w:pPr>
              <w:jc w:val="right"/>
              <w:rPr>
                <w:sz w:val="20"/>
                <w:szCs w:val="20"/>
              </w:rPr>
            </w:pPr>
            <w:r w:rsidRPr="00AF43E5">
              <w:rPr>
                <w:sz w:val="20"/>
                <w:szCs w:val="20"/>
              </w:rPr>
              <w:t>(-4.79</w:t>
            </w:r>
            <w:r>
              <w:rPr>
                <w:sz w:val="20"/>
                <w:szCs w:val="20"/>
              </w:rPr>
              <w:t>%)</w:t>
            </w:r>
          </w:p>
        </w:tc>
        <w:tc>
          <w:tcPr>
            <w:tcW w:w="1134" w:type="dxa"/>
            <w:noWrap/>
            <w:vAlign w:val="center"/>
          </w:tcPr>
          <w:p w14:paraId="4CD44576" w14:textId="6806EABF" w:rsidR="00AF43E5" w:rsidRDefault="00AF43E5" w:rsidP="00C80CE7">
            <w:pPr>
              <w:jc w:val="right"/>
              <w:rPr>
                <w:sz w:val="20"/>
                <w:szCs w:val="20"/>
              </w:rPr>
            </w:pPr>
            <w:r w:rsidRPr="00AF43E5">
              <w:rPr>
                <w:sz w:val="20"/>
                <w:szCs w:val="20"/>
              </w:rPr>
              <w:t>17</w:t>
            </w:r>
            <w:r>
              <w:rPr>
                <w:sz w:val="20"/>
                <w:szCs w:val="20"/>
              </w:rPr>
              <w:t>,</w:t>
            </w:r>
            <w:r w:rsidRPr="00AF43E5">
              <w:rPr>
                <w:sz w:val="20"/>
                <w:szCs w:val="20"/>
              </w:rPr>
              <w:t>632</w:t>
            </w:r>
            <w:r>
              <w:rPr>
                <w:sz w:val="20"/>
                <w:szCs w:val="20"/>
              </w:rPr>
              <w:t>,</w:t>
            </w:r>
            <w:r w:rsidRPr="00AF43E5">
              <w:rPr>
                <w:sz w:val="20"/>
                <w:szCs w:val="20"/>
              </w:rPr>
              <w:t>399</w:t>
            </w:r>
          </w:p>
          <w:p w14:paraId="3AF6B2E6" w14:textId="646B4357" w:rsidR="00AF43E5" w:rsidRPr="00AF43E5" w:rsidRDefault="00AF43E5" w:rsidP="00C80CE7">
            <w:pPr>
              <w:jc w:val="right"/>
              <w:rPr>
                <w:sz w:val="20"/>
                <w:szCs w:val="20"/>
              </w:rPr>
            </w:pPr>
            <w:r w:rsidRPr="00AF43E5">
              <w:rPr>
                <w:sz w:val="20"/>
                <w:szCs w:val="20"/>
              </w:rPr>
              <w:t>(-4.19</w:t>
            </w:r>
            <w:r>
              <w:rPr>
                <w:sz w:val="20"/>
                <w:szCs w:val="20"/>
              </w:rPr>
              <w:t>%)</w:t>
            </w:r>
          </w:p>
        </w:tc>
      </w:tr>
      <w:tr w:rsidR="00C631F5" w:rsidRPr="00C631F5" w14:paraId="6809867F" w14:textId="77777777" w:rsidTr="00C80CE7">
        <w:trPr>
          <w:trHeight w:val="300"/>
        </w:trPr>
        <w:tc>
          <w:tcPr>
            <w:tcW w:w="1802" w:type="dxa"/>
            <w:noWrap/>
            <w:vAlign w:val="center"/>
          </w:tcPr>
          <w:p w14:paraId="5414968F" w14:textId="04DA7BF4" w:rsidR="00C631F5" w:rsidRPr="00C631F5" w:rsidRDefault="00C631F5" w:rsidP="00C80CE7">
            <w:pPr>
              <w:rPr>
                <w:sz w:val="20"/>
                <w:szCs w:val="20"/>
              </w:rPr>
            </w:pPr>
            <w:r w:rsidRPr="00C631F5">
              <w:rPr>
                <w:sz w:val="20"/>
                <w:szCs w:val="20"/>
              </w:rPr>
              <w:t>TREATED PATIENTS</w:t>
            </w:r>
          </w:p>
        </w:tc>
        <w:tc>
          <w:tcPr>
            <w:tcW w:w="1134" w:type="dxa"/>
            <w:noWrap/>
            <w:vAlign w:val="center"/>
          </w:tcPr>
          <w:p w14:paraId="34E0E03D" w14:textId="0CACD778" w:rsidR="00C631F5" w:rsidRPr="00C631F5" w:rsidRDefault="00C631F5" w:rsidP="00C80CE7">
            <w:pPr>
              <w:jc w:val="right"/>
              <w:rPr>
                <w:sz w:val="20"/>
                <w:szCs w:val="20"/>
              </w:rPr>
            </w:pPr>
            <w:r w:rsidRPr="00C631F5">
              <w:rPr>
                <w:sz w:val="20"/>
                <w:szCs w:val="20"/>
              </w:rPr>
              <w:t>3</w:t>
            </w:r>
            <w:r>
              <w:rPr>
                <w:sz w:val="20"/>
                <w:szCs w:val="20"/>
              </w:rPr>
              <w:t>,</w:t>
            </w:r>
            <w:r w:rsidRPr="00C631F5">
              <w:rPr>
                <w:sz w:val="20"/>
                <w:szCs w:val="20"/>
              </w:rPr>
              <w:t>335</w:t>
            </w:r>
            <w:r>
              <w:rPr>
                <w:sz w:val="20"/>
                <w:szCs w:val="20"/>
              </w:rPr>
              <w:t>,</w:t>
            </w:r>
            <w:r w:rsidRPr="00C631F5">
              <w:rPr>
                <w:sz w:val="20"/>
                <w:szCs w:val="20"/>
              </w:rPr>
              <w:t>666</w:t>
            </w:r>
          </w:p>
        </w:tc>
        <w:tc>
          <w:tcPr>
            <w:tcW w:w="1134" w:type="dxa"/>
            <w:noWrap/>
            <w:vAlign w:val="center"/>
          </w:tcPr>
          <w:p w14:paraId="7C69295D" w14:textId="77777777" w:rsidR="00C631F5" w:rsidRDefault="00C631F5" w:rsidP="00C80CE7">
            <w:pPr>
              <w:jc w:val="right"/>
              <w:rPr>
                <w:sz w:val="20"/>
                <w:szCs w:val="20"/>
              </w:rPr>
            </w:pPr>
            <w:r w:rsidRPr="00C631F5">
              <w:rPr>
                <w:sz w:val="20"/>
                <w:szCs w:val="20"/>
              </w:rPr>
              <w:t>3</w:t>
            </w:r>
            <w:r>
              <w:rPr>
                <w:sz w:val="20"/>
                <w:szCs w:val="20"/>
              </w:rPr>
              <w:t>,</w:t>
            </w:r>
            <w:r w:rsidRPr="00C631F5">
              <w:rPr>
                <w:sz w:val="20"/>
                <w:szCs w:val="20"/>
              </w:rPr>
              <w:t>364</w:t>
            </w:r>
            <w:r>
              <w:rPr>
                <w:sz w:val="20"/>
                <w:szCs w:val="20"/>
              </w:rPr>
              <w:t>,</w:t>
            </w:r>
            <w:r w:rsidRPr="00C631F5">
              <w:rPr>
                <w:sz w:val="20"/>
                <w:szCs w:val="20"/>
              </w:rPr>
              <w:t>710</w:t>
            </w:r>
          </w:p>
          <w:p w14:paraId="32075A67" w14:textId="70E0D570" w:rsidR="00C631F5" w:rsidRPr="00C631F5" w:rsidRDefault="00C631F5" w:rsidP="00C80CE7">
            <w:pPr>
              <w:jc w:val="right"/>
              <w:rPr>
                <w:sz w:val="20"/>
                <w:szCs w:val="20"/>
              </w:rPr>
            </w:pPr>
            <w:r w:rsidRPr="00C631F5">
              <w:rPr>
                <w:sz w:val="20"/>
                <w:szCs w:val="20"/>
              </w:rPr>
              <w:t>(0.87%)</w:t>
            </w:r>
          </w:p>
        </w:tc>
        <w:tc>
          <w:tcPr>
            <w:tcW w:w="1134" w:type="dxa"/>
            <w:noWrap/>
            <w:vAlign w:val="center"/>
          </w:tcPr>
          <w:p w14:paraId="5982DFBA" w14:textId="77777777" w:rsidR="00C631F5" w:rsidRDefault="00C631F5" w:rsidP="00C80CE7">
            <w:pPr>
              <w:jc w:val="right"/>
              <w:rPr>
                <w:sz w:val="20"/>
                <w:szCs w:val="20"/>
              </w:rPr>
            </w:pPr>
            <w:r w:rsidRPr="00C631F5">
              <w:rPr>
                <w:sz w:val="20"/>
                <w:szCs w:val="20"/>
              </w:rPr>
              <w:t>3</w:t>
            </w:r>
            <w:r>
              <w:rPr>
                <w:sz w:val="20"/>
                <w:szCs w:val="20"/>
              </w:rPr>
              <w:t>,</w:t>
            </w:r>
            <w:r w:rsidRPr="00C631F5">
              <w:rPr>
                <w:sz w:val="20"/>
                <w:szCs w:val="20"/>
              </w:rPr>
              <w:t>450</w:t>
            </w:r>
            <w:r>
              <w:rPr>
                <w:sz w:val="20"/>
                <w:szCs w:val="20"/>
              </w:rPr>
              <w:t>,</w:t>
            </w:r>
            <w:r w:rsidRPr="00C631F5">
              <w:rPr>
                <w:sz w:val="20"/>
                <w:szCs w:val="20"/>
              </w:rPr>
              <w:t>825</w:t>
            </w:r>
          </w:p>
          <w:p w14:paraId="5F23FDE1" w14:textId="6964C267" w:rsidR="00C631F5" w:rsidRPr="00C631F5" w:rsidRDefault="00C631F5" w:rsidP="00C80CE7">
            <w:pPr>
              <w:jc w:val="right"/>
              <w:rPr>
                <w:sz w:val="20"/>
                <w:szCs w:val="20"/>
              </w:rPr>
            </w:pPr>
            <w:r w:rsidRPr="00C631F5">
              <w:rPr>
                <w:sz w:val="20"/>
                <w:szCs w:val="20"/>
              </w:rPr>
              <w:t>(2.56%)</w:t>
            </w:r>
          </w:p>
        </w:tc>
        <w:tc>
          <w:tcPr>
            <w:tcW w:w="1134" w:type="dxa"/>
            <w:noWrap/>
            <w:vAlign w:val="center"/>
          </w:tcPr>
          <w:p w14:paraId="506AC425" w14:textId="77777777" w:rsidR="00C631F5" w:rsidRDefault="00C631F5" w:rsidP="00C80CE7">
            <w:pPr>
              <w:jc w:val="right"/>
              <w:rPr>
                <w:sz w:val="20"/>
                <w:szCs w:val="20"/>
              </w:rPr>
            </w:pPr>
            <w:r w:rsidRPr="00C631F5">
              <w:rPr>
                <w:sz w:val="20"/>
                <w:szCs w:val="20"/>
              </w:rPr>
              <w:t>3</w:t>
            </w:r>
            <w:r>
              <w:rPr>
                <w:sz w:val="20"/>
                <w:szCs w:val="20"/>
              </w:rPr>
              <w:t>,</w:t>
            </w:r>
            <w:r w:rsidRPr="00C631F5">
              <w:rPr>
                <w:sz w:val="20"/>
                <w:szCs w:val="20"/>
              </w:rPr>
              <w:t>387</w:t>
            </w:r>
            <w:r>
              <w:rPr>
                <w:sz w:val="20"/>
                <w:szCs w:val="20"/>
              </w:rPr>
              <w:t>,</w:t>
            </w:r>
            <w:r w:rsidRPr="00C631F5">
              <w:rPr>
                <w:sz w:val="20"/>
                <w:szCs w:val="20"/>
              </w:rPr>
              <w:t>099</w:t>
            </w:r>
          </w:p>
          <w:p w14:paraId="02CF8020" w14:textId="0CCDDB82" w:rsidR="00C631F5" w:rsidRPr="00C631F5" w:rsidRDefault="00C631F5" w:rsidP="00C80CE7">
            <w:pPr>
              <w:jc w:val="right"/>
              <w:rPr>
                <w:sz w:val="20"/>
                <w:szCs w:val="20"/>
              </w:rPr>
            </w:pPr>
            <w:r w:rsidRPr="00C631F5">
              <w:rPr>
                <w:sz w:val="20"/>
                <w:szCs w:val="20"/>
              </w:rPr>
              <w:t>(-1.85%)</w:t>
            </w:r>
          </w:p>
        </w:tc>
        <w:tc>
          <w:tcPr>
            <w:tcW w:w="1134" w:type="dxa"/>
            <w:noWrap/>
            <w:vAlign w:val="center"/>
          </w:tcPr>
          <w:p w14:paraId="60A4F5CC" w14:textId="77777777" w:rsidR="00C631F5" w:rsidRDefault="00C631F5" w:rsidP="00C80CE7">
            <w:pPr>
              <w:jc w:val="right"/>
              <w:rPr>
                <w:sz w:val="20"/>
                <w:szCs w:val="20"/>
              </w:rPr>
            </w:pPr>
            <w:r w:rsidRPr="00C631F5">
              <w:rPr>
                <w:sz w:val="20"/>
                <w:szCs w:val="20"/>
              </w:rPr>
              <w:t>3</w:t>
            </w:r>
            <w:r>
              <w:rPr>
                <w:sz w:val="20"/>
                <w:szCs w:val="20"/>
              </w:rPr>
              <w:t>,</w:t>
            </w:r>
            <w:r w:rsidRPr="00C631F5">
              <w:rPr>
                <w:sz w:val="20"/>
                <w:szCs w:val="20"/>
              </w:rPr>
              <w:t>193</w:t>
            </w:r>
            <w:r>
              <w:rPr>
                <w:sz w:val="20"/>
                <w:szCs w:val="20"/>
              </w:rPr>
              <w:t>,</w:t>
            </w:r>
            <w:r w:rsidRPr="00C631F5">
              <w:rPr>
                <w:sz w:val="20"/>
                <w:szCs w:val="20"/>
              </w:rPr>
              <w:t>524</w:t>
            </w:r>
          </w:p>
          <w:p w14:paraId="6D7307DD" w14:textId="2AF3A8F1" w:rsidR="00C631F5" w:rsidRPr="00C631F5" w:rsidRDefault="00C631F5" w:rsidP="00C80CE7">
            <w:pPr>
              <w:jc w:val="right"/>
              <w:rPr>
                <w:sz w:val="20"/>
                <w:szCs w:val="20"/>
              </w:rPr>
            </w:pPr>
            <w:r w:rsidRPr="00C631F5">
              <w:rPr>
                <w:sz w:val="20"/>
                <w:szCs w:val="20"/>
              </w:rPr>
              <w:t>(-5.72%)</w:t>
            </w:r>
          </w:p>
        </w:tc>
        <w:tc>
          <w:tcPr>
            <w:tcW w:w="1134" w:type="dxa"/>
            <w:noWrap/>
            <w:vAlign w:val="center"/>
          </w:tcPr>
          <w:p w14:paraId="6454F462" w14:textId="77777777" w:rsidR="00C631F5" w:rsidRDefault="00C631F5" w:rsidP="00C80CE7">
            <w:pPr>
              <w:jc w:val="right"/>
              <w:rPr>
                <w:sz w:val="20"/>
                <w:szCs w:val="20"/>
              </w:rPr>
            </w:pPr>
            <w:r w:rsidRPr="00C631F5">
              <w:rPr>
                <w:sz w:val="20"/>
                <w:szCs w:val="20"/>
              </w:rPr>
              <w:t>3</w:t>
            </w:r>
            <w:r>
              <w:rPr>
                <w:sz w:val="20"/>
                <w:szCs w:val="20"/>
              </w:rPr>
              <w:t>,</w:t>
            </w:r>
            <w:r w:rsidRPr="00C631F5">
              <w:rPr>
                <w:sz w:val="20"/>
                <w:szCs w:val="20"/>
              </w:rPr>
              <w:t>183</w:t>
            </w:r>
            <w:r>
              <w:rPr>
                <w:sz w:val="20"/>
                <w:szCs w:val="20"/>
              </w:rPr>
              <w:t>,</w:t>
            </w:r>
            <w:r w:rsidRPr="00C631F5">
              <w:rPr>
                <w:sz w:val="20"/>
                <w:szCs w:val="20"/>
              </w:rPr>
              <w:t>838</w:t>
            </w:r>
          </w:p>
          <w:p w14:paraId="7101AAFC" w14:textId="62D868A7" w:rsidR="00C631F5" w:rsidRPr="00C631F5" w:rsidRDefault="00C631F5" w:rsidP="00C80CE7">
            <w:pPr>
              <w:jc w:val="right"/>
              <w:rPr>
                <w:sz w:val="20"/>
                <w:szCs w:val="20"/>
              </w:rPr>
            </w:pPr>
            <w:r w:rsidRPr="00C631F5">
              <w:rPr>
                <w:sz w:val="20"/>
                <w:szCs w:val="20"/>
              </w:rPr>
              <w:t>(-0.3</w:t>
            </w:r>
            <w:r w:rsidR="007E4823">
              <w:rPr>
                <w:sz w:val="20"/>
                <w:szCs w:val="20"/>
              </w:rPr>
              <w:t>0</w:t>
            </w:r>
            <w:r w:rsidRPr="00C631F5">
              <w:rPr>
                <w:sz w:val="20"/>
                <w:szCs w:val="20"/>
              </w:rPr>
              <w:t>%)</w:t>
            </w:r>
          </w:p>
        </w:tc>
      </w:tr>
    </w:tbl>
    <w:p w14:paraId="3AFFF3E3" w14:textId="4F0FDF91" w:rsidR="00F80A92" w:rsidRDefault="00A86211" w:rsidP="00C631F5">
      <w:pPr>
        <w:pStyle w:val="Notes"/>
      </w:pPr>
      <w:r>
        <w:t>Note: Year to date of 2022 is not included</w:t>
      </w:r>
    </w:p>
    <w:p w14:paraId="56A2EEB1" w14:textId="43ABE354" w:rsidR="00EF4455" w:rsidRDefault="00EF4455" w:rsidP="00BF09AD"/>
    <w:p w14:paraId="17DE5C1C" w14:textId="396872C7" w:rsidR="00C631F5" w:rsidRDefault="00EF4455" w:rsidP="001F2AE0">
      <w:r>
        <w:t xml:space="preserve">Table </w:t>
      </w:r>
      <w:r w:rsidR="00373F55">
        <w:t>4</w:t>
      </w:r>
      <w:r>
        <w:t xml:space="preserve"> confirms that</w:t>
      </w:r>
      <w:r w:rsidR="00AF43E5">
        <w:t xml:space="preserve"> there was a decrease in the total number of prescriptions supplied in each year included in the analysis. In 2020 there was a 4.8% reduction and a 4.2% reduction in 2021. </w:t>
      </w:r>
      <w:r w:rsidR="00C631F5">
        <w:t>The number of treated patients grew in 2017 and 2018, and has been declining since 2019. The largest percent reduction was in 2020 (5.7%).</w:t>
      </w:r>
    </w:p>
    <w:p w14:paraId="3070C667" w14:textId="4648C962" w:rsidR="001F2AE0" w:rsidRDefault="00AF43E5" w:rsidP="001F2AE0">
      <w:r>
        <w:t xml:space="preserve">Table </w:t>
      </w:r>
      <w:r w:rsidR="0046280F">
        <w:t>4</w:t>
      </w:r>
      <w:r>
        <w:t xml:space="preserve"> </w:t>
      </w:r>
      <w:r w:rsidR="00C631F5">
        <w:t xml:space="preserve">also </w:t>
      </w:r>
      <w:r>
        <w:t xml:space="preserve">confirms that </w:t>
      </w:r>
      <w:r w:rsidR="00EF4455">
        <w:t>fentanyl and tramadol have had consistent reductions in the number of supplied prescriptions over time. The use of codeine reduced by almost 25% in 2020, but grew modestly in 2021. The use of tapentadol, which is available as a modified release formulation, is the only medicine which shows consistent growth</w:t>
      </w:r>
      <w:r w:rsidR="004D6213">
        <w:t xml:space="preserve"> in prescriptions supplied</w:t>
      </w:r>
      <w:r w:rsidR="00EF4455">
        <w:t xml:space="preserve"> over the last five calendar years.</w:t>
      </w:r>
      <w:r w:rsidR="001F2AE0" w:rsidRPr="001F2AE0">
        <w:t xml:space="preserve"> </w:t>
      </w:r>
    </w:p>
    <w:p w14:paraId="3A356A82" w14:textId="5DE151AC" w:rsidR="001F2AE0" w:rsidRDefault="001F2AE0" w:rsidP="001F2AE0">
      <w:r w:rsidRPr="00BF09AD">
        <w:t xml:space="preserve">Figure </w:t>
      </w:r>
      <w:r w:rsidR="0046280F">
        <w:t>3</w:t>
      </w:r>
      <w:r>
        <w:t xml:space="preserve"> shows the utilisation of PBS </w:t>
      </w:r>
      <w:r w:rsidRPr="00BF09AD">
        <w:t xml:space="preserve">prescriptions for opioids and other selected analgesics by drug </w:t>
      </w:r>
      <w:r>
        <w:t xml:space="preserve">by </w:t>
      </w:r>
      <w:r w:rsidRPr="00BF09AD">
        <w:t xml:space="preserve">months </w:t>
      </w:r>
      <w:r>
        <w:t>from January 2019</w:t>
      </w:r>
      <w:r w:rsidRPr="00BF09AD">
        <w:t xml:space="preserve"> to show the COVID-19 pandemic lockdown effect.</w:t>
      </w:r>
    </w:p>
    <w:p w14:paraId="343CDDFD" w14:textId="2E43BF2A" w:rsidR="00EF4455" w:rsidRDefault="00EF4455" w:rsidP="00BF09AD"/>
    <w:p w14:paraId="0838FE73" w14:textId="2F428A17" w:rsidR="00F80A92" w:rsidRDefault="00F80A92" w:rsidP="00BF09AD">
      <w:r>
        <w:rPr>
          <w:noProof/>
        </w:rPr>
        <w:lastRenderedPageBreak/>
        <w:drawing>
          <wp:inline distT="0" distB="0" distL="0" distR="0" wp14:anchorId="26B86FB2" wp14:editId="24D2C81F">
            <wp:extent cx="5687695" cy="4520242"/>
            <wp:effectExtent l="0" t="0" r="8255" b="13970"/>
            <wp:docPr id="2" name="Chart 2" descr="Number of prescriptions by drug by month">
              <a:extLst xmlns:a="http://schemas.openxmlformats.org/drawingml/2006/main">
                <a:ext uri="{FF2B5EF4-FFF2-40B4-BE49-F238E27FC236}">
                  <a16:creationId xmlns:a16="http://schemas.microsoft.com/office/drawing/2014/main" id="{A22AF7E3-50ED-4B56-940D-BF3BF4E88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131979" w14:textId="5F37A9CB" w:rsidR="0075009A" w:rsidRPr="0075009A" w:rsidRDefault="0075009A" w:rsidP="0075009A">
      <w:pPr>
        <w:pStyle w:val="Figuretitle"/>
      </w:pPr>
      <w:r w:rsidRPr="0075009A">
        <w:t xml:space="preserve">Figure </w:t>
      </w:r>
      <w:r w:rsidR="00783E67">
        <w:t>3</w:t>
      </w:r>
      <w:r w:rsidRPr="0075009A">
        <w:t xml:space="preserve">: Number of prescriptions </w:t>
      </w:r>
      <w:r w:rsidR="006A690B">
        <w:t>by month</w:t>
      </w:r>
    </w:p>
    <w:p w14:paraId="40F63C3F" w14:textId="77777777" w:rsidR="0075009A" w:rsidRDefault="0075009A" w:rsidP="00BF09AD"/>
    <w:p w14:paraId="55BF01C6" w14:textId="0A03A1DF" w:rsidR="00BF09AD" w:rsidRDefault="00BF09AD" w:rsidP="00BF09AD">
      <w:r>
        <w:t xml:space="preserve">It appears there was some stockpiling of prescriptions in March 2020 and a subsequent reduction in April 2020. </w:t>
      </w:r>
      <w:r w:rsidR="0076090B">
        <w:t>T</w:t>
      </w:r>
      <w:r>
        <w:t xml:space="preserve">his effect is close to the opioid reform date of 1 June 2020 and so the quarterly graphs in this report may be slightly confounded by the </w:t>
      </w:r>
      <w:r w:rsidR="0076090B">
        <w:t xml:space="preserve">impact of </w:t>
      </w:r>
      <w:r w:rsidR="00A10CFA">
        <w:t xml:space="preserve">social distancing </w:t>
      </w:r>
      <w:r w:rsidR="0076090B">
        <w:t xml:space="preserve">restrictions during the </w:t>
      </w:r>
      <w:r>
        <w:t xml:space="preserve">COVID-19 </w:t>
      </w:r>
      <w:r w:rsidR="0076090B">
        <w:t>pandemic</w:t>
      </w:r>
      <w:r>
        <w:t xml:space="preserve">, with 2020 Q1 being slightly higher than expected and 2020 Q2 being slightly lower than expected. Despite this, the </w:t>
      </w:r>
      <w:r w:rsidR="007E4823">
        <w:t xml:space="preserve">subsequent </w:t>
      </w:r>
      <w:r>
        <w:t>figures in this report use a time period of quarters rather than months as the latter makes the figures too variable and harder to discern trends.</w:t>
      </w:r>
    </w:p>
    <w:p w14:paraId="2AE26F42" w14:textId="1739DEBC" w:rsidR="00BF09AD" w:rsidRDefault="00BF09AD" w:rsidP="00BF09AD"/>
    <w:p w14:paraId="22227E0F" w14:textId="08D31A50" w:rsidR="00BF09AD" w:rsidRDefault="008C5C88" w:rsidP="00BF09AD">
      <w:r>
        <w:rPr>
          <w:noProof/>
        </w:rPr>
        <w:lastRenderedPageBreak/>
        <w:drawing>
          <wp:inline distT="0" distB="0" distL="0" distR="0" wp14:anchorId="25A523E4" wp14:editId="10380DF2">
            <wp:extent cx="5362575" cy="3804920"/>
            <wp:effectExtent l="0" t="0" r="9525" b="5080"/>
            <wp:docPr id="5" name="Chart 5" descr="Prescriptions of opioids and non-opioids over time">
              <a:extLst xmlns:a="http://schemas.openxmlformats.org/drawingml/2006/main">
                <a:ext uri="{FF2B5EF4-FFF2-40B4-BE49-F238E27FC236}">
                  <a16:creationId xmlns:a16="http://schemas.microsoft.com/office/drawing/2014/main" id="{61A18AD7-124F-4D89-94F4-2B812434C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8962CC" w14:textId="59EDB301" w:rsidR="0075009A" w:rsidRPr="0075009A" w:rsidRDefault="0075009A" w:rsidP="003757DE">
      <w:pPr>
        <w:pStyle w:val="Figuretitle"/>
      </w:pPr>
      <w:r w:rsidRPr="0075009A">
        <w:t xml:space="preserve">Figure </w:t>
      </w:r>
      <w:r w:rsidR="00783E67">
        <w:t>4</w:t>
      </w:r>
      <w:r w:rsidRPr="0075009A">
        <w:t xml:space="preserve">: </w:t>
      </w:r>
      <w:r>
        <w:t>P</w:t>
      </w:r>
      <w:r w:rsidRPr="0075009A">
        <w:t>rescriptions</w:t>
      </w:r>
      <w:r>
        <w:t xml:space="preserve"> of opioids and non-opioids</w:t>
      </w:r>
      <w:r w:rsidRPr="0075009A">
        <w:t xml:space="preserve"> over time</w:t>
      </w:r>
    </w:p>
    <w:p w14:paraId="735DAE4B" w14:textId="77777777" w:rsidR="003757DE" w:rsidRDefault="003757DE" w:rsidP="00BF09AD"/>
    <w:p w14:paraId="6E182898" w14:textId="3196FAD3" w:rsidR="00BF09AD" w:rsidRDefault="00BF09AD" w:rsidP="00BF09AD">
      <w:r w:rsidRPr="00BF09AD">
        <w:t xml:space="preserve">Figure </w:t>
      </w:r>
      <w:r w:rsidR="00783E67">
        <w:t>4</w:t>
      </w:r>
      <w:r w:rsidRPr="00BF09AD">
        <w:t xml:space="preserve"> shows the total PBS prescriptions for opioids and </w:t>
      </w:r>
      <w:r w:rsidR="001F2AE0">
        <w:t>non-opioids</w:t>
      </w:r>
      <w:r w:rsidRPr="00BF09AD">
        <w:t>.</w:t>
      </w:r>
      <w:r>
        <w:t xml:space="preserve"> </w:t>
      </w:r>
      <w:r w:rsidRPr="00BF09AD">
        <w:t xml:space="preserve">Figure </w:t>
      </w:r>
      <w:r w:rsidR="0046280F">
        <w:t>4</w:t>
      </w:r>
      <w:r w:rsidR="001F2AE0" w:rsidRPr="00BF09AD">
        <w:t xml:space="preserve"> </w:t>
      </w:r>
      <w:r w:rsidRPr="00BF09AD">
        <w:t xml:space="preserve">shows that the combined PBS opioid and </w:t>
      </w:r>
      <w:r w:rsidR="001F2AE0">
        <w:t>non-opioid</w:t>
      </w:r>
      <w:r w:rsidR="001F2AE0" w:rsidRPr="00BF09AD">
        <w:t xml:space="preserve"> </w:t>
      </w:r>
      <w:r w:rsidRPr="00BF09AD">
        <w:t xml:space="preserve">prescription market expanded until 2018 and then </w:t>
      </w:r>
      <w:r w:rsidR="001F2AE0">
        <w:t>began</w:t>
      </w:r>
      <w:r w:rsidR="001F2AE0" w:rsidRPr="00BF09AD">
        <w:t xml:space="preserve"> </w:t>
      </w:r>
      <w:r w:rsidRPr="00BF09AD">
        <w:t>to decrease.</w:t>
      </w:r>
    </w:p>
    <w:p w14:paraId="03EE3CF8" w14:textId="0022563A" w:rsidR="00BF09AD" w:rsidRDefault="00BF09AD" w:rsidP="00BF09AD">
      <w:r w:rsidRPr="00BF09AD">
        <w:t xml:space="preserve">Figure </w:t>
      </w:r>
      <w:r w:rsidR="0046280F">
        <w:t>5</w:t>
      </w:r>
      <w:r w:rsidRPr="00BF09AD">
        <w:t xml:space="preserve"> shows prescriptions broken down by whether or not the PBS item is from the palliative care schedule.</w:t>
      </w:r>
    </w:p>
    <w:p w14:paraId="784AB559" w14:textId="232EFF94" w:rsidR="00BF09AD" w:rsidRDefault="008C5C88" w:rsidP="00BF09AD">
      <w:pPr>
        <w:rPr>
          <w:highlight w:val="cyan"/>
        </w:rPr>
      </w:pPr>
      <w:r>
        <w:rPr>
          <w:noProof/>
        </w:rPr>
        <w:lastRenderedPageBreak/>
        <w:drawing>
          <wp:inline distT="0" distB="0" distL="0" distR="0" wp14:anchorId="5D0F8870" wp14:editId="78A56E37">
            <wp:extent cx="5426015" cy="3995420"/>
            <wp:effectExtent l="0" t="0" r="3810" b="5080"/>
            <wp:docPr id="6" name="Chart 6" descr="Prescriptions of opioids and non-opioids over time through the General Schedule vs. Palliative Care Schedule">
              <a:extLst xmlns:a="http://schemas.openxmlformats.org/drawingml/2006/main">
                <a:ext uri="{FF2B5EF4-FFF2-40B4-BE49-F238E27FC236}">
                  <a16:creationId xmlns:a16="http://schemas.microsoft.com/office/drawing/2014/main" id="{1A457412-DAF4-40F3-BCAE-00509B08E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AA3117" w14:textId="0CB06835" w:rsidR="00BF09AD" w:rsidRDefault="00EF4455" w:rsidP="00E53A8F">
      <w:pPr>
        <w:pStyle w:val="Figuretitle"/>
        <w:rPr>
          <w:highlight w:val="cyan"/>
        </w:rPr>
      </w:pPr>
      <w:r w:rsidRPr="00EF4455">
        <w:t xml:space="preserve">Figure </w:t>
      </w:r>
      <w:r w:rsidR="00783E67">
        <w:t>5</w:t>
      </w:r>
      <w:r w:rsidRPr="00EF4455">
        <w:t>: Prescriptions of opioids and non-opioids over time</w:t>
      </w:r>
      <w:r w:rsidR="006C6B0D">
        <w:t xml:space="preserve"> through the General Schedule vs. Palliative Care Schedule</w:t>
      </w:r>
    </w:p>
    <w:p w14:paraId="3022EAB7" w14:textId="469341CD" w:rsidR="00BF09AD" w:rsidRDefault="00BF09AD" w:rsidP="00BF09AD">
      <w:pPr>
        <w:rPr>
          <w:highlight w:val="cyan"/>
        </w:rPr>
      </w:pPr>
    </w:p>
    <w:p w14:paraId="69E5B7D1" w14:textId="6C6B4F8F" w:rsidR="00BF09AD" w:rsidRDefault="00BF09AD" w:rsidP="00BF09AD">
      <w:r>
        <w:t xml:space="preserve">Figure </w:t>
      </w:r>
      <w:r w:rsidR="00783E67">
        <w:t>5</w:t>
      </w:r>
      <w:r>
        <w:t xml:space="preserve"> shows that prescriptions for palliative care items are a small proportion of the </w:t>
      </w:r>
      <w:r w:rsidR="00D22EE3">
        <w:t xml:space="preserve">overall </w:t>
      </w:r>
      <w:r>
        <w:t>opioid market. However, it is possible for palliative care patients to be prescribed opioids using non-palliative care items (e.g. items from the General Schedule). The products on the palliative schedule are often replicated in the General Schedule, but with lower maximum quantities and repeats.</w:t>
      </w:r>
    </w:p>
    <w:p w14:paraId="1A502EB7" w14:textId="5D0F6BD4" w:rsidR="00BF09AD" w:rsidRDefault="00BF09AD" w:rsidP="00BF09AD">
      <w:r>
        <w:t xml:space="preserve">Figure </w:t>
      </w:r>
      <w:r w:rsidR="00783E67">
        <w:t>6</w:t>
      </w:r>
      <w:r>
        <w:t xml:space="preserve"> shows prescriptions supplied to palliative care patients. Palliative care prescriptions were defined as all opioid prescriptions supplied to a patient subsequent to their first opioid prescription supply from the palliative care schedule.</w:t>
      </w:r>
    </w:p>
    <w:p w14:paraId="32FF79B3" w14:textId="3498B538" w:rsidR="00BF09AD" w:rsidRDefault="008C5C88" w:rsidP="00BF09AD">
      <w:r>
        <w:rPr>
          <w:noProof/>
        </w:rPr>
        <w:lastRenderedPageBreak/>
        <w:drawing>
          <wp:inline distT="0" distB="0" distL="0" distR="0" wp14:anchorId="616CEE66" wp14:editId="1CB190F6">
            <wp:extent cx="5687695" cy="4213225"/>
            <wp:effectExtent l="0" t="0" r="8255" b="15875"/>
            <wp:docPr id="7" name="Chart 7" descr="Prescriptions of opioids and non-opioids over time to palliative care patients since 2016">
              <a:extLst xmlns:a="http://schemas.openxmlformats.org/drawingml/2006/main">
                <a:ext uri="{FF2B5EF4-FFF2-40B4-BE49-F238E27FC236}">
                  <a16:creationId xmlns:a16="http://schemas.microsoft.com/office/drawing/2014/main" id="{C437BA76-1D4F-4B6D-9CCC-EC298671F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6C4EEC" w14:textId="64C45C21" w:rsidR="00BF09AD" w:rsidRDefault="00E53A8F" w:rsidP="00E53A8F">
      <w:pPr>
        <w:pStyle w:val="Figuretitle"/>
      </w:pPr>
      <w:r w:rsidRPr="00E53A8F">
        <w:t xml:space="preserve">Figure </w:t>
      </w:r>
      <w:r w:rsidR="00783E67">
        <w:t>6</w:t>
      </w:r>
      <w:r w:rsidRPr="00E53A8F">
        <w:t>: Prescriptions of opioids and non-opioids over time</w:t>
      </w:r>
      <w:r w:rsidR="000A5072">
        <w:t xml:space="preserve"> to palliative care patients</w:t>
      </w:r>
    </w:p>
    <w:p w14:paraId="4C0F77C0" w14:textId="77777777" w:rsidR="00E53A8F" w:rsidRDefault="00E53A8F" w:rsidP="00BF09AD"/>
    <w:p w14:paraId="7FC03E93" w14:textId="6166AA7E" w:rsidR="00BF09AD" w:rsidRDefault="00BF09AD" w:rsidP="00BF09AD">
      <w:r>
        <w:t xml:space="preserve">Figure </w:t>
      </w:r>
      <w:r w:rsidR="00783E67">
        <w:t>6</w:t>
      </w:r>
      <w:r>
        <w:t xml:space="preserve"> shows that there were many more opioid prescriptions for palliative care patients</w:t>
      </w:r>
      <w:r w:rsidR="00D22EE3">
        <w:t xml:space="preserve"> from the General Schedule</w:t>
      </w:r>
      <w:r>
        <w:t xml:space="preserve"> than from the palliative care schedule (</w:t>
      </w:r>
      <w:r w:rsidR="00535AE5">
        <w:t>f</w:t>
      </w:r>
      <w:r>
        <w:t>igure</w:t>
      </w:r>
      <w:r w:rsidR="00783E67">
        <w:t xml:space="preserve"> 5</w:t>
      </w:r>
      <w:r>
        <w:t xml:space="preserve">). </w:t>
      </w:r>
      <w:r w:rsidRPr="00535AE5">
        <w:t xml:space="preserve">In 2021 Q1, prescriptions for palliative care patients were </w:t>
      </w:r>
      <w:r w:rsidR="00A86211" w:rsidRPr="00535AE5">
        <w:t>8%</w:t>
      </w:r>
      <w:r w:rsidRPr="00535AE5">
        <w:t xml:space="preserve"> of the opioid market and 5% of</w:t>
      </w:r>
      <w:r>
        <w:t xml:space="preserve"> the </w:t>
      </w:r>
      <w:r w:rsidR="00A05EED">
        <w:t xml:space="preserve">non-opioid </w:t>
      </w:r>
      <w:r>
        <w:t>market. These may be an underestimate, as some palliative care patients may only be supplied opioid prescriptions from the General Schedule and would not be identified by this method.</w:t>
      </w:r>
    </w:p>
    <w:p w14:paraId="0D2D9939" w14:textId="1C31EC82" w:rsidR="00BF09AD" w:rsidRDefault="00BF09AD" w:rsidP="00BF09AD">
      <w:r>
        <w:t xml:space="preserve">It can be seen that there was an increase in the number of opioid scripts for palliative care patients </w:t>
      </w:r>
      <w:r w:rsidR="001870BD">
        <w:t>from the second quarter</w:t>
      </w:r>
      <w:r>
        <w:t xml:space="preserve"> of 2021. This is likely due to a change in the palliative care schedule on 1 June 2021.</w:t>
      </w:r>
      <w:r w:rsidR="001F2AE0">
        <w:t xml:space="preserve"> </w:t>
      </w:r>
      <w:r w:rsidR="001F2AE0" w:rsidRPr="001F2AE0">
        <w:t>In 202</w:t>
      </w:r>
      <w:r w:rsidR="001F2AE0">
        <w:t>2</w:t>
      </w:r>
      <w:r w:rsidR="001F2AE0" w:rsidRPr="001F2AE0">
        <w:t xml:space="preserve"> Q1, prescriptions for palliative care patients were </w:t>
      </w:r>
      <w:r w:rsidR="00A86211">
        <w:t>16</w:t>
      </w:r>
      <w:r w:rsidR="001F2AE0" w:rsidRPr="001F2AE0">
        <w:t xml:space="preserve">% of the opioid market and </w:t>
      </w:r>
      <w:r w:rsidR="00A86211">
        <w:t>9</w:t>
      </w:r>
      <w:r w:rsidR="001F2AE0" w:rsidRPr="001F2AE0">
        <w:t>% of the non-opioid market.</w:t>
      </w:r>
    </w:p>
    <w:p w14:paraId="08C5BA5A" w14:textId="71E55525" w:rsidR="00BF09AD" w:rsidRDefault="00BF09AD" w:rsidP="00BF09AD"/>
    <w:p w14:paraId="211C8BF1" w14:textId="5F315B90" w:rsidR="00BF09AD" w:rsidRDefault="00BF09AD" w:rsidP="00BF09AD"/>
    <w:p w14:paraId="03929A4D" w14:textId="5EEEEBF4" w:rsidR="00BF09AD" w:rsidRPr="00AB0119" w:rsidRDefault="002160CC" w:rsidP="0036028C">
      <w:pPr>
        <w:keepNext/>
        <w:rPr>
          <w:u w:val="single"/>
        </w:rPr>
      </w:pPr>
      <w:r w:rsidRPr="00AB0119">
        <w:rPr>
          <w:u w:val="single"/>
        </w:rPr>
        <w:lastRenderedPageBreak/>
        <w:t>Age and gender of treated patients</w:t>
      </w:r>
    </w:p>
    <w:p w14:paraId="7961EE00" w14:textId="32EC89B5" w:rsidR="00BF09AD" w:rsidRDefault="005E6DC9" w:rsidP="00BF09AD">
      <w:r>
        <w:rPr>
          <w:noProof/>
        </w:rPr>
        <w:drawing>
          <wp:inline distT="0" distB="0" distL="0" distR="0" wp14:anchorId="376BC676" wp14:editId="05EB34F2">
            <wp:extent cx="5687695" cy="3751580"/>
            <wp:effectExtent l="0" t="0" r="8255" b="1270"/>
            <wp:docPr id="8" name="Chart 8" descr="Age and gender of patients supplied opioids and non-opioids in 2021 in 5 year groups">
              <a:extLst xmlns:a="http://schemas.openxmlformats.org/drawingml/2006/main">
                <a:ext uri="{FF2B5EF4-FFF2-40B4-BE49-F238E27FC236}">
                  <a16:creationId xmlns:a16="http://schemas.microsoft.com/office/drawing/2014/main" id="{6D38D6FB-C18F-41A2-A754-ED478ABCA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564C0F" w14:textId="47C4139C" w:rsidR="005E6DC9" w:rsidRDefault="00E53A8F" w:rsidP="00E53A8F">
      <w:pPr>
        <w:pStyle w:val="Figuretitle"/>
      </w:pPr>
      <w:r w:rsidRPr="00E53A8F">
        <w:t xml:space="preserve">Figure </w:t>
      </w:r>
      <w:r w:rsidR="00783E67">
        <w:t>7</w:t>
      </w:r>
      <w:r w:rsidRPr="00E53A8F">
        <w:t xml:space="preserve">: </w:t>
      </w:r>
      <w:r>
        <w:t>Age and gender of patients supplied opioids and non-opioids in 2021</w:t>
      </w:r>
    </w:p>
    <w:p w14:paraId="696A4C87" w14:textId="0EDED0E7" w:rsidR="00E53A8F" w:rsidRDefault="00E53A8F" w:rsidP="00BF09AD"/>
    <w:p w14:paraId="1500D88E" w14:textId="5B48B9BB" w:rsidR="002160CC" w:rsidRDefault="002160CC" w:rsidP="00BF09AD">
      <w:r>
        <w:t xml:space="preserve">The number of patients supplied opioids and non-opioids in 2021 was highest in patients aged 50-74 years old. The proportion of female </w:t>
      </w:r>
      <w:r w:rsidRPr="002160CC">
        <w:t xml:space="preserve">patients </w:t>
      </w:r>
      <w:r>
        <w:t xml:space="preserve">aged 20-39 years old </w:t>
      </w:r>
      <w:r w:rsidR="00A05EED">
        <w:t xml:space="preserve">(approximately 60%) </w:t>
      </w:r>
      <w:r w:rsidRPr="002160CC">
        <w:t>supplied opioids and non-opioids in 2021</w:t>
      </w:r>
      <w:r w:rsidR="00A05EED">
        <w:t xml:space="preserve"> was higher than male patients (approximately 40%).</w:t>
      </w:r>
    </w:p>
    <w:p w14:paraId="5F357E3A" w14:textId="217A7DC5" w:rsidR="005E6DC9" w:rsidRDefault="003757DE" w:rsidP="00BF09AD">
      <w:r>
        <w:t xml:space="preserve">Figure </w:t>
      </w:r>
      <w:r w:rsidR="00783E67">
        <w:t>8</w:t>
      </w:r>
      <w:r>
        <w:t xml:space="preserve"> below shows the age and gender of palliative patients supplied opioids and non-opioids in 2021. </w:t>
      </w:r>
      <w:r w:rsidR="005E6DC9">
        <w:t xml:space="preserve">Age </w:t>
      </w:r>
      <w:r>
        <w:t>was</w:t>
      </w:r>
      <w:r w:rsidR="005E6DC9">
        <w:t xml:space="preserve"> determined by the last prescription the patient was supplied in 2021, </w:t>
      </w:r>
      <w:r w:rsidR="008D219F">
        <w:t>if a patient was treated as a general patient for part of the year and then was supplied a prescription under the palliative care schedule they are counted as a palliative care patient.</w:t>
      </w:r>
      <w:r w:rsidR="00A05EED">
        <w:t xml:space="preserve"> In palliative patients the proportion of females supplied </w:t>
      </w:r>
      <w:r w:rsidR="00A05EED" w:rsidRPr="00A05EED">
        <w:t>opioids and non-opioids</w:t>
      </w:r>
      <w:r w:rsidR="00A05EED">
        <w:t xml:space="preserve"> was higher across all age groups, and increases with age.</w:t>
      </w:r>
    </w:p>
    <w:p w14:paraId="33E5137E" w14:textId="31497ACF" w:rsidR="005E6DC9" w:rsidRDefault="005E6DC9" w:rsidP="00BF09AD">
      <w:r>
        <w:rPr>
          <w:noProof/>
        </w:rPr>
        <w:lastRenderedPageBreak/>
        <w:drawing>
          <wp:inline distT="0" distB="0" distL="0" distR="0" wp14:anchorId="6AF92400" wp14:editId="10B70AA4">
            <wp:extent cx="5687695" cy="3751580"/>
            <wp:effectExtent l="0" t="0" r="8255" b="1270"/>
            <wp:docPr id="9" name="Chart 9" descr="Age and gender of palliative care patients supplied opioids and non-opioids in 2021">
              <a:extLst xmlns:a="http://schemas.openxmlformats.org/drawingml/2006/main">
                <a:ext uri="{FF2B5EF4-FFF2-40B4-BE49-F238E27FC236}">
                  <a16:creationId xmlns:a16="http://schemas.microsoft.com/office/drawing/2014/main" id="{6D38D6FB-C18F-41A2-A754-ED478ABCA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327CDF" w14:textId="3BEB0828" w:rsidR="005E6DC9" w:rsidRDefault="00E53A8F" w:rsidP="00E53A8F">
      <w:pPr>
        <w:pStyle w:val="Figuretitle"/>
      </w:pPr>
      <w:r w:rsidRPr="00E53A8F">
        <w:t xml:space="preserve">Figure </w:t>
      </w:r>
      <w:r w:rsidR="00783E67">
        <w:t>8</w:t>
      </w:r>
      <w:r w:rsidRPr="00E53A8F">
        <w:t xml:space="preserve">: Age and gender of </w:t>
      </w:r>
      <w:r>
        <w:t xml:space="preserve">palliative care </w:t>
      </w:r>
      <w:r w:rsidRPr="00E53A8F">
        <w:t>patients supplied opioids and non-opioids in 2021</w:t>
      </w:r>
    </w:p>
    <w:p w14:paraId="6E39536C" w14:textId="7EED7A98" w:rsidR="00E53A8F" w:rsidRDefault="00E53A8F" w:rsidP="00BF09AD"/>
    <w:p w14:paraId="7785076F" w14:textId="50672D5E" w:rsidR="006F4ACF" w:rsidRDefault="006F4ACF" w:rsidP="00BF09AD">
      <w:pPr>
        <w:rPr>
          <w:u w:val="single"/>
        </w:rPr>
      </w:pPr>
      <w:r w:rsidRPr="006F4ACF">
        <w:rPr>
          <w:u w:val="single"/>
        </w:rPr>
        <w:t>Same day supply</w:t>
      </w:r>
    </w:p>
    <w:p w14:paraId="21444D43" w14:textId="0BD00D54" w:rsidR="00A05EED" w:rsidRPr="006F4ACF" w:rsidRDefault="00A05EED" w:rsidP="00AB0119">
      <w:pPr>
        <w:pStyle w:val="Tabletitle"/>
      </w:pPr>
      <w:r>
        <w:t xml:space="preserve">Table </w:t>
      </w:r>
      <w:r w:rsidR="00373F55">
        <w:t>5</w:t>
      </w:r>
      <w:r>
        <w:t xml:space="preserve">: Same day supply of two or more </w:t>
      </w:r>
      <w:r w:rsidRPr="00A05EED">
        <w:t xml:space="preserve">opioids </w:t>
      </w:r>
      <w:r>
        <w:t>or</w:t>
      </w:r>
      <w:r w:rsidRPr="00A05EED">
        <w:t xml:space="preserve"> non-opioids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1107"/>
        <w:gridCol w:w="908"/>
        <w:gridCol w:w="1107"/>
        <w:gridCol w:w="1242"/>
      </w:tblGrid>
      <w:tr w:rsidR="007007DF" w:rsidRPr="00C80CE7" w14:paraId="73EEB50E" w14:textId="77777777" w:rsidTr="004F121E">
        <w:trPr>
          <w:trHeight w:val="300"/>
        </w:trPr>
        <w:tc>
          <w:tcPr>
            <w:tcW w:w="4420" w:type="dxa"/>
            <w:shd w:val="clear" w:color="auto" w:fill="BFBFBF" w:themeFill="background1" w:themeFillShade="BF"/>
            <w:noWrap/>
            <w:vAlign w:val="center"/>
          </w:tcPr>
          <w:p w14:paraId="79866303" w14:textId="57ED8E30" w:rsidR="007007DF" w:rsidRPr="00C80CE7" w:rsidRDefault="007007DF" w:rsidP="006C46DF">
            <w:pPr>
              <w:spacing w:after="0"/>
              <w:rPr>
                <w:rFonts w:ascii="Calibri" w:eastAsia="Times New Roman" w:hAnsi="Calibri" w:cs="Calibri"/>
                <w:b/>
                <w:bCs/>
                <w:color w:val="000000"/>
                <w:sz w:val="20"/>
                <w:szCs w:val="20"/>
              </w:rPr>
            </w:pPr>
          </w:p>
        </w:tc>
        <w:tc>
          <w:tcPr>
            <w:tcW w:w="2015" w:type="dxa"/>
            <w:gridSpan w:val="2"/>
            <w:shd w:val="clear" w:color="auto" w:fill="BFBFBF" w:themeFill="background1" w:themeFillShade="BF"/>
            <w:vAlign w:val="center"/>
          </w:tcPr>
          <w:p w14:paraId="408B421E" w14:textId="1C2C742C" w:rsidR="007007DF" w:rsidRPr="00C80CE7" w:rsidRDefault="007007DF"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2019</w:t>
            </w:r>
          </w:p>
        </w:tc>
        <w:tc>
          <w:tcPr>
            <w:tcW w:w="2349" w:type="dxa"/>
            <w:gridSpan w:val="2"/>
            <w:shd w:val="clear" w:color="auto" w:fill="BFBFBF" w:themeFill="background1" w:themeFillShade="BF"/>
            <w:noWrap/>
            <w:vAlign w:val="center"/>
          </w:tcPr>
          <w:p w14:paraId="69BC329E" w14:textId="4A54DDCF" w:rsidR="007007DF" w:rsidRPr="00C80CE7" w:rsidRDefault="007007DF"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2021</w:t>
            </w:r>
          </w:p>
        </w:tc>
      </w:tr>
      <w:tr w:rsidR="00EF4455" w:rsidRPr="00C80CE7" w14:paraId="73BD5AC4" w14:textId="77777777" w:rsidTr="006C46DF">
        <w:trPr>
          <w:trHeight w:val="300"/>
        </w:trPr>
        <w:tc>
          <w:tcPr>
            <w:tcW w:w="4420" w:type="dxa"/>
            <w:shd w:val="clear" w:color="auto" w:fill="BFBFBF" w:themeFill="background1" w:themeFillShade="BF"/>
            <w:noWrap/>
            <w:vAlign w:val="center"/>
          </w:tcPr>
          <w:p w14:paraId="46B7BE42" w14:textId="77777777" w:rsidR="00EF4455" w:rsidRPr="00C80CE7" w:rsidRDefault="00EF4455" w:rsidP="006C46DF">
            <w:pPr>
              <w:spacing w:after="0"/>
              <w:rPr>
                <w:rFonts w:ascii="Calibri" w:eastAsia="Times New Roman" w:hAnsi="Calibri" w:cs="Calibri"/>
                <w:b/>
                <w:bCs/>
                <w:color w:val="000000"/>
                <w:sz w:val="20"/>
                <w:szCs w:val="20"/>
              </w:rPr>
            </w:pPr>
          </w:p>
        </w:tc>
        <w:tc>
          <w:tcPr>
            <w:tcW w:w="1107" w:type="dxa"/>
            <w:shd w:val="clear" w:color="auto" w:fill="BFBFBF" w:themeFill="background1" w:themeFillShade="BF"/>
            <w:vAlign w:val="center"/>
          </w:tcPr>
          <w:p w14:paraId="120AB1D6" w14:textId="3FD56986" w:rsidR="00EF4455" w:rsidRPr="00C80CE7" w:rsidRDefault="00EF4455"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Number</w:t>
            </w:r>
          </w:p>
        </w:tc>
        <w:tc>
          <w:tcPr>
            <w:tcW w:w="908" w:type="dxa"/>
            <w:shd w:val="clear" w:color="auto" w:fill="BFBFBF" w:themeFill="background1" w:themeFillShade="BF"/>
            <w:vAlign w:val="center"/>
          </w:tcPr>
          <w:p w14:paraId="3F5519A3" w14:textId="793E1910" w:rsidR="00EF4455" w:rsidRPr="00C80CE7" w:rsidRDefault="00EF4455"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w:t>
            </w:r>
          </w:p>
        </w:tc>
        <w:tc>
          <w:tcPr>
            <w:tcW w:w="1107" w:type="dxa"/>
            <w:shd w:val="clear" w:color="auto" w:fill="BFBFBF" w:themeFill="background1" w:themeFillShade="BF"/>
            <w:noWrap/>
            <w:vAlign w:val="center"/>
          </w:tcPr>
          <w:p w14:paraId="3EC55336" w14:textId="66F10299" w:rsidR="00EF4455" w:rsidRPr="00C80CE7" w:rsidRDefault="00EF4455"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Number</w:t>
            </w:r>
          </w:p>
        </w:tc>
        <w:tc>
          <w:tcPr>
            <w:tcW w:w="1242" w:type="dxa"/>
            <w:shd w:val="clear" w:color="auto" w:fill="BFBFBF" w:themeFill="background1" w:themeFillShade="BF"/>
            <w:noWrap/>
            <w:vAlign w:val="center"/>
          </w:tcPr>
          <w:p w14:paraId="33162605" w14:textId="46FD8B9C" w:rsidR="00EF4455" w:rsidRPr="00C80CE7" w:rsidRDefault="00EF4455" w:rsidP="006C46DF">
            <w:pPr>
              <w:spacing w:after="0"/>
              <w:jc w:val="center"/>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w:t>
            </w:r>
          </w:p>
        </w:tc>
      </w:tr>
      <w:tr w:rsidR="006C46DF" w:rsidRPr="006C46DF" w14:paraId="172B20D1" w14:textId="77777777" w:rsidTr="006C46DF">
        <w:trPr>
          <w:trHeight w:val="300"/>
        </w:trPr>
        <w:tc>
          <w:tcPr>
            <w:tcW w:w="4420" w:type="dxa"/>
            <w:shd w:val="clear" w:color="auto" w:fill="auto"/>
            <w:noWrap/>
            <w:vAlign w:val="center"/>
          </w:tcPr>
          <w:p w14:paraId="021D6FAE" w14:textId="76419148" w:rsidR="006C46DF" w:rsidRPr="006C46DF" w:rsidRDefault="006C46DF" w:rsidP="006C46DF">
            <w:pPr>
              <w:spacing w:after="0"/>
              <w:rPr>
                <w:rFonts w:ascii="Calibri" w:eastAsia="Times New Roman" w:hAnsi="Calibri" w:cs="Calibri"/>
                <w:color w:val="000000"/>
                <w:sz w:val="20"/>
                <w:szCs w:val="20"/>
              </w:rPr>
            </w:pPr>
            <w:r w:rsidRPr="008D219F">
              <w:rPr>
                <w:rFonts w:ascii="Calibri" w:eastAsia="Times New Roman" w:hAnsi="Calibri" w:cs="Calibri"/>
                <w:color w:val="000000"/>
                <w:sz w:val="20"/>
                <w:szCs w:val="20"/>
              </w:rPr>
              <w:t xml:space="preserve">Same day supply of two or more </w:t>
            </w:r>
            <w:r w:rsidRPr="006C46DF">
              <w:rPr>
                <w:rFonts w:ascii="Calibri" w:eastAsia="Times New Roman" w:hAnsi="Calibri" w:cs="Calibri"/>
                <w:color w:val="000000"/>
                <w:sz w:val="20"/>
                <w:szCs w:val="20"/>
              </w:rPr>
              <w:t>opioid or non-opioid medicines</w:t>
            </w:r>
          </w:p>
        </w:tc>
        <w:tc>
          <w:tcPr>
            <w:tcW w:w="1107" w:type="dxa"/>
            <w:vAlign w:val="center"/>
          </w:tcPr>
          <w:p w14:paraId="31FC9072" w14:textId="57336154"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513,938</w:t>
            </w:r>
          </w:p>
        </w:tc>
        <w:tc>
          <w:tcPr>
            <w:tcW w:w="908" w:type="dxa"/>
            <w:vAlign w:val="center"/>
          </w:tcPr>
          <w:p w14:paraId="3FE45F55" w14:textId="0D884EB5"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15%</w:t>
            </w:r>
          </w:p>
        </w:tc>
        <w:tc>
          <w:tcPr>
            <w:tcW w:w="1107" w:type="dxa"/>
            <w:shd w:val="clear" w:color="auto" w:fill="auto"/>
            <w:noWrap/>
            <w:vAlign w:val="center"/>
          </w:tcPr>
          <w:p w14:paraId="3E52187D" w14:textId="5FB7FC58" w:rsidR="006C46DF" w:rsidRPr="006C46DF" w:rsidRDefault="006C46DF" w:rsidP="006C46DF">
            <w:pPr>
              <w:spacing w:after="0"/>
              <w:jc w:val="right"/>
              <w:rPr>
                <w:rFonts w:ascii="Calibri" w:eastAsia="Times New Roman" w:hAnsi="Calibri" w:cs="Calibri"/>
                <w:color w:val="000000"/>
                <w:sz w:val="20"/>
                <w:szCs w:val="20"/>
              </w:rPr>
            </w:pPr>
            <w:r w:rsidRPr="008D219F">
              <w:rPr>
                <w:rFonts w:ascii="Calibri" w:eastAsia="Times New Roman" w:hAnsi="Calibri" w:cs="Calibri"/>
                <w:color w:val="000000"/>
                <w:sz w:val="20"/>
                <w:szCs w:val="20"/>
              </w:rPr>
              <w:t>401</w:t>
            </w:r>
            <w:r w:rsidRPr="006C46DF">
              <w:rPr>
                <w:rFonts w:ascii="Calibri" w:eastAsia="Times New Roman" w:hAnsi="Calibri" w:cs="Calibri"/>
                <w:color w:val="000000"/>
                <w:sz w:val="20"/>
                <w:szCs w:val="20"/>
              </w:rPr>
              <w:t>,</w:t>
            </w:r>
            <w:r w:rsidRPr="008D219F">
              <w:rPr>
                <w:rFonts w:ascii="Calibri" w:eastAsia="Times New Roman" w:hAnsi="Calibri" w:cs="Calibri"/>
                <w:color w:val="000000"/>
                <w:sz w:val="20"/>
                <w:szCs w:val="20"/>
              </w:rPr>
              <w:t>574</w:t>
            </w:r>
          </w:p>
        </w:tc>
        <w:tc>
          <w:tcPr>
            <w:tcW w:w="1242" w:type="dxa"/>
            <w:shd w:val="clear" w:color="auto" w:fill="auto"/>
            <w:noWrap/>
            <w:vAlign w:val="center"/>
          </w:tcPr>
          <w:p w14:paraId="6E8248AE" w14:textId="69752EC1" w:rsidR="006C46DF" w:rsidRPr="006C46DF" w:rsidRDefault="006C46DF" w:rsidP="006C46DF">
            <w:pPr>
              <w:spacing w:after="0"/>
              <w:jc w:val="right"/>
              <w:rPr>
                <w:rFonts w:ascii="Calibri" w:eastAsia="Times New Roman" w:hAnsi="Calibri" w:cs="Calibri"/>
                <w:color w:val="000000"/>
                <w:sz w:val="20"/>
                <w:szCs w:val="20"/>
              </w:rPr>
            </w:pPr>
            <w:r w:rsidRPr="008D219F">
              <w:rPr>
                <w:rFonts w:ascii="Calibri" w:eastAsia="Times New Roman" w:hAnsi="Calibri" w:cs="Calibri"/>
                <w:color w:val="000000"/>
                <w:sz w:val="20"/>
                <w:szCs w:val="20"/>
              </w:rPr>
              <w:t>13%</w:t>
            </w:r>
          </w:p>
        </w:tc>
      </w:tr>
      <w:tr w:rsidR="006C46DF" w:rsidRPr="006C46DF" w14:paraId="0DF3DE36" w14:textId="77777777" w:rsidTr="006C46DF">
        <w:trPr>
          <w:trHeight w:val="300"/>
        </w:trPr>
        <w:tc>
          <w:tcPr>
            <w:tcW w:w="4420" w:type="dxa"/>
            <w:shd w:val="clear" w:color="auto" w:fill="auto"/>
            <w:noWrap/>
            <w:vAlign w:val="center"/>
            <w:hideMark/>
          </w:tcPr>
          <w:p w14:paraId="27A4DC3D" w14:textId="77777777" w:rsidR="006C46DF" w:rsidRPr="008D219F" w:rsidRDefault="006C46DF" w:rsidP="006C46DF">
            <w:pPr>
              <w:spacing w:after="0"/>
              <w:rPr>
                <w:rFonts w:ascii="Calibri" w:eastAsia="Times New Roman" w:hAnsi="Calibri" w:cs="Calibri"/>
                <w:color w:val="000000"/>
                <w:sz w:val="20"/>
                <w:szCs w:val="20"/>
              </w:rPr>
            </w:pPr>
            <w:r w:rsidRPr="008D219F">
              <w:rPr>
                <w:rFonts w:ascii="Calibri" w:eastAsia="Times New Roman" w:hAnsi="Calibri" w:cs="Calibri"/>
                <w:color w:val="000000"/>
                <w:sz w:val="20"/>
                <w:szCs w:val="20"/>
              </w:rPr>
              <w:t>Same day supply of an opioid and non-opioid</w:t>
            </w:r>
          </w:p>
        </w:tc>
        <w:tc>
          <w:tcPr>
            <w:tcW w:w="1107" w:type="dxa"/>
            <w:vAlign w:val="center"/>
          </w:tcPr>
          <w:p w14:paraId="0855FD19" w14:textId="047D5505"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206,959</w:t>
            </w:r>
          </w:p>
        </w:tc>
        <w:tc>
          <w:tcPr>
            <w:tcW w:w="908" w:type="dxa"/>
            <w:vAlign w:val="center"/>
          </w:tcPr>
          <w:p w14:paraId="6271D8D0" w14:textId="56100761"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6%</w:t>
            </w:r>
          </w:p>
        </w:tc>
        <w:tc>
          <w:tcPr>
            <w:tcW w:w="1107" w:type="dxa"/>
            <w:shd w:val="clear" w:color="auto" w:fill="auto"/>
            <w:noWrap/>
            <w:vAlign w:val="center"/>
            <w:hideMark/>
          </w:tcPr>
          <w:p w14:paraId="7AA1D744" w14:textId="3058AF23" w:rsidR="006C46DF" w:rsidRPr="008D219F" w:rsidRDefault="006C46DF" w:rsidP="006C46DF">
            <w:pPr>
              <w:spacing w:after="0"/>
              <w:jc w:val="right"/>
              <w:rPr>
                <w:rFonts w:ascii="Calibri" w:eastAsia="Times New Roman" w:hAnsi="Calibri" w:cs="Calibri"/>
                <w:color w:val="000000"/>
                <w:sz w:val="20"/>
                <w:szCs w:val="20"/>
              </w:rPr>
            </w:pPr>
            <w:r w:rsidRPr="008D219F">
              <w:rPr>
                <w:rFonts w:ascii="Calibri" w:eastAsia="Times New Roman" w:hAnsi="Calibri" w:cs="Calibri"/>
                <w:color w:val="000000"/>
                <w:sz w:val="20"/>
                <w:szCs w:val="20"/>
              </w:rPr>
              <w:t>181</w:t>
            </w:r>
            <w:r w:rsidRPr="006C46DF">
              <w:rPr>
                <w:rFonts w:ascii="Calibri" w:eastAsia="Times New Roman" w:hAnsi="Calibri" w:cs="Calibri"/>
                <w:color w:val="000000"/>
                <w:sz w:val="20"/>
                <w:szCs w:val="20"/>
              </w:rPr>
              <w:t>,</w:t>
            </w:r>
            <w:r w:rsidRPr="008D219F">
              <w:rPr>
                <w:rFonts w:ascii="Calibri" w:eastAsia="Times New Roman" w:hAnsi="Calibri" w:cs="Calibri"/>
                <w:color w:val="000000"/>
                <w:sz w:val="20"/>
                <w:szCs w:val="20"/>
              </w:rPr>
              <w:t>805</w:t>
            </w:r>
          </w:p>
        </w:tc>
        <w:tc>
          <w:tcPr>
            <w:tcW w:w="1242" w:type="dxa"/>
            <w:shd w:val="clear" w:color="auto" w:fill="auto"/>
            <w:noWrap/>
            <w:vAlign w:val="center"/>
            <w:hideMark/>
          </w:tcPr>
          <w:p w14:paraId="2DCC3401" w14:textId="77777777" w:rsidR="006C46DF" w:rsidRPr="008D219F" w:rsidRDefault="006C46DF" w:rsidP="006C46DF">
            <w:pPr>
              <w:spacing w:after="0"/>
              <w:jc w:val="right"/>
              <w:rPr>
                <w:rFonts w:ascii="Calibri" w:eastAsia="Times New Roman" w:hAnsi="Calibri" w:cs="Calibri"/>
                <w:color w:val="000000"/>
                <w:sz w:val="20"/>
                <w:szCs w:val="20"/>
              </w:rPr>
            </w:pPr>
            <w:r w:rsidRPr="008D219F">
              <w:rPr>
                <w:rFonts w:ascii="Calibri" w:eastAsia="Times New Roman" w:hAnsi="Calibri" w:cs="Calibri"/>
                <w:color w:val="000000"/>
                <w:sz w:val="20"/>
                <w:szCs w:val="20"/>
              </w:rPr>
              <w:t>6%</w:t>
            </w:r>
          </w:p>
        </w:tc>
      </w:tr>
      <w:tr w:rsidR="006C46DF" w:rsidRPr="006C46DF" w14:paraId="6D67C17A" w14:textId="77777777" w:rsidTr="006C46DF">
        <w:trPr>
          <w:trHeight w:val="300"/>
        </w:trPr>
        <w:tc>
          <w:tcPr>
            <w:tcW w:w="4420" w:type="dxa"/>
            <w:shd w:val="clear" w:color="auto" w:fill="auto"/>
            <w:noWrap/>
            <w:vAlign w:val="center"/>
          </w:tcPr>
          <w:p w14:paraId="0BF2EE4D" w14:textId="439B862B" w:rsidR="006C46DF" w:rsidRPr="006C46DF" w:rsidRDefault="006C46DF" w:rsidP="006C46DF">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Same day supply of two opioids</w:t>
            </w:r>
          </w:p>
        </w:tc>
        <w:tc>
          <w:tcPr>
            <w:tcW w:w="1107" w:type="dxa"/>
            <w:vAlign w:val="center"/>
          </w:tcPr>
          <w:p w14:paraId="01ACAF1B" w14:textId="3BE61340"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380,656</w:t>
            </w:r>
          </w:p>
        </w:tc>
        <w:tc>
          <w:tcPr>
            <w:tcW w:w="908" w:type="dxa"/>
            <w:vAlign w:val="center"/>
          </w:tcPr>
          <w:p w14:paraId="58C65BF3" w14:textId="27C56C4C"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11%</w:t>
            </w:r>
          </w:p>
        </w:tc>
        <w:tc>
          <w:tcPr>
            <w:tcW w:w="1107" w:type="dxa"/>
            <w:shd w:val="clear" w:color="auto" w:fill="auto"/>
            <w:noWrap/>
            <w:vAlign w:val="center"/>
          </w:tcPr>
          <w:p w14:paraId="4CC25B83" w14:textId="5543979F"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276,110</w:t>
            </w:r>
          </w:p>
        </w:tc>
        <w:tc>
          <w:tcPr>
            <w:tcW w:w="1242" w:type="dxa"/>
            <w:shd w:val="clear" w:color="auto" w:fill="auto"/>
            <w:noWrap/>
            <w:vAlign w:val="center"/>
          </w:tcPr>
          <w:p w14:paraId="573D8016" w14:textId="17B0D086" w:rsidR="006C46DF" w:rsidRPr="006C46DF" w:rsidRDefault="006C46DF" w:rsidP="006C46DF">
            <w:pPr>
              <w:spacing w:after="0"/>
              <w:jc w:val="right"/>
              <w:rPr>
                <w:rFonts w:ascii="Calibri" w:eastAsia="Times New Roman" w:hAnsi="Calibri" w:cs="Calibri"/>
                <w:color w:val="000000"/>
                <w:sz w:val="20"/>
                <w:szCs w:val="20"/>
              </w:rPr>
            </w:pPr>
            <w:r w:rsidRPr="006C46DF">
              <w:rPr>
                <w:rFonts w:ascii="Calibri" w:hAnsi="Calibri" w:cs="Calibri"/>
                <w:color w:val="000000"/>
                <w:sz w:val="20"/>
                <w:szCs w:val="20"/>
              </w:rPr>
              <w:t>9%</w:t>
            </w:r>
          </w:p>
        </w:tc>
      </w:tr>
      <w:tr w:rsidR="00EF4455" w:rsidRPr="006C46DF" w14:paraId="137F3BA2" w14:textId="77777777" w:rsidTr="006C46DF">
        <w:trPr>
          <w:trHeight w:val="300"/>
        </w:trPr>
        <w:tc>
          <w:tcPr>
            <w:tcW w:w="4420" w:type="dxa"/>
            <w:shd w:val="clear" w:color="auto" w:fill="auto"/>
            <w:noWrap/>
            <w:vAlign w:val="center"/>
            <w:hideMark/>
          </w:tcPr>
          <w:p w14:paraId="5FA07AE8" w14:textId="77777777" w:rsidR="00EF4455" w:rsidRPr="008D219F" w:rsidRDefault="00EF4455" w:rsidP="006C46DF">
            <w:pPr>
              <w:spacing w:after="0"/>
              <w:rPr>
                <w:rFonts w:ascii="Calibri" w:eastAsia="Times New Roman" w:hAnsi="Calibri" w:cs="Calibri"/>
                <w:color w:val="000000"/>
                <w:sz w:val="20"/>
                <w:szCs w:val="20"/>
              </w:rPr>
            </w:pPr>
            <w:r w:rsidRPr="008D219F">
              <w:rPr>
                <w:rFonts w:ascii="Calibri" w:eastAsia="Times New Roman" w:hAnsi="Calibri" w:cs="Calibri"/>
                <w:color w:val="000000"/>
                <w:sz w:val="20"/>
                <w:szCs w:val="20"/>
              </w:rPr>
              <w:t>Total patients</w:t>
            </w:r>
          </w:p>
        </w:tc>
        <w:tc>
          <w:tcPr>
            <w:tcW w:w="1107" w:type="dxa"/>
            <w:vAlign w:val="center"/>
          </w:tcPr>
          <w:p w14:paraId="28B68CC1" w14:textId="012E13BD" w:rsidR="00EF4455" w:rsidRPr="006C46DF" w:rsidRDefault="006C46DF" w:rsidP="006C46DF">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3,387,099</w:t>
            </w:r>
          </w:p>
        </w:tc>
        <w:tc>
          <w:tcPr>
            <w:tcW w:w="908" w:type="dxa"/>
            <w:vAlign w:val="center"/>
          </w:tcPr>
          <w:p w14:paraId="029BAB21" w14:textId="65DB4A19" w:rsidR="00EF4455" w:rsidRPr="006C46DF" w:rsidRDefault="00EF4455" w:rsidP="006C46DF">
            <w:pPr>
              <w:spacing w:after="0"/>
              <w:jc w:val="right"/>
              <w:rPr>
                <w:rFonts w:ascii="Calibri" w:eastAsia="Times New Roman" w:hAnsi="Calibri" w:cs="Calibri"/>
                <w:color w:val="000000"/>
                <w:sz w:val="20"/>
                <w:szCs w:val="20"/>
              </w:rPr>
            </w:pPr>
          </w:p>
        </w:tc>
        <w:tc>
          <w:tcPr>
            <w:tcW w:w="1107" w:type="dxa"/>
            <w:shd w:val="clear" w:color="auto" w:fill="auto"/>
            <w:noWrap/>
            <w:vAlign w:val="center"/>
            <w:hideMark/>
          </w:tcPr>
          <w:p w14:paraId="2A980673" w14:textId="6D660E72" w:rsidR="00EF4455" w:rsidRPr="008D219F" w:rsidRDefault="00EF4455" w:rsidP="006C46DF">
            <w:pPr>
              <w:spacing w:after="0"/>
              <w:jc w:val="right"/>
              <w:rPr>
                <w:rFonts w:ascii="Calibri" w:eastAsia="Times New Roman" w:hAnsi="Calibri" w:cs="Calibri"/>
                <w:color w:val="000000"/>
                <w:sz w:val="20"/>
                <w:szCs w:val="20"/>
              </w:rPr>
            </w:pPr>
            <w:r w:rsidRPr="008D219F">
              <w:rPr>
                <w:rFonts w:ascii="Calibri" w:eastAsia="Times New Roman" w:hAnsi="Calibri" w:cs="Calibri"/>
                <w:color w:val="000000"/>
                <w:sz w:val="20"/>
                <w:szCs w:val="20"/>
              </w:rPr>
              <w:t>3</w:t>
            </w:r>
            <w:r w:rsidR="006C46DF" w:rsidRPr="006C46DF">
              <w:rPr>
                <w:rFonts w:ascii="Calibri" w:eastAsia="Times New Roman" w:hAnsi="Calibri" w:cs="Calibri"/>
                <w:color w:val="000000"/>
                <w:sz w:val="20"/>
                <w:szCs w:val="20"/>
              </w:rPr>
              <w:t>,</w:t>
            </w:r>
            <w:r w:rsidRPr="008D219F">
              <w:rPr>
                <w:rFonts w:ascii="Calibri" w:eastAsia="Times New Roman" w:hAnsi="Calibri" w:cs="Calibri"/>
                <w:color w:val="000000"/>
                <w:sz w:val="20"/>
                <w:szCs w:val="20"/>
              </w:rPr>
              <w:t>183</w:t>
            </w:r>
            <w:r w:rsidR="006C46DF" w:rsidRPr="006C46DF">
              <w:rPr>
                <w:rFonts w:ascii="Calibri" w:eastAsia="Times New Roman" w:hAnsi="Calibri" w:cs="Calibri"/>
                <w:color w:val="000000"/>
                <w:sz w:val="20"/>
                <w:szCs w:val="20"/>
              </w:rPr>
              <w:t>,</w:t>
            </w:r>
            <w:r w:rsidRPr="008D219F">
              <w:rPr>
                <w:rFonts w:ascii="Calibri" w:eastAsia="Times New Roman" w:hAnsi="Calibri" w:cs="Calibri"/>
                <w:color w:val="000000"/>
                <w:sz w:val="20"/>
                <w:szCs w:val="20"/>
              </w:rPr>
              <w:t>838</w:t>
            </w:r>
          </w:p>
        </w:tc>
        <w:tc>
          <w:tcPr>
            <w:tcW w:w="1242" w:type="dxa"/>
            <w:shd w:val="clear" w:color="auto" w:fill="auto"/>
            <w:noWrap/>
            <w:vAlign w:val="center"/>
            <w:hideMark/>
          </w:tcPr>
          <w:p w14:paraId="253C4065" w14:textId="77777777" w:rsidR="00EF4455" w:rsidRPr="008D219F" w:rsidRDefault="00EF4455" w:rsidP="006C46DF">
            <w:pPr>
              <w:spacing w:after="0"/>
              <w:jc w:val="right"/>
              <w:rPr>
                <w:rFonts w:ascii="Calibri" w:eastAsia="Times New Roman" w:hAnsi="Calibri" w:cs="Calibri"/>
                <w:color w:val="000000"/>
                <w:sz w:val="20"/>
                <w:szCs w:val="20"/>
              </w:rPr>
            </w:pPr>
          </w:p>
        </w:tc>
      </w:tr>
    </w:tbl>
    <w:p w14:paraId="45EDA7C4" w14:textId="30EAF1BA" w:rsidR="005E6DC9" w:rsidRDefault="005E6DC9" w:rsidP="00BF09AD"/>
    <w:p w14:paraId="45B124DD" w14:textId="6B5AFE1B" w:rsidR="00EF4455" w:rsidRDefault="003D5A73" w:rsidP="00BF09AD">
      <w:r w:rsidRPr="003D5A73">
        <w:t>In 20</w:t>
      </w:r>
      <w:r>
        <w:t>19</w:t>
      </w:r>
      <w:r w:rsidRPr="003D5A73">
        <w:t xml:space="preserve"> there were around 3 million patients supplied an opioid through the PBS. Six percent of these patients were supplied an opioid and a non</w:t>
      </w:r>
      <w:r w:rsidR="00C71969">
        <w:t>-</w:t>
      </w:r>
      <w:r w:rsidRPr="003D5A73">
        <w:t xml:space="preserve">opioid medicine on the same day, </w:t>
      </w:r>
      <w:r>
        <w:t xml:space="preserve">11% were supplied two or more opioids on the same day, and </w:t>
      </w:r>
      <w:r w:rsidRPr="003D5A73">
        <w:t>1</w:t>
      </w:r>
      <w:r>
        <w:t>5</w:t>
      </w:r>
      <w:r w:rsidRPr="003D5A73">
        <w:t>% were supplied two or more opioids or non</w:t>
      </w:r>
      <w:r w:rsidR="00C71969">
        <w:t>-</w:t>
      </w:r>
      <w:r w:rsidRPr="003D5A73">
        <w:t>opioids on the same day.</w:t>
      </w:r>
    </w:p>
    <w:p w14:paraId="07005651" w14:textId="1669EACB" w:rsidR="00BF09AD" w:rsidRPr="00F0524A" w:rsidRDefault="008D219F" w:rsidP="00BF09AD">
      <w:r>
        <w:t>In 2021 there were around 3 million patients supplied an opioid through the PBS. Six percent of these patients were supplied an opioid and a non</w:t>
      </w:r>
      <w:r w:rsidR="00674EFE">
        <w:t>-</w:t>
      </w:r>
      <w:r>
        <w:t xml:space="preserve">opioid medicine on the same day, </w:t>
      </w:r>
      <w:r w:rsidR="003D5A73">
        <w:t>9</w:t>
      </w:r>
      <w:r w:rsidR="003D5A73" w:rsidRPr="003D5A73">
        <w:t xml:space="preserve">% were supplied two or more opioids on the same day, and </w:t>
      </w:r>
      <w:r>
        <w:t>13% were supplied two or more opioids or non</w:t>
      </w:r>
      <w:r w:rsidR="00674EFE">
        <w:t>-</w:t>
      </w:r>
      <w:r>
        <w:t xml:space="preserve">opioids on the same day. </w:t>
      </w:r>
    </w:p>
    <w:p w14:paraId="2B1BA4CC" w14:textId="1099F649" w:rsidR="00EF4455" w:rsidRDefault="00EF4455" w:rsidP="006F4ACF">
      <w:pPr>
        <w:keepNext/>
        <w:rPr>
          <w:u w:val="single"/>
        </w:rPr>
      </w:pPr>
      <w:r w:rsidRPr="006F4ACF">
        <w:rPr>
          <w:u w:val="single"/>
        </w:rPr>
        <w:lastRenderedPageBreak/>
        <w:t xml:space="preserve">Repeats </w:t>
      </w:r>
      <w:r w:rsidR="00832615" w:rsidRPr="006F4ACF">
        <w:rPr>
          <w:u w:val="single"/>
        </w:rPr>
        <w:t>prescribed</w:t>
      </w:r>
      <w:r w:rsidRPr="006F4ACF">
        <w:rPr>
          <w:u w:val="single"/>
        </w:rPr>
        <w:t xml:space="preserve"> and supplied</w:t>
      </w:r>
    </w:p>
    <w:p w14:paraId="7D8A048A" w14:textId="497041D2" w:rsidR="007A7825" w:rsidRPr="006F4ACF" w:rsidRDefault="007A7825" w:rsidP="00AB0119">
      <w:pPr>
        <w:pStyle w:val="Tabletitle"/>
      </w:pPr>
      <w:r w:rsidRPr="007A7825">
        <w:t xml:space="preserve">Table </w:t>
      </w:r>
      <w:r w:rsidR="00373F55">
        <w:t>6</w:t>
      </w:r>
      <w:r w:rsidRPr="007A7825">
        <w:t xml:space="preserve">: Number of </w:t>
      </w:r>
      <w:r>
        <w:t>supplied</w:t>
      </w:r>
      <w:r w:rsidRPr="007A7825">
        <w:t xml:space="preserve"> prescriptions by </w:t>
      </w:r>
      <w:r w:rsidR="002160CC">
        <w:t>whether</w:t>
      </w:r>
      <w:r w:rsidRPr="007A7825">
        <w:t xml:space="preserve"> repeats prescribed</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1472"/>
        <w:gridCol w:w="1473"/>
        <w:gridCol w:w="1473"/>
        <w:gridCol w:w="1473"/>
        <w:gridCol w:w="1473"/>
      </w:tblGrid>
      <w:tr w:rsidR="00832615" w:rsidRPr="00832615" w14:paraId="7B6D5074" w14:textId="77777777" w:rsidTr="00832615">
        <w:trPr>
          <w:trHeight w:val="1556"/>
        </w:trPr>
        <w:tc>
          <w:tcPr>
            <w:tcW w:w="1583" w:type="dxa"/>
            <w:shd w:val="clear" w:color="auto" w:fill="BFBFBF" w:themeFill="background1" w:themeFillShade="BF"/>
            <w:vAlign w:val="bottom"/>
            <w:hideMark/>
          </w:tcPr>
          <w:p w14:paraId="3B3C85CA"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Year supplied</w:t>
            </w:r>
          </w:p>
        </w:tc>
        <w:tc>
          <w:tcPr>
            <w:tcW w:w="1472" w:type="dxa"/>
            <w:shd w:val="clear" w:color="auto" w:fill="BFBFBF" w:themeFill="background1" w:themeFillShade="BF"/>
            <w:vAlign w:val="bottom"/>
            <w:hideMark/>
          </w:tcPr>
          <w:p w14:paraId="1BE56210"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Supplied prescriptions</w:t>
            </w:r>
          </w:p>
        </w:tc>
        <w:tc>
          <w:tcPr>
            <w:tcW w:w="1473" w:type="dxa"/>
            <w:shd w:val="clear" w:color="auto" w:fill="BFBFBF" w:themeFill="background1" w:themeFillShade="BF"/>
            <w:vAlign w:val="bottom"/>
            <w:hideMark/>
          </w:tcPr>
          <w:p w14:paraId="49EFC4D2"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Supplied as original prescription</w:t>
            </w:r>
          </w:p>
        </w:tc>
        <w:tc>
          <w:tcPr>
            <w:tcW w:w="1473" w:type="dxa"/>
            <w:shd w:val="clear" w:color="auto" w:fill="BFBFBF" w:themeFill="background1" w:themeFillShade="BF"/>
            <w:vAlign w:val="bottom"/>
            <w:hideMark/>
          </w:tcPr>
          <w:p w14:paraId="0E5E914C"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 supplied as original prescriptions</w:t>
            </w:r>
          </w:p>
        </w:tc>
        <w:tc>
          <w:tcPr>
            <w:tcW w:w="1473" w:type="dxa"/>
            <w:shd w:val="clear" w:color="auto" w:fill="BFBFBF" w:themeFill="background1" w:themeFillShade="BF"/>
            <w:vAlign w:val="bottom"/>
            <w:hideMark/>
          </w:tcPr>
          <w:p w14:paraId="5CF8BE64"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Supplied as repeat prescription</w:t>
            </w:r>
          </w:p>
        </w:tc>
        <w:tc>
          <w:tcPr>
            <w:tcW w:w="1473" w:type="dxa"/>
            <w:shd w:val="clear" w:color="auto" w:fill="BFBFBF" w:themeFill="background1" w:themeFillShade="BF"/>
            <w:vAlign w:val="bottom"/>
            <w:hideMark/>
          </w:tcPr>
          <w:p w14:paraId="4DACDB7E"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 supplied as repeat prescriptions</w:t>
            </w:r>
          </w:p>
        </w:tc>
      </w:tr>
      <w:tr w:rsidR="00832615" w:rsidRPr="00832615" w14:paraId="747AD92D" w14:textId="77777777" w:rsidTr="00832615">
        <w:trPr>
          <w:trHeight w:val="300"/>
        </w:trPr>
        <w:tc>
          <w:tcPr>
            <w:tcW w:w="1583" w:type="dxa"/>
            <w:shd w:val="clear" w:color="auto" w:fill="auto"/>
            <w:noWrap/>
            <w:vAlign w:val="bottom"/>
            <w:hideMark/>
          </w:tcPr>
          <w:p w14:paraId="2BB4709F"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2016</w:t>
            </w:r>
          </w:p>
        </w:tc>
        <w:tc>
          <w:tcPr>
            <w:tcW w:w="1472" w:type="dxa"/>
            <w:shd w:val="clear" w:color="auto" w:fill="auto"/>
            <w:noWrap/>
            <w:vAlign w:val="bottom"/>
            <w:hideMark/>
          </w:tcPr>
          <w:p w14:paraId="44514E9D" w14:textId="0A772E05"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917</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901</w:t>
            </w:r>
          </w:p>
        </w:tc>
        <w:tc>
          <w:tcPr>
            <w:tcW w:w="1473" w:type="dxa"/>
            <w:shd w:val="clear" w:color="auto" w:fill="auto"/>
            <w:noWrap/>
            <w:vAlign w:val="bottom"/>
            <w:hideMark/>
          </w:tcPr>
          <w:p w14:paraId="7E41C87B" w14:textId="65A0C9B2"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404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010</w:t>
            </w:r>
          </w:p>
        </w:tc>
        <w:tc>
          <w:tcPr>
            <w:tcW w:w="1473" w:type="dxa"/>
            <w:shd w:val="clear" w:color="auto" w:fill="auto"/>
            <w:noWrap/>
            <w:vAlign w:val="bottom"/>
            <w:hideMark/>
          </w:tcPr>
          <w:p w14:paraId="3CB502A8"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76%</w:t>
            </w:r>
          </w:p>
        </w:tc>
        <w:tc>
          <w:tcPr>
            <w:tcW w:w="1473" w:type="dxa"/>
            <w:shd w:val="clear" w:color="auto" w:fill="auto"/>
            <w:noWrap/>
            <w:vAlign w:val="bottom"/>
            <w:hideMark/>
          </w:tcPr>
          <w:p w14:paraId="0733B722" w14:textId="0C72CD7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513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891</w:t>
            </w:r>
          </w:p>
        </w:tc>
        <w:tc>
          <w:tcPr>
            <w:tcW w:w="1473" w:type="dxa"/>
            <w:shd w:val="clear" w:color="auto" w:fill="auto"/>
            <w:noWrap/>
            <w:vAlign w:val="bottom"/>
            <w:hideMark/>
          </w:tcPr>
          <w:p w14:paraId="66054D7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24%</w:t>
            </w:r>
          </w:p>
        </w:tc>
      </w:tr>
      <w:tr w:rsidR="00832615" w:rsidRPr="00832615" w14:paraId="4E320376" w14:textId="77777777" w:rsidTr="00832615">
        <w:trPr>
          <w:trHeight w:val="300"/>
        </w:trPr>
        <w:tc>
          <w:tcPr>
            <w:tcW w:w="1583" w:type="dxa"/>
            <w:shd w:val="clear" w:color="auto" w:fill="auto"/>
            <w:noWrap/>
            <w:vAlign w:val="bottom"/>
            <w:hideMark/>
          </w:tcPr>
          <w:p w14:paraId="27EA7D99"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2017</w:t>
            </w:r>
          </w:p>
        </w:tc>
        <w:tc>
          <w:tcPr>
            <w:tcW w:w="1472" w:type="dxa"/>
            <w:shd w:val="clear" w:color="auto" w:fill="auto"/>
            <w:noWrap/>
            <w:vAlign w:val="bottom"/>
            <w:hideMark/>
          </w:tcPr>
          <w:p w14:paraId="69E11FEF" w14:textId="192D23E6"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355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160</w:t>
            </w:r>
          </w:p>
        </w:tc>
        <w:tc>
          <w:tcPr>
            <w:tcW w:w="1473" w:type="dxa"/>
            <w:shd w:val="clear" w:color="auto" w:fill="auto"/>
            <w:noWrap/>
            <w:vAlign w:val="bottom"/>
            <w:hideMark/>
          </w:tcPr>
          <w:p w14:paraId="7C930D5B" w14:textId="64669F5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652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824</w:t>
            </w:r>
          </w:p>
        </w:tc>
        <w:tc>
          <w:tcPr>
            <w:tcW w:w="1473" w:type="dxa"/>
            <w:shd w:val="clear" w:color="auto" w:fill="auto"/>
            <w:noWrap/>
            <w:vAlign w:val="bottom"/>
            <w:hideMark/>
          </w:tcPr>
          <w:p w14:paraId="30744DBA"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76%</w:t>
            </w:r>
          </w:p>
        </w:tc>
        <w:tc>
          <w:tcPr>
            <w:tcW w:w="1473" w:type="dxa"/>
            <w:shd w:val="clear" w:color="auto" w:fill="auto"/>
            <w:noWrap/>
            <w:vAlign w:val="bottom"/>
            <w:hideMark/>
          </w:tcPr>
          <w:p w14:paraId="78D6A12C" w14:textId="2B406C9A"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702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336</w:t>
            </w:r>
          </w:p>
        </w:tc>
        <w:tc>
          <w:tcPr>
            <w:tcW w:w="1473" w:type="dxa"/>
            <w:shd w:val="clear" w:color="auto" w:fill="auto"/>
            <w:noWrap/>
            <w:vAlign w:val="bottom"/>
            <w:hideMark/>
          </w:tcPr>
          <w:p w14:paraId="5CF2158F"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24%</w:t>
            </w:r>
          </w:p>
        </w:tc>
      </w:tr>
      <w:tr w:rsidR="00832615" w:rsidRPr="00832615" w14:paraId="524BEBF8" w14:textId="77777777" w:rsidTr="00832615">
        <w:trPr>
          <w:trHeight w:val="300"/>
        </w:trPr>
        <w:tc>
          <w:tcPr>
            <w:tcW w:w="1583" w:type="dxa"/>
            <w:shd w:val="clear" w:color="auto" w:fill="auto"/>
            <w:noWrap/>
            <w:vAlign w:val="bottom"/>
            <w:hideMark/>
          </w:tcPr>
          <w:p w14:paraId="6FBBB103"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2018</w:t>
            </w:r>
          </w:p>
        </w:tc>
        <w:tc>
          <w:tcPr>
            <w:tcW w:w="1472" w:type="dxa"/>
            <w:shd w:val="clear" w:color="auto" w:fill="auto"/>
            <w:noWrap/>
            <w:vAlign w:val="bottom"/>
            <w:hideMark/>
          </w:tcPr>
          <w:p w14:paraId="0E82B68E" w14:textId="73C6FD3A"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972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873</w:t>
            </w:r>
          </w:p>
        </w:tc>
        <w:tc>
          <w:tcPr>
            <w:tcW w:w="1473" w:type="dxa"/>
            <w:shd w:val="clear" w:color="auto" w:fill="auto"/>
            <w:noWrap/>
            <w:vAlign w:val="bottom"/>
            <w:hideMark/>
          </w:tcPr>
          <w:p w14:paraId="47A21FCE" w14:textId="4FFC634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151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745</w:t>
            </w:r>
          </w:p>
        </w:tc>
        <w:tc>
          <w:tcPr>
            <w:tcW w:w="1473" w:type="dxa"/>
            <w:shd w:val="clear" w:color="auto" w:fill="auto"/>
            <w:noWrap/>
            <w:vAlign w:val="bottom"/>
            <w:hideMark/>
          </w:tcPr>
          <w:p w14:paraId="31AB00D9"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76%</w:t>
            </w:r>
          </w:p>
        </w:tc>
        <w:tc>
          <w:tcPr>
            <w:tcW w:w="1473" w:type="dxa"/>
            <w:shd w:val="clear" w:color="auto" w:fill="auto"/>
            <w:noWrap/>
            <w:vAlign w:val="bottom"/>
            <w:hideMark/>
          </w:tcPr>
          <w:p w14:paraId="084C449A" w14:textId="61930FC8"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821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128</w:t>
            </w:r>
          </w:p>
        </w:tc>
        <w:tc>
          <w:tcPr>
            <w:tcW w:w="1473" w:type="dxa"/>
            <w:shd w:val="clear" w:color="auto" w:fill="auto"/>
            <w:noWrap/>
            <w:vAlign w:val="bottom"/>
            <w:hideMark/>
          </w:tcPr>
          <w:p w14:paraId="70F06B29"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24%</w:t>
            </w:r>
          </w:p>
        </w:tc>
      </w:tr>
      <w:tr w:rsidR="00832615" w:rsidRPr="00832615" w14:paraId="2E505952" w14:textId="77777777" w:rsidTr="00832615">
        <w:trPr>
          <w:trHeight w:val="300"/>
        </w:trPr>
        <w:tc>
          <w:tcPr>
            <w:tcW w:w="1583" w:type="dxa"/>
            <w:shd w:val="clear" w:color="auto" w:fill="auto"/>
            <w:noWrap/>
            <w:vAlign w:val="bottom"/>
            <w:hideMark/>
          </w:tcPr>
          <w:p w14:paraId="45A86E79"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2019</w:t>
            </w:r>
          </w:p>
        </w:tc>
        <w:tc>
          <w:tcPr>
            <w:tcW w:w="1472" w:type="dxa"/>
            <w:shd w:val="clear" w:color="auto" w:fill="auto"/>
            <w:noWrap/>
            <w:vAlign w:val="bottom"/>
            <w:hideMark/>
          </w:tcPr>
          <w:p w14:paraId="69A2E894" w14:textId="33ED8FA2"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329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957</w:t>
            </w:r>
          </w:p>
        </w:tc>
        <w:tc>
          <w:tcPr>
            <w:tcW w:w="1473" w:type="dxa"/>
            <w:shd w:val="clear" w:color="auto" w:fill="auto"/>
            <w:noWrap/>
            <w:vAlign w:val="bottom"/>
            <w:hideMark/>
          </w:tcPr>
          <w:p w14:paraId="29C160B1" w14:textId="2078EF30"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635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456</w:t>
            </w:r>
          </w:p>
        </w:tc>
        <w:tc>
          <w:tcPr>
            <w:tcW w:w="1473" w:type="dxa"/>
            <w:shd w:val="clear" w:color="auto" w:fill="auto"/>
            <w:noWrap/>
            <w:vAlign w:val="bottom"/>
            <w:hideMark/>
          </w:tcPr>
          <w:p w14:paraId="7AA7217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76%</w:t>
            </w:r>
          </w:p>
        </w:tc>
        <w:tc>
          <w:tcPr>
            <w:tcW w:w="1473" w:type="dxa"/>
            <w:shd w:val="clear" w:color="auto" w:fill="auto"/>
            <w:noWrap/>
            <w:vAlign w:val="bottom"/>
            <w:hideMark/>
          </w:tcPr>
          <w:p w14:paraId="78BCCBA4" w14:textId="61D16291"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694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501</w:t>
            </w:r>
          </w:p>
        </w:tc>
        <w:tc>
          <w:tcPr>
            <w:tcW w:w="1473" w:type="dxa"/>
            <w:shd w:val="clear" w:color="auto" w:fill="auto"/>
            <w:noWrap/>
            <w:vAlign w:val="bottom"/>
            <w:hideMark/>
          </w:tcPr>
          <w:p w14:paraId="7DDD4FE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24%</w:t>
            </w:r>
          </w:p>
        </w:tc>
      </w:tr>
      <w:tr w:rsidR="00832615" w:rsidRPr="00832615" w14:paraId="7BF6E4F6" w14:textId="77777777" w:rsidTr="00832615">
        <w:trPr>
          <w:trHeight w:val="300"/>
        </w:trPr>
        <w:tc>
          <w:tcPr>
            <w:tcW w:w="1583" w:type="dxa"/>
            <w:shd w:val="clear" w:color="auto" w:fill="auto"/>
            <w:noWrap/>
            <w:vAlign w:val="bottom"/>
            <w:hideMark/>
          </w:tcPr>
          <w:p w14:paraId="5B7F5C01"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2020</w:t>
            </w:r>
          </w:p>
        </w:tc>
        <w:tc>
          <w:tcPr>
            <w:tcW w:w="1472" w:type="dxa"/>
            <w:shd w:val="clear" w:color="auto" w:fill="auto"/>
            <w:noWrap/>
            <w:vAlign w:val="bottom"/>
            <w:hideMark/>
          </w:tcPr>
          <w:p w14:paraId="3FF97B90" w14:textId="3BAC138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18</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403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851</w:t>
            </w:r>
          </w:p>
        </w:tc>
        <w:tc>
          <w:tcPr>
            <w:tcW w:w="1473" w:type="dxa"/>
            <w:shd w:val="clear" w:color="auto" w:fill="auto"/>
            <w:noWrap/>
            <w:vAlign w:val="bottom"/>
            <w:hideMark/>
          </w:tcPr>
          <w:p w14:paraId="61061E0D" w14:textId="5A7CC2DA"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436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467</w:t>
            </w:r>
          </w:p>
        </w:tc>
        <w:tc>
          <w:tcPr>
            <w:tcW w:w="1473" w:type="dxa"/>
            <w:shd w:val="clear" w:color="auto" w:fill="auto"/>
            <w:noWrap/>
            <w:vAlign w:val="bottom"/>
            <w:hideMark/>
          </w:tcPr>
          <w:p w14:paraId="42BBB14A"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78%</w:t>
            </w:r>
          </w:p>
        </w:tc>
        <w:tc>
          <w:tcPr>
            <w:tcW w:w="1473" w:type="dxa"/>
            <w:shd w:val="clear" w:color="auto" w:fill="auto"/>
            <w:noWrap/>
            <w:vAlign w:val="bottom"/>
            <w:hideMark/>
          </w:tcPr>
          <w:p w14:paraId="358D322F" w14:textId="38BF38A2"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967</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384</w:t>
            </w:r>
          </w:p>
        </w:tc>
        <w:tc>
          <w:tcPr>
            <w:tcW w:w="1473" w:type="dxa"/>
            <w:shd w:val="clear" w:color="auto" w:fill="auto"/>
            <w:noWrap/>
            <w:vAlign w:val="bottom"/>
            <w:hideMark/>
          </w:tcPr>
          <w:p w14:paraId="04CB07CD"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22%</w:t>
            </w:r>
          </w:p>
        </w:tc>
      </w:tr>
      <w:tr w:rsidR="00832615" w:rsidRPr="00832615" w14:paraId="5201D49B" w14:textId="77777777" w:rsidTr="00832615">
        <w:trPr>
          <w:trHeight w:val="300"/>
        </w:trPr>
        <w:tc>
          <w:tcPr>
            <w:tcW w:w="1583" w:type="dxa"/>
            <w:shd w:val="clear" w:color="auto" w:fill="auto"/>
            <w:noWrap/>
            <w:vAlign w:val="bottom"/>
            <w:hideMark/>
          </w:tcPr>
          <w:p w14:paraId="49BAB8FD"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2021</w:t>
            </w:r>
          </w:p>
        </w:tc>
        <w:tc>
          <w:tcPr>
            <w:tcW w:w="1472" w:type="dxa"/>
            <w:shd w:val="clear" w:color="auto" w:fill="auto"/>
            <w:noWrap/>
            <w:vAlign w:val="bottom"/>
            <w:hideMark/>
          </w:tcPr>
          <w:p w14:paraId="1B57930F" w14:textId="53767F3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17</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632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399</w:t>
            </w:r>
          </w:p>
        </w:tc>
        <w:tc>
          <w:tcPr>
            <w:tcW w:w="1473" w:type="dxa"/>
            <w:shd w:val="clear" w:color="auto" w:fill="auto"/>
            <w:noWrap/>
            <w:vAlign w:val="bottom"/>
            <w:hideMark/>
          </w:tcPr>
          <w:p w14:paraId="09B1756D" w14:textId="7F4C0AC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531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253</w:t>
            </w:r>
          </w:p>
        </w:tc>
        <w:tc>
          <w:tcPr>
            <w:tcW w:w="1473" w:type="dxa"/>
            <w:shd w:val="clear" w:color="auto" w:fill="auto"/>
            <w:noWrap/>
            <w:vAlign w:val="bottom"/>
            <w:hideMark/>
          </w:tcPr>
          <w:p w14:paraId="77F29B4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82%</w:t>
            </w:r>
          </w:p>
        </w:tc>
        <w:tc>
          <w:tcPr>
            <w:tcW w:w="1473" w:type="dxa"/>
            <w:shd w:val="clear" w:color="auto" w:fill="auto"/>
            <w:noWrap/>
            <w:vAlign w:val="bottom"/>
            <w:hideMark/>
          </w:tcPr>
          <w:p w14:paraId="313CEED5" w14:textId="1AEC5E2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101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146</w:t>
            </w:r>
          </w:p>
        </w:tc>
        <w:tc>
          <w:tcPr>
            <w:tcW w:w="1473" w:type="dxa"/>
            <w:shd w:val="clear" w:color="auto" w:fill="auto"/>
            <w:noWrap/>
            <w:vAlign w:val="bottom"/>
            <w:hideMark/>
          </w:tcPr>
          <w:p w14:paraId="09A31FA6"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18%</w:t>
            </w:r>
          </w:p>
        </w:tc>
      </w:tr>
      <w:tr w:rsidR="00832615" w:rsidRPr="00832615" w14:paraId="1097ED0C" w14:textId="77777777" w:rsidTr="00832615">
        <w:trPr>
          <w:trHeight w:val="300"/>
        </w:trPr>
        <w:tc>
          <w:tcPr>
            <w:tcW w:w="1583" w:type="dxa"/>
            <w:shd w:val="clear" w:color="auto" w:fill="auto"/>
            <w:noWrap/>
            <w:vAlign w:val="bottom"/>
            <w:hideMark/>
          </w:tcPr>
          <w:p w14:paraId="2B462C15" w14:textId="0C420B34"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2022</w:t>
            </w:r>
            <w:r w:rsidR="00CF1A69">
              <w:rPr>
                <w:rFonts w:ascii="Calibri" w:eastAsia="Times New Roman" w:hAnsi="Calibri" w:cs="Calibri"/>
                <w:color w:val="000000"/>
                <w:sz w:val="20"/>
                <w:szCs w:val="20"/>
              </w:rPr>
              <w:t xml:space="preserve"> (YTD September)</w:t>
            </w:r>
          </w:p>
        </w:tc>
        <w:tc>
          <w:tcPr>
            <w:tcW w:w="1472" w:type="dxa"/>
            <w:shd w:val="clear" w:color="auto" w:fill="auto"/>
            <w:noWrap/>
            <w:vAlign w:val="bottom"/>
            <w:hideMark/>
          </w:tcPr>
          <w:p w14:paraId="3E15D914" w14:textId="03FBDC12"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385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899</w:t>
            </w:r>
          </w:p>
        </w:tc>
        <w:tc>
          <w:tcPr>
            <w:tcW w:w="1473" w:type="dxa"/>
            <w:shd w:val="clear" w:color="auto" w:fill="auto"/>
            <w:noWrap/>
            <w:vAlign w:val="bottom"/>
            <w:hideMark/>
          </w:tcPr>
          <w:p w14:paraId="673597A0" w14:textId="234719A4"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10</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165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614</w:t>
            </w:r>
          </w:p>
        </w:tc>
        <w:tc>
          <w:tcPr>
            <w:tcW w:w="1473" w:type="dxa"/>
            <w:shd w:val="clear" w:color="auto" w:fill="auto"/>
            <w:noWrap/>
            <w:vAlign w:val="bottom"/>
            <w:hideMark/>
          </w:tcPr>
          <w:p w14:paraId="0E06BA48"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82%</w:t>
            </w:r>
          </w:p>
        </w:tc>
        <w:tc>
          <w:tcPr>
            <w:tcW w:w="1473" w:type="dxa"/>
            <w:shd w:val="clear" w:color="auto" w:fill="auto"/>
            <w:noWrap/>
            <w:vAlign w:val="bottom"/>
            <w:hideMark/>
          </w:tcPr>
          <w:p w14:paraId="332517E0" w14:textId="78E55DC0"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220</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285</w:t>
            </w:r>
          </w:p>
        </w:tc>
        <w:tc>
          <w:tcPr>
            <w:tcW w:w="1473" w:type="dxa"/>
            <w:shd w:val="clear" w:color="auto" w:fill="auto"/>
            <w:noWrap/>
            <w:vAlign w:val="bottom"/>
            <w:hideMark/>
          </w:tcPr>
          <w:p w14:paraId="3111BD4C"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18%</w:t>
            </w:r>
          </w:p>
        </w:tc>
      </w:tr>
    </w:tbl>
    <w:p w14:paraId="50466D9B" w14:textId="5E9957DB" w:rsidR="00EF4455" w:rsidRDefault="00EF4455" w:rsidP="00BF09AD"/>
    <w:p w14:paraId="3BCC4D24" w14:textId="18210386" w:rsidR="007A7825" w:rsidRDefault="007A7825" w:rsidP="00AB0119">
      <w:pPr>
        <w:pStyle w:val="Tabletitle"/>
      </w:pPr>
      <w:r w:rsidRPr="007A7825">
        <w:t xml:space="preserve">Table </w:t>
      </w:r>
      <w:r w:rsidR="00373F55">
        <w:t>7</w:t>
      </w:r>
      <w:r w:rsidRPr="007A7825">
        <w:t xml:space="preserve">: Number of original prescriptions by </w:t>
      </w:r>
      <w:r>
        <w:t>whether</w:t>
      </w:r>
      <w:r w:rsidRPr="007A7825">
        <w:t xml:space="preserve"> repeats prescribed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20"/>
        <w:gridCol w:w="1427"/>
        <w:gridCol w:w="1427"/>
        <w:gridCol w:w="1427"/>
        <w:gridCol w:w="1570"/>
      </w:tblGrid>
      <w:tr w:rsidR="00832615" w:rsidRPr="00832615" w14:paraId="6AC54B4C" w14:textId="77777777" w:rsidTr="00832615">
        <w:trPr>
          <w:trHeight w:val="1439"/>
        </w:trPr>
        <w:tc>
          <w:tcPr>
            <w:tcW w:w="1555" w:type="dxa"/>
            <w:shd w:val="clear" w:color="auto" w:fill="BFBFBF" w:themeFill="background1" w:themeFillShade="BF"/>
            <w:vAlign w:val="bottom"/>
            <w:hideMark/>
          </w:tcPr>
          <w:p w14:paraId="5453F277" w14:textId="0F5A375A"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Year prescribed</w:t>
            </w:r>
          </w:p>
        </w:tc>
        <w:tc>
          <w:tcPr>
            <w:tcW w:w="1520" w:type="dxa"/>
            <w:shd w:val="clear" w:color="auto" w:fill="BFBFBF" w:themeFill="background1" w:themeFillShade="BF"/>
            <w:vAlign w:val="bottom"/>
            <w:hideMark/>
          </w:tcPr>
          <w:p w14:paraId="33899BC5"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Number of prescribed original prescriptions</w:t>
            </w:r>
          </w:p>
        </w:tc>
        <w:tc>
          <w:tcPr>
            <w:tcW w:w="1427" w:type="dxa"/>
            <w:shd w:val="clear" w:color="auto" w:fill="BFBFBF" w:themeFill="background1" w:themeFillShade="BF"/>
            <w:vAlign w:val="bottom"/>
            <w:hideMark/>
          </w:tcPr>
          <w:p w14:paraId="4129948E"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Number prescribed with no repeats ordered</w:t>
            </w:r>
          </w:p>
        </w:tc>
        <w:tc>
          <w:tcPr>
            <w:tcW w:w="1427" w:type="dxa"/>
            <w:shd w:val="clear" w:color="auto" w:fill="BFBFBF" w:themeFill="background1" w:themeFillShade="BF"/>
            <w:vAlign w:val="bottom"/>
            <w:hideMark/>
          </w:tcPr>
          <w:p w14:paraId="7334EA11"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 prescribed with no repeats</w:t>
            </w:r>
          </w:p>
        </w:tc>
        <w:tc>
          <w:tcPr>
            <w:tcW w:w="1427" w:type="dxa"/>
            <w:shd w:val="clear" w:color="auto" w:fill="BFBFBF" w:themeFill="background1" w:themeFillShade="BF"/>
            <w:vAlign w:val="bottom"/>
            <w:hideMark/>
          </w:tcPr>
          <w:p w14:paraId="50049040"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Number prescribed with repeats ordered</w:t>
            </w:r>
          </w:p>
        </w:tc>
        <w:tc>
          <w:tcPr>
            <w:tcW w:w="1570" w:type="dxa"/>
            <w:shd w:val="clear" w:color="auto" w:fill="BFBFBF" w:themeFill="background1" w:themeFillShade="BF"/>
            <w:vAlign w:val="bottom"/>
            <w:hideMark/>
          </w:tcPr>
          <w:p w14:paraId="5A1ECDAD" w14:textId="77777777" w:rsidR="00832615" w:rsidRPr="00C80CE7" w:rsidRDefault="00832615" w:rsidP="00832615">
            <w:pPr>
              <w:spacing w:after="0"/>
              <w:rPr>
                <w:rFonts w:ascii="Calibri" w:eastAsia="Times New Roman" w:hAnsi="Calibri" w:cs="Calibri"/>
                <w:b/>
                <w:bCs/>
                <w:color w:val="000000"/>
                <w:sz w:val="20"/>
                <w:szCs w:val="20"/>
              </w:rPr>
            </w:pPr>
            <w:r w:rsidRPr="00C80CE7">
              <w:rPr>
                <w:rFonts w:ascii="Calibri" w:eastAsia="Times New Roman" w:hAnsi="Calibri" w:cs="Calibri"/>
                <w:b/>
                <w:bCs/>
                <w:color w:val="000000"/>
                <w:sz w:val="20"/>
                <w:szCs w:val="20"/>
              </w:rPr>
              <w:t>Percent prescribed with repeats</w:t>
            </w:r>
          </w:p>
        </w:tc>
      </w:tr>
      <w:tr w:rsidR="00832615" w:rsidRPr="00832615" w14:paraId="3DA9ACD5" w14:textId="77777777" w:rsidTr="00832615">
        <w:trPr>
          <w:trHeight w:val="300"/>
        </w:trPr>
        <w:tc>
          <w:tcPr>
            <w:tcW w:w="1555" w:type="dxa"/>
            <w:shd w:val="clear" w:color="auto" w:fill="auto"/>
            <w:noWrap/>
            <w:vAlign w:val="bottom"/>
            <w:hideMark/>
          </w:tcPr>
          <w:p w14:paraId="2DE6A091" w14:textId="31A12D79"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2016</w:t>
            </w:r>
          </w:p>
        </w:tc>
        <w:tc>
          <w:tcPr>
            <w:tcW w:w="1520" w:type="dxa"/>
            <w:shd w:val="clear" w:color="auto" w:fill="auto"/>
            <w:noWrap/>
            <w:vAlign w:val="bottom"/>
            <w:hideMark/>
          </w:tcPr>
          <w:p w14:paraId="03AA9B31" w14:textId="75FBB5F9"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375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386</w:t>
            </w:r>
          </w:p>
        </w:tc>
        <w:tc>
          <w:tcPr>
            <w:tcW w:w="1427" w:type="dxa"/>
            <w:shd w:val="clear" w:color="auto" w:fill="auto"/>
            <w:noWrap/>
            <w:vAlign w:val="bottom"/>
            <w:hideMark/>
          </w:tcPr>
          <w:p w14:paraId="43106956" w14:textId="0E57FC3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466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657</w:t>
            </w:r>
          </w:p>
        </w:tc>
        <w:tc>
          <w:tcPr>
            <w:tcW w:w="1427" w:type="dxa"/>
            <w:shd w:val="clear" w:color="auto" w:fill="auto"/>
            <w:noWrap/>
            <w:vAlign w:val="bottom"/>
            <w:hideMark/>
          </w:tcPr>
          <w:p w14:paraId="67A5ED78"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87%</w:t>
            </w:r>
          </w:p>
        </w:tc>
        <w:tc>
          <w:tcPr>
            <w:tcW w:w="1427" w:type="dxa"/>
            <w:shd w:val="clear" w:color="auto" w:fill="auto"/>
            <w:noWrap/>
            <w:vAlign w:val="bottom"/>
            <w:hideMark/>
          </w:tcPr>
          <w:p w14:paraId="6393FDA4" w14:textId="3DC03AE8"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908</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729</w:t>
            </w:r>
          </w:p>
        </w:tc>
        <w:tc>
          <w:tcPr>
            <w:tcW w:w="1570" w:type="dxa"/>
            <w:shd w:val="clear" w:color="auto" w:fill="auto"/>
            <w:noWrap/>
            <w:vAlign w:val="bottom"/>
            <w:hideMark/>
          </w:tcPr>
          <w:p w14:paraId="3F766FB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p>
        </w:tc>
      </w:tr>
      <w:tr w:rsidR="00832615" w:rsidRPr="00832615" w14:paraId="5B3BCD62" w14:textId="77777777" w:rsidTr="00832615">
        <w:trPr>
          <w:trHeight w:val="300"/>
        </w:trPr>
        <w:tc>
          <w:tcPr>
            <w:tcW w:w="1555" w:type="dxa"/>
            <w:shd w:val="clear" w:color="auto" w:fill="auto"/>
            <w:noWrap/>
            <w:vAlign w:val="bottom"/>
            <w:hideMark/>
          </w:tcPr>
          <w:p w14:paraId="315834E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2017</w:t>
            </w:r>
          </w:p>
        </w:tc>
        <w:tc>
          <w:tcPr>
            <w:tcW w:w="1520" w:type="dxa"/>
            <w:shd w:val="clear" w:color="auto" w:fill="auto"/>
            <w:noWrap/>
            <w:vAlign w:val="bottom"/>
            <w:hideMark/>
          </w:tcPr>
          <w:p w14:paraId="1FF3683A" w14:textId="54810E36"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626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409</w:t>
            </w:r>
          </w:p>
        </w:tc>
        <w:tc>
          <w:tcPr>
            <w:tcW w:w="1427" w:type="dxa"/>
            <w:shd w:val="clear" w:color="auto" w:fill="auto"/>
            <w:noWrap/>
            <w:vAlign w:val="bottom"/>
            <w:hideMark/>
          </w:tcPr>
          <w:p w14:paraId="57F243C6" w14:textId="6072D970"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710</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343</w:t>
            </w:r>
          </w:p>
        </w:tc>
        <w:tc>
          <w:tcPr>
            <w:tcW w:w="1427" w:type="dxa"/>
            <w:shd w:val="clear" w:color="auto" w:fill="auto"/>
            <w:noWrap/>
            <w:vAlign w:val="bottom"/>
            <w:hideMark/>
          </w:tcPr>
          <w:p w14:paraId="041EE072"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87%</w:t>
            </w:r>
          </w:p>
        </w:tc>
        <w:tc>
          <w:tcPr>
            <w:tcW w:w="1427" w:type="dxa"/>
            <w:shd w:val="clear" w:color="auto" w:fill="auto"/>
            <w:noWrap/>
            <w:vAlign w:val="bottom"/>
            <w:hideMark/>
          </w:tcPr>
          <w:p w14:paraId="2F951CE7" w14:textId="12A0B0F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916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066</w:t>
            </w:r>
          </w:p>
        </w:tc>
        <w:tc>
          <w:tcPr>
            <w:tcW w:w="1570" w:type="dxa"/>
            <w:shd w:val="clear" w:color="auto" w:fill="auto"/>
            <w:noWrap/>
            <w:vAlign w:val="bottom"/>
            <w:hideMark/>
          </w:tcPr>
          <w:p w14:paraId="06829932"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p>
        </w:tc>
      </w:tr>
      <w:tr w:rsidR="00832615" w:rsidRPr="00832615" w14:paraId="41A6DFF0" w14:textId="77777777" w:rsidTr="00832615">
        <w:trPr>
          <w:trHeight w:val="300"/>
        </w:trPr>
        <w:tc>
          <w:tcPr>
            <w:tcW w:w="1555" w:type="dxa"/>
            <w:shd w:val="clear" w:color="auto" w:fill="auto"/>
            <w:noWrap/>
            <w:vAlign w:val="bottom"/>
            <w:hideMark/>
          </w:tcPr>
          <w:p w14:paraId="2043079D"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2018</w:t>
            </w:r>
          </w:p>
        </w:tc>
        <w:tc>
          <w:tcPr>
            <w:tcW w:w="1520" w:type="dxa"/>
            <w:shd w:val="clear" w:color="auto" w:fill="auto"/>
            <w:noWrap/>
            <w:vAlign w:val="bottom"/>
            <w:hideMark/>
          </w:tcPr>
          <w:p w14:paraId="4687D1CD" w14:textId="760B1816"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113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298</w:t>
            </w:r>
          </w:p>
        </w:tc>
        <w:tc>
          <w:tcPr>
            <w:tcW w:w="1427" w:type="dxa"/>
            <w:shd w:val="clear" w:color="auto" w:fill="auto"/>
            <w:noWrap/>
            <w:vAlign w:val="bottom"/>
            <w:hideMark/>
          </w:tcPr>
          <w:p w14:paraId="63886F0D" w14:textId="310C7E45"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186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129</w:t>
            </w:r>
          </w:p>
        </w:tc>
        <w:tc>
          <w:tcPr>
            <w:tcW w:w="1427" w:type="dxa"/>
            <w:shd w:val="clear" w:color="auto" w:fill="auto"/>
            <w:noWrap/>
            <w:vAlign w:val="bottom"/>
            <w:hideMark/>
          </w:tcPr>
          <w:p w14:paraId="04192DCD"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87%</w:t>
            </w:r>
          </w:p>
        </w:tc>
        <w:tc>
          <w:tcPr>
            <w:tcW w:w="1427" w:type="dxa"/>
            <w:shd w:val="clear" w:color="auto" w:fill="auto"/>
            <w:noWrap/>
            <w:vAlign w:val="bottom"/>
            <w:hideMark/>
          </w:tcPr>
          <w:p w14:paraId="54FED069" w14:textId="39B1058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927</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169</w:t>
            </w:r>
          </w:p>
        </w:tc>
        <w:tc>
          <w:tcPr>
            <w:tcW w:w="1570" w:type="dxa"/>
            <w:shd w:val="clear" w:color="auto" w:fill="auto"/>
            <w:noWrap/>
            <w:vAlign w:val="bottom"/>
            <w:hideMark/>
          </w:tcPr>
          <w:p w14:paraId="4E8E3C29"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p>
        </w:tc>
      </w:tr>
      <w:tr w:rsidR="00832615" w:rsidRPr="00832615" w14:paraId="0612AFB9" w14:textId="77777777" w:rsidTr="00832615">
        <w:trPr>
          <w:trHeight w:val="300"/>
        </w:trPr>
        <w:tc>
          <w:tcPr>
            <w:tcW w:w="1555" w:type="dxa"/>
            <w:shd w:val="clear" w:color="auto" w:fill="auto"/>
            <w:noWrap/>
            <w:vAlign w:val="bottom"/>
            <w:hideMark/>
          </w:tcPr>
          <w:p w14:paraId="39E9DB5F"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2019</w:t>
            </w:r>
          </w:p>
        </w:tc>
        <w:tc>
          <w:tcPr>
            <w:tcW w:w="1520" w:type="dxa"/>
            <w:shd w:val="clear" w:color="auto" w:fill="auto"/>
            <w:noWrap/>
            <w:vAlign w:val="bottom"/>
            <w:hideMark/>
          </w:tcPr>
          <w:p w14:paraId="5B91958A" w14:textId="22A80878"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593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252</w:t>
            </w:r>
          </w:p>
        </w:tc>
        <w:tc>
          <w:tcPr>
            <w:tcW w:w="1427" w:type="dxa"/>
            <w:shd w:val="clear" w:color="auto" w:fill="auto"/>
            <w:noWrap/>
            <w:vAlign w:val="bottom"/>
            <w:hideMark/>
          </w:tcPr>
          <w:p w14:paraId="7B22BAA7" w14:textId="4754FC1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752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104</w:t>
            </w:r>
          </w:p>
        </w:tc>
        <w:tc>
          <w:tcPr>
            <w:tcW w:w="1427" w:type="dxa"/>
            <w:shd w:val="clear" w:color="auto" w:fill="auto"/>
            <w:noWrap/>
            <w:vAlign w:val="bottom"/>
            <w:hideMark/>
          </w:tcPr>
          <w:p w14:paraId="7E5F8B9B"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87%</w:t>
            </w:r>
          </w:p>
        </w:tc>
        <w:tc>
          <w:tcPr>
            <w:tcW w:w="1427" w:type="dxa"/>
            <w:shd w:val="clear" w:color="auto" w:fill="auto"/>
            <w:noWrap/>
            <w:vAlign w:val="bottom"/>
            <w:hideMark/>
          </w:tcPr>
          <w:p w14:paraId="327BABBA" w14:textId="572D4503"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841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148</w:t>
            </w:r>
          </w:p>
        </w:tc>
        <w:tc>
          <w:tcPr>
            <w:tcW w:w="1570" w:type="dxa"/>
            <w:shd w:val="clear" w:color="auto" w:fill="auto"/>
            <w:noWrap/>
            <w:vAlign w:val="bottom"/>
            <w:hideMark/>
          </w:tcPr>
          <w:p w14:paraId="4D77C022"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p>
        </w:tc>
      </w:tr>
      <w:tr w:rsidR="00832615" w:rsidRPr="00832615" w14:paraId="62F09FF6" w14:textId="77777777" w:rsidTr="00832615">
        <w:trPr>
          <w:trHeight w:val="300"/>
        </w:trPr>
        <w:tc>
          <w:tcPr>
            <w:tcW w:w="1555" w:type="dxa"/>
            <w:shd w:val="clear" w:color="auto" w:fill="auto"/>
            <w:noWrap/>
            <w:vAlign w:val="bottom"/>
            <w:hideMark/>
          </w:tcPr>
          <w:p w14:paraId="15EBF7BE"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2020</w:t>
            </w:r>
          </w:p>
        </w:tc>
        <w:tc>
          <w:tcPr>
            <w:tcW w:w="1520" w:type="dxa"/>
            <w:shd w:val="clear" w:color="auto" w:fill="auto"/>
            <w:noWrap/>
            <w:vAlign w:val="bottom"/>
            <w:hideMark/>
          </w:tcPr>
          <w:p w14:paraId="188BFBF5" w14:textId="23599C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387</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861</w:t>
            </w:r>
          </w:p>
        </w:tc>
        <w:tc>
          <w:tcPr>
            <w:tcW w:w="1427" w:type="dxa"/>
            <w:shd w:val="clear" w:color="auto" w:fill="auto"/>
            <w:noWrap/>
            <w:vAlign w:val="bottom"/>
            <w:hideMark/>
          </w:tcPr>
          <w:p w14:paraId="4D4DA7DE" w14:textId="22574B08"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971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767</w:t>
            </w:r>
          </w:p>
        </w:tc>
        <w:tc>
          <w:tcPr>
            <w:tcW w:w="1427" w:type="dxa"/>
            <w:shd w:val="clear" w:color="auto" w:fill="auto"/>
            <w:noWrap/>
            <w:vAlign w:val="bottom"/>
            <w:hideMark/>
          </w:tcPr>
          <w:p w14:paraId="372DBC87"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90%</w:t>
            </w:r>
          </w:p>
        </w:tc>
        <w:tc>
          <w:tcPr>
            <w:tcW w:w="1427" w:type="dxa"/>
            <w:shd w:val="clear" w:color="auto" w:fill="auto"/>
            <w:noWrap/>
            <w:vAlign w:val="bottom"/>
            <w:hideMark/>
          </w:tcPr>
          <w:p w14:paraId="70A64874" w14:textId="7EBD566F"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416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094</w:t>
            </w:r>
          </w:p>
        </w:tc>
        <w:tc>
          <w:tcPr>
            <w:tcW w:w="1570" w:type="dxa"/>
            <w:shd w:val="clear" w:color="auto" w:fill="auto"/>
            <w:noWrap/>
            <w:vAlign w:val="bottom"/>
            <w:hideMark/>
          </w:tcPr>
          <w:p w14:paraId="363679EF"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10%</w:t>
            </w:r>
          </w:p>
        </w:tc>
      </w:tr>
      <w:tr w:rsidR="00832615" w:rsidRPr="00832615" w14:paraId="7431701E" w14:textId="77777777" w:rsidTr="00832615">
        <w:trPr>
          <w:trHeight w:val="300"/>
        </w:trPr>
        <w:tc>
          <w:tcPr>
            <w:tcW w:w="1555" w:type="dxa"/>
            <w:shd w:val="clear" w:color="auto" w:fill="auto"/>
            <w:noWrap/>
            <w:vAlign w:val="bottom"/>
            <w:hideMark/>
          </w:tcPr>
          <w:p w14:paraId="44358DEA"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2021</w:t>
            </w:r>
          </w:p>
        </w:tc>
        <w:tc>
          <w:tcPr>
            <w:tcW w:w="1520" w:type="dxa"/>
            <w:shd w:val="clear" w:color="auto" w:fill="auto"/>
            <w:noWrap/>
            <w:vAlign w:val="bottom"/>
            <w:hideMark/>
          </w:tcPr>
          <w:p w14:paraId="559212E9" w14:textId="3FD455E6"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505</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913</w:t>
            </w:r>
          </w:p>
        </w:tc>
        <w:tc>
          <w:tcPr>
            <w:tcW w:w="1427" w:type="dxa"/>
            <w:shd w:val="clear" w:color="auto" w:fill="auto"/>
            <w:noWrap/>
            <w:vAlign w:val="bottom"/>
            <w:hideMark/>
          </w:tcPr>
          <w:p w14:paraId="5FEC6ABB" w14:textId="09E63B7D"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332</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088</w:t>
            </w:r>
          </w:p>
        </w:tc>
        <w:tc>
          <w:tcPr>
            <w:tcW w:w="1427" w:type="dxa"/>
            <w:shd w:val="clear" w:color="auto" w:fill="auto"/>
            <w:noWrap/>
            <w:vAlign w:val="bottom"/>
            <w:hideMark/>
          </w:tcPr>
          <w:p w14:paraId="0BC76BF7"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92%</w:t>
            </w:r>
          </w:p>
        </w:tc>
        <w:tc>
          <w:tcPr>
            <w:tcW w:w="1427" w:type="dxa"/>
            <w:shd w:val="clear" w:color="auto" w:fill="auto"/>
            <w:noWrap/>
            <w:vAlign w:val="bottom"/>
            <w:hideMark/>
          </w:tcPr>
          <w:p w14:paraId="7C85A903" w14:textId="40A9D211"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173</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825</w:t>
            </w:r>
          </w:p>
        </w:tc>
        <w:tc>
          <w:tcPr>
            <w:tcW w:w="1570" w:type="dxa"/>
            <w:shd w:val="clear" w:color="auto" w:fill="auto"/>
            <w:noWrap/>
            <w:vAlign w:val="bottom"/>
            <w:hideMark/>
          </w:tcPr>
          <w:p w14:paraId="2EB1C077"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w:t>
            </w:r>
          </w:p>
        </w:tc>
      </w:tr>
      <w:tr w:rsidR="00832615" w:rsidRPr="00832615" w14:paraId="29204CCF" w14:textId="77777777" w:rsidTr="00832615">
        <w:trPr>
          <w:trHeight w:val="300"/>
        </w:trPr>
        <w:tc>
          <w:tcPr>
            <w:tcW w:w="1555" w:type="dxa"/>
            <w:shd w:val="clear" w:color="auto" w:fill="auto"/>
            <w:noWrap/>
            <w:vAlign w:val="bottom"/>
            <w:hideMark/>
          </w:tcPr>
          <w:p w14:paraId="27A71567" w14:textId="2DD0629B"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2022</w:t>
            </w:r>
            <w:r w:rsidR="00CF1A69">
              <w:rPr>
                <w:rFonts w:ascii="Calibri" w:eastAsia="Times New Roman" w:hAnsi="Calibri" w:cs="Calibri"/>
                <w:color w:val="000000"/>
                <w:sz w:val="20"/>
                <w:szCs w:val="20"/>
              </w:rPr>
              <w:t xml:space="preserve"> (YTD September)</w:t>
            </w:r>
          </w:p>
        </w:tc>
        <w:tc>
          <w:tcPr>
            <w:tcW w:w="1520" w:type="dxa"/>
            <w:shd w:val="clear" w:color="auto" w:fill="auto"/>
            <w:noWrap/>
            <w:vAlign w:val="bottom"/>
            <w:hideMark/>
          </w:tcPr>
          <w:p w14:paraId="4FECD67A" w14:textId="4FF03C22"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958</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110</w:t>
            </w:r>
          </w:p>
        </w:tc>
        <w:tc>
          <w:tcPr>
            <w:tcW w:w="1427" w:type="dxa"/>
            <w:shd w:val="clear" w:color="auto" w:fill="auto"/>
            <w:noWrap/>
            <w:vAlign w:val="bottom"/>
            <w:hideMark/>
          </w:tcPr>
          <w:p w14:paraId="4BECD9CA" w14:textId="6084EC1F"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131</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982</w:t>
            </w:r>
          </w:p>
        </w:tc>
        <w:tc>
          <w:tcPr>
            <w:tcW w:w="1427" w:type="dxa"/>
            <w:shd w:val="clear" w:color="auto" w:fill="auto"/>
            <w:noWrap/>
            <w:vAlign w:val="bottom"/>
            <w:hideMark/>
          </w:tcPr>
          <w:p w14:paraId="586C018F"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92%</w:t>
            </w:r>
          </w:p>
        </w:tc>
        <w:tc>
          <w:tcPr>
            <w:tcW w:w="1427" w:type="dxa"/>
            <w:shd w:val="clear" w:color="auto" w:fill="auto"/>
            <w:noWrap/>
            <w:vAlign w:val="bottom"/>
            <w:hideMark/>
          </w:tcPr>
          <w:p w14:paraId="4284A95C" w14:textId="5F11824A"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826</w:t>
            </w:r>
            <w:r>
              <w:rPr>
                <w:rFonts w:ascii="Calibri" w:eastAsia="Times New Roman" w:hAnsi="Calibri" w:cs="Calibri"/>
                <w:color w:val="000000"/>
                <w:sz w:val="20"/>
                <w:szCs w:val="20"/>
              </w:rPr>
              <w:t>,</w:t>
            </w:r>
            <w:r w:rsidRPr="00832615">
              <w:rPr>
                <w:rFonts w:ascii="Calibri" w:eastAsia="Times New Roman" w:hAnsi="Calibri" w:cs="Calibri"/>
                <w:color w:val="000000"/>
                <w:sz w:val="20"/>
                <w:szCs w:val="20"/>
              </w:rPr>
              <w:t>128</w:t>
            </w:r>
          </w:p>
        </w:tc>
        <w:tc>
          <w:tcPr>
            <w:tcW w:w="1570" w:type="dxa"/>
            <w:shd w:val="clear" w:color="auto" w:fill="auto"/>
            <w:noWrap/>
            <w:vAlign w:val="bottom"/>
            <w:hideMark/>
          </w:tcPr>
          <w:p w14:paraId="7662032A" w14:textId="77777777" w:rsidR="00832615" w:rsidRPr="00832615" w:rsidRDefault="00832615" w:rsidP="00832615">
            <w:pPr>
              <w:spacing w:after="0"/>
              <w:jc w:val="right"/>
              <w:rPr>
                <w:rFonts w:ascii="Calibri" w:eastAsia="Times New Roman" w:hAnsi="Calibri" w:cs="Calibri"/>
                <w:color w:val="000000"/>
                <w:sz w:val="20"/>
                <w:szCs w:val="20"/>
              </w:rPr>
            </w:pPr>
            <w:r w:rsidRPr="00832615">
              <w:rPr>
                <w:rFonts w:ascii="Calibri" w:eastAsia="Times New Roman" w:hAnsi="Calibri" w:cs="Calibri"/>
                <w:color w:val="000000"/>
                <w:sz w:val="20"/>
                <w:szCs w:val="20"/>
              </w:rPr>
              <w:t>8%</w:t>
            </w:r>
          </w:p>
        </w:tc>
      </w:tr>
    </w:tbl>
    <w:p w14:paraId="6139C00E" w14:textId="716298A1" w:rsidR="00832615" w:rsidRDefault="00A53D9B" w:rsidP="007007DF">
      <w:pPr>
        <w:pStyle w:val="Notes"/>
      </w:pPr>
      <w:r>
        <w:t xml:space="preserve">Prescriptions in the dataset that were prescribed in 2015 are not included </w:t>
      </w:r>
    </w:p>
    <w:p w14:paraId="676A5271" w14:textId="356EBC28" w:rsidR="00832615" w:rsidRDefault="00535AE5" w:rsidP="00BF09AD">
      <w:r>
        <w:t>There was a decrease in the percent of supplied repeats from 24% in 2019 to 18% in 2021. The number of prescribed repeats also decreased from 13% in 2019 to 8% in 2021.</w:t>
      </w:r>
    </w:p>
    <w:p w14:paraId="3C9249A8" w14:textId="5F79B0DC" w:rsidR="00BD7931" w:rsidRPr="00BD7931" w:rsidRDefault="00BD7931" w:rsidP="00BD7931">
      <w:pPr>
        <w:keepNext/>
        <w:rPr>
          <w:u w:val="single"/>
        </w:rPr>
      </w:pPr>
      <w:r w:rsidRPr="00BD7931">
        <w:rPr>
          <w:u w:val="single"/>
        </w:rPr>
        <w:lastRenderedPageBreak/>
        <w:t>Reduced pack sizes</w:t>
      </w:r>
    </w:p>
    <w:p w14:paraId="0B26B650" w14:textId="3F272247" w:rsidR="00BD7931" w:rsidRDefault="00BD7931" w:rsidP="00BF09AD">
      <w:r>
        <w:rPr>
          <w:noProof/>
        </w:rPr>
        <w:drawing>
          <wp:inline distT="0" distB="0" distL="0" distR="0" wp14:anchorId="5B5AD3E2" wp14:editId="73EE4C4D">
            <wp:extent cx="5687695" cy="3947160"/>
            <wp:effectExtent l="0" t="0" r="8255" b="15240"/>
            <wp:docPr id="4" name="Chart 4" descr="Prescriptions by whether the listing was for a reduced pack size">
              <a:extLst xmlns:a="http://schemas.openxmlformats.org/drawingml/2006/main">
                <a:ext uri="{FF2B5EF4-FFF2-40B4-BE49-F238E27FC236}">
                  <a16:creationId xmlns:a16="http://schemas.microsoft.com/office/drawing/2014/main" id="{D7EC8B7F-E601-4B59-96F0-BDFBAE929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390A1C" w14:textId="42A06EC6" w:rsidR="00BD7931" w:rsidRDefault="00BD7931" w:rsidP="00BD7931">
      <w:pPr>
        <w:pStyle w:val="Figuretitle"/>
      </w:pPr>
      <w:r>
        <w:t xml:space="preserve">Figure </w:t>
      </w:r>
      <w:r w:rsidR="00783E67">
        <w:t>9</w:t>
      </w:r>
      <w:r>
        <w:t>: Prescriptions by whether the listing was for a reduced pack size</w:t>
      </w:r>
    </w:p>
    <w:p w14:paraId="0959E477" w14:textId="032A40CC" w:rsidR="00BD7931" w:rsidRDefault="00BD7931" w:rsidP="00BF09AD"/>
    <w:p w14:paraId="450BAB7A" w14:textId="22AB6825" w:rsidR="007A7825" w:rsidRDefault="00BD7931" w:rsidP="00BF09AD">
      <w:r>
        <w:t xml:space="preserve">The number of supplied prescriptions with a reduced pack size is small in the context of the opioids market. In 2021 </w:t>
      </w:r>
      <w:r w:rsidR="003757DE">
        <w:t xml:space="preserve">there were </w:t>
      </w:r>
      <w:r>
        <w:t xml:space="preserve">649,551 prescriptions supplied with a </w:t>
      </w:r>
      <w:r w:rsidR="003757DE">
        <w:t>reduced</w:t>
      </w:r>
      <w:r>
        <w:t xml:space="preserve"> pack size.</w:t>
      </w:r>
      <w:r w:rsidR="007A7825">
        <w:t xml:space="preserve"> </w:t>
      </w:r>
    </w:p>
    <w:p w14:paraId="24C72796" w14:textId="1609A5DD" w:rsidR="00783E67" w:rsidRDefault="00783E67" w:rsidP="00BF09AD">
      <w:r w:rsidRPr="00783E67">
        <w:t xml:space="preserve">Figure </w:t>
      </w:r>
      <w:r w:rsidR="0046280F">
        <w:t>10</w:t>
      </w:r>
      <w:r w:rsidRPr="00783E67">
        <w:t xml:space="preserve"> below shows the number of</w:t>
      </w:r>
      <w:r>
        <w:t xml:space="preserve"> patients supplied a reduced pack size prescription or other prescription. This also suggests the utilisation of </w:t>
      </w:r>
      <w:r w:rsidRPr="00783E67">
        <w:t>reduced pack size</w:t>
      </w:r>
      <w:r>
        <w:t xml:space="preserve"> prescriptions is </w:t>
      </w:r>
      <w:r w:rsidR="00C604FB">
        <w:t xml:space="preserve">relatively </w:t>
      </w:r>
      <w:r>
        <w:t>small.</w:t>
      </w:r>
    </w:p>
    <w:p w14:paraId="39858D34" w14:textId="32E3AC33" w:rsidR="00373F55" w:rsidRDefault="00373F55" w:rsidP="00BF09AD">
      <w:r>
        <w:rPr>
          <w:noProof/>
        </w:rPr>
        <w:lastRenderedPageBreak/>
        <w:drawing>
          <wp:inline distT="0" distB="0" distL="0" distR="0" wp14:anchorId="6351F74B" wp14:editId="07F42637">
            <wp:extent cx="5687695" cy="3434080"/>
            <wp:effectExtent l="0" t="0" r="8255" b="13970"/>
            <wp:docPr id="11" name="Chart 11" descr="Number of patients by whether the listing was for a reduced pack size">
              <a:extLst xmlns:a="http://schemas.openxmlformats.org/drawingml/2006/main">
                <a:ext uri="{FF2B5EF4-FFF2-40B4-BE49-F238E27FC236}">
                  <a16:creationId xmlns:a16="http://schemas.microsoft.com/office/drawing/2014/main" id="{FA378A39-C54A-4805-8991-071003A4F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32996C" w14:textId="13B9819C" w:rsidR="00373F55" w:rsidRDefault="00373F55" w:rsidP="00373F55">
      <w:pPr>
        <w:pStyle w:val="Figuretitle"/>
      </w:pPr>
      <w:r w:rsidRPr="00373F55">
        <w:t xml:space="preserve">Figure </w:t>
      </w:r>
      <w:r w:rsidR="0046280F">
        <w:t>10</w:t>
      </w:r>
      <w:r w:rsidRPr="00373F55">
        <w:t xml:space="preserve">: </w:t>
      </w:r>
      <w:r w:rsidR="00F76E2B">
        <w:t>Number of p</w:t>
      </w:r>
      <w:r>
        <w:t>atients</w:t>
      </w:r>
      <w:r w:rsidRPr="00373F55">
        <w:t xml:space="preserve"> by whether the listing was for a reduced pack size</w:t>
      </w:r>
    </w:p>
    <w:p w14:paraId="6D382B2B" w14:textId="77777777" w:rsidR="00373F55" w:rsidRDefault="00373F55" w:rsidP="00BF09AD"/>
    <w:p w14:paraId="07048B49" w14:textId="52380E79" w:rsidR="00BD7931" w:rsidRDefault="007A7825" w:rsidP="00BF09AD">
      <w:r>
        <w:t xml:space="preserve">Table </w:t>
      </w:r>
      <w:r w:rsidR="00783E67">
        <w:t xml:space="preserve">8 </w:t>
      </w:r>
      <w:r>
        <w:t xml:space="preserve">below shows the number of repeats prescribed by year, for prescriptions </w:t>
      </w:r>
      <w:r w:rsidR="007E4823">
        <w:t>supplied</w:t>
      </w:r>
      <w:r>
        <w:t xml:space="preserve"> under the reduced pack size PBS item codes and other PBS item codes. In 2021 there were 165 of 649,437 prescriptions prescribed with repeats for reduced pack size (0.03%) compared to 1,173,660 of nearly 14 million other pack sizes (8.5%). </w:t>
      </w:r>
    </w:p>
    <w:p w14:paraId="2711F782" w14:textId="6257CCFE" w:rsidR="003757DE" w:rsidRDefault="007A7825" w:rsidP="00AB0119">
      <w:pPr>
        <w:pStyle w:val="Tabletitle"/>
      </w:pPr>
      <w:r>
        <w:t xml:space="preserve">Table </w:t>
      </w:r>
      <w:r w:rsidR="00373F55">
        <w:t>8</w:t>
      </w:r>
      <w:r>
        <w:t xml:space="preserve">: Number of original prescriptions by pack size and repeats prescribed </w:t>
      </w: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300"/>
        <w:gridCol w:w="1140"/>
        <w:gridCol w:w="1140"/>
        <w:gridCol w:w="1300"/>
        <w:gridCol w:w="1140"/>
        <w:gridCol w:w="1140"/>
      </w:tblGrid>
      <w:tr w:rsidR="007A7825" w:rsidRPr="007A7825" w14:paraId="0989D83F" w14:textId="77777777" w:rsidTr="00535AE5">
        <w:trPr>
          <w:trHeight w:val="300"/>
        </w:trPr>
        <w:tc>
          <w:tcPr>
            <w:tcW w:w="1380" w:type="dxa"/>
            <w:shd w:val="clear" w:color="auto" w:fill="BFBFBF" w:themeFill="background1" w:themeFillShade="BF"/>
            <w:noWrap/>
            <w:vAlign w:val="center"/>
          </w:tcPr>
          <w:p w14:paraId="533386F4" w14:textId="77777777" w:rsidR="007A7825" w:rsidRPr="007A7825" w:rsidRDefault="007A7825" w:rsidP="00535AE5">
            <w:pPr>
              <w:spacing w:after="0"/>
              <w:rPr>
                <w:rFonts w:ascii="Calibri" w:eastAsia="Times New Roman" w:hAnsi="Calibri" w:cs="Calibri"/>
                <w:b/>
                <w:bCs/>
                <w:color w:val="000000"/>
                <w:sz w:val="20"/>
                <w:szCs w:val="20"/>
              </w:rPr>
            </w:pPr>
          </w:p>
        </w:tc>
        <w:tc>
          <w:tcPr>
            <w:tcW w:w="3580" w:type="dxa"/>
            <w:gridSpan w:val="3"/>
            <w:shd w:val="clear" w:color="auto" w:fill="BFBFBF" w:themeFill="background1" w:themeFillShade="BF"/>
            <w:noWrap/>
            <w:vAlign w:val="bottom"/>
          </w:tcPr>
          <w:p w14:paraId="238DD34B" w14:textId="7E9127A8" w:rsidR="007A7825" w:rsidRPr="007A7825" w:rsidRDefault="007A7825" w:rsidP="007A7825">
            <w:pPr>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Other</w:t>
            </w:r>
          </w:p>
        </w:tc>
        <w:tc>
          <w:tcPr>
            <w:tcW w:w="3580" w:type="dxa"/>
            <w:gridSpan w:val="3"/>
            <w:shd w:val="clear" w:color="auto" w:fill="BFBFBF" w:themeFill="background1" w:themeFillShade="BF"/>
            <w:noWrap/>
            <w:vAlign w:val="bottom"/>
          </w:tcPr>
          <w:p w14:paraId="2F6D274F" w14:textId="386DBC4E" w:rsidR="007A7825" w:rsidRPr="007A7825" w:rsidRDefault="007A7825" w:rsidP="007A7825">
            <w:pPr>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Reduced pack sizes</w:t>
            </w:r>
            <w:r w:rsidR="003D253B">
              <w:rPr>
                <w:rFonts w:ascii="Calibri" w:eastAsia="Times New Roman" w:hAnsi="Calibri" w:cs="Calibri"/>
                <w:b/>
                <w:bCs/>
                <w:color w:val="000000"/>
                <w:sz w:val="20"/>
                <w:szCs w:val="20"/>
              </w:rPr>
              <w:t xml:space="preserve"> (listed in 2020)</w:t>
            </w:r>
          </w:p>
        </w:tc>
      </w:tr>
      <w:tr w:rsidR="007A7825" w:rsidRPr="007A7825" w14:paraId="09DDC001" w14:textId="77777777" w:rsidTr="003D253B">
        <w:trPr>
          <w:trHeight w:val="300"/>
        </w:trPr>
        <w:tc>
          <w:tcPr>
            <w:tcW w:w="1380" w:type="dxa"/>
            <w:shd w:val="clear" w:color="auto" w:fill="BFBFBF" w:themeFill="background1" w:themeFillShade="BF"/>
            <w:noWrap/>
            <w:vAlign w:val="center"/>
            <w:hideMark/>
          </w:tcPr>
          <w:p w14:paraId="42A77964" w14:textId="752F4B27" w:rsidR="007A7825" w:rsidRPr="007A7825" w:rsidRDefault="007A7825" w:rsidP="00535AE5">
            <w:pPr>
              <w:spacing w:after="0"/>
              <w:rPr>
                <w:rFonts w:ascii="Calibri" w:eastAsia="Times New Roman" w:hAnsi="Calibri" w:cs="Calibri"/>
                <w:b/>
                <w:bCs/>
                <w:color w:val="000000"/>
                <w:sz w:val="20"/>
                <w:szCs w:val="20"/>
              </w:rPr>
            </w:pPr>
          </w:p>
        </w:tc>
        <w:tc>
          <w:tcPr>
            <w:tcW w:w="1300" w:type="dxa"/>
            <w:shd w:val="clear" w:color="auto" w:fill="BFBFBF" w:themeFill="background1" w:themeFillShade="BF"/>
            <w:noWrap/>
            <w:vAlign w:val="bottom"/>
            <w:hideMark/>
          </w:tcPr>
          <w:p w14:paraId="2DE8C3AD" w14:textId="77777777"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of prescribed original prescriptions</w:t>
            </w:r>
          </w:p>
        </w:tc>
        <w:tc>
          <w:tcPr>
            <w:tcW w:w="1140" w:type="dxa"/>
            <w:shd w:val="clear" w:color="auto" w:fill="BFBFBF" w:themeFill="background1" w:themeFillShade="BF"/>
            <w:vAlign w:val="bottom"/>
          </w:tcPr>
          <w:p w14:paraId="0AFA4127" w14:textId="0DEA9F3F"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prescribed with no repeats ordered</w:t>
            </w:r>
          </w:p>
        </w:tc>
        <w:tc>
          <w:tcPr>
            <w:tcW w:w="1140" w:type="dxa"/>
            <w:shd w:val="clear" w:color="auto" w:fill="BFBFBF" w:themeFill="background1" w:themeFillShade="BF"/>
            <w:noWrap/>
            <w:vAlign w:val="bottom"/>
            <w:hideMark/>
          </w:tcPr>
          <w:p w14:paraId="55A78F39" w14:textId="3FC88745"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prescribed with repeats ordered</w:t>
            </w:r>
          </w:p>
        </w:tc>
        <w:tc>
          <w:tcPr>
            <w:tcW w:w="1300" w:type="dxa"/>
            <w:tcBorders>
              <w:bottom w:val="single" w:sz="4" w:space="0" w:color="auto"/>
            </w:tcBorders>
            <w:shd w:val="clear" w:color="auto" w:fill="BFBFBF" w:themeFill="background1" w:themeFillShade="BF"/>
            <w:noWrap/>
            <w:vAlign w:val="bottom"/>
            <w:hideMark/>
          </w:tcPr>
          <w:p w14:paraId="4914772A" w14:textId="77777777"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of prescribed original prescriptions</w:t>
            </w:r>
          </w:p>
        </w:tc>
        <w:tc>
          <w:tcPr>
            <w:tcW w:w="1140" w:type="dxa"/>
            <w:shd w:val="clear" w:color="auto" w:fill="BFBFBF" w:themeFill="background1" w:themeFillShade="BF"/>
            <w:vAlign w:val="bottom"/>
          </w:tcPr>
          <w:p w14:paraId="2AF72901" w14:textId="089A21FE"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prescribed with no repeats ordered</w:t>
            </w:r>
          </w:p>
        </w:tc>
        <w:tc>
          <w:tcPr>
            <w:tcW w:w="1140" w:type="dxa"/>
            <w:shd w:val="clear" w:color="auto" w:fill="BFBFBF" w:themeFill="background1" w:themeFillShade="BF"/>
            <w:noWrap/>
            <w:vAlign w:val="bottom"/>
            <w:hideMark/>
          </w:tcPr>
          <w:p w14:paraId="312C58E8" w14:textId="0DCDCB26" w:rsidR="007A7825" w:rsidRPr="007A7825" w:rsidRDefault="007A7825" w:rsidP="007A7825">
            <w:pPr>
              <w:spacing w:after="0"/>
              <w:rPr>
                <w:rFonts w:ascii="Calibri" w:eastAsia="Times New Roman" w:hAnsi="Calibri" w:cs="Calibri"/>
                <w:b/>
                <w:bCs/>
                <w:color w:val="000000"/>
                <w:sz w:val="20"/>
                <w:szCs w:val="20"/>
              </w:rPr>
            </w:pPr>
            <w:r w:rsidRPr="007A7825">
              <w:rPr>
                <w:rFonts w:ascii="Calibri" w:eastAsia="Times New Roman" w:hAnsi="Calibri" w:cs="Calibri"/>
                <w:b/>
                <w:bCs/>
                <w:color w:val="000000"/>
                <w:sz w:val="20"/>
                <w:szCs w:val="20"/>
              </w:rPr>
              <w:t>Number prescribed with repeats ordered</w:t>
            </w:r>
          </w:p>
        </w:tc>
      </w:tr>
      <w:tr w:rsidR="007A7825" w:rsidRPr="007A7825" w14:paraId="64F15FB4" w14:textId="77777777" w:rsidTr="00535AE5">
        <w:trPr>
          <w:trHeight w:val="300"/>
        </w:trPr>
        <w:tc>
          <w:tcPr>
            <w:tcW w:w="1380" w:type="dxa"/>
            <w:shd w:val="clear" w:color="auto" w:fill="auto"/>
            <w:noWrap/>
            <w:vAlign w:val="center"/>
            <w:hideMark/>
          </w:tcPr>
          <w:p w14:paraId="1B1B90A0"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2015</w:t>
            </w:r>
          </w:p>
        </w:tc>
        <w:tc>
          <w:tcPr>
            <w:tcW w:w="1300" w:type="dxa"/>
            <w:shd w:val="clear" w:color="auto" w:fill="auto"/>
            <w:noWrap/>
            <w:vAlign w:val="center"/>
            <w:hideMark/>
          </w:tcPr>
          <w:p w14:paraId="0B880EB0" w14:textId="32630B62"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220</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943</w:t>
            </w:r>
          </w:p>
        </w:tc>
        <w:tc>
          <w:tcPr>
            <w:tcW w:w="1140" w:type="dxa"/>
            <w:vAlign w:val="center"/>
          </w:tcPr>
          <w:p w14:paraId="13E0D261" w14:textId="7CEBE4A9"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137</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028</w:t>
            </w:r>
          </w:p>
        </w:tc>
        <w:tc>
          <w:tcPr>
            <w:tcW w:w="1140" w:type="dxa"/>
            <w:shd w:val="clear" w:color="auto" w:fill="auto"/>
            <w:noWrap/>
            <w:vAlign w:val="center"/>
            <w:hideMark/>
          </w:tcPr>
          <w:p w14:paraId="7DA83121" w14:textId="3DA23BE7"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83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915</w:t>
            </w:r>
          </w:p>
        </w:tc>
        <w:tc>
          <w:tcPr>
            <w:tcW w:w="1300" w:type="dxa"/>
            <w:shd w:val="clear" w:color="auto" w:fill="auto"/>
            <w:noWrap/>
            <w:vAlign w:val="center"/>
            <w:hideMark/>
          </w:tcPr>
          <w:p w14:paraId="7BDAEDE9" w14:textId="77777777" w:rsidR="007A7825" w:rsidRPr="00535AE5" w:rsidRDefault="007A7825" w:rsidP="00535AE5">
            <w:pPr>
              <w:spacing w:after="0"/>
              <w:jc w:val="right"/>
              <w:rPr>
                <w:rFonts w:eastAsia="Times New Roman" w:cstheme="minorHAnsi"/>
                <w:color w:val="000000"/>
                <w:sz w:val="20"/>
                <w:szCs w:val="20"/>
              </w:rPr>
            </w:pPr>
          </w:p>
        </w:tc>
        <w:tc>
          <w:tcPr>
            <w:tcW w:w="1140" w:type="dxa"/>
            <w:vAlign w:val="center"/>
          </w:tcPr>
          <w:p w14:paraId="24B54085" w14:textId="77777777" w:rsidR="007A7825" w:rsidRPr="00535AE5" w:rsidRDefault="007A7825" w:rsidP="00535AE5">
            <w:pPr>
              <w:spacing w:after="0"/>
              <w:jc w:val="right"/>
              <w:rPr>
                <w:rFonts w:eastAsia="Times New Roman" w:cstheme="minorHAnsi"/>
                <w:sz w:val="20"/>
                <w:szCs w:val="20"/>
              </w:rPr>
            </w:pPr>
          </w:p>
        </w:tc>
        <w:tc>
          <w:tcPr>
            <w:tcW w:w="1140" w:type="dxa"/>
            <w:shd w:val="clear" w:color="auto" w:fill="auto"/>
            <w:noWrap/>
            <w:vAlign w:val="center"/>
            <w:hideMark/>
          </w:tcPr>
          <w:p w14:paraId="18E5FF6E" w14:textId="66ECC7AE" w:rsidR="007A7825" w:rsidRPr="00535AE5" w:rsidRDefault="007A7825" w:rsidP="00535AE5">
            <w:pPr>
              <w:spacing w:after="0"/>
              <w:jc w:val="right"/>
              <w:rPr>
                <w:rFonts w:eastAsia="Times New Roman" w:cstheme="minorHAnsi"/>
                <w:sz w:val="20"/>
                <w:szCs w:val="20"/>
              </w:rPr>
            </w:pPr>
          </w:p>
        </w:tc>
      </w:tr>
      <w:tr w:rsidR="007A7825" w:rsidRPr="007A7825" w14:paraId="47A4567A" w14:textId="77777777" w:rsidTr="00535AE5">
        <w:trPr>
          <w:trHeight w:val="300"/>
        </w:trPr>
        <w:tc>
          <w:tcPr>
            <w:tcW w:w="1380" w:type="dxa"/>
            <w:shd w:val="clear" w:color="auto" w:fill="auto"/>
            <w:noWrap/>
            <w:vAlign w:val="center"/>
            <w:hideMark/>
          </w:tcPr>
          <w:p w14:paraId="1AF15AE1"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2016</w:t>
            </w:r>
          </w:p>
        </w:tc>
        <w:tc>
          <w:tcPr>
            <w:tcW w:w="1300" w:type="dxa"/>
            <w:shd w:val="clear" w:color="auto" w:fill="auto"/>
            <w:noWrap/>
            <w:vAlign w:val="center"/>
            <w:hideMark/>
          </w:tcPr>
          <w:p w14:paraId="38381F17" w14:textId="72BC83CF"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375</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386</w:t>
            </w:r>
          </w:p>
        </w:tc>
        <w:tc>
          <w:tcPr>
            <w:tcW w:w="1140" w:type="dxa"/>
            <w:vAlign w:val="center"/>
          </w:tcPr>
          <w:p w14:paraId="45B472EF" w14:textId="00B0311E"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466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657</w:t>
            </w:r>
          </w:p>
        </w:tc>
        <w:tc>
          <w:tcPr>
            <w:tcW w:w="1140" w:type="dxa"/>
            <w:shd w:val="clear" w:color="auto" w:fill="auto"/>
            <w:noWrap/>
            <w:vAlign w:val="center"/>
            <w:hideMark/>
          </w:tcPr>
          <w:p w14:paraId="5C0D756B" w14:textId="32F39553"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908</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729</w:t>
            </w:r>
          </w:p>
        </w:tc>
        <w:tc>
          <w:tcPr>
            <w:tcW w:w="1300" w:type="dxa"/>
            <w:shd w:val="clear" w:color="auto" w:fill="auto"/>
            <w:noWrap/>
            <w:vAlign w:val="center"/>
            <w:hideMark/>
          </w:tcPr>
          <w:p w14:paraId="40E19ABE" w14:textId="77777777" w:rsidR="007A7825" w:rsidRPr="00535AE5" w:rsidRDefault="007A7825" w:rsidP="00535AE5">
            <w:pPr>
              <w:spacing w:after="0"/>
              <w:jc w:val="right"/>
              <w:rPr>
                <w:rFonts w:eastAsia="Times New Roman" w:cstheme="minorHAnsi"/>
                <w:color w:val="000000"/>
                <w:sz w:val="20"/>
                <w:szCs w:val="20"/>
              </w:rPr>
            </w:pPr>
          </w:p>
        </w:tc>
        <w:tc>
          <w:tcPr>
            <w:tcW w:w="1140" w:type="dxa"/>
            <w:vAlign w:val="center"/>
          </w:tcPr>
          <w:p w14:paraId="3246E5BA" w14:textId="77777777" w:rsidR="007A7825" w:rsidRPr="00535AE5" w:rsidRDefault="007A7825" w:rsidP="00535AE5">
            <w:pPr>
              <w:spacing w:after="0"/>
              <w:jc w:val="right"/>
              <w:rPr>
                <w:rFonts w:eastAsia="Times New Roman" w:cstheme="minorHAnsi"/>
                <w:sz w:val="20"/>
                <w:szCs w:val="20"/>
              </w:rPr>
            </w:pPr>
          </w:p>
        </w:tc>
        <w:tc>
          <w:tcPr>
            <w:tcW w:w="1140" w:type="dxa"/>
            <w:shd w:val="clear" w:color="auto" w:fill="auto"/>
            <w:noWrap/>
            <w:vAlign w:val="center"/>
            <w:hideMark/>
          </w:tcPr>
          <w:p w14:paraId="29FA51D4" w14:textId="5878EDC8" w:rsidR="007A7825" w:rsidRPr="00535AE5" w:rsidRDefault="007A7825" w:rsidP="00535AE5">
            <w:pPr>
              <w:spacing w:after="0"/>
              <w:jc w:val="right"/>
              <w:rPr>
                <w:rFonts w:eastAsia="Times New Roman" w:cstheme="minorHAnsi"/>
                <w:sz w:val="20"/>
                <w:szCs w:val="20"/>
              </w:rPr>
            </w:pPr>
          </w:p>
        </w:tc>
      </w:tr>
      <w:tr w:rsidR="007A7825" w:rsidRPr="007A7825" w14:paraId="1974E5F7" w14:textId="77777777" w:rsidTr="00535AE5">
        <w:trPr>
          <w:trHeight w:val="300"/>
        </w:trPr>
        <w:tc>
          <w:tcPr>
            <w:tcW w:w="1380" w:type="dxa"/>
            <w:shd w:val="clear" w:color="auto" w:fill="auto"/>
            <w:noWrap/>
            <w:vAlign w:val="center"/>
            <w:hideMark/>
          </w:tcPr>
          <w:p w14:paraId="06966F00"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2017</w:t>
            </w:r>
          </w:p>
        </w:tc>
        <w:tc>
          <w:tcPr>
            <w:tcW w:w="1300" w:type="dxa"/>
            <w:shd w:val="clear" w:color="auto" w:fill="auto"/>
            <w:noWrap/>
            <w:vAlign w:val="center"/>
            <w:hideMark/>
          </w:tcPr>
          <w:p w14:paraId="542D13F6" w14:textId="451982B3"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626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409</w:t>
            </w:r>
          </w:p>
        </w:tc>
        <w:tc>
          <w:tcPr>
            <w:tcW w:w="1140" w:type="dxa"/>
            <w:vAlign w:val="center"/>
          </w:tcPr>
          <w:p w14:paraId="3623ECB7" w14:textId="0258F9FC"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710</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343</w:t>
            </w:r>
          </w:p>
        </w:tc>
        <w:tc>
          <w:tcPr>
            <w:tcW w:w="1140" w:type="dxa"/>
            <w:shd w:val="clear" w:color="auto" w:fill="auto"/>
            <w:noWrap/>
            <w:vAlign w:val="center"/>
            <w:hideMark/>
          </w:tcPr>
          <w:p w14:paraId="6063B0B6" w14:textId="36AA163D"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916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066</w:t>
            </w:r>
          </w:p>
        </w:tc>
        <w:tc>
          <w:tcPr>
            <w:tcW w:w="1300" w:type="dxa"/>
            <w:shd w:val="clear" w:color="auto" w:fill="auto"/>
            <w:noWrap/>
            <w:vAlign w:val="center"/>
            <w:hideMark/>
          </w:tcPr>
          <w:p w14:paraId="0854107C" w14:textId="77777777" w:rsidR="007A7825" w:rsidRPr="00535AE5" w:rsidRDefault="007A7825" w:rsidP="00535AE5">
            <w:pPr>
              <w:spacing w:after="0"/>
              <w:jc w:val="right"/>
              <w:rPr>
                <w:rFonts w:eastAsia="Times New Roman" w:cstheme="minorHAnsi"/>
                <w:color w:val="000000"/>
                <w:sz w:val="20"/>
                <w:szCs w:val="20"/>
              </w:rPr>
            </w:pPr>
          </w:p>
        </w:tc>
        <w:tc>
          <w:tcPr>
            <w:tcW w:w="1140" w:type="dxa"/>
            <w:vAlign w:val="center"/>
          </w:tcPr>
          <w:p w14:paraId="2EF35D02" w14:textId="77777777" w:rsidR="007A7825" w:rsidRPr="00535AE5" w:rsidRDefault="007A7825" w:rsidP="00535AE5">
            <w:pPr>
              <w:spacing w:after="0"/>
              <w:jc w:val="right"/>
              <w:rPr>
                <w:rFonts w:eastAsia="Times New Roman" w:cstheme="minorHAnsi"/>
                <w:sz w:val="20"/>
                <w:szCs w:val="20"/>
              </w:rPr>
            </w:pPr>
          </w:p>
        </w:tc>
        <w:tc>
          <w:tcPr>
            <w:tcW w:w="1140" w:type="dxa"/>
            <w:shd w:val="clear" w:color="auto" w:fill="auto"/>
            <w:noWrap/>
            <w:vAlign w:val="center"/>
            <w:hideMark/>
          </w:tcPr>
          <w:p w14:paraId="1C091CB9" w14:textId="64E7E2C4" w:rsidR="007A7825" w:rsidRPr="00535AE5" w:rsidRDefault="007A7825" w:rsidP="00535AE5">
            <w:pPr>
              <w:spacing w:after="0"/>
              <w:jc w:val="right"/>
              <w:rPr>
                <w:rFonts w:eastAsia="Times New Roman" w:cstheme="minorHAnsi"/>
                <w:sz w:val="20"/>
                <w:szCs w:val="20"/>
              </w:rPr>
            </w:pPr>
          </w:p>
        </w:tc>
      </w:tr>
      <w:tr w:rsidR="007A7825" w:rsidRPr="007A7825" w14:paraId="6B710424" w14:textId="77777777" w:rsidTr="00535AE5">
        <w:trPr>
          <w:trHeight w:val="300"/>
        </w:trPr>
        <w:tc>
          <w:tcPr>
            <w:tcW w:w="1380" w:type="dxa"/>
            <w:shd w:val="clear" w:color="auto" w:fill="auto"/>
            <w:noWrap/>
            <w:vAlign w:val="center"/>
            <w:hideMark/>
          </w:tcPr>
          <w:p w14:paraId="34A6F193"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2018</w:t>
            </w:r>
          </w:p>
        </w:tc>
        <w:tc>
          <w:tcPr>
            <w:tcW w:w="1300" w:type="dxa"/>
            <w:shd w:val="clear" w:color="auto" w:fill="auto"/>
            <w:noWrap/>
            <w:vAlign w:val="center"/>
            <w:hideMark/>
          </w:tcPr>
          <w:p w14:paraId="038E5AC4" w14:textId="7EB7F972"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113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298</w:t>
            </w:r>
          </w:p>
        </w:tc>
        <w:tc>
          <w:tcPr>
            <w:tcW w:w="1140" w:type="dxa"/>
            <w:vAlign w:val="center"/>
          </w:tcPr>
          <w:p w14:paraId="0D05072F" w14:textId="2A7AE0DC"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186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129</w:t>
            </w:r>
          </w:p>
        </w:tc>
        <w:tc>
          <w:tcPr>
            <w:tcW w:w="1140" w:type="dxa"/>
            <w:shd w:val="clear" w:color="auto" w:fill="auto"/>
            <w:noWrap/>
            <w:vAlign w:val="center"/>
            <w:hideMark/>
          </w:tcPr>
          <w:p w14:paraId="073CB3D3" w14:textId="1B3CF80F"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927</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169</w:t>
            </w:r>
          </w:p>
        </w:tc>
        <w:tc>
          <w:tcPr>
            <w:tcW w:w="1300" w:type="dxa"/>
            <w:shd w:val="clear" w:color="auto" w:fill="auto"/>
            <w:noWrap/>
            <w:vAlign w:val="center"/>
            <w:hideMark/>
          </w:tcPr>
          <w:p w14:paraId="19AE5E18" w14:textId="77777777" w:rsidR="007A7825" w:rsidRPr="00535AE5" w:rsidRDefault="007A7825" w:rsidP="00535AE5">
            <w:pPr>
              <w:spacing w:after="0"/>
              <w:jc w:val="right"/>
              <w:rPr>
                <w:rFonts w:eastAsia="Times New Roman" w:cstheme="minorHAnsi"/>
                <w:color w:val="000000"/>
                <w:sz w:val="20"/>
                <w:szCs w:val="20"/>
              </w:rPr>
            </w:pPr>
          </w:p>
        </w:tc>
        <w:tc>
          <w:tcPr>
            <w:tcW w:w="1140" w:type="dxa"/>
            <w:vAlign w:val="center"/>
          </w:tcPr>
          <w:p w14:paraId="4DF9E2F8" w14:textId="77777777" w:rsidR="007A7825" w:rsidRPr="00535AE5" w:rsidRDefault="007A7825" w:rsidP="00535AE5">
            <w:pPr>
              <w:spacing w:after="0"/>
              <w:jc w:val="right"/>
              <w:rPr>
                <w:rFonts w:eastAsia="Times New Roman" w:cstheme="minorHAnsi"/>
                <w:sz w:val="20"/>
                <w:szCs w:val="20"/>
              </w:rPr>
            </w:pPr>
          </w:p>
        </w:tc>
        <w:tc>
          <w:tcPr>
            <w:tcW w:w="1140" w:type="dxa"/>
            <w:shd w:val="clear" w:color="auto" w:fill="auto"/>
            <w:noWrap/>
            <w:vAlign w:val="center"/>
            <w:hideMark/>
          </w:tcPr>
          <w:p w14:paraId="515C8560" w14:textId="4943ED78" w:rsidR="007A7825" w:rsidRPr="00535AE5" w:rsidRDefault="007A7825" w:rsidP="00535AE5">
            <w:pPr>
              <w:spacing w:after="0"/>
              <w:jc w:val="right"/>
              <w:rPr>
                <w:rFonts w:eastAsia="Times New Roman" w:cstheme="minorHAnsi"/>
                <w:sz w:val="20"/>
                <w:szCs w:val="20"/>
              </w:rPr>
            </w:pPr>
          </w:p>
        </w:tc>
      </w:tr>
      <w:tr w:rsidR="007A7825" w:rsidRPr="007A7825" w14:paraId="24CB1B70" w14:textId="77777777" w:rsidTr="003D253B">
        <w:trPr>
          <w:trHeight w:val="300"/>
        </w:trPr>
        <w:tc>
          <w:tcPr>
            <w:tcW w:w="1380" w:type="dxa"/>
            <w:shd w:val="clear" w:color="auto" w:fill="auto"/>
            <w:noWrap/>
            <w:vAlign w:val="center"/>
            <w:hideMark/>
          </w:tcPr>
          <w:p w14:paraId="69B8BA7C"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2019</w:t>
            </w:r>
          </w:p>
        </w:tc>
        <w:tc>
          <w:tcPr>
            <w:tcW w:w="1300" w:type="dxa"/>
            <w:shd w:val="clear" w:color="auto" w:fill="auto"/>
            <w:noWrap/>
            <w:vAlign w:val="center"/>
            <w:hideMark/>
          </w:tcPr>
          <w:p w14:paraId="6ED705FA" w14:textId="72E9843F"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593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252</w:t>
            </w:r>
          </w:p>
        </w:tc>
        <w:tc>
          <w:tcPr>
            <w:tcW w:w="1140" w:type="dxa"/>
            <w:vAlign w:val="center"/>
          </w:tcPr>
          <w:p w14:paraId="05ED6B6D" w14:textId="4711329F"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752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104</w:t>
            </w:r>
          </w:p>
        </w:tc>
        <w:tc>
          <w:tcPr>
            <w:tcW w:w="1140" w:type="dxa"/>
            <w:shd w:val="clear" w:color="auto" w:fill="auto"/>
            <w:noWrap/>
            <w:vAlign w:val="center"/>
            <w:hideMark/>
          </w:tcPr>
          <w:p w14:paraId="4A0D4D58" w14:textId="14F13E3D"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841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148</w:t>
            </w:r>
          </w:p>
        </w:tc>
        <w:tc>
          <w:tcPr>
            <w:tcW w:w="1300" w:type="dxa"/>
            <w:tcBorders>
              <w:bottom w:val="single" w:sz="4" w:space="0" w:color="auto"/>
            </w:tcBorders>
            <w:shd w:val="clear" w:color="auto" w:fill="auto"/>
            <w:noWrap/>
            <w:vAlign w:val="center"/>
            <w:hideMark/>
          </w:tcPr>
          <w:p w14:paraId="3875A590" w14:textId="77777777" w:rsidR="007A7825" w:rsidRPr="00535AE5" w:rsidRDefault="007A7825" w:rsidP="00535AE5">
            <w:pPr>
              <w:spacing w:after="0"/>
              <w:jc w:val="right"/>
              <w:rPr>
                <w:rFonts w:eastAsia="Times New Roman" w:cstheme="minorHAnsi"/>
                <w:color w:val="000000"/>
                <w:sz w:val="20"/>
                <w:szCs w:val="20"/>
              </w:rPr>
            </w:pPr>
          </w:p>
        </w:tc>
        <w:tc>
          <w:tcPr>
            <w:tcW w:w="1140" w:type="dxa"/>
            <w:vAlign w:val="center"/>
          </w:tcPr>
          <w:p w14:paraId="3BD46BC1" w14:textId="77777777" w:rsidR="007A7825" w:rsidRPr="00535AE5" w:rsidRDefault="007A7825" w:rsidP="00535AE5">
            <w:pPr>
              <w:spacing w:after="0"/>
              <w:jc w:val="right"/>
              <w:rPr>
                <w:rFonts w:eastAsia="Times New Roman" w:cstheme="minorHAnsi"/>
                <w:sz w:val="20"/>
                <w:szCs w:val="20"/>
              </w:rPr>
            </w:pPr>
          </w:p>
        </w:tc>
        <w:tc>
          <w:tcPr>
            <w:tcW w:w="1140" w:type="dxa"/>
            <w:shd w:val="clear" w:color="auto" w:fill="auto"/>
            <w:noWrap/>
            <w:vAlign w:val="center"/>
            <w:hideMark/>
          </w:tcPr>
          <w:p w14:paraId="145D660C" w14:textId="06851DC9" w:rsidR="007A7825" w:rsidRPr="00535AE5" w:rsidRDefault="007A7825" w:rsidP="00535AE5">
            <w:pPr>
              <w:spacing w:after="0"/>
              <w:jc w:val="right"/>
              <w:rPr>
                <w:rFonts w:eastAsia="Times New Roman" w:cstheme="minorHAnsi"/>
                <w:sz w:val="20"/>
                <w:szCs w:val="20"/>
              </w:rPr>
            </w:pPr>
          </w:p>
        </w:tc>
      </w:tr>
      <w:tr w:rsidR="007A7825" w:rsidRPr="007A7825" w14:paraId="4EDD5366" w14:textId="77777777" w:rsidTr="003D253B">
        <w:trPr>
          <w:trHeight w:val="300"/>
        </w:trPr>
        <w:tc>
          <w:tcPr>
            <w:tcW w:w="1380" w:type="dxa"/>
            <w:shd w:val="clear" w:color="auto" w:fill="auto"/>
            <w:noWrap/>
            <w:vAlign w:val="center"/>
            <w:hideMark/>
          </w:tcPr>
          <w:p w14:paraId="1EE86205"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2020</w:t>
            </w:r>
          </w:p>
        </w:tc>
        <w:tc>
          <w:tcPr>
            <w:tcW w:w="1300" w:type="dxa"/>
            <w:shd w:val="clear" w:color="auto" w:fill="auto"/>
            <w:noWrap/>
            <w:vAlign w:val="center"/>
            <w:hideMark/>
          </w:tcPr>
          <w:p w14:paraId="5405147C" w14:textId="03834C38"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026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225</w:t>
            </w:r>
          </w:p>
        </w:tc>
        <w:tc>
          <w:tcPr>
            <w:tcW w:w="1140" w:type="dxa"/>
            <w:vAlign w:val="center"/>
          </w:tcPr>
          <w:p w14:paraId="098D84BD" w14:textId="79CFCF05"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610</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331</w:t>
            </w:r>
          </w:p>
        </w:tc>
        <w:tc>
          <w:tcPr>
            <w:tcW w:w="1140" w:type="dxa"/>
            <w:shd w:val="clear" w:color="auto" w:fill="auto"/>
            <w:noWrap/>
            <w:vAlign w:val="center"/>
            <w:hideMark/>
          </w:tcPr>
          <w:p w14:paraId="61EFBB80" w14:textId="003EF018"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415</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894</w:t>
            </w:r>
          </w:p>
        </w:tc>
        <w:tc>
          <w:tcPr>
            <w:tcW w:w="1300" w:type="dxa"/>
            <w:tcBorders>
              <w:top w:val="single" w:sz="4" w:space="0" w:color="auto"/>
            </w:tcBorders>
            <w:shd w:val="clear" w:color="auto" w:fill="auto"/>
            <w:noWrap/>
            <w:vAlign w:val="center"/>
            <w:hideMark/>
          </w:tcPr>
          <w:p w14:paraId="22182988" w14:textId="4876BBF8"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361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636</w:t>
            </w:r>
          </w:p>
        </w:tc>
        <w:tc>
          <w:tcPr>
            <w:tcW w:w="1140" w:type="dxa"/>
            <w:vAlign w:val="center"/>
          </w:tcPr>
          <w:p w14:paraId="4F8DE8DD" w14:textId="1C16C40C"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361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436</w:t>
            </w:r>
          </w:p>
        </w:tc>
        <w:tc>
          <w:tcPr>
            <w:tcW w:w="1140" w:type="dxa"/>
            <w:shd w:val="clear" w:color="auto" w:fill="auto"/>
            <w:noWrap/>
            <w:vAlign w:val="center"/>
            <w:hideMark/>
          </w:tcPr>
          <w:p w14:paraId="13FE195B" w14:textId="5F36ACBE"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200</w:t>
            </w:r>
          </w:p>
        </w:tc>
      </w:tr>
      <w:tr w:rsidR="007A7825" w:rsidRPr="007A7825" w14:paraId="606E551C" w14:textId="77777777" w:rsidTr="00535AE5">
        <w:trPr>
          <w:trHeight w:val="300"/>
        </w:trPr>
        <w:tc>
          <w:tcPr>
            <w:tcW w:w="1380" w:type="dxa"/>
            <w:shd w:val="clear" w:color="auto" w:fill="auto"/>
            <w:noWrap/>
            <w:vAlign w:val="center"/>
            <w:hideMark/>
          </w:tcPr>
          <w:p w14:paraId="1BD5422E" w14:textId="77777777"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2021</w:t>
            </w:r>
          </w:p>
        </w:tc>
        <w:tc>
          <w:tcPr>
            <w:tcW w:w="1300" w:type="dxa"/>
            <w:shd w:val="clear" w:color="auto" w:fill="auto"/>
            <w:noWrap/>
            <w:vAlign w:val="center"/>
            <w:hideMark/>
          </w:tcPr>
          <w:p w14:paraId="5F58952F" w14:textId="5F0FA009"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856</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476</w:t>
            </w:r>
          </w:p>
        </w:tc>
        <w:tc>
          <w:tcPr>
            <w:tcW w:w="1140" w:type="dxa"/>
            <w:vAlign w:val="center"/>
          </w:tcPr>
          <w:p w14:paraId="0945300C" w14:textId="3445DF77"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682</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816</w:t>
            </w:r>
          </w:p>
        </w:tc>
        <w:tc>
          <w:tcPr>
            <w:tcW w:w="1140" w:type="dxa"/>
            <w:shd w:val="clear" w:color="auto" w:fill="auto"/>
            <w:noWrap/>
            <w:vAlign w:val="center"/>
            <w:hideMark/>
          </w:tcPr>
          <w:p w14:paraId="646007EF" w14:textId="152A0D19"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173</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660</w:t>
            </w:r>
          </w:p>
        </w:tc>
        <w:tc>
          <w:tcPr>
            <w:tcW w:w="1300" w:type="dxa"/>
            <w:shd w:val="clear" w:color="auto" w:fill="auto"/>
            <w:noWrap/>
            <w:vAlign w:val="center"/>
            <w:hideMark/>
          </w:tcPr>
          <w:p w14:paraId="269A1EA6" w14:textId="0E15FABB"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649</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437</w:t>
            </w:r>
          </w:p>
        </w:tc>
        <w:tc>
          <w:tcPr>
            <w:tcW w:w="1140" w:type="dxa"/>
            <w:vAlign w:val="center"/>
          </w:tcPr>
          <w:p w14:paraId="1F39A975" w14:textId="306BD1BC"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649</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272</w:t>
            </w:r>
          </w:p>
        </w:tc>
        <w:tc>
          <w:tcPr>
            <w:tcW w:w="1140" w:type="dxa"/>
            <w:shd w:val="clear" w:color="auto" w:fill="auto"/>
            <w:noWrap/>
            <w:vAlign w:val="center"/>
            <w:hideMark/>
          </w:tcPr>
          <w:p w14:paraId="01969EA6" w14:textId="122B3916"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165</w:t>
            </w:r>
          </w:p>
        </w:tc>
      </w:tr>
      <w:tr w:rsidR="007A7825" w:rsidRPr="007A7825" w14:paraId="7ABEF481" w14:textId="77777777" w:rsidTr="00535AE5">
        <w:trPr>
          <w:trHeight w:val="300"/>
        </w:trPr>
        <w:tc>
          <w:tcPr>
            <w:tcW w:w="1380" w:type="dxa"/>
            <w:shd w:val="clear" w:color="auto" w:fill="auto"/>
            <w:noWrap/>
            <w:vAlign w:val="center"/>
            <w:hideMark/>
          </w:tcPr>
          <w:p w14:paraId="03C40BC6" w14:textId="74164B8B" w:rsidR="007A7825" w:rsidRPr="007A7825" w:rsidRDefault="007A7825" w:rsidP="00535AE5">
            <w:pPr>
              <w:spacing w:after="0"/>
              <w:rPr>
                <w:rFonts w:ascii="Calibri" w:eastAsia="Times New Roman" w:hAnsi="Calibri" w:cs="Calibri"/>
                <w:color w:val="000000"/>
                <w:sz w:val="20"/>
                <w:szCs w:val="20"/>
              </w:rPr>
            </w:pPr>
            <w:r w:rsidRPr="007A7825">
              <w:rPr>
                <w:rFonts w:ascii="Calibri" w:eastAsia="Times New Roman" w:hAnsi="Calibri" w:cs="Calibri"/>
                <w:color w:val="000000"/>
                <w:sz w:val="20"/>
                <w:szCs w:val="20"/>
              </w:rPr>
              <w:t>2022</w:t>
            </w:r>
            <w:r w:rsidR="00A05EED">
              <w:rPr>
                <w:rFonts w:ascii="Calibri" w:eastAsia="Times New Roman" w:hAnsi="Calibri" w:cs="Calibri"/>
                <w:color w:val="000000"/>
                <w:sz w:val="20"/>
                <w:szCs w:val="20"/>
              </w:rPr>
              <w:t xml:space="preserve"> </w:t>
            </w:r>
            <w:r w:rsidR="00A05EED" w:rsidRPr="00A05EED">
              <w:rPr>
                <w:rFonts w:ascii="Calibri" w:eastAsia="Times New Roman" w:hAnsi="Calibri" w:cs="Calibri"/>
                <w:color w:val="000000"/>
                <w:sz w:val="20"/>
                <w:szCs w:val="20"/>
              </w:rPr>
              <w:t>(YTD September)</w:t>
            </w:r>
          </w:p>
        </w:tc>
        <w:tc>
          <w:tcPr>
            <w:tcW w:w="1300" w:type="dxa"/>
            <w:shd w:val="clear" w:color="auto" w:fill="auto"/>
            <w:noWrap/>
            <w:vAlign w:val="center"/>
            <w:hideMark/>
          </w:tcPr>
          <w:p w14:paraId="130458A4" w14:textId="757B731A"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9</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510</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113</w:t>
            </w:r>
          </w:p>
        </w:tc>
        <w:tc>
          <w:tcPr>
            <w:tcW w:w="1140" w:type="dxa"/>
            <w:vAlign w:val="center"/>
          </w:tcPr>
          <w:p w14:paraId="43B5B357" w14:textId="779A9A64"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8</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684</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131</w:t>
            </w:r>
          </w:p>
        </w:tc>
        <w:tc>
          <w:tcPr>
            <w:tcW w:w="1140" w:type="dxa"/>
            <w:shd w:val="clear" w:color="auto" w:fill="auto"/>
            <w:noWrap/>
            <w:vAlign w:val="center"/>
            <w:hideMark/>
          </w:tcPr>
          <w:p w14:paraId="28C9376A" w14:textId="3E50FAE3"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825</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982</w:t>
            </w:r>
          </w:p>
        </w:tc>
        <w:tc>
          <w:tcPr>
            <w:tcW w:w="1300" w:type="dxa"/>
            <w:shd w:val="clear" w:color="auto" w:fill="auto"/>
            <w:noWrap/>
            <w:vAlign w:val="center"/>
            <w:hideMark/>
          </w:tcPr>
          <w:p w14:paraId="50C83405" w14:textId="7C407F0B"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447</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997</w:t>
            </w:r>
          </w:p>
        </w:tc>
        <w:tc>
          <w:tcPr>
            <w:tcW w:w="1140" w:type="dxa"/>
            <w:vAlign w:val="center"/>
          </w:tcPr>
          <w:p w14:paraId="1F79092B" w14:textId="3359D6D0"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447</w:t>
            </w:r>
            <w:r>
              <w:rPr>
                <w:rFonts w:ascii="Calibri" w:eastAsia="Times New Roman" w:hAnsi="Calibri" w:cs="Calibri"/>
                <w:color w:val="000000"/>
                <w:sz w:val="20"/>
                <w:szCs w:val="20"/>
              </w:rPr>
              <w:t>,</w:t>
            </w:r>
            <w:r w:rsidRPr="007A7825">
              <w:rPr>
                <w:rFonts w:ascii="Calibri" w:eastAsia="Times New Roman" w:hAnsi="Calibri" w:cs="Calibri"/>
                <w:color w:val="000000"/>
                <w:sz w:val="20"/>
                <w:szCs w:val="20"/>
              </w:rPr>
              <w:t>851</w:t>
            </w:r>
          </w:p>
        </w:tc>
        <w:tc>
          <w:tcPr>
            <w:tcW w:w="1140" w:type="dxa"/>
            <w:shd w:val="clear" w:color="auto" w:fill="auto"/>
            <w:noWrap/>
            <w:vAlign w:val="center"/>
            <w:hideMark/>
          </w:tcPr>
          <w:p w14:paraId="2B807231" w14:textId="0226A448" w:rsidR="007A7825" w:rsidRPr="007A7825" w:rsidRDefault="007A7825" w:rsidP="00535AE5">
            <w:pPr>
              <w:spacing w:after="0"/>
              <w:jc w:val="right"/>
              <w:rPr>
                <w:rFonts w:ascii="Calibri" w:eastAsia="Times New Roman" w:hAnsi="Calibri" w:cs="Calibri"/>
                <w:color w:val="000000"/>
                <w:sz w:val="20"/>
                <w:szCs w:val="20"/>
              </w:rPr>
            </w:pPr>
            <w:r w:rsidRPr="007A7825">
              <w:rPr>
                <w:rFonts w:ascii="Calibri" w:eastAsia="Times New Roman" w:hAnsi="Calibri" w:cs="Calibri"/>
                <w:color w:val="000000"/>
                <w:sz w:val="20"/>
                <w:szCs w:val="20"/>
              </w:rPr>
              <w:t>146</w:t>
            </w:r>
          </w:p>
        </w:tc>
      </w:tr>
    </w:tbl>
    <w:p w14:paraId="7F8EF072" w14:textId="77777777" w:rsidR="00A53D9B" w:rsidRPr="006F4ACF" w:rsidRDefault="00A53D9B" w:rsidP="00373F55">
      <w:pPr>
        <w:keepNext/>
        <w:rPr>
          <w:u w:val="single"/>
        </w:rPr>
      </w:pPr>
      <w:r w:rsidRPr="006F4ACF">
        <w:rPr>
          <w:u w:val="single"/>
        </w:rPr>
        <w:lastRenderedPageBreak/>
        <w:t>Medicine sequence</w:t>
      </w:r>
    </w:p>
    <w:p w14:paraId="29AB483E" w14:textId="0A84048F" w:rsidR="00A53D9B" w:rsidRDefault="00A53D9B" w:rsidP="00A53D9B">
      <w:r w:rsidRPr="003D5A73">
        <w:t xml:space="preserve">The table below shows the top 30 </w:t>
      </w:r>
      <w:r w:rsidR="007E4823">
        <w:t xml:space="preserve">medicine </w:t>
      </w:r>
      <w:r w:rsidRPr="003D5A73">
        <w:t>sequences of patients who initiated in 2019, up to September 2022</w:t>
      </w:r>
      <w:r w:rsidR="007E4823">
        <w:t>, and notes when patients were recorded in the date of death data</w:t>
      </w:r>
      <w:r w:rsidRPr="003D5A73">
        <w:t>.</w:t>
      </w:r>
      <w:r>
        <w:t xml:space="preserve"> Medicines are only counted once, for example if a patient is supplied A &gt; B &gt; A this is counted as A &gt; B.</w:t>
      </w:r>
    </w:p>
    <w:p w14:paraId="0ED0A943" w14:textId="4C9FE11D" w:rsidR="00A05EED" w:rsidRPr="003D5A73" w:rsidRDefault="00A05EED" w:rsidP="00AB0119">
      <w:pPr>
        <w:pStyle w:val="Tabletitle"/>
      </w:pPr>
      <w:r>
        <w:t xml:space="preserve">Table </w:t>
      </w:r>
      <w:r w:rsidR="00373F55">
        <w:t>9</w:t>
      </w:r>
      <w:r>
        <w:t>: Medicine sequence</w:t>
      </w: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0"/>
        <w:gridCol w:w="1517"/>
      </w:tblGrid>
      <w:tr w:rsidR="00A53D9B" w:rsidRPr="006C46DF" w14:paraId="0E1ED291" w14:textId="77777777" w:rsidTr="009B7DD1">
        <w:trPr>
          <w:trHeight w:val="300"/>
        </w:trPr>
        <w:tc>
          <w:tcPr>
            <w:tcW w:w="6280" w:type="dxa"/>
            <w:shd w:val="clear" w:color="auto" w:fill="BFBFBF" w:themeFill="background1" w:themeFillShade="BF"/>
            <w:noWrap/>
            <w:vAlign w:val="bottom"/>
            <w:hideMark/>
          </w:tcPr>
          <w:p w14:paraId="2AFF2BB2" w14:textId="77777777" w:rsidR="00A53D9B" w:rsidRPr="00535AE5" w:rsidRDefault="00A53D9B" w:rsidP="009B7DD1">
            <w:pPr>
              <w:spacing w:after="0"/>
              <w:rPr>
                <w:rFonts w:ascii="Calibri" w:eastAsia="Times New Roman" w:hAnsi="Calibri" w:cs="Calibri"/>
                <w:b/>
                <w:bCs/>
                <w:color w:val="000000"/>
                <w:sz w:val="20"/>
                <w:szCs w:val="20"/>
              </w:rPr>
            </w:pPr>
            <w:r w:rsidRPr="00535AE5">
              <w:rPr>
                <w:rFonts w:ascii="Calibri" w:eastAsia="Times New Roman" w:hAnsi="Calibri" w:cs="Calibri"/>
                <w:b/>
                <w:bCs/>
                <w:color w:val="000000"/>
                <w:sz w:val="20"/>
                <w:szCs w:val="20"/>
              </w:rPr>
              <w:t>Sequence</w:t>
            </w:r>
          </w:p>
        </w:tc>
        <w:tc>
          <w:tcPr>
            <w:tcW w:w="1517" w:type="dxa"/>
            <w:shd w:val="clear" w:color="auto" w:fill="BFBFBF" w:themeFill="background1" w:themeFillShade="BF"/>
            <w:noWrap/>
            <w:vAlign w:val="bottom"/>
            <w:hideMark/>
          </w:tcPr>
          <w:p w14:paraId="1A3C15D9" w14:textId="77777777" w:rsidR="00A53D9B" w:rsidRPr="00535AE5" w:rsidRDefault="00A53D9B" w:rsidP="009B7DD1">
            <w:pPr>
              <w:spacing w:after="0"/>
              <w:rPr>
                <w:rFonts w:ascii="Calibri" w:eastAsia="Times New Roman" w:hAnsi="Calibri" w:cs="Calibri"/>
                <w:b/>
                <w:bCs/>
                <w:color w:val="000000"/>
                <w:sz w:val="20"/>
                <w:szCs w:val="20"/>
              </w:rPr>
            </w:pPr>
            <w:r w:rsidRPr="00535AE5">
              <w:rPr>
                <w:rFonts w:ascii="Calibri" w:eastAsia="Times New Roman" w:hAnsi="Calibri" w:cs="Calibri"/>
                <w:b/>
                <w:bCs/>
                <w:color w:val="000000"/>
                <w:sz w:val="20"/>
                <w:szCs w:val="20"/>
              </w:rPr>
              <w:t>Count Patients</w:t>
            </w:r>
          </w:p>
        </w:tc>
      </w:tr>
      <w:tr w:rsidR="00A53D9B" w:rsidRPr="006C46DF" w14:paraId="5DD5FFE5" w14:textId="77777777" w:rsidTr="009B7DD1">
        <w:trPr>
          <w:trHeight w:val="300"/>
        </w:trPr>
        <w:tc>
          <w:tcPr>
            <w:tcW w:w="6280" w:type="dxa"/>
            <w:shd w:val="clear" w:color="auto" w:fill="auto"/>
            <w:noWrap/>
            <w:vAlign w:val="bottom"/>
            <w:hideMark/>
          </w:tcPr>
          <w:p w14:paraId="4F80C902"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p>
        </w:tc>
        <w:tc>
          <w:tcPr>
            <w:tcW w:w="1517" w:type="dxa"/>
            <w:shd w:val="clear" w:color="auto" w:fill="auto"/>
            <w:noWrap/>
            <w:vAlign w:val="bottom"/>
            <w:hideMark/>
          </w:tcPr>
          <w:p w14:paraId="1AAC44BE"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451</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840</w:t>
            </w:r>
          </w:p>
        </w:tc>
      </w:tr>
      <w:tr w:rsidR="00A53D9B" w:rsidRPr="006C46DF" w14:paraId="3225E30F" w14:textId="77777777" w:rsidTr="009B7DD1">
        <w:trPr>
          <w:trHeight w:val="300"/>
        </w:trPr>
        <w:tc>
          <w:tcPr>
            <w:tcW w:w="6280" w:type="dxa"/>
            <w:shd w:val="clear" w:color="auto" w:fill="auto"/>
            <w:noWrap/>
            <w:vAlign w:val="bottom"/>
            <w:hideMark/>
          </w:tcPr>
          <w:p w14:paraId="75C6C9FB"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p>
        </w:tc>
        <w:tc>
          <w:tcPr>
            <w:tcW w:w="1517" w:type="dxa"/>
            <w:shd w:val="clear" w:color="auto" w:fill="auto"/>
            <w:noWrap/>
            <w:vAlign w:val="bottom"/>
            <w:hideMark/>
          </w:tcPr>
          <w:p w14:paraId="663FA18F"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193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939</w:t>
            </w:r>
          </w:p>
        </w:tc>
      </w:tr>
      <w:tr w:rsidR="00A53D9B" w:rsidRPr="006C46DF" w14:paraId="3194758A" w14:textId="77777777" w:rsidTr="009B7DD1">
        <w:trPr>
          <w:trHeight w:val="300"/>
        </w:trPr>
        <w:tc>
          <w:tcPr>
            <w:tcW w:w="6280" w:type="dxa"/>
            <w:shd w:val="clear" w:color="auto" w:fill="auto"/>
            <w:noWrap/>
            <w:vAlign w:val="bottom"/>
            <w:hideMark/>
          </w:tcPr>
          <w:p w14:paraId="728496CE"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w:t>
            </w:r>
          </w:p>
        </w:tc>
        <w:tc>
          <w:tcPr>
            <w:tcW w:w="1517" w:type="dxa"/>
            <w:shd w:val="clear" w:color="auto" w:fill="auto"/>
            <w:noWrap/>
            <w:vAlign w:val="bottom"/>
            <w:hideMark/>
          </w:tcPr>
          <w:p w14:paraId="639A4D4D"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66</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378</w:t>
            </w:r>
          </w:p>
        </w:tc>
      </w:tr>
      <w:tr w:rsidR="00A53D9B" w:rsidRPr="006C46DF" w14:paraId="3664EE94" w14:textId="77777777" w:rsidTr="009B7DD1">
        <w:trPr>
          <w:trHeight w:val="300"/>
        </w:trPr>
        <w:tc>
          <w:tcPr>
            <w:tcW w:w="6280" w:type="dxa"/>
            <w:shd w:val="clear" w:color="auto" w:fill="auto"/>
            <w:noWrap/>
            <w:vAlign w:val="bottom"/>
            <w:hideMark/>
          </w:tcPr>
          <w:p w14:paraId="276DFE8F"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TRAMADOL</w:t>
            </w:r>
          </w:p>
        </w:tc>
        <w:tc>
          <w:tcPr>
            <w:tcW w:w="1517" w:type="dxa"/>
            <w:shd w:val="clear" w:color="auto" w:fill="auto"/>
            <w:noWrap/>
            <w:vAlign w:val="bottom"/>
            <w:hideMark/>
          </w:tcPr>
          <w:p w14:paraId="41CB7C1B"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61</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493</w:t>
            </w:r>
          </w:p>
        </w:tc>
      </w:tr>
      <w:tr w:rsidR="00A53D9B" w:rsidRPr="006C46DF" w14:paraId="2F88CB88" w14:textId="77777777" w:rsidTr="009B7DD1">
        <w:trPr>
          <w:trHeight w:val="300"/>
        </w:trPr>
        <w:tc>
          <w:tcPr>
            <w:tcW w:w="6280" w:type="dxa"/>
            <w:shd w:val="clear" w:color="auto" w:fill="auto"/>
            <w:noWrap/>
            <w:vAlign w:val="bottom"/>
            <w:hideMark/>
          </w:tcPr>
          <w:p w14:paraId="59216447"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PARACETAMOL + CODEINE</w:t>
            </w:r>
          </w:p>
        </w:tc>
        <w:tc>
          <w:tcPr>
            <w:tcW w:w="1517" w:type="dxa"/>
            <w:shd w:val="clear" w:color="auto" w:fill="auto"/>
            <w:noWrap/>
            <w:vAlign w:val="bottom"/>
            <w:hideMark/>
          </w:tcPr>
          <w:p w14:paraId="7110E0B1"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768</w:t>
            </w:r>
          </w:p>
        </w:tc>
      </w:tr>
      <w:tr w:rsidR="00A53D9B" w:rsidRPr="006C46DF" w14:paraId="0B372505" w14:textId="77777777" w:rsidTr="009B7DD1">
        <w:trPr>
          <w:trHeight w:val="300"/>
        </w:trPr>
        <w:tc>
          <w:tcPr>
            <w:tcW w:w="6280" w:type="dxa"/>
            <w:shd w:val="clear" w:color="auto" w:fill="auto"/>
            <w:noWrap/>
            <w:vAlign w:val="bottom"/>
            <w:hideMark/>
          </w:tcPr>
          <w:p w14:paraId="2DF4E32B"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PREGABALIN</w:t>
            </w:r>
          </w:p>
        </w:tc>
        <w:tc>
          <w:tcPr>
            <w:tcW w:w="1517" w:type="dxa"/>
            <w:shd w:val="clear" w:color="auto" w:fill="auto"/>
            <w:noWrap/>
            <w:vAlign w:val="bottom"/>
            <w:hideMark/>
          </w:tcPr>
          <w:p w14:paraId="26BBBC65"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574</w:t>
            </w:r>
          </w:p>
        </w:tc>
      </w:tr>
      <w:tr w:rsidR="00A53D9B" w:rsidRPr="006C46DF" w14:paraId="4BB76625" w14:textId="77777777" w:rsidTr="009B7DD1">
        <w:trPr>
          <w:trHeight w:val="300"/>
        </w:trPr>
        <w:tc>
          <w:tcPr>
            <w:tcW w:w="6280" w:type="dxa"/>
            <w:shd w:val="clear" w:color="auto" w:fill="auto"/>
            <w:noWrap/>
            <w:vAlign w:val="bottom"/>
            <w:hideMark/>
          </w:tcPr>
          <w:p w14:paraId="5D93D861"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 + NALOXONE</w:t>
            </w:r>
          </w:p>
        </w:tc>
        <w:tc>
          <w:tcPr>
            <w:tcW w:w="1517" w:type="dxa"/>
            <w:shd w:val="clear" w:color="auto" w:fill="auto"/>
            <w:noWrap/>
            <w:vAlign w:val="bottom"/>
            <w:hideMark/>
          </w:tcPr>
          <w:p w14:paraId="0BE0D77C"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24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802</w:t>
            </w:r>
          </w:p>
        </w:tc>
      </w:tr>
      <w:tr w:rsidR="00A53D9B" w:rsidRPr="006C46DF" w14:paraId="5963D450" w14:textId="77777777" w:rsidTr="009B7DD1">
        <w:trPr>
          <w:trHeight w:val="300"/>
        </w:trPr>
        <w:tc>
          <w:tcPr>
            <w:tcW w:w="6280" w:type="dxa"/>
            <w:shd w:val="clear" w:color="auto" w:fill="auto"/>
            <w:noWrap/>
            <w:vAlign w:val="bottom"/>
            <w:hideMark/>
          </w:tcPr>
          <w:p w14:paraId="55D678D3"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TRAMADOL</w:t>
            </w:r>
          </w:p>
        </w:tc>
        <w:tc>
          <w:tcPr>
            <w:tcW w:w="1517" w:type="dxa"/>
            <w:shd w:val="clear" w:color="auto" w:fill="auto"/>
            <w:noWrap/>
            <w:vAlign w:val="bottom"/>
            <w:hideMark/>
          </w:tcPr>
          <w:p w14:paraId="1FE61943"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20</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316</w:t>
            </w:r>
          </w:p>
        </w:tc>
      </w:tr>
      <w:tr w:rsidR="00A53D9B" w:rsidRPr="006C46DF" w14:paraId="620CE5BC" w14:textId="77777777" w:rsidTr="009B7DD1">
        <w:trPr>
          <w:trHeight w:val="300"/>
        </w:trPr>
        <w:tc>
          <w:tcPr>
            <w:tcW w:w="6280" w:type="dxa"/>
            <w:shd w:val="clear" w:color="auto" w:fill="auto"/>
            <w:noWrap/>
            <w:vAlign w:val="bottom"/>
            <w:hideMark/>
          </w:tcPr>
          <w:p w14:paraId="65D4EB02"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PREGABALIN</w:t>
            </w:r>
          </w:p>
        </w:tc>
        <w:tc>
          <w:tcPr>
            <w:tcW w:w="1517" w:type="dxa"/>
            <w:shd w:val="clear" w:color="auto" w:fill="auto"/>
            <w:noWrap/>
            <w:vAlign w:val="bottom"/>
            <w:hideMark/>
          </w:tcPr>
          <w:p w14:paraId="3448A5C9"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15</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715</w:t>
            </w:r>
          </w:p>
        </w:tc>
      </w:tr>
      <w:tr w:rsidR="00A53D9B" w:rsidRPr="006C46DF" w14:paraId="321071BF" w14:textId="77777777" w:rsidTr="009B7DD1">
        <w:trPr>
          <w:trHeight w:val="300"/>
        </w:trPr>
        <w:tc>
          <w:tcPr>
            <w:tcW w:w="6280" w:type="dxa"/>
            <w:shd w:val="clear" w:color="auto" w:fill="auto"/>
            <w:noWrap/>
            <w:vAlign w:val="bottom"/>
            <w:hideMark/>
          </w:tcPr>
          <w:p w14:paraId="23D655B5"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TAPENTADOL</w:t>
            </w:r>
          </w:p>
        </w:tc>
        <w:tc>
          <w:tcPr>
            <w:tcW w:w="1517" w:type="dxa"/>
            <w:shd w:val="clear" w:color="auto" w:fill="auto"/>
            <w:noWrap/>
            <w:vAlign w:val="bottom"/>
            <w:hideMark/>
          </w:tcPr>
          <w:p w14:paraId="70A2D69E"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379</w:t>
            </w:r>
          </w:p>
        </w:tc>
      </w:tr>
      <w:tr w:rsidR="00A53D9B" w:rsidRPr="006C46DF" w14:paraId="0935C021" w14:textId="77777777" w:rsidTr="009B7DD1">
        <w:trPr>
          <w:trHeight w:val="300"/>
        </w:trPr>
        <w:tc>
          <w:tcPr>
            <w:tcW w:w="6280" w:type="dxa"/>
            <w:shd w:val="clear" w:color="auto" w:fill="auto"/>
            <w:noWrap/>
            <w:vAlign w:val="bottom"/>
            <w:hideMark/>
          </w:tcPr>
          <w:p w14:paraId="3BE87A17"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TRAMADOL</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PARACETAMOL + CODEINE</w:t>
            </w:r>
          </w:p>
        </w:tc>
        <w:tc>
          <w:tcPr>
            <w:tcW w:w="1517" w:type="dxa"/>
            <w:shd w:val="clear" w:color="auto" w:fill="auto"/>
            <w:noWrap/>
            <w:vAlign w:val="bottom"/>
            <w:hideMark/>
          </w:tcPr>
          <w:p w14:paraId="60A085B1"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773</w:t>
            </w:r>
          </w:p>
        </w:tc>
      </w:tr>
      <w:tr w:rsidR="00A53D9B" w:rsidRPr="006C46DF" w14:paraId="3AE879EF" w14:textId="77777777" w:rsidTr="009B7DD1">
        <w:trPr>
          <w:trHeight w:val="300"/>
        </w:trPr>
        <w:tc>
          <w:tcPr>
            <w:tcW w:w="6280" w:type="dxa"/>
            <w:shd w:val="clear" w:color="auto" w:fill="auto"/>
            <w:noWrap/>
            <w:vAlign w:val="bottom"/>
            <w:hideMark/>
          </w:tcPr>
          <w:p w14:paraId="6E1869E2"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 + NALOXONE</w:t>
            </w:r>
          </w:p>
        </w:tc>
        <w:tc>
          <w:tcPr>
            <w:tcW w:w="1517" w:type="dxa"/>
            <w:shd w:val="clear" w:color="auto" w:fill="auto"/>
            <w:noWrap/>
            <w:vAlign w:val="bottom"/>
            <w:hideMark/>
          </w:tcPr>
          <w:p w14:paraId="39A2F046"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12</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716</w:t>
            </w:r>
          </w:p>
        </w:tc>
      </w:tr>
      <w:tr w:rsidR="00A53D9B" w:rsidRPr="006C46DF" w14:paraId="153503DC" w14:textId="77777777" w:rsidTr="009B7DD1">
        <w:trPr>
          <w:trHeight w:val="300"/>
        </w:trPr>
        <w:tc>
          <w:tcPr>
            <w:tcW w:w="6280" w:type="dxa"/>
            <w:shd w:val="clear" w:color="auto" w:fill="auto"/>
            <w:noWrap/>
            <w:vAlign w:val="bottom"/>
            <w:hideMark/>
          </w:tcPr>
          <w:p w14:paraId="039A8AC3"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TRAMADOL</w:t>
            </w:r>
          </w:p>
        </w:tc>
        <w:tc>
          <w:tcPr>
            <w:tcW w:w="1517" w:type="dxa"/>
            <w:shd w:val="clear" w:color="auto" w:fill="auto"/>
            <w:noWrap/>
            <w:vAlign w:val="bottom"/>
            <w:hideMark/>
          </w:tcPr>
          <w:p w14:paraId="5ACA1283"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10</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132</w:t>
            </w:r>
          </w:p>
        </w:tc>
      </w:tr>
      <w:tr w:rsidR="00A53D9B" w:rsidRPr="006C46DF" w14:paraId="08DBB27F" w14:textId="77777777" w:rsidTr="009B7DD1">
        <w:trPr>
          <w:trHeight w:val="300"/>
        </w:trPr>
        <w:tc>
          <w:tcPr>
            <w:tcW w:w="6280" w:type="dxa"/>
            <w:shd w:val="clear" w:color="auto" w:fill="auto"/>
            <w:noWrap/>
            <w:vAlign w:val="bottom"/>
            <w:hideMark/>
          </w:tcPr>
          <w:p w14:paraId="2DE1C15A"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TRAMADOL</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w:t>
            </w:r>
          </w:p>
        </w:tc>
        <w:tc>
          <w:tcPr>
            <w:tcW w:w="1517" w:type="dxa"/>
            <w:shd w:val="clear" w:color="auto" w:fill="auto"/>
            <w:noWrap/>
            <w:vAlign w:val="bottom"/>
            <w:hideMark/>
          </w:tcPr>
          <w:p w14:paraId="48C35689"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10</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041</w:t>
            </w:r>
          </w:p>
        </w:tc>
      </w:tr>
      <w:tr w:rsidR="00A53D9B" w:rsidRPr="006C46DF" w14:paraId="33DC2CD2" w14:textId="77777777" w:rsidTr="009B7DD1">
        <w:trPr>
          <w:trHeight w:val="300"/>
        </w:trPr>
        <w:tc>
          <w:tcPr>
            <w:tcW w:w="6280" w:type="dxa"/>
            <w:shd w:val="clear" w:color="auto" w:fill="auto"/>
            <w:noWrap/>
            <w:vAlign w:val="bottom"/>
            <w:hideMark/>
          </w:tcPr>
          <w:p w14:paraId="6F5B54C0"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PREGABALIN</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PARACETAMOL + CODEINE</w:t>
            </w:r>
          </w:p>
        </w:tc>
        <w:tc>
          <w:tcPr>
            <w:tcW w:w="1517" w:type="dxa"/>
            <w:shd w:val="clear" w:color="auto" w:fill="auto"/>
            <w:noWrap/>
            <w:vAlign w:val="bottom"/>
            <w:hideMark/>
          </w:tcPr>
          <w:p w14:paraId="1DCF46CF"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8</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640</w:t>
            </w:r>
          </w:p>
        </w:tc>
      </w:tr>
      <w:tr w:rsidR="00A53D9B" w:rsidRPr="006C46DF" w14:paraId="62B9D59B" w14:textId="77777777" w:rsidTr="009B7DD1">
        <w:trPr>
          <w:trHeight w:val="300"/>
        </w:trPr>
        <w:tc>
          <w:tcPr>
            <w:tcW w:w="6280" w:type="dxa"/>
            <w:shd w:val="clear" w:color="auto" w:fill="auto"/>
            <w:noWrap/>
            <w:vAlign w:val="bottom"/>
            <w:hideMark/>
          </w:tcPr>
          <w:p w14:paraId="20B041EB"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MORPHINE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DEATH</w:t>
            </w:r>
          </w:p>
        </w:tc>
        <w:tc>
          <w:tcPr>
            <w:tcW w:w="1517" w:type="dxa"/>
            <w:shd w:val="clear" w:color="auto" w:fill="auto"/>
            <w:noWrap/>
            <w:vAlign w:val="bottom"/>
            <w:hideMark/>
          </w:tcPr>
          <w:p w14:paraId="24DD8EBE"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8</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159</w:t>
            </w:r>
          </w:p>
        </w:tc>
      </w:tr>
      <w:tr w:rsidR="00A53D9B" w:rsidRPr="006C46DF" w14:paraId="7C45EBCD" w14:textId="77777777" w:rsidTr="009B7DD1">
        <w:trPr>
          <w:trHeight w:val="300"/>
        </w:trPr>
        <w:tc>
          <w:tcPr>
            <w:tcW w:w="6280" w:type="dxa"/>
            <w:shd w:val="clear" w:color="auto" w:fill="auto"/>
            <w:noWrap/>
            <w:vAlign w:val="bottom"/>
            <w:hideMark/>
          </w:tcPr>
          <w:p w14:paraId="0E447932"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 + NALOXONE</w:t>
            </w:r>
          </w:p>
        </w:tc>
        <w:tc>
          <w:tcPr>
            <w:tcW w:w="1517" w:type="dxa"/>
            <w:shd w:val="clear" w:color="auto" w:fill="auto"/>
            <w:noWrap/>
            <w:vAlign w:val="bottom"/>
            <w:hideMark/>
          </w:tcPr>
          <w:p w14:paraId="73EA3D7D"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5</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854</w:t>
            </w:r>
          </w:p>
        </w:tc>
      </w:tr>
      <w:tr w:rsidR="00A53D9B" w:rsidRPr="006C46DF" w14:paraId="5273B7E5" w14:textId="77777777" w:rsidTr="009B7DD1">
        <w:trPr>
          <w:trHeight w:val="300"/>
        </w:trPr>
        <w:tc>
          <w:tcPr>
            <w:tcW w:w="6280" w:type="dxa"/>
            <w:shd w:val="clear" w:color="auto" w:fill="auto"/>
            <w:noWrap/>
            <w:vAlign w:val="bottom"/>
            <w:hideMark/>
          </w:tcPr>
          <w:p w14:paraId="2174205E"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PREGABALIN</w:t>
            </w:r>
          </w:p>
        </w:tc>
        <w:tc>
          <w:tcPr>
            <w:tcW w:w="1517" w:type="dxa"/>
            <w:shd w:val="clear" w:color="auto" w:fill="auto"/>
            <w:noWrap/>
            <w:vAlign w:val="bottom"/>
            <w:hideMark/>
          </w:tcPr>
          <w:p w14:paraId="7F0A8A97"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5</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643</w:t>
            </w:r>
          </w:p>
        </w:tc>
      </w:tr>
      <w:tr w:rsidR="00A53D9B" w:rsidRPr="006C46DF" w14:paraId="4D52E876" w14:textId="77777777" w:rsidTr="009B7DD1">
        <w:trPr>
          <w:trHeight w:val="300"/>
        </w:trPr>
        <w:tc>
          <w:tcPr>
            <w:tcW w:w="6280" w:type="dxa"/>
            <w:shd w:val="clear" w:color="auto" w:fill="auto"/>
            <w:noWrap/>
            <w:vAlign w:val="bottom"/>
            <w:hideMark/>
          </w:tcPr>
          <w:p w14:paraId="3C629B8A"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 + NALOXONE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PARACETAMOL + CODEINE</w:t>
            </w:r>
          </w:p>
        </w:tc>
        <w:tc>
          <w:tcPr>
            <w:tcW w:w="1517" w:type="dxa"/>
            <w:shd w:val="clear" w:color="auto" w:fill="auto"/>
            <w:noWrap/>
            <w:vAlign w:val="bottom"/>
            <w:hideMark/>
          </w:tcPr>
          <w:p w14:paraId="2DF5E4AF"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5</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325</w:t>
            </w:r>
          </w:p>
        </w:tc>
      </w:tr>
      <w:tr w:rsidR="00A53D9B" w:rsidRPr="006C46DF" w14:paraId="0020F384" w14:textId="77777777" w:rsidTr="009B7DD1">
        <w:trPr>
          <w:trHeight w:val="300"/>
        </w:trPr>
        <w:tc>
          <w:tcPr>
            <w:tcW w:w="6280" w:type="dxa"/>
            <w:shd w:val="clear" w:color="auto" w:fill="auto"/>
            <w:noWrap/>
            <w:vAlign w:val="bottom"/>
            <w:hideMark/>
          </w:tcPr>
          <w:p w14:paraId="00ACDD60"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TAPENTADOL</w:t>
            </w:r>
          </w:p>
        </w:tc>
        <w:tc>
          <w:tcPr>
            <w:tcW w:w="1517" w:type="dxa"/>
            <w:shd w:val="clear" w:color="auto" w:fill="auto"/>
            <w:noWrap/>
            <w:vAlign w:val="bottom"/>
            <w:hideMark/>
          </w:tcPr>
          <w:p w14:paraId="02B54B93"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5</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107</w:t>
            </w:r>
          </w:p>
        </w:tc>
      </w:tr>
      <w:tr w:rsidR="00A53D9B" w:rsidRPr="006C46DF" w14:paraId="1DEC9D0A" w14:textId="77777777" w:rsidTr="009B7DD1">
        <w:trPr>
          <w:trHeight w:val="300"/>
        </w:trPr>
        <w:tc>
          <w:tcPr>
            <w:tcW w:w="6280" w:type="dxa"/>
            <w:shd w:val="clear" w:color="auto" w:fill="auto"/>
            <w:noWrap/>
            <w:vAlign w:val="bottom"/>
            <w:hideMark/>
          </w:tcPr>
          <w:p w14:paraId="0B2AB4E8"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TAPENTADOL</w:t>
            </w:r>
          </w:p>
        </w:tc>
        <w:tc>
          <w:tcPr>
            <w:tcW w:w="1517" w:type="dxa"/>
            <w:shd w:val="clear" w:color="auto" w:fill="auto"/>
            <w:noWrap/>
            <w:vAlign w:val="bottom"/>
            <w:hideMark/>
          </w:tcPr>
          <w:p w14:paraId="006AD7FC"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767</w:t>
            </w:r>
          </w:p>
        </w:tc>
      </w:tr>
      <w:tr w:rsidR="00A53D9B" w:rsidRPr="006C46DF" w14:paraId="475E0FAC" w14:textId="77777777" w:rsidTr="009B7DD1">
        <w:trPr>
          <w:trHeight w:val="300"/>
        </w:trPr>
        <w:tc>
          <w:tcPr>
            <w:tcW w:w="6280" w:type="dxa"/>
            <w:shd w:val="clear" w:color="auto" w:fill="auto"/>
            <w:noWrap/>
            <w:vAlign w:val="bottom"/>
            <w:hideMark/>
          </w:tcPr>
          <w:p w14:paraId="19514ED8"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OXYCODONE &gt; DEATH</w:t>
            </w:r>
          </w:p>
        </w:tc>
        <w:tc>
          <w:tcPr>
            <w:tcW w:w="1517" w:type="dxa"/>
            <w:shd w:val="clear" w:color="auto" w:fill="auto"/>
            <w:noWrap/>
            <w:vAlign w:val="bottom"/>
            <w:hideMark/>
          </w:tcPr>
          <w:p w14:paraId="5F4A7B03"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546</w:t>
            </w:r>
          </w:p>
        </w:tc>
      </w:tr>
      <w:tr w:rsidR="00A53D9B" w:rsidRPr="006C46DF" w14:paraId="512ED9B2" w14:textId="77777777" w:rsidTr="009B7DD1">
        <w:trPr>
          <w:trHeight w:val="300"/>
        </w:trPr>
        <w:tc>
          <w:tcPr>
            <w:tcW w:w="6280" w:type="dxa"/>
            <w:shd w:val="clear" w:color="auto" w:fill="auto"/>
            <w:noWrap/>
            <w:vAlign w:val="bottom"/>
            <w:hideMark/>
          </w:tcPr>
          <w:p w14:paraId="7E8C1917"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PREGABALIN &gt; OXYCODONE</w:t>
            </w:r>
          </w:p>
        </w:tc>
        <w:tc>
          <w:tcPr>
            <w:tcW w:w="1517" w:type="dxa"/>
            <w:shd w:val="clear" w:color="auto" w:fill="auto"/>
            <w:noWrap/>
            <w:vAlign w:val="bottom"/>
            <w:hideMark/>
          </w:tcPr>
          <w:p w14:paraId="5FAB7EDD"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432</w:t>
            </w:r>
          </w:p>
        </w:tc>
      </w:tr>
      <w:tr w:rsidR="00A53D9B" w:rsidRPr="006C46DF" w14:paraId="62B33CD7" w14:textId="77777777" w:rsidTr="009B7DD1">
        <w:trPr>
          <w:trHeight w:val="300"/>
        </w:trPr>
        <w:tc>
          <w:tcPr>
            <w:tcW w:w="6280" w:type="dxa"/>
            <w:shd w:val="clear" w:color="auto" w:fill="auto"/>
            <w:noWrap/>
            <w:vAlign w:val="bottom"/>
            <w:hideMark/>
          </w:tcPr>
          <w:p w14:paraId="0D6273B5"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TAPENTADOL &gt; OXYCODONE</w:t>
            </w:r>
          </w:p>
        </w:tc>
        <w:tc>
          <w:tcPr>
            <w:tcW w:w="1517" w:type="dxa"/>
            <w:shd w:val="clear" w:color="auto" w:fill="auto"/>
            <w:noWrap/>
            <w:vAlign w:val="bottom"/>
            <w:hideMark/>
          </w:tcPr>
          <w:p w14:paraId="14FDABC4"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364</w:t>
            </w:r>
          </w:p>
        </w:tc>
      </w:tr>
      <w:tr w:rsidR="00A53D9B" w:rsidRPr="006C46DF" w14:paraId="4851D236" w14:textId="77777777" w:rsidTr="009B7DD1">
        <w:trPr>
          <w:trHeight w:val="300"/>
        </w:trPr>
        <w:tc>
          <w:tcPr>
            <w:tcW w:w="6280" w:type="dxa"/>
            <w:shd w:val="clear" w:color="auto" w:fill="auto"/>
            <w:noWrap/>
            <w:vAlign w:val="bottom"/>
            <w:hideMark/>
          </w:tcPr>
          <w:p w14:paraId="1131FE9E"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CODEINE</w:t>
            </w:r>
          </w:p>
        </w:tc>
        <w:tc>
          <w:tcPr>
            <w:tcW w:w="1517" w:type="dxa"/>
            <w:shd w:val="clear" w:color="auto" w:fill="auto"/>
            <w:noWrap/>
            <w:vAlign w:val="bottom"/>
            <w:hideMark/>
          </w:tcPr>
          <w:p w14:paraId="4601A633"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315</w:t>
            </w:r>
          </w:p>
        </w:tc>
      </w:tr>
      <w:tr w:rsidR="00A53D9B" w:rsidRPr="006C46DF" w14:paraId="022A1942" w14:textId="77777777" w:rsidTr="009B7DD1">
        <w:trPr>
          <w:trHeight w:val="300"/>
        </w:trPr>
        <w:tc>
          <w:tcPr>
            <w:tcW w:w="6280" w:type="dxa"/>
            <w:shd w:val="clear" w:color="auto" w:fill="auto"/>
            <w:noWrap/>
            <w:vAlign w:val="bottom"/>
            <w:hideMark/>
          </w:tcPr>
          <w:p w14:paraId="05FA39BD"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PARACETAMOL + CODEINE &gt; DEATH</w:t>
            </w:r>
          </w:p>
        </w:tc>
        <w:tc>
          <w:tcPr>
            <w:tcW w:w="1517" w:type="dxa"/>
            <w:shd w:val="clear" w:color="auto" w:fill="auto"/>
            <w:noWrap/>
            <w:vAlign w:val="bottom"/>
            <w:hideMark/>
          </w:tcPr>
          <w:p w14:paraId="6B85AC26"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4</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161</w:t>
            </w:r>
          </w:p>
        </w:tc>
      </w:tr>
      <w:tr w:rsidR="00A53D9B" w:rsidRPr="006C46DF" w14:paraId="2391D442" w14:textId="77777777" w:rsidTr="009B7DD1">
        <w:trPr>
          <w:trHeight w:val="300"/>
        </w:trPr>
        <w:tc>
          <w:tcPr>
            <w:tcW w:w="6280" w:type="dxa"/>
            <w:shd w:val="clear" w:color="auto" w:fill="auto"/>
            <w:noWrap/>
            <w:vAlign w:val="bottom"/>
            <w:hideMark/>
          </w:tcPr>
          <w:p w14:paraId="24179860" w14:textId="77777777" w:rsidR="00A53D9B" w:rsidRPr="007E4823" w:rsidRDefault="00A53D9B" w:rsidP="009B7DD1">
            <w:pPr>
              <w:spacing w:after="0"/>
              <w:rPr>
                <w:rFonts w:ascii="Calibri" w:eastAsia="Times New Roman" w:hAnsi="Calibri" w:cs="Calibri"/>
                <w:color w:val="000000"/>
                <w:sz w:val="20"/>
                <w:szCs w:val="20"/>
              </w:rPr>
            </w:pPr>
            <w:r w:rsidRPr="007E4823">
              <w:rPr>
                <w:rFonts w:ascii="Calibri" w:eastAsia="Times New Roman" w:hAnsi="Calibri" w:cs="Calibri"/>
                <w:color w:val="000000"/>
                <w:sz w:val="20"/>
                <w:szCs w:val="20"/>
              </w:rPr>
              <w:t>PARACETAMOL + CODEINE &gt; OXYCODONE &gt; TRAMADOL</w:t>
            </w:r>
          </w:p>
        </w:tc>
        <w:tc>
          <w:tcPr>
            <w:tcW w:w="1517" w:type="dxa"/>
            <w:shd w:val="clear" w:color="auto" w:fill="auto"/>
            <w:noWrap/>
            <w:vAlign w:val="bottom"/>
            <w:hideMark/>
          </w:tcPr>
          <w:p w14:paraId="383D527A"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866</w:t>
            </w:r>
          </w:p>
        </w:tc>
      </w:tr>
      <w:tr w:rsidR="00A53D9B" w:rsidRPr="006C46DF" w14:paraId="7E39EFB7" w14:textId="77777777" w:rsidTr="009B7DD1">
        <w:trPr>
          <w:trHeight w:val="300"/>
        </w:trPr>
        <w:tc>
          <w:tcPr>
            <w:tcW w:w="6280" w:type="dxa"/>
            <w:shd w:val="clear" w:color="auto" w:fill="auto"/>
            <w:noWrap/>
            <w:vAlign w:val="bottom"/>
            <w:hideMark/>
          </w:tcPr>
          <w:p w14:paraId="2C88BBD3"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 + NALOXONE</w:t>
            </w:r>
          </w:p>
        </w:tc>
        <w:tc>
          <w:tcPr>
            <w:tcW w:w="1517" w:type="dxa"/>
            <w:shd w:val="clear" w:color="auto" w:fill="auto"/>
            <w:noWrap/>
            <w:vAlign w:val="bottom"/>
            <w:hideMark/>
          </w:tcPr>
          <w:p w14:paraId="149A4AF2"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663</w:t>
            </w:r>
          </w:p>
        </w:tc>
      </w:tr>
      <w:tr w:rsidR="00A53D9B" w:rsidRPr="006C46DF" w14:paraId="3365F6FB" w14:textId="77777777" w:rsidTr="009B7DD1">
        <w:trPr>
          <w:trHeight w:val="300"/>
        </w:trPr>
        <w:tc>
          <w:tcPr>
            <w:tcW w:w="6280" w:type="dxa"/>
            <w:shd w:val="clear" w:color="auto" w:fill="auto"/>
            <w:noWrap/>
            <w:vAlign w:val="bottom"/>
            <w:hideMark/>
          </w:tcPr>
          <w:p w14:paraId="0FAE3C77"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PARACETAMOL + CODEINE</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TRAMADOL</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OXYCODONE</w:t>
            </w:r>
          </w:p>
        </w:tc>
        <w:tc>
          <w:tcPr>
            <w:tcW w:w="1517" w:type="dxa"/>
            <w:shd w:val="clear" w:color="auto" w:fill="auto"/>
            <w:noWrap/>
            <w:vAlign w:val="bottom"/>
            <w:hideMark/>
          </w:tcPr>
          <w:p w14:paraId="2A5253CF"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643</w:t>
            </w:r>
          </w:p>
        </w:tc>
      </w:tr>
      <w:tr w:rsidR="00A53D9B" w:rsidRPr="006C46DF" w14:paraId="6736310A" w14:textId="77777777" w:rsidTr="009B7DD1">
        <w:trPr>
          <w:trHeight w:val="300"/>
        </w:trPr>
        <w:tc>
          <w:tcPr>
            <w:tcW w:w="6280" w:type="dxa"/>
            <w:shd w:val="clear" w:color="auto" w:fill="auto"/>
            <w:noWrap/>
            <w:vAlign w:val="bottom"/>
            <w:hideMark/>
          </w:tcPr>
          <w:p w14:paraId="69C0B94C" w14:textId="77777777" w:rsidR="00A53D9B" w:rsidRPr="006C46DF" w:rsidRDefault="00A53D9B" w:rsidP="009B7DD1">
            <w:pPr>
              <w:spacing w:after="0"/>
              <w:rPr>
                <w:rFonts w:ascii="Calibri" w:eastAsia="Times New Roman" w:hAnsi="Calibri" w:cs="Calibri"/>
                <w:color w:val="000000"/>
                <w:sz w:val="20"/>
                <w:szCs w:val="20"/>
              </w:rPr>
            </w:pPr>
            <w:r w:rsidRPr="006C46DF">
              <w:rPr>
                <w:rFonts w:ascii="Calibri" w:eastAsia="Times New Roman" w:hAnsi="Calibri" w:cs="Calibri"/>
                <w:color w:val="000000"/>
                <w:sz w:val="20"/>
                <w:szCs w:val="20"/>
              </w:rPr>
              <w:t>TRAMADOL</w:t>
            </w:r>
            <w:r w:rsidRPr="003D5A73">
              <w:rPr>
                <w:rFonts w:ascii="Calibri" w:eastAsia="Times New Roman" w:hAnsi="Calibri" w:cs="Calibri"/>
                <w:color w:val="000000"/>
                <w:sz w:val="20"/>
                <w:szCs w:val="20"/>
              </w:rPr>
              <w:t xml:space="preserve"> &gt; </w:t>
            </w:r>
            <w:r w:rsidRPr="006C46DF">
              <w:rPr>
                <w:rFonts w:ascii="Calibri" w:eastAsia="Times New Roman" w:hAnsi="Calibri" w:cs="Calibri"/>
                <w:color w:val="000000"/>
                <w:sz w:val="20"/>
                <w:szCs w:val="20"/>
              </w:rPr>
              <w:t>PREGABALIN</w:t>
            </w:r>
          </w:p>
        </w:tc>
        <w:tc>
          <w:tcPr>
            <w:tcW w:w="1517" w:type="dxa"/>
            <w:shd w:val="clear" w:color="auto" w:fill="auto"/>
            <w:noWrap/>
            <w:vAlign w:val="bottom"/>
            <w:hideMark/>
          </w:tcPr>
          <w:p w14:paraId="219188B4" w14:textId="77777777" w:rsidR="00A53D9B" w:rsidRPr="006C46DF" w:rsidRDefault="00A53D9B" w:rsidP="009B7DD1">
            <w:pPr>
              <w:spacing w:after="0"/>
              <w:jc w:val="right"/>
              <w:rPr>
                <w:rFonts w:ascii="Calibri" w:eastAsia="Times New Roman" w:hAnsi="Calibri" w:cs="Calibri"/>
                <w:color w:val="000000"/>
                <w:sz w:val="20"/>
                <w:szCs w:val="20"/>
              </w:rPr>
            </w:pPr>
            <w:r w:rsidRPr="006C46DF">
              <w:rPr>
                <w:rFonts w:ascii="Calibri" w:eastAsia="Times New Roman" w:hAnsi="Calibri" w:cs="Calibri"/>
                <w:color w:val="000000"/>
                <w:sz w:val="20"/>
                <w:szCs w:val="20"/>
              </w:rPr>
              <w:t>3</w:t>
            </w:r>
            <w:r w:rsidRPr="003D5A73">
              <w:rPr>
                <w:rFonts w:ascii="Calibri" w:eastAsia="Times New Roman" w:hAnsi="Calibri" w:cs="Calibri"/>
                <w:color w:val="000000"/>
                <w:sz w:val="20"/>
                <w:szCs w:val="20"/>
              </w:rPr>
              <w:t>,</w:t>
            </w:r>
            <w:r w:rsidRPr="006C46DF">
              <w:rPr>
                <w:rFonts w:ascii="Calibri" w:eastAsia="Times New Roman" w:hAnsi="Calibri" w:cs="Calibri"/>
                <w:color w:val="000000"/>
                <w:sz w:val="20"/>
                <w:szCs w:val="20"/>
              </w:rPr>
              <w:t>286</w:t>
            </w:r>
          </w:p>
        </w:tc>
      </w:tr>
    </w:tbl>
    <w:p w14:paraId="250429B2" w14:textId="77777777" w:rsidR="00A53D9B" w:rsidRDefault="00A53D9B" w:rsidP="00A53D9B">
      <w:pPr>
        <w:rPr>
          <w:highlight w:val="cyan"/>
        </w:rPr>
      </w:pPr>
    </w:p>
    <w:p w14:paraId="376319A7" w14:textId="13581DFD" w:rsidR="006F4ACF" w:rsidRDefault="006F4ACF" w:rsidP="00783E67">
      <w:pPr>
        <w:keepNext/>
        <w:rPr>
          <w:u w:val="single"/>
        </w:rPr>
      </w:pPr>
      <w:r w:rsidRPr="006F4ACF">
        <w:rPr>
          <w:u w:val="single"/>
        </w:rPr>
        <w:lastRenderedPageBreak/>
        <w:t>Mean quantity</w:t>
      </w:r>
      <w:r w:rsidR="007B2F3E">
        <w:rPr>
          <w:u w:val="single"/>
        </w:rPr>
        <w:t xml:space="preserve"> over time</w:t>
      </w:r>
    </w:p>
    <w:p w14:paraId="36832869" w14:textId="0FF55A92" w:rsidR="00A05EED" w:rsidRPr="006F4ACF" w:rsidRDefault="00A05EED" w:rsidP="00783E67">
      <w:pPr>
        <w:pStyle w:val="Tabletitle"/>
        <w:keepNext/>
      </w:pPr>
      <w:r>
        <w:t xml:space="preserve">Table </w:t>
      </w:r>
      <w:r w:rsidR="00373F55">
        <w:t>10</w:t>
      </w:r>
      <w:r>
        <w:t>: Mean quantity supplied per year by drug and form</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794"/>
        <w:gridCol w:w="794"/>
        <w:gridCol w:w="794"/>
        <w:gridCol w:w="794"/>
        <w:gridCol w:w="794"/>
        <w:gridCol w:w="794"/>
        <w:gridCol w:w="794"/>
      </w:tblGrid>
      <w:tr w:rsidR="007B2F3E" w:rsidRPr="00F244E7" w14:paraId="3EB107D4" w14:textId="77777777" w:rsidTr="004B4821">
        <w:trPr>
          <w:trHeight w:val="300"/>
        </w:trPr>
        <w:tc>
          <w:tcPr>
            <w:tcW w:w="3114" w:type="dxa"/>
            <w:shd w:val="clear" w:color="auto" w:fill="BFBFBF" w:themeFill="background1" w:themeFillShade="BF"/>
            <w:noWrap/>
            <w:vAlign w:val="bottom"/>
            <w:hideMark/>
          </w:tcPr>
          <w:p w14:paraId="665EEE77" w14:textId="6910130C" w:rsidR="007B2F3E" w:rsidRPr="00F244E7" w:rsidRDefault="007B2F3E" w:rsidP="00783E67">
            <w:pPr>
              <w:keepNext/>
              <w:spacing w:after="0"/>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Drug and form</w:t>
            </w:r>
          </w:p>
        </w:tc>
        <w:tc>
          <w:tcPr>
            <w:tcW w:w="794" w:type="dxa"/>
            <w:shd w:val="clear" w:color="auto" w:fill="BFBFBF" w:themeFill="background1" w:themeFillShade="BF"/>
            <w:noWrap/>
            <w:vAlign w:val="bottom"/>
            <w:hideMark/>
          </w:tcPr>
          <w:p w14:paraId="62EF4510"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2016</w:t>
            </w:r>
          </w:p>
        </w:tc>
        <w:tc>
          <w:tcPr>
            <w:tcW w:w="794" w:type="dxa"/>
            <w:shd w:val="clear" w:color="auto" w:fill="BFBFBF" w:themeFill="background1" w:themeFillShade="BF"/>
            <w:noWrap/>
            <w:vAlign w:val="bottom"/>
            <w:hideMark/>
          </w:tcPr>
          <w:p w14:paraId="10395DFE"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2017</w:t>
            </w:r>
          </w:p>
        </w:tc>
        <w:tc>
          <w:tcPr>
            <w:tcW w:w="794" w:type="dxa"/>
            <w:shd w:val="clear" w:color="auto" w:fill="BFBFBF" w:themeFill="background1" w:themeFillShade="BF"/>
            <w:noWrap/>
            <w:vAlign w:val="bottom"/>
            <w:hideMark/>
          </w:tcPr>
          <w:p w14:paraId="03D79153"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2018</w:t>
            </w:r>
          </w:p>
        </w:tc>
        <w:tc>
          <w:tcPr>
            <w:tcW w:w="794" w:type="dxa"/>
            <w:shd w:val="clear" w:color="auto" w:fill="BFBFBF" w:themeFill="background1" w:themeFillShade="BF"/>
            <w:noWrap/>
            <w:vAlign w:val="bottom"/>
            <w:hideMark/>
          </w:tcPr>
          <w:p w14:paraId="7FEECB88"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2019</w:t>
            </w:r>
          </w:p>
        </w:tc>
        <w:tc>
          <w:tcPr>
            <w:tcW w:w="794" w:type="dxa"/>
            <w:shd w:val="clear" w:color="auto" w:fill="BFBFBF" w:themeFill="background1" w:themeFillShade="BF"/>
            <w:noWrap/>
            <w:vAlign w:val="bottom"/>
            <w:hideMark/>
          </w:tcPr>
          <w:p w14:paraId="07030AF5"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2020</w:t>
            </w:r>
          </w:p>
        </w:tc>
        <w:tc>
          <w:tcPr>
            <w:tcW w:w="794" w:type="dxa"/>
            <w:shd w:val="clear" w:color="auto" w:fill="BFBFBF" w:themeFill="background1" w:themeFillShade="BF"/>
            <w:noWrap/>
            <w:vAlign w:val="bottom"/>
            <w:hideMark/>
          </w:tcPr>
          <w:p w14:paraId="1AC817DF"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2021</w:t>
            </w:r>
          </w:p>
        </w:tc>
        <w:tc>
          <w:tcPr>
            <w:tcW w:w="794" w:type="dxa"/>
            <w:shd w:val="clear" w:color="auto" w:fill="BFBFBF" w:themeFill="background1" w:themeFillShade="BF"/>
            <w:noWrap/>
            <w:vAlign w:val="bottom"/>
            <w:hideMark/>
          </w:tcPr>
          <w:p w14:paraId="094888B4" w14:textId="77777777" w:rsidR="007B2F3E" w:rsidRPr="00F244E7" w:rsidRDefault="007B2F3E" w:rsidP="00783E67">
            <w:pPr>
              <w:keepNext/>
              <w:spacing w:after="0"/>
              <w:jc w:val="right"/>
              <w:rPr>
                <w:rFonts w:ascii="Calibri" w:eastAsia="Times New Roman" w:hAnsi="Calibri" w:cs="Calibri"/>
                <w:b/>
                <w:bCs/>
                <w:color w:val="000000"/>
                <w:sz w:val="20"/>
                <w:szCs w:val="20"/>
              </w:rPr>
            </w:pPr>
            <w:r w:rsidRPr="00F244E7">
              <w:rPr>
                <w:rFonts w:ascii="Calibri" w:eastAsia="Times New Roman" w:hAnsi="Calibri" w:cs="Calibri"/>
                <w:b/>
                <w:bCs/>
                <w:color w:val="000000"/>
                <w:sz w:val="20"/>
                <w:szCs w:val="20"/>
              </w:rPr>
              <w:t>2022</w:t>
            </w:r>
          </w:p>
        </w:tc>
      </w:tr>
      <w:tr w:rsidR="006621E6" w:rsidRPr="00F244E7" w14:paraId="099E5A5B" w14:textId="77777777" w:rsidTr="004B4821">
        <w:trPr>
          <w:trHeight w:val="300"/>
        </w:trPr>
        <w:tc>
          <w:tcPr>
            <w:tcW w:w="3114" w:type="dxa"/>
            <w:shd w:val="clear" w:color="auto" w:fill="auto"/>
            <w:noWrap/>
            <w:vAlign w:val="bottom"/>
            <w:hideMark/>
          </w:tcPr>
          <w:p w14:paraId="288630D3" w14:textId="5AF502D7"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BUPRENORPHINE TRANSDERMAL PATCH</w:t>
            </w:r>
          </w:p>
        </w:tc>
        <w:tc>
          <w:tcPr>
            <w:tcW w:w="794" w:type="dxa"/>
            <w:shd w:val="clear" w:color="auto" w:fill="auto"/>
            <w:noWrap/>
            <w:vAlign w:val="bottom"/>
            <w:hideMark/>
          </w:tcPr>
          <w:p w14:paraId="3F0BDC34" w14:textId="7955CD6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2.75</w:t>
            </w:r>
          </w:p>
        </w:tc>
        <w:tc>
          <w:tcPr>
            <w:tcW w:w="794" w:type="dxa"/>
            <w:shd w:val="clear" w:color="auto" w:fill="auto"/>
            <w:noWrap/>
            <w:vAlign w:val="bottom"/>
            <w:hideMark/>
          </w:tcPr>
          <w:p w14:paraId="450B90A8" w14:textId="33B134C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2.74</w:t>
            </w:r>
          </w:p>
        </w:tc>
        <w:tc>
          <w:tcPr>
            <w:tcW w:w="794" w:type="dxa"/>
            <w:shd w:val="clear" w:color="auto" w:fill="auto"/>
            <w:noWrap/>
            <w:vAlign w:val="bottom"/>
            <w:hideMark/>
          </w:tcPr>
          <w:p w14:paraId="67B947BC" w14:textId="72588C9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2.74</w:t>
            </w:r>
          </w:p>
        </w:tc>
        <w:tc>
          <w:tcPr>
            <w:tcW w:w="794" w:type="dxa"/>
            <w:shd w:val="clear" w:color="auto" w:fill="auto"/>
            <w:noWrap/>
            <w:vAlign w:val="bottom"/>
            <w:hideMark/>
          </w:tcPr>
          <w:p w14:paraId="4A01D4CF" w14:textId="32CC923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2.75</w:t>
            </w:r>
          </w:p>
        </w:tc>
        <w:tc>
          <w:tcPr>
            <w:tcW w:w="794" w:type="dxa"/>
            <w:shd w:val="clear" w:color="auto" w:fill="auto"/>
            <w:noWrap/>
            <w:vAlign w:val="bottom"/>
            <w:hideMark/>
          </w:tcPr>
          <w:p w14:paraId="434DD70D" w14:textId="09E54AB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2.72</w:t>
            </w:r>
          </w:p>
        </w:tc>
        <w:tc>
          <w:tcPr>
            <w:tcW w:w="794" w:type="dxa"/>
            <w:shd w:val="clear" w:color="auto" w:fill="auto"/>
            <w:noWrap/>
            <w:vAlign w:val="bottom"/>
            <w:hideMark/>
          </w:tcPr>
          <w:p w14:paraId="1C3FDD00" w14:textId="0BD486A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2.72</w:t>
            </w:r>
          </w:p>
        </w:tc>
        <w:tc>
          <w:tcPr>
            <w:tcW w:w="794" w:type="dxa"/>
            <w:shd w:val="clear" w:color="auto" w:fill="auto"/>
            <w:noWrap/>
            <w:vAlign w:val="bottom"/>
            <w:hideMark/>
          </w:tcPr>
          <w:p w14:paraId="590E0338" w14:textId="15C19FA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2.74</w:t>
            </w:r>
          </w:p>
        </w:tc>
      </w:tr>
      <w:tr w:rsidR="006621E6" w:rsidRPr="00F244E7" w14:paraId="58EB3455" w14:textId="77777777" w:rsidTr="004B4821">
        <w:trPr>
          <w:trHeight w:val="300"/>
        </w:trPr>
        <w:tc>
          <w:tcPr>
            <w:tcW w:w="3114" w:type="dxa"/>
            <w:shd w:val="clear" w:color="auto" w:fill="auto"/>
            <w:noWrap/>
            <w:vAlign w:val="bottom"/>
            <w:hideMark/>
          </w:tcPr>
          <w:p w14:paraId="1AFD14D3" w14:textId="54291675"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CODEINE TABLET</w:t>
            </w:r>
          </w:p>
        </w:tc>
        <w:tc>
          <w:tcPr>
            <w:tcW w:w="794" w:type="dxa"/>
            <w:shd w:val="clear" w:color="auto" w:fill="auto"/>
            <w:noWrap/>
            <w:vAlign w:val="bottom"/>
            <w:hideMark/>
          </w:tcPr>
          <w:p w14:paraId="7A14AC3B" w14:textId="49D1316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56.3</w:t>
            </w:r>
          </w:p>
        </w:tc>
        <w:tc>
          <w:tcPr>
            <w:tcW w:w="794" w:type="dxa"/>
            <w:shd w:val="clear" w:color="auto" w:fill="auto"/>
            <w:noWrap/>
            <w:vAlign w:val="bottom"/>
            <w:hideMark/>
          </w:tcPr>
          <w:p w14:paraId="06203B83" w14:textId="3428A49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56.99</w:t>
            </w:r>
          </w:p>
        </w:tc>
        <w:tc>
          <w:tcPr>
            <w:tcW w:w="794" w:type="dxa"/>
            <w:shd w:val="clear" w:color="auto" w:fill="auto"/>
            <w:noWrap/>
            <w:vAlign w:val="bottom"/>
            <w:hideMark/>
          </w:tcPr>
          <w:p w14:paraId="1D97CF9B" w14:textId="7FB2A3A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53.34</w:t>
            </w:r>
          </w:p>
        </w:tc>
        <w:tc>
          <w:tcPr>
            <w:tcW w:w="794" w:type="dxa"/>
            <w:shd w:val="clear" w:color="auto" w:fill="auto"/>
            <w:noWrap/>
            <w:vAlign w:val="bottom"/>
            <w:hideMark/>
          </w:tcPr>
          <w:p w14:paraId="64043DEE" w14:textId="374E747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51.7</w:t>
            </w:r>
          </w:p>
        </w:tc>
        <w:tc>
          <w:tcPr>
            <w:tcW w:w="794" w:type="dxa"/>
            <w:shd w:val="clear" w:color="auto" w:fill="auto"/>
            <w:noWrap/>
            <w:vAlign w:val="bottom"/>
            <w:hideMark/>
          </w:tcPr>
          <w:p w14:paraId="11C8BE63" w14:textId="0730345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54.74</w:t>
            </w:r>
          </w:p>
        </w:tc>
        <w:tc>
          <w:tcPr>
            <w:tcW w:w="794" w:type="dxa"/>
            <w:shd w:val="clear" w:color="auto" w:fill="auto"/>
            <w:noWrap/>
            <w:vAlign w:val="bottom"/>
            <w:hideMark/>
          </w:tcPr>
          <w:p w14:paraId="5D3C9728" w14:textId="62DEB50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46.41</w:t>
            </w:r>
          </w:p>
        </w:tc>
        <w:tc>
          <w:tcPr>
            <w:tcW w:w="794" w:type="dxa"/>
            <w:shd w:val="clear" w:color="auto" w:fill="auto"/>
            <w:noWrap/>
            <w:vAlign w:val="bottom"/>
            <w:hideMark/>
          </w:tcPr>
          <w:p w14:paraId="787FC666" w14:textId="7F6E394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44</w:t>
            </w:r>
          </w:p>
        </w:tc>
      </w:tr>
      <w:tr w:rsidR="006621E6" w:rsidRPr="00F244E7" w14:paraId="4EA1595C" w14:textId="77777777" w:rsidTr="004B4821">
        <w:trPr>
          <w:trHeight w:val="300"/>
        </w:trPr>
        <w:tc>
          <w:tcPr>
            <w:tcW w:w="3114" w:type="dxa"/>
            <w:shd w:val="clear" w:color="auto" w:fill="auto"/>
            <w:noWrap/>
            <w:vAlign w:val="bottom"/>
            <w:hideMark/>
          </w:tcPr>
          <w:p w14:paraId="524395B1" w14:textId="5ACE6AD5"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FENTANYL LOZENGE</w:t>
            </w:r>
          </w:p>
        </w:tc>
        <w:tc>
          <w:tcPr>
            <w:tcW w:w="794" w:type="dxa"/>
            <w:shd w:val="clear" w:color="auto" w:fill="auto"/>
            <w:noWrap/>
            <w:vAlign w:val="bottom"/>
            <w:hideMark/>
          </w:tcPr>
          <w:p w14:paraId="05D287F6" w14:textId="6A3CAF3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73.94</w:t>
            </w:r>
          </w:p>
        </w:tc>
        <w:tc>
          <w:tcPr>
            <w:tcW w:w="794" w:type="dxa"/>
            <w:shd w:val="clear" w:color="auto" w:fill="auto"/>
            <w:noWrap/>
            <w:vAlign w:val="bottom"/>
            <w:hideMark/>
          </w:tcPr>
          <w:p w14:paraId="78B6A7FA" w14:textId="6A37FDC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78.02</w:t>
            </w:r>
          </w:p>
        </w:tc>
        <w:tc>
          <w:tcPr>
            <w:tcW w:w="794" w:type="dxa"/>
            <w:shd w:val="clear" w:color="auto" w:fill="auto"/>
            <w:noWrap/>
            <w:vAlign w:val="bottom"/>
            <w:hideMark/>
          </w:tcPr>
          <w:p w14:paraId="12572A31" w14:textId="32C6A2D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80.45</w:t>
            </w:r>
          </w:p>
        </w:tc>
        <w:tc>
          <w:tcPr>
            <w:tcW w:w="794" w:type="dxa"/>
            <w:shd w:val="clear" w:color="auto" w:fill="auto"/>
            <w:noWrap/>
            <w:vAlign w:val="bottom"/>
            <w:hideMark/>
          </w:tcPr>
          <w:p w14:paraId="34FA63C2" w14:textId="7B4C67E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78.64</w:t>
            </w:r>
          </w:p>
        </w:tc>
        <w:tc>
          <w:tcPr>
            <w:tcW w:w="794" w:type="dxa"/>
            <w:shd w:val="clear" w:color="auto" w:fill="auto"/>
            <w:noWrap/>
            <w:vAlign w:val="bottom"/>
            <w:hideMark/>
          </w:tcPr>
          <w:p w14:paraId="04D1C7AC" w14:textId="0D8A5C4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74.83</w:t>
            </w:r>
          </w:p>
        </w:tc>
        <w:tc>
          <w:tcPr>
            <w:tcW w:w="794" w:type="dxa"/>
            <w:shd w:val="clear" w:color="auto" w:fill="auto"/>
            <w:noWrap/>
            <w:vAlign w:val="bottom"/>
            <w:hideMark/>
          </w:tcPr>
          <w:p w14:paraId="7EE5BBD1" w14:textId="062FA9A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76.49</w:t>
            </w:r>
          </w:p>
        </w:tc>
        <w:tc>
          <w:tcPr>
            <w:tcW w:w="794" w:type="dxa"/>
            <w:shd w:val="clear" w:color="auto" w:fill="auto"/>
            <w:noWrap/>
            <w:vAlign w:val="bottom"/>
            <w:hideMark/>
          </w:tcPr>
          <w:p w14:paraId="4E6332D1" w14:textId="606F3B7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79.08</w:t>
            </w:r>
          </w:p>
        </w:tc>
      </w:tr>
      <w:tr w:rsidR="006621E6" w:rsidRPr="00F244E7" w14:paraId="440C8CAE" w14:textId="77777777" w:rsidTr="004B4821">
        <w:trPr>
          <w:trHeight w:val="300"/>
        </w:trPr>
        <w:tc>
          <w:tcPr>
            <w:tcW w:w="3114" w:type="dxa"/>
            <w:shd w:val="clear" w:color="auto" w:fill="auto"/>
            <w:noWrap/>
            <w:vAlign w:val="bottom"/>
            <w:hideMark/>
          </w:tcPr>
          <w:p w14:paraId="1EEE0BAB" w14:textId="51A8393F"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FENTANYL TABLET</w:t>
            </w:r>
          </w:p>
        </w:tc>
        <w:tc>
          <w:tcPr>
            <w:tcW w:w="794" w:type="dxa"/>
            <w:shd w:val="clear" w:color="auto" w:fill="auto"/>
            <w:noWrap/>
            <w:vAlign w:val="bottom"/>
            <w:hideMark/>
          </w:tcPr>
          <w:p w14:paraId="2D427285" w14:textId="163C61B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53.43</w:t>
            </w:r>
          </w:p>
        </w:tc>
        <w:tc>
          <w:tcPr>
            <w:tcW w:w="794" w:type="dxa"/>
            <w:shd w:val="clear" w:color="auto" w:fill="auto"/>
            <w:noWrap/>
            <w:vAlign w:val="bottom"/>
            <w:hideMark/>
          </w:tcPr>
          <w:p w14:paraId="69301229" w14:textId="3990F52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63.56</w:t>
            </w:r>
          </w:p>
        </w:tc>
        <w:tc>
          <w:tcPr>
            <w:tcW w:w="794" w:type="dxa"/>
            <w:shd w:val="clear" w:color="auto" w:fill="auto"/>
            <w:noWrap/>
            <w:vAlign w:val="bottom"/>
            <w:hideMark/>
          </w:tcPr>
          <w:p w14:paraId="7435916C" w14:textId="2F7E1DE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70.38</w:t>
            </w:r>
          </w:p>
        </w:tc>
        <w:tc>
          <w:tcPr>
            <w:tcW w:w="794" w:type="dxa"/>
            <w:shd w:val="clear" w:color="auto" w:fill="auto"/>
            <w:noWrap/>
            <w:vAlign w:val="bottom"/>
            <w:hideMark/>
          </w:tcPr>
          <w:p w14:paraId="4618D6F8" w14:textId="38594DA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71.16</w:t>
            </w:r>
          </w:p>
        </w:tc>
        <w:tc>
          <w:tcPr>
            <w:tcW w:w="794" w:type="dxa"/>
            <w:shd w:val="clear" w:color="auto" w:fill="auto"/>
            <w:noWrap/>
            <w:vAlign w:val="bottom"/>
            <w:hideMark/>
          </w:tcPr>
          <w:p w14:paraId="41FBAFF3" w14:textId="42AC910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70.64</w:t>
            </w:r>
          </w:p>
        </w:tc>
        <w:tc>
          <w:tcPr>
            <w:tcW w:w="794" w:type="dxa"/>
            <w:shd w:val="clear" w:color="auto" w:fill="auto"/>
            <w:noWrap/>
            <w:vAlign w:val="bottom"/>
            <w:hideMark/>
          </w:tcPr>
          <w:p w14:paraId="6F99DE88" w14:textId="1537EE3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71.39</w:t>
            </w:r>
          </w:p>
        </w:tc>
        <w:tc>
          <w:tcPr>
            <w:tcW w:w="794" w:type="dxa"/>
            <w:shd w:val="clear" w:color="auto" w:fill="auto"/>
            <w:noWrap/>
            <w:vAlign w:val="bottom"/>
            <w:hideMark/>
          </w:tcPr>
          <w:p w14:paraId="7CFAFEC3" w14:textId="3A55819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71.56</w:t>
            </w:r>
          </w:p>
        </w:tc>
      </w:tr>
      <w:tr w:rsidR="006621E6" w:rsidRPr="00F244E7" w14:paraId="2841D81C" w14:textId="77777777" w:rsidTr="004B4821">
        <w:trPr>
          <w:trHeight w:val="300"/>
        </w:trPr>
        <w:tc>
          <w:tcPr>
            <w:tcW w:w="3114" w:type="dxa"/>
            <w:shd w:val="clear" w:color="auto" w:fill="auto"/>
            <w:noWrap/>
            <w:vAlign w:val="bottom"/>
            <w:hideMark/>
          </w:tcPr>
          <w:p w14:paraId="307DC335" w14:textId="4A09ACF2"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FENTANYL TRANSDERMAL PATCH</w:t>
            </w:r>
          </w:p>
        </w:tc>
        <w:tc>
          <w:tcPr>
            <w:tcW w:w="794" w:type="dxa"/>
            <w:shd w:val="clear" w:color="auto" w:fill="auto"/>
            <w:noWrap/>
            <w:vAlign w:val="bottom"/>
            <w:hideMark/>
          </w:tcPr>
          <w:p w14:paraId="63B6937B" w14:textId="60564D9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6.7</w:t>
            </w:r>
          </w:p>
        </w:tc>
        <w:tc>
          <w:tcPr>
            <w:tcW w:w="794" w:type="dxa"/>
            <w:shd w:val="clear" w:color="auto" w:fill="auto"/>
            <w:noWrap/>
            <w:vAlign w:val="bottom"/>
            <w:hideMark/>
          </w:tcPr>
          <w:p w14:paraId="6E44BD9B" w14:textId="29804C3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6.76</w:t>
            </w:r>
          </w:p>
        </w:tc>
        <w:tc>
          <w:tcPr>
            <w:tcW w:w="794" w:type="dxa"/>
            <w:shd w:val="clear" w:color="auto" w:fill="auto"/>
            <w:noWrap/>
            <w:vAlign w:val="bottom"/>
            <w:hideMark/>
          </w:tcPr>
          <w:p w14:paraId="5E2AE109" w14:textId="1F211D5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6.81</w:t>
            </w:r>
          </w:p>
        </w:tc>
        <w:tc>
          <w:tcPr>
            <w:tcW w:w="794" w:type="dxa"/>
            <w:shd w:val="clear" w:color="auto" w:fill="auto"/>
            <w:noWrap/>
            <w:vAlign w:val="bottom"/>
            <w:hideMark/>
          </w:tcPr>
          <w:p w14:paraId="2E080EAE" w14:textId="571AE3F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6.85</w:t>
            </w:r>
          </w:p>
        </w:tc>
        <w:tc>
          <w:tcPr>
            <w:tcW w:w="794" w:type="dxa"/>
            <w:shd w:val="clear" w:color="auto" w:fill="auto"/>
            <w:noWrap/>
            <w:vAlign w:val="bottom"/>
            <w:hideMark/>
          </w:tcPr>
          <w:p w14:paraId="0627FF15" w14:textId="0C824CC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6.84</w:t>
            </w:r>
          </w:p>
        </w:tc>
        <w:tc>
          <w:tcPr>
            <w:tcW w:w="794" w:type="dxa"/>
            <w:shd w:val="clear" w:color="auto" w:fill="auto"/>
            <w:noWrap/>
            <w:vAlign w:val="bottom"/>
            <w:hideMark/>
          </w:tcPr>
          <w:p w14:paraId="47718240" w14:textId="06929CE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6.87</w:t>
            </w:r>
          </w:p>
        </w:tc>
        <w:tc>
          <w:tcPr>
            <w:tcW w:w="794" w:type="dxa"/>
            <w:shd w:val="clear" w:color="auto" w:fill="auto"/>
            <w:noWrap/>
            <w:vAlign w:val="bottom"/>
            <w:hideMark/>
          </w:tcPr>
          <w:p w14:paraId="689E9EE0" w14:textId="3A72A2F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6.97</w:t>
            </w:r>
          </w:p>
        </w:tc>
      </w:tr>
      <w:tr w:rsidR="006621E6" w:rsidRPr="00F244E7" w14:paraId="38329CF5" w14:textId="77777777" w:rsidTr="004B4821">
        <w:trPr>
          <w:trHeight w:val="300"/>
        </w:trPr>
        <w:tc>
          <w:tcPr>
            <w:tcW w:w="3114" w:type="dxa"/>
            <w:shd w:val="clear" w:color="auto" w:fill="auto"/>
            <w:noWrap/>
            <w:vAlign w:val="bottom"/>
            <w:hideMark/>
          </w:tcPr>
          <w:p w14:paraId="010C70C2" w14:textId="52E660BF"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GABAPENTIN CAPSULE</w:t>
            </w:r>
          </w:p>
        </w:tc>
        <w:tc>
          <w:tcPr>
            <w:tcW w:w="794" w:type="dxa"/>
            <w:shd w:val="clear" w:color="auto" w:fill="auto"/>
            <w:noWrap/>
            <w:vAlign w:val="bottom"/>
            <w:hideMark/>
          </w:tcPr>
          <w:p w14:paraId="554E79FF" w14:textId="6C485E7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112.71</w:t>
            </w:r>
          </w:p>
        </w:tc>
        <w:tc>
          <w:tcPr>
            <w:tcW w:w="794" w:type="dxa"/>
            <w:shd w:val="clear" w:color="auto" w:fill="auto"/>
            <w:noWrap/>
            <w:vAlign w:val="bottom"/>
            <w:hideMark/>
          </w:tcPr>
          <w:p w14:paraId="3EAB1C55" w14:textId="1AB9BF0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115.4</w:t>
            </w:r>
          </w:p>
        </w:tc>
        <w:tc>
          <w:tcPr>
            <w:tcW w:w="794" w:type="dxa"/>
            <w:shd w:val="clear" w:color="auto" w:fill="auto"/>
            <w:noWrap/>
            <w:vAlign w:val="bottom"/>
            <w:hideMark/>
          </w:tcPr>
          <w:p w14:paraId="456AAF03" w14:textId="7DCC9AD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115</w:t>
            </w:r>
          </w:p>
        </w:tc>
        <w:tc>
          <w:tcPr>
            <w:tcW w:w="794" w:type="dxa"/>
            <w:shd w:val="clear" w:color="auto" w:fill="auto"/>
            <w:noWrap/>
            <w:vAlign w:val="bottom"/>
            <w:hideMark/>
          </w:tcPr>
          <w:p w14:paraId="28C8E088" w14:textId="03E0A25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114.01</w:t>
            </w:r>
          </w:p>
        </w:tc>
        <w:tc>
          <w:tcPr>
            <w:tcW w:w="794" w:type="dxa"/>
            <w:shd w:val="clear" w:color="auto" w:fill="auto"/>
            <w:noWrap/>
            <w:vAlign w:val="bottom"/>
            <w:hideMark/>
          </w:tcPr>
          <w:p w14:paraId="3D5A7E19" w14:textId="1282E74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113.01</w:t>
            </w:r>
          </w:p>
        </w:tc>
        <w:tc>
          <w:tcPr>
            <w:tcW w:w="794" w:type="dxa"/>
            <w:shd w:val="clear" w:color="auto" w:fill="auto"/>
            <w:noWrap/>
            <w:vAlign w:val="bottom"/>
            <w:hideMark/>
          </w:tcPr>
          <w:p w14:paraId="53A463DE" w14:textId="72BC60F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113.77</w:t>
            </w:r>
          </w:p>
        </w:tc>
        <w:tc>
          <w:tcPr>
            <w:tcW w:w="794" w:type="dxa"/>
            <w:shd w:val="clear" w:color="auto" w:fill="auto"/>
            <w:noWrap/>
            <w:vAlign w:val="bottom"/>
            <w:hideMark/>
          </w:tcPr>
          <w:p w14:paraId="64980CDE" w14:textId="484C340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117.03</w:t>
            </w:r>
          </w:p>
        </w:tc>
      </w:tr>
      <w:tr w:rsidR="006621E6" w:rsidRPr="00F244E7" w14:paraId="032966CF" w14:textId="77777777" w:rsidTr="004B4821">
        <w:trPr>
          <w:trHeight w:val="300"/>
        </w:trPr>
        <w:tc>
          <w:tcPr>
            <w:tcW w:w="3114" w:type="dxa"/>
            <w:shd w:val="clear" w:color="auto" w:fill="auto"/>
            <w:noWrap/>
            <w:vAlign w:val="bottom"/>
            <w:hideMark/>
          </w:tcPr>
          <w:p w14:paraId="08BC2399" w14:textId="463C053F"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GABAPENTIN TABLET</w:t>
            </w:r>
          </w:p>
        </w:tc>
        <w:tc>
          <w:tcPr>
            <w:tcW w:w="794" w:type="dxa"/>
            <w:shd w:val="clear" w:color="auto" w:fill="auto"/>
            <w:noWrap/>
            <w:vAlign w:val="bottom"/>
            <w:hideMark/>
          </w:tcPr>
          <w:p w14:paraId="34AE47B9" w14:textId="70C0E3B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115.54</w:t>
            </w:r>
          </w:p>
        </w:tc>
        <w:tc>
          <w:tcPr>
            <w:tcW w:w="794" w:type="dxa"/>
            <w:shd w:val="clear" w:color="auto" w:fill="auto"/>
            <w:noWrap/>
            <w:vAlign w:val="bottom"/>
            <w:hideMark/>
          </w:tcPr>
          <w:p w14:paraId="1D026551" w14:textId="5B42A0E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116.69</w:t>
            </w:r>
          </w:p>
        </w:tc>
        <w:tc>
          <w:tcPr>
            <w:tcW w:w="794" w:type="dxa"/>
            <w:shd w:val="clear" w:color="auto" w:fill="auto"/>
            <w:noWrap/>
            <w:vAlign w:val="bottom"/>
            <w:hideMark/>
          </w:tcPr>
          <w:p w14:paraId="7FF5977C" w14:textId="46FBFD8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118.05</w:t>
            </w:r>
          </w:p>
        </w:tc>
        <w:tc>
          <w:tcPr>
            <w:tcW w:w="794" w:type="dxa"/>
            <w:shd w:val="clear" w:color="auto" w:fill="auto"/>
            <w:noWrap/>
            <w:vAlign w:val="bottom"/>
            <w:hideMark/>
          </w:tcPr>
          <w:p w14:paraId="0BC15FB2" w14:textId="4A654B7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114.92</w:t>
            </w:r>
          </w:p>
        </w:tc>
        <w:tc>
          <w:tcPr>
            <w:tcW w:w="794" w:type="dxa"/>
            <w:shd w:val="clear" w:color="auto" w:fill="auto"/>
            <w:noWrap/>
            <w:vAlign w:val="bottom"/>
            <w:hideMark/>
          </w:tcPr>
          <w:p w14:paraId="1480D5A8" w14:textId="3D353DF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114.7</w:t>
            </w:r>
          </w:p>
        </w:tc>
        <w:tc>
          <w:tcPr>
            <w:tcW w:w="794" w:type="dxa"/>
            <w:shd w:val="clear" w:color="auto" w:fill="auto"/>
            <w:noWrap/>
            <w:vAlign w:val="bottom"/>
            <w:hideMark/>
          </w:tcPr>
          <w:p w14:paraId="2D914508" w14:textId="48EB7B4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117.72</w:t>
            </w:r>
          </w:p>
        </w:tc>
        <w:tc>
          <w:tcPr>
            <w:tcW w:w="794" w:type="dxa"/>
            <w:shd w:val="clear" w:color="auto" w:fill="auto"/>
            <w:noWrap/>
            <w:vAlign w:val="bottom"/>
            <w:hideMark/>
          </w:tcPr>
          <w:p w14:paraId="391203D2" w14:textId="39ACA95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116.67</w:t>
            </w:r>
          </w:p>
        </w:tc>
      </w:tr>
      <w:tr w:rsidR="006621E6" w:rsidRPr="00F244E7" w14:paraId="4831EE78" w14:textId="77777777" w:rsidTr="004B4821">
        <w:trPr>
          <w:trHeight w:val="300"/>
        </w:trPr>
        <w:tc>
          <w:tcPr>
            <w:tcW w:w="3114" w:type="dxa"/>
            <w:shd w:val="clear" w:color="auto" w:fill="auto"/>
            <w:noWrap/>
            <w:vAlign w:val="bottom"/>
            <w:hideMark/>
          </w:tcPr>
          <w:p w14:paraId="6659CCAB" w14:textId="1FBE9AEE"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HYDROMORPHONE INJECTION</w:t>
            </w:r>
          </w:p>
        </w:tc>
        <w:tc>
          <w:tcPr>
            <w:tcW w:w="794" w:type="dxa"/>
            <w:shd w:val="clear" w:color="auto" w:fill="auto"/>
            <w:noWrap/>
            <w:vAlign w:val="bottom"/>
            <w:hideMark/>
          </w:tcPr>
          <w:p w14:paraId="1E0DA22E" w14:textId="363C811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12.05</w:t>
            </w:r>
          </w:p>
        </w:tc>
        <w:tc>
          <w:tcPr>
            <w:tcW w:w="794" w:type="dxa"/>
            <w:shd w:val="clear" w:color="auto" w:fill="auto"/>
            <w:noWrap/>
            <w:vAlign w:val="bottom"/>
            <w:hideMark/>
          </w:tcPr>
          <w:p w14:paraId="0C1371F7" w14:textId="599C052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12.79</w:t>
            </w:r>
          </w:p>
        </w:tc>
        <w:tc>
          <w:tcPr>
            <w:tcW w:w="794" w:type="dxa"/>
            <w:shd w:val="clear" w:color="auto" w:fill="auto"/>
            <w:noWrap/>
            <w:vAlign w:val="bottom"/>
            <w:hideMark/>
          </w:tcPr>
          <w:p w14:paraId="6107CD7F" w14:textId="5DF8A00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12.65</w:t>
            </w:r>
          </w:p>
        </w:tc>
        <w:tc>
          <w:tcPr>
            <w:tcW w:w="794" w:type="dxa"/>
            <w:shd w:val="clear" w:color="auto" w:fill="auto"/>
            <w:noWrap/>
            <w:vAlign w:val="bottom"/>
            <w:hideMark/>
          </w:tcPr>
          <w:p w14:paraId="036366E5" w14:textId="36C6E21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11.73</w:t>
            </w:r>
          </w:p>
        </w:tc>
        <w:tc>
          <w:tcPr>
            <w:tcW w:w="794" w:type="dxa"/>
            <w:shd w:val="clear" w:color="auto" w:fill="auto"/>
            <w:noWrap/>
            <w:vAlign w:val="bottom"/>
            <w:hideMark/>
          </w:tcPr>
          <w:p w14:paraId="176F05EF" w14:textId="44F7E03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11.7</w:t>
            </w:r>
          </w:p>
        </w:tc>
        <w:tc>
          <w:tcPr>
            <w:tcW w:w="794" w:type="dxa"/>
            <w:shd w:val="clear" w:color="auto" w:fill="auto"/>
            <w:noWrap/>
            <w:vAlign w:val="bottom"/>
            <w:hideMark/>
          </w:tcPr>
          <w:p w14:paraId="194351C8" w14:textId="3F0C7E3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10.74</w:t>
            </w:r>
          </w:p>
        </w:tc>
        <w:tc>
          <w:tcPr>
            <w:tcW w:w="794" w:type="dxa"/>
            <w:shd w:val="clear" w:color="auto" w:fill="auto"/>
            <w:noWrap/>
            <w:vAlign w:val="bottom"/>
            <w:hideMark/>
          </w:tcPr>
          <w:p w14:paraId="46A522B9" w14:textId="27C7D79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10.34</w:t>
            </w:r>
          </w:p>
        </w:tc>
      </w:tr>
      <w:tr w:rsidR="006621E6" w:rsidRPr="00F244E7" w14:paraId="71A05F82" w14:textId="77777777" w:rsidTr="004B4821">
        <w:trPr>
          <w:trHeight w:val="300"/>
        </w:trPr>
        <w:tc>
          <w:tcPr>
            <w:tcW w:w="3114" w:type="dxa"/>
            <w:shd w:val="clear" w:color="auto" w:fill="auto"/>
            <w:noWrap/>
            <w:vAlign w:val="bottom"/>
            <w:hideMark/>
          </w:tcPr>
          <w:p w14:paraId="3E965493" w14:textId="7AD51B04" w:rsidR="006621E6" w:rsidRPr="00AB0119" w:rsidRDefault="006621E6" w:rsidP="006621E6">
            <w:pPr>
              <w:spacing w:after="0"/>
              <w:rPr>
                <w:rFonts w:ascii="Calibri" w:eastAsia="Times New Roman" w:hAnsi="Calibri" w:cs="Calibri"/>
                <w:color w:val="000000"/>
                <w:sz w:val="20"/>
                <w:szCs w:val="20"/>
                <w:highlight w:val="cyan"/>
              </w:rPr>
            </w:pPr>
            <w:r w:rsidRPr="00F244E7">
              <w:rPr>
                <w:rFonts w:ascii="Calibri" w:hAnsi="Calibri" w:cs="Calibri"/>
                <w:color w:val="000000"/>
                <w:sz w:val="20"/>
                <w:szCs w:val="20"/>
              </w:rPr>
              <w:t>HYDROMORPHONE ORAL LIQUID</w:t>
            </w:r>
          </w:p>
        </w:tc>
        <w:tc>
          <w:tcPr>
            <w:tcW w:w="794" w:type="dxa"/>
            <w:shd w:val="clear" w:color="auto" w:fill="auto"/>
            <w:noWrap/>
            <w:vAlign w:val="bottom"/>
            <w:hideMark/>
          </w:tcPr>
          <w:p w14:paraId="28376338" w14:textId="5E9ACBF3"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1.11</w:t>
            </w:r>
          </w:p>
        </w:tc>
        <w:tc>
          <w:tcPr>
            <w:tcW w:w="794" w:type="dxa"/>
            <w:shd w:val="clear" w:color="auto" w:fill="auto"/>
            <w:noWrap/>
            <w:vAlign w:val="bottom"/>
            <w:hideMark/>
          </w:tcPr>
          <w:p w14:paraId="6FE630AF" w14:textId="532668A9"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1.06</w:t>
            </w:r>
          </w:p>
        </w:tc>
        <w:tc>
          <w:tcPr>
            <w:tcW w:w="794" w:type="dxa"/>
            <w:shd w:val="clear" w:color="auto" w:fill="auto"/>
            <w:noWrap/>
            <w:vAlign w:val="bottom"/>
            <w:hideMark/>
          </w:tcPr>
          <w:p w14:paraId="6CE6A581" w14:textId="60637B84"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1.06</w:t>
            </w:r>
          </w:p>
        </w:tc>
        <w:tc>
          <w:tcPr>
            <w:tcW w:w="794" w:type="dxa"/>
            <w:shd w:val="clear" w:color="auto" w:fill="auto"/>
            <w:noWrap/>
            <w:vAlign w:val="bottom"/>
            <w:hideMark/>
          </w:tcPr>
          <w:p w14:paraId="6768307C" w14:textId="3634A69F"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1.19</w:t>
            </w:r>
          </w:p>
        </w:tc>
        <w:tc>
          <w:tcPr>
            <w:tcW w:w="794" w:type="dxa"/>
            <w:shd w:val="clear" w:color="auto" w:fill="auto"/>
            <w:noWrap/>
            <w:vAlign w:val="bottom"/>
            <w:hideMark/>
          </w:tcPr>
          <w:p w14:paraId="2318F12C" w14:textId="2FAA6465"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1.22</w:t>
            </w:r>
          </w:p>
        </w:tc>
        <w:tc>
          <w:tcPr>
            <w:tcW w:w="794" w:type="dxa"/>
            <w:shd w:val="clear" w:color="auto" w:fill="auto"/>
            <w:noWrap/>
            <w:vAlign w:val="bottom"/>
            <w:hideMark/>
          </w:tcPr>
          <w:p w14:paraId="0EE8DC96" w14:textId="70DA3CDE" w:rsidR="006621E6" w:rsidRPr="00AB0119"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1.32</w:t>
            </w:r>
          </w:p>
        </w:tc>
        <w:tc>
          <w:tcPr>
            <w:tcW w:w="794" w:type="dxa"/>
            <w:shd w:val="clear" w:color="auto" w:fill="auto"/>
            <w:noWrap/>
            <w:vAlign w:val="bottom"/>
            <w:hideMark/>
          </w:tcPr>
          <w:p w14:paraId="1663116E" w14:textId="55C2181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1.03</w:t>
            </w:r>
          </w:p>
        </w:tc>
      </w:tr>
      <w:tr w:rsidR="006621E6" w:rsidRPr="00F244E7" w14:paraId="0258B0B4" w14:textId="77777777" w:rsidTr="004B4821">
        <w:trPr>
          <w:trHeight w:val="300"/>
        </w:trPr>
        <w:tc>
          <w:tcPr>
            <w:tcW w:w="3114" w:type="dxa"/>
            <w:shd w:val="clear" w:color="auto" w:fill="auto"/>
            <w:noWrap/>
            <w:vAlign w:val="bottom"/>
          </w:tcPr>
          <w:p w14:paraId="2683DD26" w14:textId="3E82382F" w:rsidR="006621E6" w:rsidRPr="00F244E7" w:rsidRDefault="006621E6" w:rsidP="006621E6">
            <w:pPr>
              <w:spacing w:after="0"/>
              <w:rPr>
                <w:rFonts w:ascii="Calibri" w:eastAsia="Times New Roman" w:hAnsi="Calibri" w:cs="Calibri"/>
                <w:color w:val="000000"/>
                <w:sz w:val="20"/>
                <w:szCs w:val="20"/>
                <w:highlight w:val="cyan"/>
              </w:rPr>
            </w:pPr>
            <w:r w:rsidRPr="00F244E7">
              <w:rPr>
                <w:rFonts w:ascii="Calibri" w:hAnsi="Calibri" w:cs="Calibri"/>
                <w:color w:val="000000"/>
                <w:sz w:val="20"/>
                <w:szCs w:val="20"/>
              </w:rPr>
              <w:t>HYDROMORPHONE ORAL SOLUTION</w:t>
            </w:r>
          </w:p>
        </w:tc>
        <w:tc>
          <w:tcPr>
            <w:tcW w:w="794" w:type="dxa"/>
            <w:shd w:val="clear" w:color="auto" w:fill="auto"/>
            <w:noWrap/>
            <w:vAlign w:val="bottom"/>
          </w:tcPr>
          <w:p w14:paraId="2BC7B999" w14:textId="77777777" w:rsidR="006621E6" w:rsidRPr="00F244E7" w:rsidRDefault="006621E6" w:rsidP="006621E6">
            <w:pPr>
              <w:spacing w:after="0"/>
              <w:jc w:val="right"/>
              <w:rPr>
                <w:rFonts w:ascii="Calibri" w:eastAsia="Times New Roman" w:hAnsi="Calibri" w:cs="Calibri"/>
                <w:color w:val="000000"/>
                <w:sz w:val="20"/>
                <w:szCs w:val="20"/>
                <w:highlight w:val="cyan"/>
              </w:rPr>
            </w:pPr>
          </w:p>
        </w:tc>
        <w:tc>
          <w:tcPr>
            <w:tcW w:w="794" w:type="dxa"/>
            <w:shd w:val="clear" w:color="auto" w:fill="auto"/>
            <w:noWrap/>
            <w:vAlign w:val="bottom"/>
          </w:tcPr>
          <w:p w14:paraId="2827DE4D" w14:textId="77777777" w:rsidR="006621E6" w:rsidRPr="00F244E7" w:rsidRDefault="006621E6" w:rsidP="006621E6">
            <w:pPr>
              <w:spacing w:after="0"/>
              <w:jc w:val="right"/>
              <w:rPr>
                <w:rFonts w:ascii="Calibri" w:eastAsia="Times New Roman" w:hAnsi="Calibri" w:cs="Calibri"/>
                <w:color w:val="000000"/>
                <w:sz w:val="20"/>
                <w:szCs w:val="20"/>
                <w:highlight w:val="cyan"/>
              </w:rPr>
            </w:pPr>
          </w:p>
        </w:tc>
        <w:tc>
          <w:tcPr>
            <w:tcW w:w="794" w:type="dxa"/>
            <w:shd w:val="clear" w:color="auto" w:fill="auto"/>
            <w:noWrap/>
            <w:vAlign w:val="bottom"/>
          </w:tcPr>
          <w:p w14:paraId="1C8800E6" w14:textId="77777777" w:rsidR="006621E6" w:rsidRPr="00F244E7" w:rsidRDefault="006621E6" w:rsidP="006621E6">
            <w:pPr>
              <w:spacing w:after="0"/>
              <w:jc w:val="right"/>
              <w:rPr>
                <w:rFonts w:ascii="Calibri" w:eastAsia="Times New Roman" w:hAnsi="Calibri" w:cs="Calibri"/>
                <w:color w:val="000000"/>
                <w:sz w:val="20"/>
                <w:szCs w:val="20"/>
                <w:highlight w:val="cyan"/>
              </w:rPr>
            </w:pPr>
          </w:p>
        </w:tc>
        <w:tc>
          <w:tcPr>
            <w:tcW w:w="794" w:type="dxa"/>
            <w:shd w:val="clear" w:color="auto" w:fill="auto"/>
            <w:noWrap/>
            <w:vAlign w:val="bottom"/>
          </w:tcPr>
          <w:p w14:paraId="289731A0" w14:textId="77777777" w:rsidR="006621E6" w:rsidRPr="00F244E7" w:rsidRDefault="006621E6" w:rsidP="006621E6">
            <w:pPr>
              <w:spacing w:after="0"/>
              <w:jc w:val="right"/>
              <w:rPr>
                <w:rFonts w:ascii="Calibri" w:eastAsia="Times New Roman" w:hAnsi="Calibri" w:cs="Calibri"/>
                <w:color w:val="000000"/>
                <w:sz w:val="20"/>
                <w:szCs w:val="20"/>
                <w:highlight w:val="cyan"/>
              </w:rPr>
            </w:pPr>
          </w:p>
        </w:tc>
        <w:tc>
          <w:tcPr>
            <w:tcW w:w="794" w:type="dxa"/>
            <w:shd w:val="clear" w:color="auto" w:fill="auto"/>
            <w:noWrap/>
            <w:vAlign w:val="bottom"/>
          </w:tcPr>
          <w:p w14:paraId="4B579832" w14:textId="77777777" w:rsidR="006621E6" w:rsidRPr="00F244E7" w:rsidRDefault="006621E6" w:rsidP="006621E6">
            <w:pPr>
              <w:spacing w:after="0"/>
              <w:jc w:val="right"/>
              <w:rPr>
                <w:rFonts w:ascii="Calibri" w:eastAsia="Times New Roman" w:hAnsi="Calibri" w:cs="Calibri"/>
                <w:color w:val="000000"/>
                <w:sz w:val="20"/>
                <w:szCs w:val="20"/>
                <w:highlight w:val="cyan"/>
              </w:rPr>
            </w:pPr>
          </w:p>
        </w:tc>
        <w:tc>
          <w:tcPr>
            <w:tcW w:w="794" w:type="dxa"/>
            <w:shd w:val="clear" w:color="auto" w:fill="auto"/>
            <w:noWrap/>
            <w:vAlign w:val="bottom"/>
          </w:tcPr>
          <w:p w14:paraId="7A76A488" w14:textId="24B22709" w:rsidR="006621E6" w:rsidRPr="00F244E7"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1.23</w:t>
            </w:r>
          </w:p>
        </w:tc>
        <w:tc>
          <w:tcPr>
            <w:tcW w:w="794" w:type="dxa"/>
            <w:shd w:val="clear" w:color="auto" w:fill="auto"/>
            <w:noWrap/>
            <w:vAlign w:val="bottom"/>
          </w:tcPr>
          <w:p w14:paraId="3492E49A" w14:textId="0F81C07E" w:rsidR="006621E6" w:rsidRPr="00F244E7" w:rsidRDefault="006621E6" w:rsidP="006621E6">
            <w:pPr>
              <w:spacing w:after="0"/>
              <w:jc w:val="right"/>
              <w:rPr>
                <w:rFonts w:ascii="Calibri" w:eastAsia="Times New Roman" w:hAnsi="Calibri" w:cs="Calibri"/>
                <w:color w:val="000000"/>
                <w:sz w:val="20"/>
                <w:szCs w:val="20"/>
                <w:highlight w:val="cyan"/>
              </w:rPr>
            </w:pPr>
            <w:r w:rsidRPr="00F244E7">
              <w:rPr>
                <w:rFonts w:ascii="Calibri" w:hAnsi="Calibri" w:cs="Calibri"/>
                <w:color w:val="000000"/>
                <w:sz w:val="20"/>
                <w:szCs w:val="20"/>
              </w:rPr>
              <w:t>145.81</w:t>
            </w:r>
          </w:p>
        </w:tc>
      </w:tr>
      <w:tr w:rsidR="006621E6" w:rsidRPr="00F244E7" w14:paraId="266163C8" w14:textId="77777777" w:rsidTr="004B4821">
        <w:trPr>
          <w:trHeight w:val="300"/>
        </w:trPr>
        <w:tc>
          <w:tcPr>
            <w:tcW w:w="3114" w:type="dxa"/>
            <w:shd w:val="clear" w:color="auto" w:fill="auto"/>
            <w:noWrap/>
            <w:vAlign w:val="bottom"/>
            <w:hideMark/>
          </w:tcPr>
          <w:p w14:paraId="307CE10F" w14:textId="3711C0F7"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HYDROMORPHONE TABLET</w:t>
            </w:r>
          </w:p>
        </w:tc>
        <w:tc>
          <w:tcPr>
            <w:tcW w:w="794" w:type="dxa"/>
            <w:shd w:val="clear" w:color="auto" w:fill="auto"/>
            <w:noWrap/>
            <w:vAlign w:val="bottom"/>
            <w:hideMark/>
          </w:tcPr>
          <w:p w14:paraId="41D2C667" w14:textId="7781E0F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26.08</w:t>
            </w:r>
          </w:p>
        </w:tc>
        <w:tc>
          <w:tcPr>
            <w:tcW w:w="794" w:type="dxa"/>
            <w:shd w:val="clear" w:color="auto" w:fill="auto"/>
            <w:noWrap/>
            <w:vAlign w:val="bottom"/>
            <w:hideMark/>
          </w:tcPr>
          <w:p w14:paraId="4E1241F9" w14:textId="2E7A252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27.26</w:t>
            </w:r>
          </w:p>
        </w:tc>
        <w:tc>
          <w:tcPr>
            <w:tcW w:w="794" w:type="dxa"/>
            <w:shd w:val="clear" w:color="auto" w:fill="auto"/>
            <w:noWrap/>
            <w:vAlign w:val="bottom"/>
            <w:hideMark/>
          </w:tcPr>
          <w:p w14:paraId="2D79BE28" w14:textId="5C70320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27.37</w:t>
            </w:r>
          </w:p>
        </w:tc>
        <w:tc>
          <w:tcPr>
            <w:tcW w:w="794" w:type="dxa"/>
            <w:shd w:val="clear" w:color="auto" w:fill="auto"/>
            <w:noWrap/>
            <w:vAlign w:val="bottom"/>
            <w:hideMark/>
          </w:tcPr>
          <w:p w14:paraId="3280D00F" w14:textId="148F75E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27.5</w:t>
            </w:r>
          </w:p>
        </w:tc>
        <w:tc>
          <w:tcPr>
            <w:tcW w:w="794" w:type="dxa"/>
            <w:shd w:val="clear" w:color="auto" w:fill="auto"/>
            <w:noWrap/>
            <w:vAlign w:val="bottom"/>
            <w:hideMark/>
          </w:tcPr>
          <w:p w14:paraId="12BAACE3" w14:textId="5922AC3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27.18</w:t>
            </w:r>
          </w:p>
        </w:tc>
        <w:tc>
          <w:tcPr>
            <w:tcW w:w="794" w:type="dxa"/>
            <w:shd w:val="clear" w:color="auto" w:fill="auto"/>
            <w:noWrap/>
            <w:vAlign w:val="bottom"/>
            <w:hideMark/>
          </w:tcPr>
          <w:p w14:paraId="1E874759" w14:textId="683BB9E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28.7</w:t>
            </w:r>
          </w:p>
        </w:tc>
        <w:tc>
          <w:tcPr>
            <w:tcW w:w="794" w:type="dxa"/>
            <w:shd w:val="clear" w:color="auto" w:fill="auto"/>
            <w:noWrap/>
            <w:vAlign w:val="bottom"/>
            <w:hideMark/>
          </w:tcPr>
          <w:p w14:paraId="46C8F4BA" w14:textId="56EAF18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28.59</w:t>
            </w:r>
          </w:p>
        </w:tc>
      </w:tr>
      <w:tr w:rsidR="006621E6" w:rsidRPr="00F244E7" w14:paraId="5B7B35A7" w14:textId="77777777" w:rsidTr="004B4821">
        <w:trPr>
          <w:trHeight w:val="300"/>
        </w:trPr>
        <w:tc>
          <w:tcPr>
            <w:tcW w:w="3114" w:type="dxa"/>
            <w:shd w:val="clear" w:color="auto" w:fill="auto"/>
            <w:noWrap/>
            <w:vAlign w:val="bottom"/>
            <w:hideMark/>
          </w:tcPr>
          <w:p w14:paraId="013DABD4" w14:textId="54D353EB"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METHADONE INJECTION</w:t>
            </w:r>
          </w:p>
        </w:tc>
        <w:tc>
          <w:tcPr>
            <w:tcW w:w="794" w:type="dxa"/>
            <w:shd w:val="clear" w:color="auto" w:fill="auto"/>
            <w:noWrap/>
            <w:vAlign w:val="bottom"/>
            <w:hideMark/>
          </w:tcPr>
          <w:p w14:paraId="35F59206" w14:textId="2AAB912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22.21</w:t>
            </w:r>
          </w:p>
        </w:tc>
        <w:tc>
          <w:tcPr>
            <w:tcW w:w="794" w:type="dxa"/>
            <w:shd w:val="clear" w:color="auto" w:fill="auto"/>
            <w:noWrap/>
            <w:vAlign w:val="bottom"/>
            <w:hideMark/>
          </w:tcPr>
          <w:p w14:paraId="28EFB7E4" w14:textId="6640AE0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18.59</w:t>
            </w:r>
          </w:p>
        </w:tc>
        <w:tc>
          <w:tcPr>
            <w:tcW w:w="794" w:type="dxa"/>
            <w:shd w:val="clear" w:color="auto" w:fill="auto"/>
            <w:noWrap/>
            <w:vAlign w:val="bottom"/>
            <w:hideMark/>
          </w:tcPr>
          <w:p w14:paraId="0F6E5E41" w14:textId="3335524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24.3</w:t>
            </w:r>
          </w:p>
        </w:tc>
        <w:tc>
          <w:tcPr>
            <w:tcW w:w="794" w:type="dxa"/>
            <w:shd w:val="clear" w:color="auto" w:fill="auto"/>
            <w:noWrap/>
            <w:vAlign w:val="bottom"/>
            <w:hideMark/>
          </w:tcPr>
          <w:p w14:paraId="18228E7A" w14:textId="53C7E33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18.78</w:t>
            </w:r>
          </w:p>
        </w:tc>
        <w:tc>
          <w:tcPr>
            <w:tcW w:w="794" w:type="dxa"/>
            <w:shd w:val="clear" w:color="auto" w:fill="auto"/>
            <w:noWrap/>
            <w:vAlign w:val="bottom"/>
            <w:hideMark/>
          </w:tcPr>
          <w:p w14:paraId="00C08DE7" w14:textId="5769AE7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22.45</w:t>
            </w:r>
          </w:p>
        </w:tc>
        <w:tc>
          <w:tcPr>
            <w:tcW w:w="794" w:type="dxa"/>
            <w:shd w:val="clear" w:color="auto" w:fill="auto"/>
            <w:noWrap/>
            <w:vAlign w:val="bottom"/>
            <w:hideMark/>
          </w:tcPr>
          <w:p w14:paraId="76109781" w14:textId="032A89D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24.99</w:t>
            </w:r>
          </w:p>
        </w:tc>
        <w:tc>
          <w:tcPr>
            <w:tcW w:w="794" w:type="dxa"/>
            <w:shd w:val="clear" w:color="auto" w:fill="auto"/>
            <w:noWrap/>
            <w:vAlign w:val="bottom"/>
            <w:hideMark/>
          </w:tcPr>
          <w:p w14:paraId="75911FBB" w14:textId="1F766B2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24.75</w:t>
            </w:r>
          </w:p>
        </w:tc>
      </w:tr>
      <w:tr w:rsidR="006621E6" w:rsidRPr="00F244E7" w14:paraId="52A7273B" w14:textId="77777777" w:rsidTr="004B4821">
        <w:trPr>
          <w:trHeight w:val="300"/>
        </w:trPr>
        <w:tc>
          <w:tcPr>
            <w:tcW w:w="3114" w:type="dxa"/>
            <w:shd w:val="clear" w:color="auto" w:fill="auto"/>
            <w:noWrap/>
            <w:vAlign w:val="bottom"/>
            <w:hideMark/>
          </w:tcPr>
          <w:p w14:paraId="20C63717" w14:textId="4298156C"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METHADONE ORAL LIQUID</w:t>
            </w:r>
          </w:p>
        </w:tc>
        <w:tc>
          <w:tcPr>
            <w:tcW w:w="794" w:type="dxa"/>
            <w:shd w:val="clear" w:color="auto" w:fill="auto"/>
            <w:noWrap/>
            <w:vAlign w:val="bottom"/>
            <w:hideMark/>
          </w:tcPr>
          <w:p w14:paraId="6F3C24A6" w14:textId="7DF8824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2.23</w:t>
            </w:r>
          </w:p>
        </w:tc>
        <w:tc>
          <w:tcPr>
            <w:tcW w:w="794" w:type="dxa"/>
            <w:shd w:val="clear" w:color="auto" w:fill="auto"/>
            <w:noWrap/>
            <w:vAlign w:val="bottom"/>
            <w:hideMark/>
          </w:tcPr>
          <w:p w14:paraId="7156F674" w14:textId="7005C3F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6.35</w:t>
            </w:r>
          </w:p>
        </w:tc>
        <w:tc>
          <w:tcPr>
            <w:tcW w:w="794" w:type="dxa"/>
            <w:shd w:val="clear" w:color="auto" w:fill="auto"/>
            <w:noWrap/>
            <w:vAlign w:val="bottom"/>
            <w:hideMark/>
          </w:tcPr>
          <w:p w14:paraId="3039AD9D" w14:textId="2DE5DE3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2.46</w:t>
            </w:r>
          </w:p>
        </w:tc>
        <w:tc>
          <w:tcPr>
            <w:tcW w:w="794" w:type="dxa"/>
            <w:shd w:val="clear" w:color="auto" w:fill="auto"/>
            <w:noWrap/>
            <w:vAlign w:val="bottom"/>
            <w:hideMark/>
          </w:tcPr>
          <w:p w14:paraId="2FC6220C" w14:textId="62535A4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1.89</w:t>
            </w:r>
          </w:p>
        </w:tc>
        <w:tc>
          <w:tcPr>
            <w:tcW w:w="794" w:type="dxa"/>
            <w:shd w:val="clear" w:color="auto" w:fill="auto"/>
            <w:noWrap/>
            <w:vAlign w:val="bottom"/>
            <w:hideMark/>
          </w:tcPr>
          <w:p w14:paraId="5F15012C" w14:textId="2CE6383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4.42</w:t>
            </w:r>
          </w:p>
        </w:tc>
        <w:tc>
          <w:tcPr>
            <w:tcW w:w="794" w:type="dxa"/>
            <w:shd w:val="clear" w:color="auto" w:fill="auto"/>
            <w:noWrap/>
            <w:vAlign w:val="bottom"/>
            <w:hideMark/>
          </w:tcPr>
          <w:p w14:paraId="43DAD485" w14:textId="365F299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10.99</w:t>
            </w:r>
          </w:p>
        </w:tc>
        <w:tc>
          <w:tcPr>
            <w:tcW w:w="794" w:type="dxa"/>
            <w:shd w:val="clear" w:color="auto" w:fill="auto"/>
            <w:noWrap/>
            <w:vAlign w:val="bottom"/>
            <w:hideMark/>
          </w:tcPr>
          <w:p w14:paraId="3D17BC7F" w14:textId="4989A32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w:t>
            </w:r>
          </w:p>
        </w:tc>
      </w:tr>
      <w:tr w:rsidR="006621E6" w:rsidRPr="00F244E7" w14:paraId="4C1BF4FC" w14:textId="77777777" w:rsidTr="004B4821">
        <w:trPr>
          <w:trHeight w:val="300"/>
        </w:trPr>
        <w:tc>
          <w:tcPr>
            <w:tcW w:w="3114" w:type="dxa"/>
            <w:shd w:val="clear" w:color="auto" w:fill="auto"/>
            <w:noWrap/>
            <w:vAlign w:val="bottom"/>
            <w:hideMark/>
          </w:tcPr>
          <w:p w14:paraId="7198ED21" w14:textId="0E04BB7B"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METHADONE TABLET</w:t>
            </w:r>
          </w:p>
        </w:tc>
        <w:tc>
          <w:tcPr>
            <w:tcW w:w="794" w:type="dxa"/>
            <w:shd w:val="clear" w:color="auto" w:fill="auto"/>
            <w:noWrap/>
            <w:vAlign w:val="bottom"/>
            <w:hideMark/>
          </w:tcPr>
          <w:p w14:paraId="12CDFE02" w14:textId="1B564AF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82.03</w:t>
            </w:r>
          </w:p>
        </w:tc>
        <w:tc>
          <w:tcPr>
            <w:tcW w:w="794" w:type="dxa"/>
            <w:shd w:val="clear" w:color="auto" w:fill="auto"/>
            <w:noWrap/>
            <w:vAlign w:val="bottom"/>
            <w:hideMark/>
          </w:tcPr>
          <w:p w14:paraId="03963F50" w14:textId="70011FE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80.62</w:t>
            </w:r>
          </w:p>
        </w:tc>
        <w:tc>
          <w:tcPr>
            <w:tcW w:w="794" w:type="dxa"/>
            <w:shd w:val="clear" w:color="auto" w:fill="auto"/>
            <w:noWrap/>
            <w:vAlign w:val="bottom"/>
            <w:hideMark/>
          </w:tcPr>
          <w:p w14:paraId="36079676" w14:textId="106E9C4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79.14</w:t>
            </w:r>
          </w:p>
        </w:tc>
        <w:tc>
          <w:tcPr>
            <w:tcW w:w="794" w:type="dxa"/>
            <w:shd w:val="clear" w:color="auto" w:fill="auto"/>
            <w:noWrap/>
            <w:vAlign w:val="bottom"/>
            <w:hideMark/>
          </w:tcPr>
          <w:p w14:paraId="5C2401C2" w14:textId="4A35DDE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77.63</w:t>
            </w:r>
          </w:p>
        </w:tc>
        <w:tc>
          <w:tcPr>
            <w:tcW w:w="794" w:type="dxa"/>
            <w:shd w:val="clear" w:color="auto" w:fill="auto"/>
            <w:noWrap/>
            <w:vAlign w:val="bottom"/>
            <w:hideMark/>
          </w:tcPr>
          <w:p w14:paraId="6C6467F5" w14:textId="0C9DF79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76.73</w:t>
            </w:r>
          </w:p>
        </w:tc>
        <w:tc>
          <w:tcPr>
            <w:tcW w:w="794" w:type="dxa"/>
            <w:shd w:val="clear" w:color="auto" w:fill="auto"/>
            <w:noWrap/>
            <w:vAlign w:val="bottom"/>
            <w:hideMark/>
          </w:tcPr>
          <w:p w14:paraId="62F52534" w14:textId="133CA69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77.94</w:t>
            </w:r>
          </w:p>
        </w:tc>
        <w:tc>
          <w:tcPr>
            <w:tcW w:w="794" w:type="dxa"/>
            <w:shd w:val="clear" w:color="auto" w:fill="auto"/>
            <w:noWrap/>
            <w:vAlign w:val="bottom"/>
            <w:hideMark/>
          </w:tcPr>
          <w:p w14:paraId="71A117D3" w14:textId="2046432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78.27</w:t>
            </w:r>
          </w:p>
        </w:tc>
      </w:tr>
      <w:tr w:rsidR="006621E6" w:rsidRPr="00F244E7" w14:paraId="2461EA1A" w14:textId="77777777" w:rsidTr="004B4821">
        <w:trPr>
          <w:trHeight w:val="300"/>
        </w:trPr>
        <w:tc>
          <w:tcPr>
            <w:tcW w:w="3114" w:type="dxa"/>
            <w:shd w:val="clear" w:color="auto" w:fill="auto"/>
            <w:noWrap/>
            <w:vAlign w:val="bottom"/>
            <w:hideMark/>
          </w:tcPr>
          <w:p w14:paraId="679240C9" w14:textId="0B6FAC9E"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MORPHINE CAPSULE</w:t>
            </w:r>
          </w:p>
        </w:tc>
        <w:tc>
          <w:tcPr>
            <w:tcW w:w="794" w:type="dxa"/>
            <w:shd w:val="clear" w:color="auto" w:fill="auto"/>
            <w:noWrap/>
            <w:vAlign w:val="bottom"/>
            <w:hideMark/>
          </w:tcPr>
          <w:p w14:paraId="70CC45AB" w14:textId="1C77E44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45.33</w:t>
            </w:r>
          </w:p>
        </w:tc>
        <w:tc>
          <w:tcPr>
            <w:tcW w:w="794" w:type="dxa"/>
            <w:shd w:val="clear" w:color="auto" w:fill="auto"/>
            <w:noWrap/>
            <w:vAlign w:val="bottom"/>
            <w:hideMark/>
          </w:tcPr>
          <w:p w14:paraId="6799AB7A" w14:textId="49AE2AB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45.58</w:t>
            </w:r>
          </w:p>
        </w:tc>
        <w:tc>
          <w:tcPr>
            <w:tcW w:w="794" w:type="dxa"/>
            <w:shd w:val="clear" w:color="auto" w:fill="auto"/>
            <w:noWrap/>
            <w:vAlign w:val="bottom"/>
            <w:hideMark/>
          </w:tcPr>
          <w:p w14:paraId="0D5458FD" w14:textId="419313B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45.48</w:t>
            </w:r>
          </w:p>
        </w:tc>
        <w:tc>
          <w:tcPr>
            <w:tcW w:w="794" w:type="dxa"/>
            <w:shd w:val="clear" w:color="auto" w:fill="auto"/>
            <w:noWrap/>
            <w:vAlign w:val="bottom"/>
            <w:hideMark/>
          </w:tcPr>
          <w:p w14:paraId="77E6AA70" w14:textId="3E21A46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45.39</w:t>
            </w:r>
          </w:p>
        </w:tc>
        <w:tc>
          <w:tcPr>
            <w:tcW w:w="794" w:type="dxa"/>
            <w:shd w:val="clear" w:color="auto" w:fill="auto"/>
            <w:noWrap/>
            <w:vAlign w:val="bottom"/>
            <w:hideMark/>
          </w:tcPr>
          <w:p w14:paraId="6725844B" w14:textId="1249301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45.25</w:t>
            </w:r>
          </w:p>
        </w:tc>
        <w:tc>
          <w:tcPr>
            <w:tcW w:w="794" w:type="dxa"/>
            <w:shd w:val="clear" w:color="auto" w:fill="auto"/>
            <w:noWrap/>
            <w:vAlign w:val="bottom"/>
            <w:hideMark/>
          </w:tcPr>
          <w:p w14:paraId="255129F5" w14:textId="05D147B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44.81</w:t>
            </w:r>
          </w:p>
        </w:tc>
        <w:tc>
          <w:tcPr>
            <w:tcW w:w="794" w:type="dxa"/>
            <w:shd w:val="clear" w:color="auto" w:fill="auto"/>
            <w:noWrap/>
            <w:vAlign w:val="bottom"/>
            <w:hideMark/>
          </w:tcPr>
          <w:p w14:paraId="35C36762" w14:textId="5FAEAF7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45.38</w:t>
            </w:r>
          </w:p>
        </w:tc>
      </w:tr>
      <w:tr w:rsidR="006621E6" w:rsidRPr="00F244E7" w14:paraId="453499DC" w14:textId="77777777" w:rsidTr="004B4821">
        <w:trPr>
          <w:trHeight w:val="300"/>
        </w:trPr>
        <w:tc>
          <w:tcPr>
            <w:tcW w:w="3114" w:type="dxa"/>
            <w:shd w:val="clear" w:color="auto" w:fill="auto"/>
            <w:noWrap/>
            <w:vAlign w:val="bottom"/>
            <w:hideMark/>
          </w:tcPr>
          <w:p w14:paraId="5B5EB691" w14:textId="3262EF53"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MORPHINE GRANULES FOR ORAL SUSPENSION</w:t>
            </w:r>
          </w:p>
        </w:tc>
        <w:tc>
          <w:tcPr>
            <w:tcW w:w="794" w:type="dxa"/>
            <w:shd w:val="clear" w:color="auto" w:fill="auto"/>
            <w:noWrap/>
            <w:vAlign w:val="bottom"/>
            <w:hideMark/>
          </w:tcPr>
          <w:p w14:paraId="5B8ED1AF" w14:textId="1C3FB1A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40.38</w:t>
            </w:r>
          </w:p>
        </w:tc>
        <w:tc>
          <w:tcPr>
            <w:tcW w:w="794" w:type="dxa"/>
            <w:shd w:val="clear" w:color="auto" w:fill="auto"/>
            <w:noWrap/>
            <w:vAlign w:val="bottom"/>
            <w:hideMark/>
          </w:tcPr>
          <w:p w14:paraId="110F0DD4" w14:textId="467BC49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39.02</w:t>
            </w:r>
          </w:p>
        </w:tc>
        <w:tc>
          <w:tcPr>
            <w:tcW w:w="794" w:type="dxa"/>
            <w:shd w:val="clear" w:color="auto" w:fill="auto"/>
            <w:noWrap/>
            <w:vAlign w:val="bottom"/>
            <w:hideMark/>
          </w:tcPr>
          <w:p w14:paraId="09923D09" w14:textId="395931F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39.16</w:t>
            </w:r>
          </w:p>
        </w:tc>
        <w:tc>
          <w:tcPr>
            <w:tcW w:w="794" w:type="dxa"/>
            <w:shd w:val="clear" w:color="auto" w:fill="auto"/>
            <w:noWrap/>
            <w:vAlign w:val="bottom"/>
            <w:hideMark/>
          </w:tcPr>
          <w:p w14:paraId="4A3C2C87" w14:textId="61D2817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38.49</w:t>
            </w:r>
          </w:p>
        </w:tc>
        <w:tc>
          <w:tcPr>
            <w:tcW w:w="794" w:type="dxa"/>
            <w:shd w:val="clear" w:color="auto" w:fill="auto"/>
            <w:noWrap/>
            <w:vAlign w:val="bottom"/>
            <w:hideMark/>
          </w:tcPr>
          <w:p w14:paraId="018521F8" w14:textId="7A48D97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37.8</w:t>
            </w:r>
          </w:p>
        </w:tc>
        <w:tc>
          <w:tcPr>
            <w:tcW w:w="794" w:type="dxa"/>
            <w:shd w:val="clear" w:color="auto" w:fill="auto"/>
            <w:noWrap/>
            <w:vAlign w:val="bottom"/>
            <w:hideMark/>
          </w:tcPr>
          <w:p w14:paraId="6B74E249" w14:textId="54A5529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38.18</w:t>
            </w:r>
          </w:p>
        </w:tc>
        <w:tc>
          <w:tcPr>
            <w:tcW w:w="794" w:type="dxa"/>
            <w:shd w:val="clear" w:color="auto" w:fill="auto"/>
            <w:noWrap/>
            <w:vAlign w:val="bottom"/>
            <w:hideMark/>
          </w:tcPr>
          <w:p w14:paraId="7E19F763" w14:textId="4FFBDAB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34.89</w:t>
            </w:r>
          </w:p>
        </w:tc>
      </w:tr>
      <w:tr w:rsidR="006621E6" w:rsidRPr="00F244E7" w14:paraId="13961F67" w14:textId="77777777" w:rsidTr="004B4821">
        <w:trPr>
          <w:trHeight w:val="300"/>
        </w:trPr>
        <w:tc>
          <w:tcPr>
            <w:tcW w:w="3114" w:type="dxa"/>
            <w:shd w:val="clear" w:color="auto" w:fill="auto"/>
            <w:noWrap/>
            <w:vAlign w:val="bottom"/>
            <w:hideMark/>
          </w:tcPr>
          <w:p w14:paraId="0DFF615F" w14:textId="37863041"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MORPHINE INJECTION</w:t>
            </w:r>
          </w:p>
        </w:tc>
        <w:tc>
          <w:tcPr>
            <w:tcW w:w="794" w:type="dxa"/>
            <w:shd w:val="clear" w:color="auto" w:fill="auto"/>
            <w:noWrap/>
            <w:vAlign w:val="bottom"/>
            <w:hideMark/>
          </w:tcPr>
          <w:p w14:paraId="194721D3" w14:textId="44D6B25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8.11</w:t>
            </w:r>
          </w:p>
        </w:tc>
        <w:tc>
          <w:tcPr>
            <w:tcW w:w="794" w:type="dxa"/>
            <w:shd w:val="clear" w:color="auto" w:fill="auto"/>
            <w:noWrap/>
            <w:vAlign w:val="bottom"/>
            <w:hideMark/>
          </w:tcPr>
          <w:p w14:paraId="58E96ADA" w14:textId="2866B24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7.73</w:t>
            </w:r>
          </w:p>
        </w:tc>
        <w:tc>
          <w:tcPr>
            <w:tcW w:w="794" w:type="dxa"/>
            <w:shd w:val="clear" w:color="auto" w:fill="auto"/>
            <w:noWrap/>
            <w:vAlign w:val="bottom"/>
            <w:hideMark/>
          </w:tcPr>
          <w:p w14:paraId="0DB506D0" w14:textId="1C23746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7.68</w:t>
            </w:r>
          </w:p>
        </w:tc>
        <w:tc>
          <w:tcPr>
            <w:tcW w:w="794" w:type="dxa"/>
            <w:shd w:val="clear" w:color="auto" w:fill="auto"/>
            <w:noWrap/>
            <w:vAlign w:val="bottom"/>
            <w:hideMark/>
          </w:tcPr>
          <w:p w14:paraId="74D31654" w14:textId="6A78E6B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7.97</w:t>
            </w:r>
          </w:p>
        </w:tc>
        <w:tc>
          <w:tcPr>
            <w:tcW w:w="794" w:type="dxa"/>
            <w:shd w:val="clear" w:color="auto" w:fill="auto"/>
            <w:noWrap/>
            <w:vAlign w:val="bottom"/>
            <w:hideMark/>
          </w:tcPr>
          <w:p w14:paraId="610C7A44" w14:textId="06697F7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7.87</w:t>
            </w:r>
          </w:p>
        </w:tc>
        <w:tc>
          <w:tcPr>
            <w:tcW w:w="794" w:type="dxa"/>
            <w:shd w:val="clear" w:color="auto" w:fill="auto"/>
            <w:noWrap/>
            <w:vAlign w:val="bottom"/>
            <w:hideMark/>
          </w:tcPr>
          <w:p w14:paraId="36BB7652" w14:textId="0527392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7.88</w:t>
            </w:r>
          </w:p>
        </w:tc>
        <w:tc>
          <w:tcPr>
            <w:tcW w:w="794" w:type="dxa"/>
            <w:shd w:val="clear" w:color="auto" w:fill="auto"/>
            <w:noWrap/>
            <w:vAlign w:val="bottom"/>
            <w:hideMark/>
          </w:tcPr>
          <w:p w14:paraId="50B6E5AE" w14:textId="2107244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8.07</w:t>
            </w:r>
          </w:p>
        </w:tc>
      </w:tr>
      <w:tr w:rsidR="006621E6" w:rsidRPr="00F244E7" w14:paraId="3322F994" w14:textId="77777777" w:rsidTr="004B4821">
        <w:trPr>
          <w:trHeight w:val="300"/>
        </w:trPr>
        <w:tc>
          <w:tcPr>
            <w:tcW w:w="3114" w:type="dxa"/>
            <w:shd w:val="clear" w:color="auto" w:fill="auto"/>
            <w:noWrap/>
            <w:vAlign w:val="bottom"/>
            <w:hideMark/>
          </w:tcPr>
          <w:p w14:paraId="013F6812" w14:textId="57B68ED2"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MORPHINE ORAL SOLUTION</w:t>
            </w:r>
          </w:p>
        </w:tc>
        <w:tc>
          <w:tcPr>
            <w:tcW w:w="794" w:type="dxa"/>
            <w:shd w:val="clear" w:color="auto" w:fill="auto"/>
            <w:noWrap/>
            <w:vAlign w:val="bottom"/>
            <w:hideMark/>
          </w:tcPr>
          <w:p w14:paraId="7888301C" w14:textId="248BD6C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1.15</w:t>
            </w:r>
          </w:p>
        </w:tc>
        <w:tc>
          <w:tcPr>
            <w:tcW w:w="794" w:type="dxa"/>
            <w:shd w:val="clear" w:color="auto" w:fill="auto"/>
            <w:noWrap/>
            <w:vAlign w:val="bottom"/>
            <w:hideMark/>
          </w:tcPr>
          <w:p w14:paraId="1BAA9D82" w14:textId="6EF09AC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w:t>
            </w:r>
          </w:p>
        </w:tc>
        <w:tc>
          <w:tcPr>
            <w:tcW w:w="794" w:type="dxa"/>
            <w:shd w:val="clear" w:color="auto" w:fill="auto"/>
            <w:noWrap/>
            <w:vAlign w:val="bottom"/>
            <w:hideMark/>
          </w:tcPr>
          <w:p w14:paraId="7B69427D" w14:textId="1CFB9DA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w:t>
            </w:r>
          </w:p>
        </w:tc>
        <w:tc>
          <w:tcPr>
            <w:tcW w:w="794" w:type="dxa"/>
            <w:shd w:val="clear" w:color="auto" w:fill="auto"/>
            <w:noWrap/>
            <w:vAlign w:val="bottom"/>
            <w:hideMark/>
          </w:tcPr>
          <w:p w14:paraId="1028B371" w14:textId="620CB99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1.14</w:t>
            </w:r>
          </w:p>
        </w:tc>
        <w:tc>
          <w:tcPr>
            <w:tcW w:w="794" w:type="dxa"/>
            <w:shd w:val="clear" w:color="auto" w:fill="auto"/>
            <w:noWrap/>
            <w:vAlign w:val="bottom"/>
            <w:hideMark/>
          </w:tcPr>
          <w:p w14:paraId="0478BD9C" w14:textId="4A284B2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1.23</w:t>
            </w:r>
          </w:p>
        </w:tc>
        <w:tc>
          <w:tcPr>
            <w:tcW w:w="794" w:type="dxa"/>
            <w:shd w:val="clear" w:color="auto" w:fill="auto"/>
            <w:noWrap/>
            <w:vAlign w:val="bottom"/>
            <w:hideMark/>
          </w:tcPr>
          <w:p w14:paraId="270ECF0F" w14:textId="182E023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1.12</w:t>
            </w:r>
          </w:p>
        </w:tc>
        <w:tc>
          <w:tcPr>
            <w:tcW w:w="794" w:type="dxa"/>
            <w:shd w:val="clear" w:color="auto" w:fill="auto"/>
            <w:noWrap/>
            <w:vAlign w:val="bottom"/>
            <w:hideMark/>
          </w:tcPr>
          <w:p w14:paraId="7E2A2D90" w14:textId="63BF343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1.13</w:t>
            </w:r>
          </w:p>
        </w:tc>
      </w:tr>
      <w:tr w:rsidR="006621E6" w:rsidRPr="00F244E7" w14:paraId="2F6696F3" w14:textId="77777777" w:rsidTr="004B4821">
        <w:trPr>
          <w:trHeight w:val="300"/>
        </w:trPr>
        <w:tc>
          <w:tcPr>
            <w:tcW w:w="3114" w:type="dxa"/>
            <w:shd w:val="clear" w:color="auto" w:fill="auto"/>
            <w:noWrap/>
            <w:vAlign w:val="bottom"/>
            <w:hideMark/>
          </w:tcPr>
          <w:p w14:paraId="5FCD7DCD" w14:textId="57DACEF2"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MORPHINE TABLET</w:t>
            </w:r>
          </w:p>
        </w:tc>
        <w:tc>
          <w:tcPr>
            <w:tcW w:w="794" w:type="dxa"/>
            <w:shd w:val="clear" w:color="auto" w:fill="auto"/>
            <w:noWrap/>
            <w:vAlign w:val="bottom"/>
            <w:hideMark/>
          </w:tcPr>
          <w:p w14:paraId="696015E9" w14:textId="7EA0F43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43.38</w:t>
            </w:r>
          </w:p>
        </w:tc>
        <w:tc>
          <w:tcPr>
            <w:tcW w:w="794" w:type="dxa"/>
            <w:shd w:val="clear" w:color="auto" w:fill="auto"/>
            <w:noWrap/>
            <w:vAlign w:val="bottom"/>
            <w:hideMark/>
          </w:tcPr>
          <w:p w14:paraId="26356FD3" w14:textId="7820EEC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43.26</w:t>
            </w:r>
          </w:p>
        </w:tc>
        <w:tc>
          <w:tcPr>
            <w:tcW w:w="794" w:type="dxa"/>
            <w:shd w:val="clear" w:color="auto" w:fill="auto"/>
            <w:noWrap/>
            <w:vAlign w:val="bottom"/>
            <w:hideMark/>
          </w:tcPr>
          <w:p w14:paraId="6B0FC5DF" w14:textId="0DD4838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42.78</w:t>
            </w:r>
          </w:p>
        </w:tc>
        <w:tc>
          <w:tcPr>
            <w:tcW w:w="794" w:type="dxa"/>
            <w:shd w:val="clear" w:color="auto" w:fill="auto"/>
            <w:noWrap/>
            <w:vAlign w:val="bottom"/>
            <w:hideMark/>
          </w:tcPr>
          <w:p w14:paraId="5726DC25" w14:textId="7BBD49B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42.17</w:t>
            </w:r>
          </w:p>
        </w:tc>
        <w:tc>
          <w:tcPr>
            <w:tcW w:w="794" w:type="dxa"/>
            <w:shd w:val="clear" w:color="auto" w:fill="auto"/>
            <w:noWrap/>
            <w:vAlign w:val="bottom"/>
            <w:hideMark/>
          </w:tcPr>
          <w:p w14:paraId="08D85315" w14:textId="41AA270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41.53</w:t>
            </w:r>
          </w:p>
        </w:tc>
        <w:tc>
          <w:tcPr>
            <w:tcW w:w="794" w:type="dxa"/>
            <w:shd w:val="clear" w:color="auto" w:fill="auto"/>
            <w:noWrap/>
            <w:vAlign w:val="bottom"/>
            <w:hideMark/>
          </w:tcPr>
          <w:p w14:paraId="6DF805B9" w14:textId="209379B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41.36</w:t>
            </w:r>
          </w:p>
        </w:tc>
        <w:tc>
          <w:tcPr>
            <w:tcW w:w="794" w:type="dxa"/>
            <w:shd w:val="clear" w:color="auto" w:fill="auto"/>
            <w:noWrap/>
            <w:vAlign w:val="bottom"/>
            <w:hideMark/>
          </w:tcPr>
          <w:p w14:paraId="5F0073C8" w14:textId="1198B46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40.99</w:t>
            </w:r>
          </w:p>
        </w:tc>
      </w:tr>
      <w:tr w:rsidR="006621E6" w:rsidRPr="00F244E7" w14:paraId="007F5F0C" w14:textId="77777777" w:rsidTr="004B4821">
        <w:trPr>
          <w:trHeight w:val="300"/>
        </w:trPr>
        <w:tc>
          <w:tcPr>
            <w:tcW w:w="3114" w:type="dxa"/>
            <w:shd w:val="clear" w:color="auto" w:fill="auto"/>
            <w:noWrap/>
            <w:vAlign w:val="bottom"/>
            <w:hideMark/>
          </w:tcPr>
          <w:p w14:paraId="0DB9B336" w14:textId="531E3EF2"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OXYCODONE + NALOXONE TABLET</w:t>
            </w:r>
          </w:p>
        </w:tc>
        <w:tc>
          <w:tcPr>
            <w:tcW w:w="794" w:type="dxa"/>
            <w:shd w:val="clear" w:color="auto" w:fill="auto"/>
            <w:noWrap/>
            <w:vAlign w:val="bottom"/>
            <w:hideMark/>
          </w:tcPr>
          <w:p w14:paraId="281CC44F" w14:textId="1DB7619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33.33</w:t>
            </w:r>
          </w:p>
        </w:tc>
        <w:tc>
          <w:tcPr>
            <w:tcW w:w="794" w:type="dxa"/>
            <w:shd w:val="clear" w:color="auto" w:fill="auto"/>
            <w:noWrap/>
            <w:vAlign w:val="bottom"/>
            <w:hideMark/>
          </w:tcPr>
          <w:p w14:paraId="72A3CC2F" w14:textId="4F94324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33.07</w:t>
            </w:r>
          </w:p>
        </w:tc>
        <w:tc>
          <w:tcPr>
            <w:tcW w:w="794" w:type="dxa"/>
            <w:shd w:val="clear" w:color="auto" w:fill="auto"/>
            <w:noWrap/>
            <w:vAlign w:val="bottom"/>
            <w:hideMark/>
          </w:tcPr>
          <w:p w14:paraId="10DD1DD7" w14:textId="3CA46AF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33.2</w:t>
            </w:r>
          </w:p>
        </w:tc>
        <w:tc>
          <w:tcPr>
            <w:tcW w:w="794" w:type="dxa"/>
            <w:shd w:val="clear" w:color="auto" w:fill="auto"/>
            <w:noWrap/>
            <w:vAlign w:val="bottom"/>
            <w:hideMark/>
          </w:tcPr>
          <w:p w14:paraId="0DCE70D7" w14:textId="57EB4BD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33.55</w:t>
            </w:r>
          </w:p>
        </w:tc>
        <w:tc>
          <w:tcPr>
            <w:tcW w:w="794" w:type="dxa"/>
            <w:shd w:val="clear" w:color="auto" w:fill="auto"/>
            <w:noWrap/>
            <w:vAlign w:val="bottom"/>
            <w:hideMark/>
          </w:tcPr>
          <w:p w14:paraId="43CB9044" w14:textId="6E10CED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33.94</w:t>
            </w:r>
          </w:p>
        </w:tc>
        <w:tc>
          <w:tcPr>
            <w:tcW w:w="794" w:type="dxa"/>
            <w:shd w:val="clear" w:color="auto" w:fill="auto"/>
            <w:noWrap/>
            <w:vAlign w:val="bottom"/>
            <w:hideMark/>
          </w:tcPr>
          <w:p w14:paraId="736A6853" w14:textId="3D086EC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34.12</w:t>
            </w:r>
          </w:p>
        </w:tc>
        <w:tc>
          <w:tcPr>
            <w:tcW w:w="794" w:type="dxa"/>
            <w:shd w:val="clear" w:color="auto" w:fill="auto"/>
            <w:noWrap/>
            <w:vAlign w:val="bottom"/>
            <w:hideMark/>
          </w:tcPr>
          <w:p w14:paraId="5431405F" w14:textId="0BABA1F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34.92</w:t>
            </w:r>
          </w:p>
        </w:tc>
      </w:tr>
      <w:tr w:rsidR="006621E6" w:rsidRPr="00F244E7" w14:paraId="7345AC06" w14:textId="77777777" w:rsidTr="004B4821">
        <w:trPr>
          <w:trHeight w:val="300"/>
        </w:trPr>
        <w:tc>
          <w:tcPr>
            <w:tcW w:w="3114" w:type="dxa"/>
            <w:shd w:val="clear" w:color="auto" w:fill="auto"/>
            <w:noWrap/>
            <w:vAlign w:val="bottom"/>
            <w:hideMark/>
          </w:tcPr>
          <w:p w14:paraId="316DFD5E" w14:textId="39FB0DE1"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OXYCODONE CAPSULE</w:t>
            </w:r>
          </w:p>
        </w:tc>
        <w:tc>
          <w:tcPr>
            <w:tcW w:w="794" w:type="dxa"/>
            <w:shd w:val="clear" w:color="auto" w:fill="auto"/>
            <w:noWrap/>
            <w:vAlign w:val="bottom"/>
            <w:hideMark/>
          </w:tcPr>
          <w:p w14:paraId="639DC6DB" w14:textId="74B493A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36.11</w:t>
            </w:r>
          </w:p>
        </w:tc>
        <w:tc>
          <w:tcPr>
            <w:tcW w:w="794" w:type="dxa"/>
            <w:shd w:val="clear" w:color="auto" w:fill="auto"/>
            <w:noWrap/>
            <w:vAlign w:val="bottom"/>
            <w:hideMark/>
          </w:tcPr>
          <w:p w14:paraId="36E29E62" w14:textId="53F903D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36.94</w:t>
            </w:r>
          </w:p>
        </w:tc>
        <w:tc>
          <w:tcPr>
            <w:tcW w:w="794" w:type="dxa"/>
            <w:shd w:val="clear" w:color="auto" w:fill="auto"/>
            <w:noWrap/>
            <w:vAlign w:val="bottom"/>
            <w:hideMark/>
          </w:tcPr>
          <w:p w14:paraId="2EE2D717" w14:textId="374D904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36.94</w:t>
            </w:r>
          </w:p>
        </w:tc>
        <w:tc>
          <w:tcPr>
            <w:tcW w:w="794" w:type="dxa"/>
            <w:shd w:val="clear" w:color="auto" w:fill="auto"/>
            <w:noWrap/>
            <w:vAlign w:val="bottom"/>
            <w:hideMark/>
          </w:tcPr>
          <w:p w14:paraId="4F625DC1" w14:textId="37EED3A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37.92</w:t>
            </w:r>
          </w:p>
        </w:tc>
        <w:tc>
          <w:tcPr>
            <w:tcW w:w="794" w:type="dxa"/>
            <w:shd w:val="clear" w:color="auto" w:fill="auto"/>
            <w:noWrap/>
            <w:vAlign w:val="bottom"/>
            <w:hideMark/>
          </w:tcPr>
          <w:p w14:paraId="0BB38B22" w14:textId="520B6CF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37.48</w:t>
            </w:r>
          </w:p>
        </w:tc>
        <w:tc>
          <w:tcPr>
            <w:tcW w:w="794" w:type="dxa"/>
            <w:shd w:val="clear" w:color="auto" w:fill="auto"/>
            <w:noWrap/>
            <w:vAlign w:val="bottom"/>
            <w:hideMark/>
          </w:tcPr>
          <w:p w14:paraId="01ED5EEA" w14:textId="700CFF4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36.28</w:t>
            </w:r>
          </w:p>
        </w:tc>
        <w:tc>
          <w:tcPr>
            <w:tcW w:w="794" w:type="dxa"/>
            <w:shd w:val="clear" w:color="auto" w:fill="auto"/>
            <w:noWrap/>
            <w:vAlign w:val="bottom"/>
            <w:hideMark/>
          </w:tcPr>
          <w:p w14:paraId="0A5ED608" w14:textId="462AF09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36.03</w:t>
            </w:r>
          </w:p>
        </w:tc>
      </w:tr>
      <w:tr w:rsidR="006621E6" w:rsidRPr="00F244E7" w14:paraId="3949044E" w14:textId="77777777" w:rsidTr="004B4821">
        <w:trPr>
          <w:trHeight w:val="300"/>
        </w:trPr>
        <w:tc>
          <w:tcPr>
            <w:tcW w:w="3114" w:type="dxa"/>
            <w:shd w:val="clear" w:color="auto" w:fill="auto"/>
            <w:noWrap/>
            <w:vAlign w:val="bottom"/>
            <w:hideMark/>
          </w:tcPr>
          <w:p w14:paraId="52E55F13" w14:textId="6CA13D6B"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OXYCODONE ORAL SOLUTION</w:t>
            </w:r>
          </w:p>
        </w:tc>
        <w:tc>
          <w:tcPr>
            <w:tcW w:w="794" w:type="dxa"/>
            <w:shd w:val="clear" w:color="auto" w:fill="auto"/>
            <w:noWrap/>
            <w:vAlign w:val="bottom"/>
            <w:hideMark/>
          </w:tcPr>
          <w:p w14:paraId="447D4507" w14:textId="1760C50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1.33</w:t>
            </w:r>
          </w:p>
        </w:tc>
        <w:tc>
          <w:tcPr>
            <w:tcW w:w="794" w:type="dxa"/>
            <w:shd w:val="clear" w:color="auto" w:fill="auto"/>
            <w:noWrap/>
            <w:vAlign w:val="bottom"/>
            <w:hideMark/>
          </w:tcPr>
          <w:p w14:paraId="14CDF151" w14:textId="3775578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1.31</w:t>
            </w:r>
          </w:p>
        </w:tc>
        <w:tc>
          <w:tcPr>
            <w:tcW w:w="794" w:type="dxa"/>
            <w:shd w:val="clear" w:color="auto" w:fill="auto"/>
            <w:noWrap/>
            <w:vAlign w:val="bottom"/>
            <w:hideMark/>
          </w:tcPr>
          <w:p w14:paraId="3BAF66C0" w14:textId="76982AF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1.34</w:t>
            </w:r>
          </w:p>
        </w:tc>
        <w:tc>
          <w:tcPr>
            <w:tcW w:w="794" w:type="dxa"/>
            <w:shd w:val="clear" w:color="auto" w:fill="auto"/>
            <w:noWrap/>
            <w:vAlign w:val="bottom"/>
            <w:hideMark/>
          </w:tcPr>
          <w:p w14:paraId="5305A1AD" w14:textId="400FE06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1.35</w:t>
            </w:r>
          </w:p>
        </w:tc>
        <w:tc>
          <w:tcPr>
            <w:tcW w:w="794" w:type="dxa"/>
            <w:shd w:val="clear" w:color="auto" w:fill="auto"/>
            <w:noWrap/>
            <w:vAlign w:val="bottom"/>
            <w:hideMark/>
          </w:tcPr>
          <w:p w14:paraId="1A184018" w14:textId="45DA41E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1.32</w:t>
            </w:r>
          </w:p>
        </w:tc>
        <w:tc>
          <w:tcPr>
            <w:tcW w:w="794" w:type="dxa"/>
            <w:shd w:val="clear" w:color="auto" w:fill="auto"/>
            <w:noWrap/>
            <w:vAlign w:val="bottom"/>
            <w:hideMark/>
          </w:tcPr>
          <w:p w14:paraId="2F5F8ED1" w14:textId="07317A2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w:t>
            </w:r>
          </w:p>
        </w:tc>
        <w:tc>
          <w:tcPr>
            <w:tcW w:w="794" w:type="dxa"/>
            <w:shd w:val="clear" w:color="auto" w:fill="auto"/>
            <w:noWrap/>
            <w:vAlign w:val="bottom"/>
            <w:hideMark/>
          </w:tcPr>
          <w:p w14:paraId="7FF6C74E" w14:textId="7CA71DA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1.33</w:t>
            </w:r>
          </w:p>
        </w:tc>
      </w:tr>
      <w:tr w:rsidR="006621E6" w:rsidRPr="00F244E7" w14:paraId="5863CD96" w14:textId="77777777" w:rsidTr="004B4821">
        <w:trPr>
          <w:trHeight w:val="300"/>
        </w:trPr>
        <w:tc>
          <w:tcPr>
            <w:tcW w:w="3114" w:type="dxa"/>
            <w:shd w:val="clear" w:color="auto" w:fill="auto"/>
            <w:noWrap/>
            <w:vAlign w:val="bottom"/>
            <w:hideMark/>
          </w:tcPr>
          <w:p w14:paraId="4136FFAC" w14:textId="011C3D58"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OXYCODONE SUPPOSITORY</w:t>
            </w:r>
          </w:p>
        </w:tc>
        <w:tc>
          <w:tcPr>
            <w:tcW w:w="794" w:type="dxa"/>
            <w:shd w:val="clear" w:color="auto" w:fill="auto"/>
            <w:noWrap/>
            <w:vAlign w:val="bottom"/>
            <w:hideMark/>
          </w:tcPr>
          <w:p w14:paraId="75FB536E" w14:textId="065DE3B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34.47</w:t>
            </w:r>
          </w:p>
        </w:tc>
        <w:tc>
          <w:tcPr>
            <w:tcW w:w="794" w:type="dxa"/>
            <w:shd w:val="clear" w:color="auto" w:fill="auto"/>
            <w:noWrap/>
            <w:vAlign w:val="bottom"/>
            <w:hideMark/>
          </w:tcPr>
          <w:p w14:paraId="45BC9D05" w14:textId="3C2A34F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32.81</w:t>
            </w:r>
          </w:p>
        </w:tc>
        <w:tc>
          <w:tcPr>
            <w:tcW w:w="794" w:type="dxa"/>
            <w:shd w:val="clear" w:color="auto" w:fill="auto"/>
            <w:noWrap/>
            <w:vAlign w:val="bottom"/>
            <w:hideMark/>
          </w:tcPr>
          <w:p w14:paraId="6FE09E9B" w14:textId="0F6D6B1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35.35</w:t>
            </w:r>
          </w:p>
        </w:tc>
        <w:tc>
          <w:tcPr>
            <w:tcW w:w="794" w:type="dxa"/>
            <w:shd w:val="clear" w:color="auto" w:fill="auto"/>
            <w:noWrap/>
            <w:vAlign w:val="bottom"/>
            <w:hideMark/>
          </w:tcPr>
          <w:p w14:paraId="17319FB1" w14:textId="7A234661"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37.13</w:t>
            </w:r>
          </w:p>
        </w:tc>
        <w:tc>
          <w:tcPr>
            <w:tcW w:w="794" w:type="dxa"/>
            <w:shd w:val="clear" w:color="auto" w:fill="auto"/>
            <w:noWrap/>
            <w:vAlign w:val="bottom"/>
            <w:hideMark/>
          </w:tcPr>
          <w:p w14:paraId="65C7F4AF" w14:textId="33814B0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35.78</w:t>
            </w:r>
          </w:p>
        </w:tc>
        <w:tc>
          <w:tcPr>
            <w:tcW w:w="794" w:type="dxa"/>
            <w:shd w:val="clear" w:color="auto" w:fill="auto"/>
            <w:noWrap/>
            <w:vAlign w:val="bottom"/>
            <w:hideMark/>
          </w:tcPr>
          <w:p w14:paraId="4302BDEF" w14:textId="0649CAC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29.45</w:t>
            </w:r>
          </w:p>
        </w:tc>
        <w:tc>
          <w:tcPr>
            <w:tcW w:w="794" w:type="dxa"/>
            <w:shd w:val="clear" w:color="auto" w:fill="auto"/>
            <w:noWrap/>
            <w:vAlign w:val="bottom"/>
            <w:hideMark/>
          </w:tcPr>
          <w:p w14:paraId="5B3D43ED" w14:textId="66671C0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30.02</w:t>
            </w:r>
          </w:p>
        </w:tc>
      </w:tr>
      <w:tr w:rsidR="006621E6" w:rsidRPr="00F244E7" w14:paraId="4876F2B5" w14:textId="77777777" w:rsidTr="004B4821">
        <w:trPr>
          <w:trHeight w:val="300"/>
        </w:trPr>
        <w:tc>
          <w:tcPr>
            <w:tcW w:w="3114" w:type="dxa"/>
            <w:shd w:val="clear" w:color="auto" w:fill="auto"/>
            <w:noWrap/>
            <w:vAlign w:val="bottom"/>
            <w:hideMark/>
          </w:tcPr>
          <w:p w14:paraId="07D2E251" w14:textId="5FDD7F26"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OXYCODONE TABLET</w:t>
            </w:r>
          </w:p>
        </w:tc>
        <w:tc>
          <w:tcPr>
            <w:tcW w:w="794" w:type="dxa"/>
            <w:shd w:val="clear" w:color="auto" w:fill="auto"/>
            <w:noWrap/>
            <w:vAlign w:val="bottom"/>
            <w:hideMark/>
          </w:tcPr>
          <w:p w14:paraId="4040E357" w14:textId="3F8E71D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30.14</w:t>
            </w:r>
          </w:p>
        </w:tc>
        <w:tc>
          <w:tcPr>
            <w:tcW w:w="794" w:type="dxa"/>
            <w:shd w:val="clear" w:color="auto" w:fill="auto"/>
            <w:noWrap/>
            <w:vAlign w:val="bottom"/>
            <w:hideMark/>
          </w:tcPr>
          <w:p w14:paraId="145E5700" w14:textId="03EDC59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29.58</w:t>
            </w:r>
          </w:p>
        </w:tc>
        <w:tc>
          <w:tcPr>
            <w:tcW w:w="794" w:type="dxa"/>
            <w:shd w:val="clear" w:color="auto" w:fill="auto"/>
            <w:noWrap/>
            <w:vAlign w:val="bottom"/>
            <w:hideMark/>
          </w:tcPr>
          <w:p w14:paraId="023C5F0A" w14:textId="2AC7B25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28.8</w:t>
            </w:r>
          </w:p>
        </w:tc>
        <w:tc>
          <w:tcPr>
            <w:tcW w:w="794" w:type="dxa"/>
            <w:shd w:val="clear" w:color="auto" w:fill="auto"/>
            <w:noWrap/>
            <w:vAlign w:val="bottom"/>
            <w:hideMark/>
          </w:tcPr>
          <w:p w14:paraId="6116B369" w14:textId="24FAD49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28.29</w:t>
            </w:r>
          </w:p>
        </w:tc>
        <w:tc>
          <w:tcPr>
            <w:tcW w:w="794" w:type="dxa"/>
            <w:shd w:val="clear" w:color="auto" w:fill="auto"/>
            <w:noWrap/>
            <w:vAlign w:val="bottom"/>
            <w:hideMark/>
          </w:tcPr>
          <w:p w14:paraId="3EEDA681" w14:textId="7213053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27.07</w:t>
            </w:r>
          </w:p>
        </w:tc>
        <w:tc>
          <w:tcPr>
            <w:tcW w:w="794" w:type="dxa"/>
            <w:shd w:val="clear" w:color="auto" w:fill="auto"/>
            <w:noWrap/>
            <w:vAlign w:val="bottom"/>
            <w:hideMark/>
          </w:tcPr>
          <w:p w14:paraId="3E1967CC" w14:textId="124040F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25.82</w:t>
            </w:r>
          </w:p>
        </w:tc>
        <w:tc>
          <w:tcPr>
            <w:tcW w:w="794" w:type="dxa"/>
            <w:shd w:val="clear" w:color="auto" w:fill="auto"/>
            <w:noWrap/>
            <w:vAlign w:val="bottom"/>
            <w:hideMark/>
          </w:tcPr>
          <w:p w14:paraId="6FAFDB24" w14:textId="7D0FDAB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26.32</w:t>
            </w:r>
          </w:p>
        </w:tc>
      </w:tr>
      <w:tr w:rsidR="006621E6" w:rsidRPr="00F244E7" w14:paraId="2E086172" w14:textId="77777777" w:rsidTr="004B4821">
        <w:trPr>
          <w:trHeight w:val="300"/>
        </w:trPr>
        <w:tc>
          <w:tcPr>
            <w:tcW w:w="3114" w:type="dxa"/>
            <w:shd w:val="clear" w:color="auto" w:fill="auto"/>
            <w:noWrap/>
            <w:vAlign w:val="bottom"/>
            <w:hideMark/>
          </w:tcPr>
          <w:p w14:paraId="1649E2B2" w14:textId="241D625A"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PARACETAMOL + CODEINE TABLET</w:t>
            </w:r>
          </w:p>
        </w:tc>
        <w:tc>
          <w:tcPr>
            <w:tcW w:w="794" w:type="dxa"/>
            <w:shd w:val="clear" w:color="auto" w:fill="auto"/>
            <w:noWrap/>
            <w:vAlign w:val="bottom"/>
            <w:hideMark/>
          </w:tcPr>
          <w:p w14:paraId="2B8A9172" w14:textId="0278DC4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51.3</w:t>
            </w:r>
          </w:p>
        </w:tc>
        <w:tc>
          <w:tcPr>
            <w:tcW w:w="794" w:type="dxa"/>
            <w:shd w:val="clear" w:color="auto" w:fill="auto"/>
            <w:noWrap/>
            <w:vAlign w:val="bottom"/>
            <w:hideMark/>
          </w:tcPr>
          <w:p w14:paraId="7DFA8087" w14:textId="2E7AD69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51.58</w:t>
            </w:r>
          </w:p>
        </w:tc>
        <w:tc>
          <w:tcPr>
            <w:tcW w:w="794" w:type="dxa"/>
            <w:shd w:val="clear" w:color="auto" w:fill="auto"/>
            <w:noWrap/>
            <w:vAlign w:val="bottom"/>
            <w:hideMark/>
          </w:tcPr>
          <w:p w14:paraId="0E21AB24" w14:textId="155D01E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47.79</w:t>
            </w:r>
          </w:p>
        </w:tc>
        <w:tc>
          <w:tcPr>
            <w:tcW w:w="794" w:type="dxa"/>
            <w:shd w:val="clear" w:color="auto" w:fill="auto"/>
            <w:noWrap/>
            <w:vAlign w:val="bottom"/>
            <w:hideMark/>
          </w:tcPr>
          <w:p w14:paraId="3CAF2D5D" w14:textId="35EBE71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47.93</w:t>
            </w:r>
          </w:p>
        </w:tc>
        <w:tc>
          <w:tcPr>
            <w:tcW w:w="794" w:type="dxa"/>
            <w:shd w:val="clear" w:color="auto" w:fill="auto"/>
            <w:noWrap/>
            <w:vAlign w:val="bottom"/>
            <w:hideMark/>
          </w:tcPr>
          <w:p w14:paraId="276C25D9" w14:textId="5747750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45.01</w:t>
            </w:r>
          </w:p>
        </w:tc>
        <w:tc>
          <w:tcPr>
            <w:tcW w:w="794" w:type="dxa"/>
            <w:shd w:val="clear" w:color="auto" w:fill="auto"/>
            <w:noWrap/>
            <w:vAlign w:val="bottom"/>
            <w:hideMark/>
          </w:tcPr>
          <w:p w14:paraId="7AF4C03C" w14:textId="7B337BD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40.12</w:t>
            </w:r>
          </w:p>
        </w:tc>
        <w:tc>
          <w:tcPr>
            <w:tcW w:w="794" w:type="dxa"/>
            <w:shd w:val="clear" w:color="auto" w:fill="auto"/>
            <w:noWrap/>
            <w:vAlign w:val="bottom"/>
            <w:hideMark/>
          </w:tcPr>
          <w:p w14:paraId="1A7FA5CD" w14:textId="47A2A68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39.73</w:t>
            </w:r>
          </w:p>
        </w:tc>
      </w:tr>
      <w:tr w:rsidR="006621E6" w:rsidRPr="00F244E7" w14:paraId="79AEC0BF" w14:textId="77777777" w:rsidTr="004B4821">
        <w:trPr>
          <w:trHeight w:val="300"/>
        </w:trPr>
        <w:tc>
          <w:tcPr>
            <w:tcW w:w="3114" w:type="dxa"/>
            <w:shd w:val="clear" w:color="auto" w:fill="auto"/>
            <w:noWrap/>
            <w:vAlign w:val="bottom"/>
            <w:hideMark/>
          </w:tcPr>
          <w:p w14:paraId="128F2031" w14:textId="0312E0F8"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PREGABALIN CAPSULE</w:t>
            </w:r>
          </w:p>
        </w:tc>
        <w:tc>
          <w:tcPr>
            <w:tcW w:w="794" w:type="dxa"/>
            <w:shd w:val="clear" w:color="auto" w:fill="auto"/>
            <w:noWrap/>
            <w:vAlign w:val="bottom"/>
            <w:hideMark/>
          </w:tcPr>
          <w:p w14:paraId="17D2C01C" w14:textId="5DC10A6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56.47</w:t>
            </w:r>
          </w:p>
        </w:tc>
        <w:tc>
          <w:tcPr>
            <w:tcW w:w="794" w:type="dxa"/>
            <w:shd w:val="clear" w:color="auto" w:fill="auto"/>
            <w:noWrap/>
            <w:vAlign w:val="bottom"/>
            <w:hideMark/>
          </w:tcPr>
          <w:p w14:paraId="0B20B084" w14:textId="228396E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56.43</w:t>
            </w:r>
          </w:p>
        </w:tc>
        <w:tc>
          <w:tcPr>
            <w:tcW w:w="794" w:type="dxa"/>
            <w:shd w:val="clear" w:color="auto" w:fill="auto"/>
            <w:noWrap/>
            <w:vAlign w:val="bottom"/>
            <w:hideMark/>
          </w:tcPr>
          <w:p w14:paraId="0020703A" w14:textId="37986F2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56.42</w:t>
            </w:r>
          </w:p>
        </w:tc>
        <w:tc>
          <w:tcPr>
            <w:tcW w:w="794" w:type="dxa"/>
            <w:shd w:val="clear" w:color="auto" w:fill="auto"/>
            <w:noWrap/>
            <w:vAlign w:val="bottom"/>
            <w:hideMark/>
          </w:tcPr>
          <w:p w14:paraId="777E245A" w14:textId="3093EF3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56.43</w:t>
            </w:r>
          </w:p>
        </w:tc>
        <w:tc>
          <w:tcPr>
            <w:tcW w:w="794" w:type="dxa"/>
            <w:shd w:val="clear" w:color="auto" w:fill="auto"/>
            <w:noWrap/>
            <w:vAlign w:val="bottom"/>
            <w:hideMark/>
          </w:tcPr>
          <w:p w14:paraId="3D45953F" w14:textId="547C9E4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56.39</w:t>
            </w:r>
          </w:p>
        </w:tc>
        <w:tc>
          <w:tcPr>
            <w:tcW w:w="794" w:type="dxa"/>
            <w:shd w:val="clear" w:color="auto" w:fill="auto"/>
            <w:noWrap/>
            <w:vAlign w:val="bottom"/>
            <w:hideMark/>
          </w:tcPr>
          <w:p w14:paraId="317B6030" w14:textId="0E1FB66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56.35</w:t>
            </w:r>
          </w:p>
        </w:tc>
        <w:tc>
          <w:tcPr>
            <w:tcW w:w="794" w:type="dxa"/>
            <w:shd w:val="clear" w:color="auto" w:fill="auto"/>
            <w:noWrap/>
            <w:vAlign w:val="bottom"/>
            <w:hideMark/>
          </w:tcPr>
          <w:p w14:paraId="6525E428" w14:textId="59F3EF7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56.32</w:t>
            </w:r>
          </w:p>
        </w:tc>
      </w:tr>
      <w:tr w:rsidR="006621E6" w:rsidRPr="00F244E7" w14:paraId="658B081B" w14:textId="77777777" w:rsidTr="004B4821">
        <w:trPr>
          <w:trHeight w:val="300"/>
        </w:trPr>
        <w:tc>
          <w:tcPr>
            <w:tcW w:w="3114" w:type="dxa"/>
            <w:shd w:val="clear" w:color="auto" w:fill="auto"/>
            <w:noWrap/>
            <w:vAlign w:val="bottom"/>
            <w:hideMark/>
          </w:tcPr>
          <w:p w14:paraId="40256702" w14:textId="0041C74D"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TAPENTADOL TABLET</w:t>
            </w:r>
          </w:p>
        </w:tc>
        <w:tc>
          <w:tcPr>
            <w:tcW w:w="794" w:type="dxa"/>
            <w:shd w:val="clear" w:color="auto" w:fill="auto"/>
            <w:noWrap/>
            <w:vAlign w:val="bottom"/>
            <w:hideMark/>
          </w:tcPr>
          <w:p w14:paraId="75ED88DF" w14:textId="47BB7EC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35.5</w:t>
            </w:r>
          </w:p>
        </w:tc>
        <w:tc>
          <w:tcPr>
            <w:tcW w:w="794" w:type="dxa"/>
            <w:shd w:val="clear" w:color="auto" w:fill="auto"/>
            <w:noWrap/>
            <w:vAlign w:val="bottom"/>
            <w:hideMark/>
          </w:tcPr>
          <w:p w14:paraId="34A8C85A" w14:textId="78E7166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34.95</w:t>
            </w:r>
          </w:p>
        </w:tc>
        <w:tc>
          <w:tcPr>
            <w:tcW w:w="794" w:type="dxa"/>
            <w:shd w:val="clear" w:color="auto" w:fill="auto"/>
            <w:noWrap/>
            <w:vAlign w:val="bottom"/>
            <w:hideMark/>
          </w:tcPr>
          <w:p w14:paraId="4A1AE98E" w14:textId="2EAD113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34.75</w:t>
            </w:r>
          </w:p>
        </w:tc>
        <w:tc>
          <w:tcPr>
            <w:tcW w:w="794" w:type="dxa"/>
            <w:shd w:val="clear" w:color="auto" w:fill="auto"/>
            <w:noWrap/>
            <w:vAlign w:val="bottom"/>
            <w:hideMark/>
          </w:tcPr>
          <w:p w14:paraId="057EC3A8" w14:textId="2939D14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34.48</w:t>
            </w:r>
          </w:p>
        </w:tc>
        <w:tc>
          <w:tcPr>
            <w:tcW w:w="794" w:type="dxa"/>
            <w:shd w:val="clear" w:color="auto" w:fill="auto"/>
            <w:noWrap/>
            <w:vAlign w:val="bottom"/>
            <w:hideMark/>
          </w:tcPr>
          <w:p w14:paraId="6B24BA0D" w14:textId="1212433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34.97</w:t>
            </w:r>
          </w:p>
        </w:tc>
        <w:tc>
          <w:tcPr>
            <w:tcW w:w="794" w:type="dxa"/>
            <w:shd w:val="clear" w:color="auto" w:fill="auto"/>
            <w:noWrap/>
            <w:vAlign w:val="bottom"/>
            <w:hideMark/>
          </w:tcPr>
          <w:p w14:paraId="7B02837F" w14:textId="2B3E219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35.05</w:t>
            </w:r>
          </w:p>
        </w:tc>
        <w:tc>
          <w:tcPr>
            <w:tcW w:w="794" w:type="dxa"/>
            <w:shd w:val="clear" w:color="auto" w:fill="auto"/>
            <w:noWrap/>
            <w:vAlign w:val="bottom"/>
            <w:hideMark/>
          </w:tcPr>
          <w:p w14:paraId="2A7BAC3A" w14:textId="02E5762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34.94</w:t>
            </w:r>
          </w:p>
        </w:tc>
      </w:tr>
      <w:tr w:rsidR="006621E6" w:rsidRPr="00F244E7" w14:paraId="689AE26D" w14:textId="77777777" w:rsidTr="004B4821">
        <w:trPr>
          <w:trHeight w:val="300"/>
        </w:trPr>
        <w:tc>
          <w:tcPr>
            <w:tcW w:w="3114" w:type="dxa"/>
            <w:shd w:val="clear" w:color="auto" w:fill="auto"/>
            <w:noWrap/>
            <w:vAlign w:val="bottom"/>
            <w:hideMark/>
          </w:tcPr>
          <w:p w14:paraId="21C2E840" w14:textId="7B58867A"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TRAMADOL CAPSULE</w:t>
            </w:r>
          </w:p>
        </w:tc>
        <w:tc>
          <w:tcPr>
            <w:tcW w:w="794" w:type="dxa"/>
            <w:shd w:val="clear" w:color="auto" w:fill="auto"/>
            <w:noWrap/>
            <w:vAlign w:val="bottom"/>
            <w:hideMark/>
          </w:tcPr>
          <w:p w14:paraId="4D549D11" w14:textId="45D1591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20.15</w:t>
            </w:r>
          </w:p>
        </w:tc>
        <w:tc>
          <w:tcPr>
            <w:tcW w:w="794" w:type="dxa"/>
            <w:shd w:val="clear" w:color="auto" w:fill="auto"/>
            <w:noWrap/>
            <w:vAlign w:val="bottom"/>
            <w:hideMark/>
          </w:tcPr>
          <w:p w14:paraId="421A6965" w14:textId="4CA805A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20.11</w:t>
            </w:r>
          </w:p>
        </w:tc>
        <w:tc>
          <w:tcPr>
            <w:tcW w:w="794" w:type="dxa"/>
            <w:shd w:val="clear" w:color="auto" w:fill="auto"/>
            <w:noWrap/>
            <w:vAlign w:val="bottom"/>
            <w:hideMark/>
          </w:tcPr>
          <w:p w14:paraId="0A4A27D4" w14:textId="20E49D6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20.02</w:t>
            </w:r>
          </w:p>
        </w:tc>
        <w:tc>
          <w:tcPr>
            <w:tcW w:w="794" w:type="dxa"/>
            <w:shd w:val="clear" w:color="auto" w:fill="auto"/>
            <w:noWrap/>
            <w:vAlign w:val="bottom"/>
            <w:hideMark/>
          </w:tcPr>
          <w:p w14:paraId="59E6A537" w14:textId="5EE76CDB"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19.93</w:t>
            </w:r>
          </w:p>
        </w:tc>
        <w:tc>
          <w:tcPr>
            <w:tcW w:w="794" w:type="dxa"/>
            <w:shd w:val="clear" w:color="auto" w:fill="auto"/>
            <w:noWrap/>
            <w:vAlign w:val="bottom"/>
            <w:hideMark/>
          </w:tcPr>
          <w:p w14:paraId="005D077A" w14:textId="35373DB6"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20.52</w:t>
            </w:r>
          </w:p>
        </w:tc>
        <w:tc>
          <w:tcPr>
            <w:tcW w:w="794" w:type="dxa"/>
            <w:shd w:val="clear" w:color="auto" w:fill="auto"/>
            <w:noWrap/>
            <w:vAlign w:val="bottom"/>
            <w:hideMark/>
          </w:tcPr>
          <w:p w14:paraId="0BF4744B" w14:textId="7CE9DD29"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21.98</w:t>
            </w:r>
          </w:p>
        </w:tc>
        <w:tc>
          <w:tcPr>
            <w:tcW w:w="794" w:type="dxa"/>
            <w:shd w:val="clear" w:color="auto" w:fill="auto"/>
            <w:noWrap/>
            <w:vAlign w:val="bottom"/>
            <w:hideMark/>
          </w:tcPr>
          <w:p w14:paraId="3C1E11BA" w14:textId="66F44AB5"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22.45</w:t>
            </w:r>
          </w:p>
        </w:tc>
      </w:tr>
      <w:tr w:rsidR="006621E6" w:rsidRPr="00F244E7" w14:paraId="3369EF57" w14:textId="77777777" w:rsidTr="004B4821">
        <w:trPr>
          <w:trHeight w:val="300"/>
        </w:trPr>
        <w:tc>
          <w:tcPr>
            <w:tcW w:w="3114" w:type="dxa"/>
            <w:shd w:val="clear" w:color="auto" w:fill="auto"/>
            <w:noWrap/>
            <w:vAlign w:val="bottom"/>
            <w:hideMark/>
          </w:tcPr>
          <w:p w14:paraId="18ED66A9" w14:textId="5050EDE5"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TRAMADOL INJECTION</w:t>
            </w:r>
          </w:p>
        </w:tc>
        <w:tc>
          <w:tcPr>
            <w:tcW w:w="794" w:type="dxa"/>
            <w:shd w:val="clear" w:color="auto" w:fill="auto"/>
            <w:noWrap/>
            <w:vAlign w:val="bottom"/>
            <w:hideMark/>
          </w:tcPr>
          <w:p w14:paraId="66882CEC" w14:textId="1F5D3E5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4.81</w:t>
            </w:r>
          </w:p>
        </w:tc>
        <w:tc>
          <w:tcPr>
            <w:tcW w:w="794" w:type="dxa"/>
            <w:shd w:val="clear" w:color="auto" w:fill="auto"/>
            <w:noWrap/>
            <w:vAlign w:val="bottom"/>
            <w:hideMark/>
          </w:tcPr>
          <w:p w14:paraId="1130372C" w14:textId="6E3F68E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4.85</w:t>
            </w:r>
          </w:p>
        </w:tc>
        <w:tc>
          <w:tcPr>
            <w:tcW w:w="794" w:type="dxa"/>
            <w:shd w:val="clear" w:color="auto" w:fill="auto"/>
            <w:noWrap/>
            <w:vAlign w:val="bottom"/>
            <w:hideMark/>
          </w:tcPr>
          <w:p w14:paraId="01C159DF" w14:textId="159EDE9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4.88</w:t>
            </w:r>
          </w:p>
        </w:tc>
        <w:tc>
          <w:tcPr>
            <w:tcW w:w="794" w:type="dxa"/>
            <w:shd w:val="clear" w:color="auto" w:fill="auto"/>
            <w:noWrap/>
            <w:vAlign w:val="bottom"/>
            <w:hideMark/>
          </w:tcPr>
          <w:p w14:paraId="71A16D0A" w14:textId="00EE2D3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4.89</w:t>
            </w:r>
          </w:p>
        </w:tc>
        <w:tc>
          <w:tcPr>
            <w:tcW w:w="794" w:type="dxa"/>
            <w:shd w:val="clear" w:color="auto" w:fill="auto"/>
            <w:noWrap/>
            <w:vAlign w:val="bottom"/>
            <w:hideMark/>
          </w:tcPr>
          <w:p w14:paraId="58E11F35" w14:textId="53C01FD4"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5.18</w:t>
            </w:r>
          </w:p>
        </w:tc>
        <w:tc>
          <w:tcPr>
            <w:tcW w:w="794" w:type="dxa"/>
            <w:shd w:val="clear" w:color="auto" w:fill="auto"/>
            <w:noWrap/>
            <w:vAlign w:val="bottom"/>
            <w:hideMark/>
          </w:tcPr>
          <w:p w14:paraId="4F770780" w14:textId="55A3486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5.5</w:t>
            </w:r>
          </w:p>
        </w:tc>
        <w:tc>
          <w:tcPr>
            <w:tcW w:w="794" w:type="dxa"/>
            <w:shd w:val="clear" w:color="auto" w:fill="auto"/>
            <w:noWrap/>
            <w:vAlign w:val="bottom"/>
            <w:hideMark/>
          </w:tcPr>
          <w:p w14:paraId="24678BC6" w14:textId="57D4622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6.19</w:t>
            </w:r>
          </w:p>
        </w:tc>
      </w:tr>
      <w:tr w:rsidR="006621E6" w:rsidRPr="00F244E7" w14:paraId="24026D2E" w14:textId="77777777" w:rsidTr="004B4821">
        <w:trPr>
          <w:trHeight w:val="300"/>
        </w:trPr>
        <w:tc>
          <w:tcPr>
            <w:tcW w:w="3114" w:type="dxa"/>
            <w:shd w:val="clear" w:color="auto" w:fill="auto"/>
            <w:noWrap/>
            <w:vAlign w:val="bottom"/>
            <w:hideMark/>
          </w:tcPr>
          <w:p w14:paraId="020FB03B" w14:textId="49A0F789"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TRAMADOL ORAL DROPS</w:t>
            </w:r>
          </w:p>
        </w:tc>
        <w:tc>
          <w:tcPr>
            <w:tcW w:w="794" w:type="dxa"/>
            <w:shd w:val="clear" w:color="auto" w:fill="auto"/>
            <w:noWrap/>
            <w:vAlign w:val="bottom"/>
            <w:hideMark/>
          </w:tcPr>
          <w:p w14:paraId="2EE86FD2" w14:textId="5A5E9338"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2.02</w:t>
            </w:r>
          </w:p>
        </w:tc>
        <w:tc>
          <w:tcPr>
            <w:tcW w:w="794" w:type="dxa"/>
            <w:shd w:val="clear" w:color="auto" w:fill="auto"/>
            <w:noWrap/>
            <w:vAlign w:val="bottom"/>
            <w:hideMark/>
          </w:tcPr>
          <w:p w14:paraId="2616A176" w14:textId="11179C1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2.12</w:t>
            </w:r>
          </w:p>
        </w:tc>
        <w:tc>
          <w:tcPr>
            <w:tcW w:w="794" w:type="dxa"/>
            <w:shd w:val="clear" w:color="auto" w:fill="auto"/>
            <w:noWrap/>
            <w:vAlign w:val="bottom"/>
            <w:hideMark/>
          </w:tcPr>
          <w:p w14:paraId="4D3CF200" w14:textId="11C23B20"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2.04</w:t>
            </w:r>
          </w:p>
        </w:tc>
        <w:tc>
          <w:tcPr>
            <w:tcW w:w="794" w:type="dxa"/>
            <w:shd w:val="clear" w:color="auto" w:fill="auto"/>
            <w:noWrap/>
            <w:vAlign w:val="bottom"/>
            <w:hideMark/>
          </w:tcPr>
          <w:p w14:paraId="361CC470" w14:textId="664C61FE"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1.76</w:t>
            </w:r>
          </w:p>
        </w:tc>
        <w:tc>
          <w:tcPr>
            <w:tcW w:w="794" w:type="dxa"/>
            <w:shd w:val="clear" w:color="auto" w:fill="auto"/>
            <w:noWrap/>
            <w:vAlign w:val="bottom"/>
            <w:hideMark/>
          </w:tcPr>
          <w:p w14:paraId="08A8DFBF" w14:textId="2431238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1.64</w:t>
            </w:r>
          </w:p>
        </w:tc>
        <w:tc>
          <w:tcPr>
            <w:tcW w:w="794" w:type="dxa"/>
            <w:shd w:val="clear" w:color="auto" w:fill="auto"/>
            <w:noWrap/>
            <w:vAlign w:val="bottom"/>
            <w:hideMark/>
          </w:tcPr>
          <w:p w14:paraId="519C5ACF" w14:textId="48D3F507"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1.55</w:t>
            </w:r>
          </w:p>
        </w:tc>
        <w:tc>
          <w:tcPr>
            <w:tcW w:w="794" w:type="dxa"/>
            <w:shd w:val="clear" w:color="auto" w:fill="auto"/>
            <w:noWrap/>
            <w:vAlign w:val="bottom"/>
            <w:hideMark/>
          </w:tcPr>
          <w:p w14:paraId="7654886B" w14:textId="76CBD2EC"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1.64</w:t>
            </w:r>
          </w:p>
        </w:tc>
      </w:tr>
      <w:tr w:rsidR="006621E6" w:rsidRPr="00F244E7" w14:paraId="47C803D0" w14:textId="77777777" w:rsidTr="004B4821">
        <w:trPr>
          <w:trHeight w:val="300"/>
        </w:trPr>
        <w:tc>
          <w:tcPr>
            <w:tcW w:w="3114" w:type="dxa"/>
            <w:shd w:val="clear" w:color="auto" w:fill="auto"/>
            <w:noWrap/>
            <w:vAlign w:val="bottom"/>
            <w:hideMark/>
          </w:tcPr>
          <w:p w14:paraId="0C233E61" w14:textId="1740B856" w:rsidR="006621E6" w:rsidRPr="00F244E7" w:rsidRDefault="006621E6" w:rsidP="006621E6">
            <w:pPr>
              <w:spacing w:after="0"/>
              <w:rPr>
                <w:rFonts w:ascii="Calibri" w:eastAsia="Times New Roman" w:hAnsi="Calibri" w:cs="Calibri"/>
                <w:color w:val="000000"/>
                <w:sz w:val="20"/>
                <w:szCs w:val="20"/>
              </w:rPr>
            </w:pPr>
            <w:r w:rsidRPr="00F244E7">
              <w:rPr>
                <w:rFonts w:ascii="Calibri" w:hAnsi="Calibri" w:cs="Calibri"/>
                <w:color w:val="000000"/>
                <w:sz w:val="20"/>
                <w:szCs w:val="20"/>
              </w:rPr>
              <w:t>TRAMADOL TABLET</w:t>
            </w:r>
          </w:p>
        </w:tc>
        <w:tc>
          <w:tcPr>
            <w:tcW w:w="794" w:type="dxa"/>
            <w:shd w:val="clear" w:color="auto" w:fill="auto"/>
            <w:noWrap/>
            <w:vAlign w:val="bottom"/>
            <w:hideMark/>
          </w:tcPr>
          <w:p w14:paraId="3F1CB959" w14:textId="105AC64A"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40.37</w:t>
            </w:r>
          </w:p>
        </w:tc>
        <w:tc>
          <w:tcPr>
            <w:tcW w:w="794" w:type="dxa"/>
            <w:shd w:val="clear" w:color="auto" w:fill="auto"/>
            <w:noWrap/>
            <w:vAlign w:val="bottom"/>
            <w:hideMark/>
          </w:tcPr>
          <w:p w14:paraId="4BFF6851" w14:textId="0ED2A2B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40.59</w:t>
            </w:r>
          </w:p>
        </w:tc>
        <w:tc>
          <w:tcPr>
            <w:tcW w:w="794" w:type="dxa"/>
            <w:shd w:val="clear" w:color="auto" w:fill="auto"/>
            <w:noWrap/>
            <w:vAlign w:val="bottom"/>
            <w:hideMark/>
          </w:tcPr>
          <w:p w14:paraId="2051D53A" w14:textId="1E43CCDD"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40.29</w:t>
            </w:r>
          </w:p>
        </w:tc>
        <w:tc>
          <w:tcPr>
            <w:tcW w:w="794" w:type="dxa"/>
            <w:shd w:val="clear" w:color="auto" w:fill="auto"/>
            <w:noWrap/>
            <w:vAlign w:val="bottom"/>
            <w:hideMark/>
          </w:tcPr>
          <w:p w14:paraId="7E6DD7D3" w14:textId="50ED927F"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40.47</w:t>
            </w:r>
          </w:p>
        </w:tc>
        <w:tc>
          <w:tcPr>
            <w:tcW w:w="794" w:type="dxa"/>
            <w:shd w:val="clear" w:color="auto" w:fill="auto"/>
            <w:noWrap/>
            <w:vAlign w:val="bottom"/>
            <w:hideMark/>
          </w:tcPr>
          <w:p w14:paraId="56FDBDFA" w14:textId="1013F54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38.83</w:t>
            </w:r>
          </w:p>
        </w:tc>
        <w:tc>
          <w:tcPr>
            <w:tcW w:w="794" w:type="dxa"/>
            <w:shd w:val="clear" w:color="auto" w:fill="auto"/>
            <w:noWrap/>
            <w:vAlign w:val="bottom"/>
            <w:hideMark/>
          </w:tcPr>
          <w:p w14:paraId="5F6DF144" w14:textId="78205412"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35.82</w:t>
            </w:r>
          </w:p>
        </w:tc>
        <w:tc>
          <w:tcPr>
            <w:tcW w:w="794" w:type="dxa"/>
            <w:shd w:val="clear" w:color="auto" w:fill="auto"/>
            <w:noWrap/>
            <w:vAlign w:val="bottom"/>
            <w:hideMark/>
          </w:tcPr>
          <w:p w14:paraId="17CDA88E" w14:textId="1DE5DD43" w:rsidR="006621E6" w:rsidRPr="00F244E7" w:rsidRDefault="006621E6" w:rsidP="006621E6">
            <w:pPr>
              <w:spacing w:after="0"/>
              <w:jc w:val="right"/>
              <w:rPr>
                <w:rFonts w:ascii="Calibri" w:eastAsia="Times New Roman" w:hAnsi="Calibri" w:cs="Calibri"/>
                <w:color w:val="000000"/>
                <w:sz w:val="20"/>
                <w:szCs w:val="20"/>
              </w:rPr>
            </w:pPr>
            <w:r w:rsidRPr="00F244E7">
              <w:rPr>
                <w:rFonts w:ascii="Calibri" w:hAnsi="Calibri" w:cs="Calibri"/>
                <w:color w:val="000000"/>
                <w:sz w:val="20"/>
                <w:szCs w:val="20"/>
              </w:rPr>
              <w:t>35.85</w:t>
            </w:r>
          </w:p>
        </w:tc>
      </w:tr>
    </w:tbl>
    <w:p w14:paraId="51464D1E" w14:textId="5D6734B3" w:rsidR="006F4ACF" w:rsidRDefault="00A04C85" w:rsidP="00A04C85">
      <w:pPr>
        <w:pStyle w:val="Notes"/>
      </w:pPr>
      <w:r>
        <w:t xml:space="preserve">Note: </w:t>
      </w:r>
      <w:r w:rsidR="006A52A5">
        <w:t>For</w:t>
      </w:r>
      <w:r>
        <w:t xml:space="preserve"> units of the mean quantity supplied refer to the units specified in the maximum quantity</w:t>
      </w:r>
      <w:r w:rsidR="006A52A5">
        <w:t>.</w:t>
      </w:r>
    </w:p>
    <w:p w14:paraId="0AB6D3E0" w14:textId="0F9E6B59" w:rsidR="006621E6" w:rsidRDefault="003A7342" w:rsidP="00310C38">
      <w:r>
        <w:t xml:space="preserve">The average supplied quantity of hydromorphone oral solution increased from 1.03 in 2021 to 145.81 in 2022 (January to September). </w:t>
      </w:r>
      <w:r w:rsidR="00535AE5">
        <w:t xml:space="preserve">This is due to the </w:t>
      </w:r>
      <w:r w:rsidR="00535AE5" w:rsidRPr="00535AE5">
        <w:t xml:space="preserve">amendments </w:t>
      </w:r>
      <w:r w:rsidR="00535AE5">
        <w:t xml:space="preserve">made from 1 August 2022 </w:t>
      </w:r>
      <w:r w:rsidR="00535AE5" w:rsidRPr="00535AE5">
        <w:t>to the PBS listings of hydromorphone oral solutions to allow pharmacists to dispense volumes smaller than a whole bottle at PBS subsidised prices</w:t>
      </w:r>
      <w:r w:rsidR="00535AE5">
        <w:t>.</w:t>
      </w:r>
      <w:r w:rsidR="00535AE5" w:rsidRPr="00535AE5" w:rsidDel="00310C38">
        <w:t xml:space="preserve"> </w:t>
      </w:r>
    </w:p>
    <w:p w14:paraId="2CDC797B" w14:textId="77777777" w:rsidR="006F4ACF" w:rsidRDefault="006F4ACF" w:rsidP="003D5A73"/>
    <w:p w14:paraId="621EC826" w14:textId="18C698B8" w:rsidR="006F4ACF" w:rsidRPr="006F4ACF" w:rsidRDefault="006F4ACF" w:rsidP="003D5A73">
      <w:pPr>
        <w:rPr>
          <w:u w:val="single"/>
        </w:rPr>
      </w:pPr>
      <w:r w:rsidRPr="006F4ACF">
        <w:rPr>
          <w:u w:val="single"/>
        </w:rPr>
        <w:lastRenderedPageBreak/>
        <w:t>Fentanyl patches</w:t>
      </w:r>
    </w:p>
    <w:p w14:paraId="5AF903FB" w14:textId="2E62735F" w:rsidR="006F4ACF" w:rsidRDefault="006F4ACF" w:rsidP="006F4ACF">
      <w:r>
        <w:t>The PBAC recommended narrower indications for f</w:t>
      </w:r>
      <w:r w:rsidRPr="003D5A73">
        <w:t>entanyl patches</w:t>
      </w:r>
      <w:r>
        <w:t xml:space="preserve">. The </w:t>
      </w:r>
      <w:r w:rsidRPr="003D5A73">
        <w:t>intent was to reduce the number of new patients rather than to require patients who are currently reliant on the patches to move to other pain relief</w:t>
      </w:r>
      <w:r w:rsidR="00D25B43">
        <w:t xml:space="preserve"> medications</w:t>
      </w:r>
      <w:r w:rsidRPr="003D5A73">
        <w:t xml:space="preserve">. However, there </w:t>
      </w:r>
      <w:r>
        <w:t>w</w:t>
      </w:r>
      <w:r w:rsidR="00A4119A">
        <w:t>a</w:t>
      </w:r>
      <w:r w:rsidRPr="003D5A73">
        <w:t xml:space="preserve">s an expectation that prescribers </w:t>
      </w:r>
      <w:r w:rsidR="0096321E">
        <w:t>would</w:t>
      </w:r>
      <w:r w:rsidRPr="003D5A73">
        <w:t xml:space="preserve"> identify patients who are currently prescribed fentanyl patches outside of the cancer pain and </w:t>
      </w:r>
      <w:r w:rsidR="00D25B43">
        <w:t xml:space="preserve">the </w:t>
      </w:r>
      <w:r w:rsidRPr="003D5A73">
        <w:t xml:space="preserve">palliative care setting to consider weaning patients where it is appropriate and safe to do so. </w:t>
      </w:r>
      <w:r>
        <w:t>The figure below shows initiating and treated patients for fentanyl patches only</w:t>
      </w:r>
      <w:r w:rsidR="007B2F3E">
        <w:t>, and counts</w:t>
      </w:r>
      <w:r>
        <w:t xml:space="preserve"> initiating patients as their first supply of a fentanyl patch. </w:t>
      </w:r>
    </w:p>
    <w:p w14:paraId="5098CD6D" w14:textId="77777777" w:rsidR="006F4ACF" w:rsidRPr="003D5A73" w:rsidRDefault="006F4ACF" w:rsidP="003D5A73"/>
    <w:p w14:paraId="5F891D5A" w14:textId="1CD44B8B" w:rsidR="00EF4455" w:rsidRDefault="006F4ACF" w:rsidP="00BF09AD">
      <w:r>
        <w:rPr>
          <w:noProof/>
        </w:rPr>
        <w:drawing>
          <wp:inline distT="0" distB="0" distL="0" distR="0" wp14:anchorId="1762D2E3" wp14:editId="2E83119B">
            <wp:extent cx="5687695" cy="3496310"/>
            <wp:effectExtent l="0" t="0" r="8255" b="8890"/>
            <wp:docPr id="10" name="Chart 10" descr="Number of treated and initiating patients on fentanyl patches since 2016">
              <a:extLst xmlns:a="http://schemas.openxmlformats.org/drawingml/2006/main">
                <a:ext uri="{FF2B5EF4-FFF2-40B4-BE49-F238E27FC236}">
                  <a16:creationId xmlns:a16="http://schemas.microsoft.com/office/drawing/2014/main" id="{51723AF3-66CA-4256-BF15-89383D373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2BBDD0" w14:textId="1405C762" w:rsidR="006F4ACF" w:rsidRDefault="006F4ACF" w:rsidP="006F4ACF">
      <w:pPr>
        <w:pStyle w:val="Figuretitle"/>
      </w:pPr>
      <w:r w:rsidRPr="006F4ACF">
        <w:t xml:space="preserve">Figure </w:t>
      </w:r>
      <w:r w:rsidR="0046280F">
        <w:t>11</w:t>
      </w:r>
      <w:r w:rsidRPr="006F4ACF">
        <w:t xml:space="preserve">: </w:t>
      </w:r>
      <w:r>
        <w:t>Number of treated and initiating patients on fentanyl patches</w:t>
      </w:r>
    </w:p>
    <w:p w14:paraId="4CB7CCB2" w14:textId="06962A80" w:rsidR="00A122A3" w:rsidRDefault="00A122A3" w:rsidP="00BF09AD">
      <w:pPr>
        <w:rPr>
          <w:u w:val="single"/>
        </w:rPr>
      </w:pPr>
    </w:p>
    <w:p w14:paraId="7C48523E" w14:textId="01618594" w:rsidR="0096321E" w:rsidRPr="0096321E" w:rsidRDefault="009E68FB" w:rsidP="0096321E">
      <w:r>
        <w:t xml:space="preserve">Table </w:t>
      </w:r>
      <w:r w:rsidR="0046280F">
        <w:t>10</w:t>
      </w:r>
      <w:r>
        <w:t xml:space="preserve"> shows that the average quantity of supplied fentanyl patches has not changed. </w:t>
      </w:r>
      <w:r w:rsidR="0096321E">
        <w:t xml:space="preserve">The number of initiating patients has been decreasing over time, although this may be exaggerated due to the method of determining an initiating patient. </w:t>
      </w:r>
      <w:r w:rsidR="00852BE6">
        <w:t>Overall it appears that the number of new and treated patients may have stabilised.</w:t>
      </w:r>
    </w:p>
    <w:p w14:paraId="325043CB" w14:textId="76959DED" w:rsidR="007B2F3E" w:rsidRDefault="0096321E" w:rsidP="00BF09AD">
      <w:r w:rsidRPr="0096321E">
        <w:t>It is likely that the increase in treated patients is due to the changes made to the palliative care schedule</w:t>
      </w:r>
      <w:r>
        <w:t xml:space="preserve"> on 1 June 2021</w:t>
      </w:r>
      <w:r w:rsidRPr="0096321E">
        <w:t>, which were intended to further reduce barriers to the prescribing and timely supply of opioid analgesic medications for palliative care patients.</w:t>
      </w:r>
      <w:r>
        <w:t xml:space="preserve"> </w:t>
      </w:r>
    </w:p>
    <w:p w14:paraId="64D89098" w14:textId="77777777" w:rsidR="00C87C72" w:rsidRDefault="00C87C72" w:rsidP="00BF09AD">
      <w:pPr>
        <w:rPr>
          <w:u w:val="single"/>
        </w:rPr>
      </w:pPr>
    </w:p>
    <w:p w14:paraId="3F44BCE3" w14:textId="64131FCC" w:rsidR="00EF4455" w:rsidRPr="00AB0119" w:rsidRDefault="006F4ACF" w:rsidP="004B4821">
      <w:pPr>
        <w:keepNext/>
        <w:rPr>
          <w:u w:val="single"/>
        </w:rPr>
      </w:pPr>
      <w:r w:rsidRPr="00AB0119">
        <w:rPr>
          <w:u w:val="single"/>
        </w:rPr>
        <w:lastRenderedPageBreak/>
        <w:t>T</w:t>
      </w:r>
      <w:r w:rsidR="00EF4455" w:rsidRPr="00AB0119">
        <w:rPr>
          <w:u w:val="single"/>
        </w:rPr>
        <w:t>apentadol</w:t>
      </w:r>
    </w:p>
    <w:p w14:paraId="0A17BEA2" w14:textId="40496207" w:rsidR="00EF4455" w:rsidRPr="0098215A" w:rsidRDefault="0098215A" w:rsidP="004B4821">
      <w:pPr>
        <w:pStyle w:val="Tabletitle"/>
        <w:keepNext/>
      </w:pPr>
      <w:r w:rsidRPr="0098215A">
        <w:t xml:space="preserve">Table </w:t>
      </w:r>
      <w:r w:rsidR="00373F55">
        <w:t>11</w:t>
      </w:r>
      <w:r w:rsidRPr="0098215A">
        <w:t>: Prescriber type of treated patients for tapentadol by year</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14"/>
        <w:gridCol w:w="914"/>
        <w:gridCol w:w="914"/>
        <w:gridCol w:w="915"/>
        <w:gridCol w:w="914"/>
        <w:gridCol w:w="914"/>
        <w:gridCol w:w="915"/>
      </w:tblGrid>
      <w:tr w:rsidR="0098215A" w:rsidRPr="00965DD0" w14:paraId="64374CDE" w14:textId="77777777" w:rsidTr="001C001C">
        <w:trPr>
          <w:trHeight w:val="300"/>
        </w:trPr>
        <w:tc>
          <w:tcPr>
            <w:tcW w:w="2547" w:type="dxa"/>
            <w:shd w:val="clear" w:color="auto" w:fill="BFBFBF" w:themeFill="background1" w:themeFillShade="BF"/>
            <w:noWrap/>
            <w:vAlign w:val="bottom"/>
            <w:hideMark/>
          </w:tcPr>
          <w:p w14:paraId="768473F4" w14:textId="077F064A" w:rsidR="0098215A" w:rsidRPr="00965DD0" w:rsidRDefault="0098215A" w:rsidP="0098215A">
            <w:pPr>
              <w:spacing w:after="0"/>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Prescriber type</w:t>
            </w:r>
          </w:p>
        </w:tc>
        <w:tc>
          <w:tcPr>
            <w:tcW w:w="914" w:type="dxa"/>
            <w:shd w:val="clear" w:color="auto" w:fill="BFBFBF" w:themeFill="background1" w:themeFillShade="BF"/>
            <w:noWrap/>
            <w:vAlign w:val="bottom"/>
            <w:hideMark/>
          </w:tcPr>
          <w:p w14:paraId="52614748"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2016</w:t>
            </w:r>
          </w:p>
        </w:tc>
        <w:tc>
          <w:tcPr>
            <w:tcW w:w="914" w:type="dxa"/>
            <w:shd w:val="clear" w:color="auto" w:fill="BFBFBF" w:themeFill="background1" w:themeFillShade="BF"/>
            <w:noWrap/>
            <w:vAlign w:val="bottom"/>
            <w:hideMark/>
          </w:tcPr>
          <w:p w14:paraId="78F887DE"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2017</w:t>
            </w:r>
          </w:p>
        </w:tc>
        <w:tc>
          <w:tcPr>
            <w:tcW w:w="914" w:type="dxa"/>
            <w:shd w:val="clear" w:color="auto" w:fill="BFBFBF" w:themeFill="background1" w:themeFillShade="BF"/>
            <w:noWrap/>
            <w:vAlign w:val="bottom"/>
            <w:hideMark/>
          </w:tcPr>
          <w:p w14:paraId="7181535F"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2018</w:t>
            </w:r>
          </w:p>
        </w:tc>
        <w:tc>
          <w:tcPr>
            <w:tcW w:w="915" w:type="dxa"/>
            <w:shd w:val="clear" w:color="auto" w:fill="BFBFBF" w:themeFill="background1" w:themeFillShade="BF"/>
            <w:noWrap/>
            <w:vAlign w:val="bottom"/>
            <w:hideMark/>
          </w:tcPr>
          <w:p w14:paraId="096849F1"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2019</w:t>
            </w:r>
          </w:p>
        </w:tc>
        <w:tc>
          <w:tcPr>
            <w:tcW w:w="914" w:type="dxa"/>
            <w:shd w:val="clear" w:color="auto" w:fill="BFBFBF" w:themeFill="background1" w:themeFillShade="BF"/>
            <w:noWrap/>
            <w:vAlign w:val="bottom"/>
            <w:hideMark/>
          </w:tcPr>
          <w:p w14:paraId="00E961B8"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2020</w:t>
            </w:r>
          </w:p>
        </w:tc>
        <w:tc>
          <w:tcPr>
            <w:tcW w:w="914" w:type="dxa"/>
            <w:shd w:val="clear" w:color="auto" w:fill="BFBFBF" w:themeFill="background1" w:themeFillShade="BF"/>
            <w:noWrap/>
            <w:vAlign w:val="bottom"/>
            <w:hideMark/>
          </w:tcPr>
          <w:p w14:paraId="1456880B"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2021</w:t>
            </w:r>
          </w:p>
        </w:tc>
        <w:tc>
          <w:tcPr>
            <w:tcW w:w="915" w:type="dxa"/>
            <w:shd w:val="clear" w:color="auto" w:fill="BFBFBF" w:themeFill="background1" w:themeFillShade="BF"/>
            <w:noWrap/>
            <w:vAlign w:val="bottom"/>
            <w:hideMark/>
          </w:tcPr>
          <w:p w14:paraId="56ADCA50" w14:textId="77777777" w:rsidR="0098215A" w:rsidRPr="00965DD0" w:rsidRDefault="0098215A" w:rsidP="0098215A">
            <w:pPr>
              <w:spacing w:after="0"/>
              <w:jc w:val="right"/>
              <w:rPr>
                <w:rFonts w:ascii="Calibri" w:eastAsia="Times New Roman" w:hAnsi="Calibri" w:cs="Calibri"/>
                <w:b/>
                <w:bCs/>
                <w:color w:val="000000"/>
                <w:sz w:val="20"/>
                <w:szCs w:val="20"/>
              </w:rPr>
            </w:pPr>
            <w:r w:rsidRPr="00965DD0">
              <w:rPr>
                <w:rFonts w:ascii="Calibri" w:eastAsia="Times New Roman" w:hAnsi="Calibri" w:cs="Calibri"/>
                <w:b/>
                <w:bCs/>
                <w:color w:val="000000"/>
                <w:sz w:val="20"/>
                <w:szCs w:val="20"/>
              </w:rPr>
              <w:t>2022</w:t>
            </w:r>
          </w:p>
        </w:tc>
      </w:tr>
      <w:tr w:rsidR="00965DD0" w:rsidRPr="00965DD0" w14:paraId="7D2D2F43" w14:textId="77777777" w:rsidTr="00AB0119">
        <w:trPr>
          <w:trHeight w:val="300"/>
        </w:trPr>
        <w:tc>
          <w:tcPr>
            <w:tcW w:w="2547" w:type="dxa"/>
            <w:shd w:val="clear" w:color="auto" w:fill="auto"/>
            <w:noWrap/>
            <w:vAlign w:val="bottom"/>
            <w:hideMark/>
          </w:tcPr>
          <w:p w14:paraId="388CD516" w14:textId="7C2DCC3D"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VRGP </w:t>
            </w:r>
          </w:p>
        </w:tc>
        <w:tc>
          <w:tcPr>
            <w:tcW w:w="914" w:type="dxa"/>
            <w:shd w:val="clear" w:color="auto" w:fill="auto"/>
            <w:noWrap/>
            <w:vAlign w:val="bottom"/>
            <w:hideMark/>
          </w:tcPr>
          <w:p w14:paraId="0DD7912D" w14:textId="71C7478F"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62,631 </w:t>
            </w:r>
          </w:p>
        </w:tc>
        <w:tc>
          <w:tcPr>
            <w:tcW w:w="914" w:type="dxa"/>
            <w:shd w:val="clear" w:color="auto" w:fill="auto"/>
            <w:noWrap/>
            <w:vAlign w:val="bottom"/>
            <w:hideMark/>
          </w:tcPr>
          <w:p w14:paraId="21E91935" w14:textId="667CE56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93,808 </w:t>
            </w:r>
          </w:p>
        </w:tc>
        <w:tc>
          <w:tcPr>
            <w:tcW w:w="914" w:type="dxa"/>
            <w:shd w:val="clear" w:color="auto" w:fill="auto"/>
            <w:noWrap/>
            <w:vAlign w:val="bottom"/>
            <w:hideMark/>
          </w:tcPr>
          <w:p w14:paraId="0678C007" w14:textId="65BD7519"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118,145 </w:t>
            </w:r>
          </w:p>
        </w:tc>
        <w:tc>
          <w:tcPr>
            <w:tcW w:w="915" w:type="dxa"/>
            <w:shd w:val="clear" w:color="auto" w:fill="auto"/>
            <w:noWrap/>
            <w:vAlign w:val="bottom"/>
            <w:hideMark/>
          </w:tcPr>
          <w:p w14:paraId="616B81BE" w14:textId="5030C53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147,166 </w:t>
            </w:r>
          </w:p>
        </w:tc>
        <w:tc>
          <w:tcPr>
            <w:tcW w:w="914" w:type="dxa"/>
            <w:shd w:val="clear" w:color="auto" w:fill="auto"/>
            <w:noWrap/>
            <w:vAlign w:val="bottom"/>
            <w:hideMark/>
          </w:tcPr>
          <w:p w14:paraId="745D2E83" w14:textId="7A0AB80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161,204 </w:t>
            </w:r>
          </w:p>
        </w:tc>
        <w:tc>
          <w:tcPr>
            <w:tcW w:w="914" w:type="dxa"/>
            <w:shd w:val="clear" w:color="auto" w:fill="auto"/>
            <w:noWrap/>
            <w:vAlign w:val="bottom"/>
            <w:hideMark/>
          </w:tcPr>
          <w:p w14:paraId="35CE4549" w14:textId="0842D7B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166,676 </w:t>
            </w:r>
          </w:p>
        </w:tc>
        <w:tc>
          <w:tcPr>
            <w:tcW w:w="915" w:type="dxa"/>
            <w:shd w:val="clear" w:color="auto" w:fill="auto"/>
            <w:noWrap/>
            <w:vAlign w:val="bottom"/>
            <w:hideMark/>
          </w:tcPr>
          <w:p w14:paraId="4544D85D" w14:textId="075A1BA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157,154 </w:t>
            </w:r>
          </w:p>
        </w:tc>
      </w:tr>
      <w:tr w:rsidR="00965DD0" w:rsidRPr="00965DD0" w14:paraId="3E0CA616" w14:textId="77777777" w:rsidTr="00AB0119">
        <w:trPr>
          <w:trHeight w:val="300"/>
        </w:trPr>
        <w:tc>
          <w:tcPr>
            <w:tcW w:w="2547" w:type="dxa"/>
            <w:shd w:val="clear" w:color="auto" w:fill="auto"/>
            <w:noWrap/>
            <w:vAlign w:val="bottom"/>
            <w:hideMark/>
          </w:tcPr>
          <w:p w14:paraId="497B287B" w14:textId="159DD992" w:rsidR="00965DD0" w:rsidRPr="00965DD0" w:rsidRDefault="00F323A5" w:rsidP="00965DD0">
            <w:pPr>
              <w:spacing w:after="0"/>
              <w:rPr>
                <w:rFonts w:ascii="Calibri" w:eastAsia="Times New Roman" w:hAnsi="Calibri" w:cs="Calibri"/>
                <w:color w:val="000000"/>
                <w:sz w:val="20"/>
                <w:szCs w:val="20"/>
              </w:rPr>
            </w:pPr>
            <w:r>
              <w:rPr>
                <w:rFonts w:ascii="Calibri" w:hAnsi="Calibri" w:cs="Calibri"/>
                <w:color w:val="000000"/>
                <w:sz w:val="20"/>
                <w:szCs w:val="20"/>
              </w:rPr>
              <w:t>Non-</w:t>
            </w:r>
            <w:r w:rsidR="00965DD0" w:rsidRPr="00965DD0">
              <w:rPr>
                <w:rFonts w:ascii="Calibri" w:hAnsi="Calibri" w:cs="Calibri"/>
                <w:color w:val="000000"/>
                <w:sz w:val="20"/>
                <w:szCs w:val="20"/>
              </w:rPr>
              <w:t>V</w:t>
            </w:r>
            <w:r>
              <w:rPr>
                <w:rFonts w:ascii="Calibri" w:hAnsi="Calibri" w:cs="Calibri"/>
                <w:color w:val="000000"/>
                <w:sz w:val="20"/>
                <w:szCs w:val="20"/>
              </w:rPr>
              <w:t>P</w:t>
            </w:r>
            <w:r w:rsidR="00965DD0" w:rsidRPr="00965DD0">
              <w:rPr>
                <w:rFonts w:ascii="Calibri" w:hAnsi="Calibri" w:cs="Calibri"/>
                <w:color w:val="000000"/>
                <w:sz w:val="20"/>
                <w:szCs w:val="20"/>
              </w:rPr>
              <w:t xml:space="preserve">GP </w:t>
            </w:r>
          </w:p>
        </w:tc>
        <w:tc>
          <w:tcPr>
            <w:tcW w:w="914" w:type="dxa"/>
            <w:shd w:val="clear" w:color="auto" w:fill="auto"/>
            <w:noWrap/>
            <w:vAlign w:val="bottom"/>
            <w:hideMark/>
          </w:tcPr>
          <w:p w14:paraId="14CCDC5D" w14:textId="641E4F5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16,786 </w:t>
            </w:r>
          </w:p>
        </w:tc>
        <w:tc>
          <w:tcPr>
            <w:tcW w:w="914" w:type="dxa"/>
            <w:shd w:val="clear" w:color="auto" w:fill="auto"/>
            <w:noWrap/>
            <w:vAlign w:val="bottom"/>
            <w:hideMark/>
          </w:tcPr>
          <w:p w14:paraId="122EA1EC" w14:textId="2021E9C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22,908 </w:t>
            </w:r>
          </w:p>
        </w:tc>
        <w:tc>
          <w:tcPr>
            <w:tcW w:w="914" w:type="dxa"/>
            <w:shd w:val="clear" w:color="auto" w:fill="auto"/>
            <w:noWrap/>
            <w:vAlign w:val="bottom"/>
            <w:hideMark/>
          </w:tcPr>
          <w:p w14:paraId="22068ED0" w14:textId="15E211B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27,400 </w:t>
            </w:r>
          </w:p>
        </w:tc>
        <w:tc>
          <w:tcPr>
            <w:tcW w:w="915" w:type="dxa"/>
            <w:shd w:val="clear" w:color="auto" w:fill="auto"/>
            <w:noWrap/>
            <w:vAlign w:val="bottom"/>
            <w:hideMark/>
          </w:tcPr>
          <w:p w14:paraId="70A17E40" w14:textId="0FBB1B4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24,753 </w:t>
            </w:r>
          </w:p>
        </w:tc>
        <w:tc>
          <w:tcPr>
            <w:tcW w:w="914" w:type="dxa"/>
            <w:shd w:val="clear" w:color="auto" w:fill="auto"/>
            <w:noWrap/>
            <w:vAlign w:val="bottom"/>
            <w:hideMark/>
          </w:tcPr>
          <w:p w14:paraId="7E756265" w14:textId="7C51536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19,478 </w:t>
            </w:r>
          </w:p>
        </w:tc>
        <w:tc>
          <w:tcPr>
            <w:tcW w:w="914" w:type="dxa"/>
            <w:shd w:val="clear" w:color="auto" w:fill="auto"/>
            <w:noWrap/>
            <w:vAlign w:val="bottom"/>
            <w:hideMark/>
          </w:tcPr>
          <w:p w14:paraId="784CB459" w14:textId="32D4B0A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24,052 </w:t>
            </w:r>
          </w:p>
        </w:tc>
        <w:tc>
          <w:tcPr>
            <w:tcW w:w="915" w:type="dxa"/>
            <w:shd w:val="clear" w:color="auto" w:fill="auto"/>
            <w:noWrap/>
            <w:vAlign w:val="bottom"/>
            <w:hideMark/>
          </w:tcPr>
          <w:p w14:paraId="31AFBDAF" w14:textId="62CBCAF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20,803 </w:t>
            </w:r>
          </w:p>
        </w:tc>
      </w:tr>
      <w:tr w:rsidR="00965DD0" w:rsidRPr="00965DD0" w14:paraId="55081621" w14:textId="77777777" w:rsidTr="00AB0119">
        <w:trPr>
          <w:trHeight w:val="300"/>
        </w:trPr>
        <w:tc>
          <w:tcPr>
            <w:tcW w:w="2547" w:type="dxa"/>
            <w:shd w:val="clear" w:color="auto" w:fill="auto"/>
            <w:noWrap/>
            <w:vAlign w:val="bottom"/>
            <w:hideMark/>
          </w:tcPr>
          <w:p w14:paraId="064C66B9" w14:textId="406CA6A9"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(blank) </w:t>
            </w:r>
          </w:p>
        </w:tc>
        <w:tc>
          <w:tcPr>
            <w:tcW w:w="914" w:type="dxa"/>
            <w:shd w:val="clear" w:color="auto" w:fill="auto"/>
            <w:noWrap/>
            <w:vAlign w:val="bottom"/>
            <w:hideMark/>
          </w:tcPr>
          <w:p w14:paraId="3C0D7AAF" w14:textId="7F9955D9"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353 </w:t>
            </w:r>
          </w:p>
        </w:tc>
        <w:tc>
          <w:tcPr>
            <w:tcW w:w="914" w:type="dxa"/>
            <w:shd w:val="clear" w:color="auto" w:fill="auto"/>
            <w:noWrap/>
            <w:vAlign w:val="bottom"/>
            <w:hideMark/>
          </w:tcPr>
          <w:p w14:paraId="6C285D3E" w14:textId="1B6B30B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3,642 </w:t>
            </w:r>
          </w:p>
        </w:tc>
        <w:tc>
          <w:tcPr>
            <w:tcW w:w="914" w:type="dxa"/>
            <w:shd w:val="clear" w:color="auto" w:fill="auto"/>
            <w:noWrap/>
            <w:vAlign w:val="bottom"/>
            <w:hideMark/>
          </w:tcPr>
          <w:p w14:paraId="638E1346" w14:textId="73E634D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12,689 </w:t>
            </w:r>
          </w:p>
        </w:tc>
        <w:tc>
          <w:tcPr>
            <w:tcW w:w="915" w:type="dxa"/>
            <w:shd w:val="clear" w:color="auto" w:fill="auto"/>
            <w:noWrap/>
            <w:vAlign w:val="bottom"/>
            <w:hideMark/>
          </w:tcPr>
          <w:p w14:paraId="5C865917" w14:textId="7BC51E9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32,862 </w:t>
            </w:r>
          </w:p>
        </w:tc>
        <w:tc>
          <w:tcPr>
            <w:tcW w:w="914" w:type="dxa"/>
            <w:shd w:val="clear" w:color="auto" w:fill="auto"/>
            <w:noWrap/>
            <w:vAlign w:val="bottom"/>
            <w:hideMark/>
          </w:tcPr>
          <w:p w14:paraId="2914C071" w14:textId="6DF905B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46,613 </w:t>
            </w:r>
          </w:p>
        </w:tc>
        <w:tc>
          <w:tcPr>
            <w:tcW w:w="914" w:type="dxa"/>
            <w:shd w:val="clear" w:color="auto" w:fill="auto"/>
            <w:noWrap/>
            <w:vAlign w:val="bottom"/>
            <w:hideMark/>
          </w:tcPr>
          <w:p w14:paraId="1C2776E9" w14:textId="794CDF0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22,175 </w:t>
            </w:r>
          </w:p>
        </w:tc>
        <w:tc>
          <w:tcPr>
            <w:tcW w:w="915" w:type="dxa"/>
            <w:shd w:val="clear" w:color="auto" w:fill="auto"/>
            <w:noWrap/>
            <w:vAlign w:val="bottom"/>
            <w:hideMark/>
          </w:tcPr>
          <w:p w14:paraId="3109838A" w14:textId="3CFBFC2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11,706 </w:t>
            </w:r>
          </w:p>
        </w:tc>
      </w:tr>
      <w:tr w:rsidR="00965DD0" w:rsidRPr="00965DD0" w14:paraId="6CE2760C" w14:textId="77777777" w:rsidTr="00AB0119">
        <w:trPr>
          <w:trHeight w:val="300"/>
        </w:trPr>
        <w:tc>
          <w:tcPr>
            <w:tcW w:w="2547" w:type="dxa"/>
            <w:shd w:val="clear" w:color="auto" w:fill="auto"/>
            <w:noWrap/>
            <w:vAlign w:val="bottom"/>
            <w:hideMark/>
          </w:tcPr>
          <w:p w14:paraId="3245D764" w14:textId="2342776A"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GP Trainee </w:t>
            </w:r>
          </w:p>
        </w:tc>
        <w:tc>
          <w:tcPr>
            <w:tcW w:w="914" w:type="dxa"/>
            <w:shd w:val="clear" w:color="auto" w:fill="auto"/>
            <w:noWrap/>
            <w:vAlign w:val="bottom"/>
            <w:hideMark/>
          </w:tcPr>
          <w:p w14:paraId="3C64E448" w14:textId="19D0B56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6,577 </w:t>
            </w:r>
          </w:p>
        </w:tc>
        <w:tc>
          <w:tcPr>
            <w:tcW w:w="914" w:type="dxa"/>
            <w:shd w:val="clear" w:color="auto" w:fill="auto"/>
            <w:noWrap/>
            <w:vAlign w:val="bottom"/>
            <w:hideMark/>
          </w:tcPr>
          <w:p w14:paraId="0596668A" w14:textId="3F01E1B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11,184 </w:t>
            </w:r>
          </w:p>
        </w:tc>
        <w:tc>
          <w:tcPr>
            <w:tcW w:w="914" w:type="dxa"/>
            <w:shd w:val="clear" w:color="auto" w:fill="auto"/>
            <w:noWrap/>
            <w:vAlign w:val="bottom"/>
            <w:hideMark/>
          </w:tcPr>
          <w:p w14:paraId="75E88170" w14:textId="796D1C6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15,529 </w:t>
            </w:r>
          </w:p>
        </w:tc>
        <w:tc>
          <w:tcPr>
            <w:tcW w:w="915" w:type="dxa"/>
            <w:shd w:val="clear" w:color="auto" w:fill="auto"/>
            <w:noWrap/>
            <w:vAlign w:val="bottom"/>
            <w:hideMark/>
          </w:tcPr>
          <w:p w14:paraId="73BAA690" w14:textId="5F47160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17,106 </w:t>
            </w:r>
          </w:p>
        </w:tc>
        <w:tc>
          <w:tcPr>
            <w:tcW w:w="914" w:type="dxa"/>
            <w:shd w:val="clear" w:color="auto" w:fill="auto"/>
            <w:noWrap/>
            <w:vAlign w:val="bottom"/>
            <w:hideMark/>
          </w:tcPr>
          <w:p w14:paraId="5A94CC56" w14:textId="203BD4B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14,702 </w:t>
            </w:r>
          </w:p>
        </w:tc>
        <w:tc>
          <w:tcPr>
            <w:tcW w:w="914" w:type="dxa"/>
            <w:shd w:val="clear" w:color="auto" w:fill="auto"/>
            <w:noWrap/>
            <w:vAlign w:val="bottom"/>
            <w:hideMark/>
          </w:tcPr>
          <w:p w14:paraId="196FD9FC" w14:textId="54F4117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20,980 </w:t>
            </w:r>
          </w:p>
        </w:tc>
        <w:tc>
          <w:tcPr>
            <w:tcW w:w="915" w:type="dxa"/>
            <w:shd w:val="clear" w:color="auto" w:fill="auto"/>
            <w:noWrap/>
            <w:vAlign w:val="bottom"/>
            <w:hideMark/>
          </w:tcPr>
          <w:p w14:paraId="730A4ABF" w14:textId="5AC4254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25,691 </w:t>
            </w:r>
          </w:p>
        </w:tc>
      </w:tr>
      <w:tr w:rsidR="00965DD0" w:rsidRPr="00965DD0" w14:paraId="0899D4EB" w14:textId="77777777" w:rsidTr="00AB0119">
        <w:trPr>
          <w:trHeight w:val="300"/>
        </w:trPr>
        <w:tc>
          <w:tcPr>
            <w:tcW w:w="2547" w:type="dxa"/>
            <w:shd w:val="clear" w:color="auto" w:fill="auto"/>
            <w:noWrap/>
            <w:vAlign w:val="bottom"/>
            <w:hideMark/>
          </w:tcPr>
          <w:p w14:paraId="46D7A385" w14:textId="47EBE510"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Surgery </w:t>
            </w:r>
          </w:p>
        </w:tc>
        <w:tc>
          <w:tcPr>
            <w:tcW w:w="914" w:type="dxa"/>
            <w:shd w:val="clear" w:color="auto" w:fill="auto"/>
            <w:noWrap/>
            <w:vAlign w:val="bottom"/>
            <w:hideMark/>
          </w:tcPr>
          <w:p w14:paraId="59A8F437" w14:textId="341BB39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5,955 </w:t>
            </w:r>
          </w:p>
        </w:tc>
        <w:tc>
          <w:tcPr>
            <w:tcW w:w="914" w:type="dxa"/>
            <w:shd w:val="clear" w:color="auto" w:fill="auto"/>
            <w:noWrap/>
            <w:vAlign w:val="bottom"/>
            <w:hideMark/>
          </w:tcPr>
          <w:p w14:paraId="41ADC616" w14:textId="3FEA49D9"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13,428 </w:t>
            </w:r>
          </w:p>
        </w:tc>
        <w:tc>
          <w:tcPr>
            <w:tcW w:w="914" w:type="dxa"/>
            <w:shd w:val="clear" w:color="auto" w:fill="auto"/>
            <w:noWrap/>
            <w:vAlign w:val="bottom"/>
            <w:hideMark/>
          </w:tcPr>
          <w:p w14:paraId="4295073E" w14:textId="560C625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21,023 </w:t>
            </w:r>
          </w:p>
        </w:tc>
        <w:tc>
          <w:tcPr>
            <w:tcW w:w="915" w:type="dxa"/>
            <w:shd w:val="clear" w:color="auto" w:fill="auto"/>
            <w:noWrap/>
            <w:vAlign w:val="bottom"/>
            <w:hideMark/>
          </w:tcPr>
          <w:p w14:paraId="6A43B9C6" w14:textId="0759F19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26,430 </w:t>
            </w:r>
          </w:p>
        </w:tc>
        <w:tc>
          <w:tcPr>
            <w:tcW w:w="914" w:type="dxa"/>
            <w:shd w:val="clear" w:color="auto" w:fill="auto"/>
            <w:noWrap/>
            <w:vAlign w:val="bottom"/>
            <w:hideMark/>
          </w:tcPr>
          <w:p w14:paraId="433AE27B" w14:textId="7DE974B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16,335 </w:t>
            </w:r>
          </w:p>
        </w:tc>
        <w:tc>
          <w:tcPr>
            <w:tcW w:w="914" w:type="dxa"/>
            <w:shd w:val="clear" w:color="auto" w:fill="auto"/>
            <w:noWrap/>
            <w:vAlign w:val="bottom"/>
            <w:hideMark/>
          </w:tcPr>
          <w:p w14:paraId="450F64B2" w14:textId="6A9B2D4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9,867 </w:t>
            </w:r>
          </w:p>
        </w:tc>
        <w:tc>
          <w:tcPr>
            <w:tcW w:w="915" w:type="dxa"/>
            <w:shd w:val="clear" w:color="auto" w:fill="auto"/>
            <w:noWrap/>
            <w:vAlign w:val="bottom"/>
            <w:hideMark/>
          </w:tcPr>
          <w:p w14:paraId="7A96DC99" w14:textId="4BB255A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8,381 </w:t>
            </w:r>
          </w:p>
        </w:tc>
      </w:tr>
      <w:tr w:rsidR="00965DD0" w:rsidRPr="00965DD0" w14:paraId="43DAE484" w14:textId="77777777" w:rsidTr="00AB0119">
        <w:trPr>
          <w:trHeight w:val="300"/>
        </w:trPr>
        <w:tc>
          <w:tcPr>
            <w:tcW w:w="2547" w:type="dxa"/>
            <w:shd w:val="clear" w:color="auto" w:fill="auto"/>
            <w:noWrap/>
            <w:vAlign w:val="bottom"/>
            <w:hideMark/>
          </w:tcPr>
          <w:p w14:paraId="1089EE40" w14:textId="3FBF828F"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Anaesthetics </w:t>
            </w:r>
          </w:p>
        </w:tc>
        <w:tc>
          <w:tcPr>
            <w:tcW w:w="914" w:type="dxa"/>
            <w:shd w:val="clear" w:color="auto" w:fill="auto"/>
            <w:noWrap/>
            <w:vAlign w:val="bottom"/>
            <w:hideMark/>
          </w:tcPr>
          <w:p w14:paraId="1685CD8B" w14:textId="4B448BC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6,082 </w:t>
            </w:r>
          </w:p>
        </w:tc>
        <w:tc>
          <w:tcPr>
            <w:tcW w:w="914" w:type="dxa"/>
            <w:shd w:val="clear" w:color="auto" w:fill="auto"/>
            <w:noWrap/>
            <w:vAlign w:val="bottom"/>
            <w:hideMark/>
          </w:tcPr>
          <w:p w14:paraId="262AFB21" w14:textId="1FEF39D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12,395 </w:t>
            </w:r>
          </w:p>
        </w:tc>
        <w:tc>
          <w:tcPr>
            <w:tcW w:w="914" w:type="dxa"/>
            <w:shd w:val="clear" w:color="auto" w:fill="auto"/>
            <w:noWrap/>
            <w:vAlign w:val="bottom"/>
            <w:hideMark/>
          </w:tcPr>
          <w:p w14:paraId="59F0EC37" w14:textId="2178114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16,248 </w:t>
            </w:r>
          </w:p>
        </w:tc>
        <w:tc>
          <w:tcPr>
            <w:tcW w:w="915" w:type="dxa"/>
            <w:shd w:val="clear" w:color="auto" w:fill="auto"/>
            <w:noWrap/>
            <w:vAlign w:val="bottom"/>
            <w:hideMark/>
          </w:tcPr>
          <w:p w14:paraId="0AA2E1E9" w14:textId="5457A0AB"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21,552 </w:t>
            </w:r>
          </w:p>
        </w:tc>
        <w:tc>
          <w:tcPr>
            <w:tcW w:w="914" w:type="dxa"/>
            <w:shd w:val="clear" w:color="auto" w:fill="auto"/>
            <w:noWrap/>
            <w:vAlign w:val="bottom"/>
            <w:hideMark/>
          </w:tcPr>
          <w:p w14:paraId="25C158A6" w14:textId="5E27A21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10,079 </w:t>
            </w:r>
          </w:p>
        </w:tc>
        <w:tc>
          <w:tcPr>
            <w:tcW w:w="914" w:type="dxa"/>
            <w:shd w:val="clear" w:color="auto" w:fill="auto"/>
            <w:noWrap/>
            <w:vAlign w:val="bottom"/>
            <w:hideMark/>
          </w:tcPr>
          <w:p w14:paraId="0572AA35" w14:textId="7BEE638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4,244 </w:t>
            </w:r>
          </w:p>
        </w:tc>
        <w:tc>
          <w:tcPr>
            <w:tcW w:w="915" w:type="dxa"/>
            <w:shd w:val="clear" w:color="auto" w:fill="auto"/>
            <w:noWrap/>
            <w:vAlign w:val="bottom"/>
            <w:hideMark/>
          </w:tcPr>
          <w:p w14:paraId="1AF854D3" w14:textId="65DE432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3,090 </w:t>
            </w:r>
          </w:p>
        </w:tc>
      </w:tr>
      <w:tr w:rsidR="00965DD0" w:rsidRPr="00965DD0" w14:paraId="4FBF3637" w14:textId="77777777" w:rsidTr="00AB0119">
        <w:trPr>
          <w:trHeight w:val="300"/>
        </w:trPr>
        <w:tc>
          <w:tcPr>
            <w:tcW w:w="2547" w:type="dxa"/>
            <w:shd w:val="clear" w:color="auto" w:fill="auto"/>
            <w:noWrap/>
            <w:vAlign w:val="bottom"/>
            <w:hideMark/>
          </w:tcPr>
          <w:p w14:paraId="3F7D68D4" w14:textId="3100896F"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Palliative Medicine </w:t>
            </w:r>
          </w:p>
        </w:tc>
        <w:tc>
          <w:tcPr>
            <w:tcW w:w="914" w:type="dxa"/>
            <w:shd w:val="clear" w:color="auto" w:fill="auto"/>
            <w:noWrap/>
            <w:vAlign w:val="bottom"/>
            <w:hideMark/>
          </w:tcPr>
          <w:p w14:paraId="492B74CB" w14:textId="6C302A4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5,340 </w:t>
            </w:r>
          </w:p>
        </w:tc>
        <w:tc>
          <w:tcPr>
            <w:tcW w:w="914" w:type="dxa"/>
            <w:shd w:val="clear" w:color="auto" w:fill="auto"/>
            <w:noWrap/>
            <w:vAlign w:val="bottom"/>
            <w:hideMark/>
          </w:tcPr>
          <w:p w14:paraId="232C592E" w14:textId="1E1EF67F"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5,203 </w:t>
            </w:r>
          </w:p>
        </w:tc>
        <w:tc>
          <w:tcPr>
            <w:tcW w:w="914" w:type="dxa"/>
            <w:shd w:val="clear" w:color="auto" w:fill="auto"/>
            <w:noWrap/>
            <w:vAlign w:val="bottom"/>
            <w:hideMark/>
          </w:tcPr>
          <w:p w14:paraId="7765ED7C" w14:textId="1CBBF67F"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5,066 </w:t>
            </w:r>
          </w:p>
        </w:tc>
        <w:tc>
          <w:tcPr>
            <w:tcW w:w="915" w:type="dxa"/>
            <w:shd w:val="clear" w:color="auto" w:fill="auto"/>
            <w:noWrap/>
            <w:vAlign w:val="bottom"/>
            <w:hideMark/>
          </w:tcPr>
          <w:p w14:paraId="1C549B98" w14:textId="557FD13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5,608 </w:t>
            </w:r>
          </w:p>
        </w:tc>
        <w:tc>
          <w:tcPr>
            <w:tcW w:w="914" w:type="dxa"/>
            <w:shd w:val="clear" w:color="auto" w:fill="auto"/>
            <w:noWrap/>
            <w:vAlign w:val="bottom"/>
            <w:hideMark/>
          </w:tcPr>
          <w:p w14:paraId="74E1DF45" w14:textId="65962D18"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4,356 </w:t>
            </w:r>
          </w:p>
        </w:tc>
        <w:tc>
          <w:tcPr>
            <w:tcW w:w="914" w:type="dxa"/>
            <w:shd w:val="clear" w:color="auto" w:fill="auto"/>
            <w:noWrap/>
            <w:vAlign w:val="bottom"/>
            <w:hideMark/>
          </w:tcPr>
          <w:p w14:paraId="183F5E18" w14:textId="7DB2F109" w:rsidR="00965DD0" w:rsidRPr="00965DD0" w:rsidRDefault="00965DD0" w:rsidP="001C001C">
            <w:pPr>
              <w:spacing w:after="0"/>
              <w:jc w:val="right"/>
              <w:rPr>
                <w:rFonts w:ascii="Times New Roman" w:eastAsia="Times New Roman" w:hAnsi="Times New Roman" w:cs="Times New Roman"/>
                <w:sz w:val="20"/>
                <w:szCs w:val="20"/>
              </w:rPr>
            </w:pPr>
            <w:r w:rsidRPr="00965DD0">
              <w:rPr>
                <w:rFonts w:ascii="Calibri" w:hAnsi="Calibri" w:cs="Calibri"/>
                <w:color w:val="000000"/>
                <w:sz w:val="20"/>
                <w:szCs w:val="20"/>
              </w:rPr>
              <w:t xml:space="preserve"> 3,607 </w:t>
            </w:r>
          </w:p>
        </w:tc>
        <w:tc>
          <w:tcPr>
            <w:tcW w:w="915" w:type="dxa"/>
            <w:shd w:val="clear" w:color="auto" w:fill="auto"/>
            <w:noWrap/>
            <w:vAlign w:val="bottom"/>
            <w:hideMark/>
          </w:tcPr>
          <w:p w14:paraId="5209744B" w14:textId="7295897D" w:rsidR="00965DD0" w:rsidRPr="00965DD0" w:rsidRDefault="00965DD0" w:rsidP="00965DD0">
            <w:pPr>
              <w:spacing w:after="0"/>
              <w:rPr>
                <w:rFonts w:ascii="Times New Roman" w:eastAsia="Times New Roman" w:hAnsi="Times New Roman" w:cs="Times New Roman"/>
                <w:sz w:val="20"/>
                <w:szCs w:val="20"/>
              </w:rPr>
            </w:pPr>
            <w:r w:rsidRPr="00965DD0">
              <w:rPr>
                <w:rFonts w:ascii="Calibri" w:hAnsi="Calibri" w:cs="Calibri"/>
                <w:color w:val="000000"/>
                <w:sz w:val="20"/>
                <w:szCs w:val="20"/>
              </w:rPr>
              <w:t xml:space="preserve"> 3,265 </w:t>
            </w:r>
          </w:p>
        </w:tc>
      </w:tr>
      <w:tr w:rsidR="00965DD0" w:rsidRPr="00965DD0" w14:paraId="40C90D9C" w14:textId="77777777" w:rsidTr="00AB0119">
        <w:trPr>
          <w:trHeight w:val="300"/>
        </w:trPr>
        <w:tc>
          <w:tcPr>
            <w:tcW w:w="2547" w:type="dxa"/>
            <w:shd w:val="clear" w:color="auto" w:fill="auto"/>
            <w:noWrap/>
            <w:vAlign w:val="bottom"/>
            <w:hideMark/>
          </w:tcPr>
          <w:p w14:paraId="758FB511" w14:textId="7CA526DC"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GP Unclassified </w:t>
            </w:r>
          </w:p>
        </w:tc>
        <w:tc>
          <w:tcPr>
            <w:tcW w:w="914" w:type="dxa"/>
            <w:shd w:val="clear" w:color="auto" w:fill="auto"/>
            <w:noWrap/>
            <w:vAlign w:val="bottom"/>
            <w:hideMark/>
          </w:tcPr>
          <w:p w14:paraId="25224C42" w14:textId="155EA85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6,889 </w:t>
            </w:r>
          </w:p>
        </w:tc>
        <w:tc>
          <w:tcPr>
            <w:tcW w:w="914" w:type="dxa"/>
            <w:shd w:val="clear" w:color="auto" w:fill="auto"/>
            <w:noWrap/>
            <w:vAlign w:val="bottom"/>
            <w:hideMark/>
          </w:tcPr>
          <w:p w14:paraId="2FD435DA" w14:textId="0787EF0B"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14,458 </w:t>
            </w:r>
          </w:p>
        </w:tc>
        <w:tc>
          <w:tcPr>
            <w:tcW w:w="914" w:type="dxa"/>
            <w:shd w:val="clear" w:color="auto" w:fill="auto"/>
            <w:noWrap/>
            <w:vAlign w:val="bottom"/>
            <w:hideMark/>
          </w:tcPr>
          <w:p w14:paraId="7B22B6AC" w14:textId="63318CF3"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10,052 </w:t>
            </w:r>
          </w:p>
        </w:tc>
        <w:tc>
          <w:tcPr>
            <w:tcW w:w="915" w:type="dxa"/>
            <w:shd w:val="clear" w:color="auto" w:fill="auto"/>
            <w:noWrap/>
            <w:vAlign w:val="bottom"/>
            <w:hideMark/>
          </w:tcPr>
          <w:p w14:paraId="7DC6D373" w14:textId="7ABA67DB"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951 </w:t>
            </w:r>
          </w:p>
        </w:tc>
        <w:tc>
          <w:tcPr>
            <w:tcW w:w="914" w:type="dxa"/>
            <w:shd w:val="clear" w:color="auto" w:fill="auto"/>
            <w:noWrap/>
            <w:vAlign w:val="bottom"/>
            <w:hideMark/>
          </w:tcPr>
          <w:p w14:paraId="4FAAE36E" w14:textId="25E7D43F" w:rsidR="00965DD0" w:rsidRPr="00965DD0" w:rsidRDefault="00965DD0" w:rsidP="00965DD0">
            <w:pPr>
              <w:spacing w:after="0"/>
              <w:jc w:val="right"/>
              <w:rPr>
                <w:rFonts w:ascii="Calibri" w:eastAsia="Times New Roman" w:hAnsi="Calibri" w:cs="Calibri"/>
                <w:color w:val="000000"/>
                <w:sz w:val="20"/>
                <w:szCs w:val="20"/>
              </w:rPr>
            </w:pPr>
          </w:p>
        </w:tc>
        <w:tc>
          <w:tcPr>
            <w:tcW w:w="914" w:type="dxa"/>
            <w:shd w:val="clear" w:color="auto" w:fill="auto"/>
            <w:noWrap/>
            <w:vAlign w:val="bottom"/>
            <w:hideMark/>
          </w:tcPr>
          <w:p w14:paraId="69E3C827" w14:textId="2A53D5A1" w:rsidR="00965DD0" w:rsidRPr="00965DD0" w:rsidRDefault="001C001C" w:rsidP="00965DD0">
            <w:pPr>
              <w:spacing w:after="0"/>
              <w:jc w:val="right"/>
              <w:rPr>
                <w:rFonts w:ascii="Calibri" w:eastAsia="Times New Roman" w:hAnsi="Calibri" w:cs="Calibri"/>
                <w:color w:val="000000"/>
                <w:sz w:val="20"/>
                <w:szCs w:val="20"/>
              </w:rPr>
            </w:pPr>
            <w:r>
              <w:rPr>
                <w:rFonts w:ascii="Calibri" w:hAnsi="Calibri" w:cs="Calibri"/>
                <w:color w:val="000000"/>
                <w:sz w:val="20"/>
                <w:szCs w:val="20"/>
              </w:rPr>
              <w:t>&lt;5</w:t>
            </w:r>
            <w:r w:rsidR="00965DD0" w:rsidRPr="00965DD0">
              <w:rPr>
                <w:rFonts w:ascii="Calibri" w:hAnsi="Calibri" w:cs="Calibri"/>
                <w:color w:val="000000"/>
                <w:sz w:val="20"/>
                <w:szCs w:val="20"/>
              </w:rPr>
              <w:t xml:space="preserve"> </w:t>
            </w:r>
          </w:p>
        </w:tc>
        <w:tc>
          <w:tcPr>
            <w:tcW w:w="915" w:type="dxa"/>
            <w:shd w:val="clear" w:color="auto" w:fill="auto"/>
            <w:noWrap/>
            <w:vAlign w:val="bottom"/>
            <w:hideMark/>
          </w:tcPr>
          <w:p w14:paraId="62826E29" w14:textId="5D5875F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 </w:t>
            </w:r>
          </w:p>
        </w:tc>
      </w:tr>
      <w:tr w:rsidR="00965DD0" w:rsidRPr="00965DD0" w14:paraId="0AC36278" w14:textId="77777777" w:rsidTr="00AB0119">
        <w:trPr>
          <w:trHeight w:val="300"/>
        </w:trPr>
        <w:tc>
          <w:tcPr>
            <w:tcW w:w="2547" w:type="dxa"/>
            <w:shd w:val="clear" w:color="auto" w:fill="auto"/>
            <w:noWrap/>
            <w:vAlign w:val="bottom"/>
            <w:hideMark/>
          </w:tcPr>
          <w:p w14:paraId="7C1BF707" w14:textId="66D0C752"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Rehabilitation Medicine </w:t>
            </w:r>
          </w:p>
        </w:tc>
        <w:tc>
          <w:tcPr>
            <w:tcW w:w="914" w:type="dxa"/>
            <w:shd w:val="clear" w:color="auto" w:fill="auto"/>
            <w:noWrap/>
            <w:vAlign w:val="bottom"/>
            <w:hideMark/>
          </w:tcPr>
          <w:p w14:paraId="57E0D42F" w14:textId="130D416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2,196 </w:t>
            </w:r>
          </w:p>
        </w:tc>
        <w:tc>
          <w:tcPr>
            <w:tcW w:w="914" w:type="dxa"/>
            <w:shd w:val="clear" w:color="auto" w:fill="auto"/>
            <w:noWrap/>
            <w:vAlign w:val="bottom"/>
            <w:hideMark/>
          </w:tcPr>
          <w:p w14:paraId="6738E6AA" w14:textId="202D73B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3,186 </w:t>
            </w:r>
          </w:p>
        </w:tc>
        <w:tc>
          <w:tcPr>
            <w:tcW w:w="914" w:type="dxa"/>
            <w:shd w:val="clear" w:color="auto" w:fill="auto"/>
            <w:noWrap/>
            <w:vAlign w:val="bottom"/>
            <w:hideMark/>
          </w:tcPr>
          <w:p w14:paraId="0CF5EE90" w14:textId="18D3A85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4,251 </w:t>
            </w:r>
          </w:p>
        </w:tc>
        <w:tc>
          <w:tcPr>
            <w:tcW w:w="915" w:type="dxa"/>
            <w:shd w:val="clear" w:color="auto" w:fill="auto"/>
            <w:noWrap/>
            <w:vAlign w:val="bottom"/>
            <w:hideMark/>
          </w:tcPr>
          <w:p w14:paraId="51CDC5E1" w14:textId="086B0C2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5,697 </w:t>
            </w:r>
          </w:p>
        </w:tc>
        <w:tc>
          <w:tcPr>
            <w:tcW w:w="914" w:type="dxa"/>
            <w:shd w:val="clear" w:color="auto" w:fill="auto"/>
            <w:noWrap/>
            <w:vAlign w:val="bottom"/>
            <w:hideMark/>
          </w:tcPr>
          <w:p w14:paraId="5E2D3216" w14:textId="018C6D8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3,981 </w:t>
            </w:r>
          </w:p>
        </w:tc>
        <w:tc>
          <w:tcPr>
            <w:tcW w:w="914" w:type="dxa"/>
            <w:shd w:val="clear" w:color="auto" w:fill="auto"/>
            <w:noWrap/>
            <w:vAlign w:val="bottom"/>
            <w:hideMark/>
          </w:tcPr>
          <w:p w14:paraId="06E75EAC" w14:textId="3C359E98"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3,386 </w:t>
            </w:r>
          </w:p>
        </w:tc>
        <w:tc>
          <w:tcPr>
            <w:tcW w:w="915" w:type="dxa"/>
            <w:shd w:val="clear" w:color="auto" w:fill="auto"/>
            <w:noWrap/>
            <w:vAlign w:val="bottom"/>
            <w:hideMark/>
          </w:tcPr>
          <w:p w14:paraId="75279671" w14:textId="08ACFD1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2,757 </w:t>
            </w:r>
          </w:p>
        </w:tc>
      </w:tr>
      <w:tr w:rsidR="00965DD0" w:rsidRPr="00965DD0" w14:paraId="27A28588" w14:textId="77777777" w:rsidTr="001C001C">
        <w:trPr>
          <w:trHeight w:val="300"/>
        </w:trPr>
        <w:tc>
          <w:tcPr>
            <w:tcW w:w="2547" w:type="dxa"/>
            <w:shd w:val="clear" w:color="auto" w:fill="auto"/>
            <w:noWrap/>
            <w:vAlign w:val="bottom"/>
          </w:tcPr>
          <w:p w14:paraId="0138F00B" w14:textId="727B894D"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Internal Medicine </w:t>
            </w:r>
          </w:p>
        </w:tc>
        <w:tc>
          <w:tcPr>
            <w:tcW w:w="914" w:type="dxa"/>
            <w:shd w:val="clear" w:color="auto" w:fill="auto"/>
            <w:noWrap/>
            <w:vAlign w:val="bottom"/>
          </w:tcPr>
          <w:p w14:paraId="005D753F" w14:textId="5A830E68"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1,127 </w:t>
            </w:r>
          </w:p>
        </w:tc>
        <w:tc>
          <w:tcPr>
            <w:tcW w:w="914" w:type="dxa"/>
            <w:shd w:val="clear" w:color="auto" w:fill="auto"/>
            <w:noWrap/>
            <w:vAlign w:val="bottom"/>
          </w:tcPr>
          <w:p w14:paraId="1C679B8D" w14:textId="15F06F3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1,535 </w:t>
            </w:r>
          </w:p>
        </w:tc>
        <w:tc>
          <w:tcPr>
            <w:tcW w:w="914" w:type="dxa"/>
            <w:shd w:val="clear" w:color="auto" w:fill="auto"/>
            <w:noWrap/>
            <w:vAlign w:val="bottom"/>
          </w:tcPr>
          <w:p w14:paraId="4DC72EE6" w14:textId="13A5D93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2,055 </w:t>
            </w:r>
          </w:p>
        </w:tc>
        <w:tc>
          <w:tcPr>
            <w:tcW w:w="915" w:type="dxa"/>
            <w:shd w:val="clear" w:color="auto" w:fill="auto"/>
            <w:noWrap/>
            <w:vAlign w:val="bottom"/>
          </w:tcPr>
          <w:p w14:paraId="6D5F043F" w14:textId="0DA1666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2,676 </w:t>
            </w:r>
          </w:p>
        </w:tc>
        <w:tc>
          <w:tcPr>
            <w:tcW w:w="914" w:type="dxa"/>
            <w:shd w:val="clear" w:color="auto" w:fill="auto"/>
            <w:noWrap/>
            <w:vAlign w:val="bottom"/>
          </w:tcPr>
          <w:p w14:paraId="7132C4CB" w14:textId="47FAB3E8"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2,408 </w:t>
            </w:r>
          </w:p>
        </w:tc>
        <w:tc>
          <w:tcPr>
            <w:tcW w:w="914" w:type="dxa"/>
            <w:shd w:val="clear" w:color="auto" w:fill="auto"/>
            <w:noWrap/>
            <w:vAlign w:val="bottom"/>
          </w:tcPr>
          <w:p w14:paraId="43B48CC4" w14:textId="1A85D7B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2,159 </w:t>
            </w:r>
          </w:p>
        </w:tc>
        <w:tc>
          <w:tcPr>
            <w:tcW w:w="915" w:type="dxa"/>
            <w:shd w:val="clear" w:color="auto" w:fill="auto"/>
            <w:noWrap/>
            <w:vAlign w:val="bottom"/>
          </w:tcPr>
          <w:p w14:paraId="00892023" w14:textId="15AF628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1,805 </w:t>
            </w:r>
          </w:p>
        </w:tc>
      </w:tr>
      <w:tr w:rsidR="00965DD0" w:rsidRPr="00965DD0" w14:paraId="3B6E9B23" w14:textId="77777777" w:rsidTr="001C001C">
        <w:trPr>
          <w:trHeight w:val="300"/>
        </w:trPr>
        <w:tc>
          <w:tcPr>
            <w:tcW w:w="2547" w:type="dxa"/>
            <w:shd w:val="clear" w:color="auto" w:fill="auto"/>
            <w:noWrap/>
            <w:vAlign w:val="bottom"/>
          </w:tcPr>
          <w:p w14:paraId="1F272369" w14:textId="084F3A20"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Rheumatology </w:t>
            </w:r>
          </w:p>
        </w:tc>
        <w:tc>
          <w:tcPr>
            <w:tcW w:w="914" w:type="dxa"/>
            <w:shd w:val="clear" w:color="auto" w:fill="auto"/>
            <w:noWrap/>
            <w:vAlign w:val="bottom"/>
          </w:tcPr>
          <w:p w14:paraId="3B862BF1" w14:textId="2509110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1,653 </w:t>
            </w:r>
          </w:p>
        </w:tc>
        <w:tc>
          <w:tcPr>
            <w:tcW w:w="914" w:type="dxa"/>
            <w:shd w:val="clear" w:color="auto" w:fill="auto"/>
            <w:noWrap/>
            <w:vAlign w:val="bottom"/>
          </w:tcPr>
          <w:p w14:paraId="25508A41" w14:textId="56D9EBF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1,723 </w:t>
            </w:r>
          </w:p>
        </w:tc>
        <w:tc>
          <w:tcPr>
            <w:tcW w:w="914" w:type="dxa"/>
            <w:shd w:val="clear" w:color="auto" w:fill="auto"/>
            <w:noWrap/>
            <w:vAlign w:val="bottom"/>
          </w:tcPr>
          <w:p w14:paraId="1DD4A0F4" w14:textId="716171C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2,111 </w:t>
            </w:r>
          </w:p>
        </w:tc>
        <w:tc>
          <w:tcPr>
            <w:tcW w:w="915" w:type="dxa"/>
            <w:shd w:val="clear" w:color="auto" w:fill="auto"/>
            <w:noWrap/>
            <w:vAlign w:val="bottom"/>
          </w:tcPr>
          <w:p w14:paraId="012F731B" w14:textId="4BD9F00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2,349 </w:t>
            </w:r>
          </w:p>
        </w:tc>
        <w:tc>
          <w:tcPr>
            <w:tcW w:w="914" w:type="dxa"/>
            <w:shd w:val="clear" w:color="auto" w:fill="auto"/>
            <w:noWrap/>
            <w:vAlign w:val="bottom"/>
          </w:tcPr>
          <w:p w14:paraId="145F8AB5" w14:textId="7531B2D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1,885 </w:t>
            </w:r>
          </w:p>
        </w:tc>
        <w:tc>
          <w:tcPr>
            <w:tcW w:w="914" w:type="dxa"/>
            <w:shd w:val="clear" w:color="auto" w:fill="auto"/>
            <w:noWrap/>
            <w:vAlign w:val="bottom"/>
          </w:tcPr>
          <w:p w14:paraId="30590890" w14:textId="33DFE19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1,790 </w:t>
            </w:r>
          </w:p>
        </w:tc>
        <w:tc>
          <w:tcPr>
            <w:tcW w:w="915" w:type="dxa"/>
            <w:shd w:val="clear" w:color="auto" w:fill="auto"/>
            <w:noWrap/>
            <w:vAlign w:val="bottom"/>
          </w:tcPr>
          <w:p w14:paraId="62AA543D" w14:textId="522272C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1,325 </w:t>
            </w:r>
          </w:p>
        </w:tc>
      </w:tr>
      <w:tr w:rsidR="00965DD0" w:rsidRPr="00965DD0" w14:paraId="7BB73E00" w14:textId="77777777" w:rsidTr="001C001C">
        <w:trPr>
          <w:trHeight w:val="300"/>
        </w:trPr>
        <w:tc>
          <w:tcPr>
            <w:tcW w:w="2547" w:type="dxa"/>
            <w:shd w:val="clear" w:color="auto" w:fill="auto"/>
            <w:noWrap/>
            <w:vAlign w:val="bottom"/>
          </w:tcPr>
          <w:p w14:paraId="14B6F681" w14:textId="62758782"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Geriatric Medicine </w:t>
            </w:r>
          </w:p>
        </w:tc>
        <w:tc>
          <w:tcPr>
            <w:tcW w:w="914" w:type="dxa"/>
            <w:shd w:val="clear" w:color="auto" w:fill="auto"/>
            <w:noWrap/>
            <w:vAlign w:val="bottom"/>
          </w:tcPr>
          <w:p w14:paraId="4A1B61FE" w14:textId="2350992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646 </w:t>
            </w:r>
          </w:p>
        </w:tc>
        <w:tc>
          <w:tcPr>
            <w:tcW w:w="914" w:type="dxa"/>
            <w:shd w:val="clear" w:color="auto" w:fill="auto"/>
            <w:noWrap/>
            <w:vAlign w:val="bottom"/>
          </w:tcPr>
          <w:p w14:paraId="178B30C8" w14:textId="147B2150"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1,217 </w:t>
            </w:r>
          </w:p>
        </w:tc>
        <w:tc>
          <w:tcPr>
            <w:tcW w:w="914" w:type="dxa"/>
            <w:shd w:val="clear" w:color="auto" w:fill="auto"/>
            <w:noWrap/>
            <w:vAlign w:val="bottom"/>
          </w:tcPr>
          <w:p w14:paraId="51DB2486" w14:textId="6A5B9AE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1,782 </w:t>
            </w:r>
          </w:p>
        </w:tc>
        <w:tc>
          <w:tcPr>
            <w:tcW w:w="915" w:type="dxa"/>
            <w:shd w:val="clear" w:color="auto" w:fill="auto"/>
            <w:noWrap/>
            <w:vAlign w:val="bottom"/>
          </w:tcPr>
          <w:p w14:paraId="5F15078A" w14:textId="4804261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2,298 </w:t>
            </w:r>
          </w:p>
        </w:tc>
        <w:tc>
          <w:tcPr>
            <w:tcW w:w="914" w:type="dxa"/>
            <w:shd w:val="clear" w:color="auto" w:fill="auto"/>
            <w:noWrap/>
            <w:vAlign w:val="bottom"/>
          </w:tcPr>
          <w:p w14:paraId="44CF1153" w14:textId="1ADE8B6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1,793 </w:t>
            </w:r>
          </w:p>
        </w:tc>
        <w:tc>
          <w:tcPr>
            <w:tcW w:w="914" w:type="dxa"/>
            <w:shd w:val="clear" w:color="auto" w:fill="auto"/>
            <w:noWrap/>
            <w:vAlign w:val="bottom"/>
          </w:tcPr>
          <w:p w14:paraId="56D86EF9" w14:textId="2676217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1,445 </w:t>
            </w:r>
          </w:p>
        </w:tc>
        <w:tc>
          <w:tcPr>
            <w:tcW w:w="915" w:type="dxa"/>
            <w:shd w:val="clear" w:color="auto" w:fill="auto"/>
            <w:noWrap/>
            <w:vAlign w:val="bottom"/>
          </w:tcPr>
          <w:p w14:paraId="48262DC8" w14:textId="6398848F"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1,092 </w:t>
            </w:r>
          </w:p>
        </w:tc>
      </w:tr>
      <w:tr w:rsidR="00965DD0" w:rsidRPr="00965DD0" w14:paraId="00AE26C2" w14:textId="77777777" w:rsidTr="00AB0119">
        <w:trPr>
          <w:trHeight w:val="300"/>
        </w:trPr>
        <w:tc>
          <w:tcPr>
            <w:tcW w:w="2547" w:type="dxa"/>
            <w:shd w:val="clear" w:color="auto" w:fill="auto"/>
            <w:noWrap/>
            <w:vAlign w:val="bottom"/>
            <w:hideMark/>
          </w:tcPr>
          <w:p w14:paraId="04A53AFD" w14:textId="51DC74AC"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Medical Oncology </w:t>
            </w:r>
          </w:p>
        </w:tc>
        <w:tc>
          <w:tcPr>
            <w:tcW w:w="914" w:type="dxa"/>
            <w:shd w:val="clear" w:color="auto" w:fill="auto"/>
            <w:noWrap/>
            <w:vAlign w:val="bottom"/>
            <w:hideMark/>
          </w:tcPr>
          <w:p w14:paraId="51D4A186" w14:textId="2F8CAF3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461 </w:t>
            </w:r>
          </w:p>
        </w:tc>
        <w:tc>
          <w:tcPr>
            <w:tcW w:w="914" w:type="dxa"/>
            <w:shd w:val="clear" w:color="auto" w:fill="auto"/>
            <w:noWrap/>
            <w:vAlign w:val="bottom"/>
            <w:hideMark/>
          </w:tcPr>
          <w:p w14:paraId="6545728F" w14:textId="6213018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692 </w:t>
            </w:r>
          </w:p>
        </w:tc>
        <w:tc>
          <w:tcPr>
            <w:tcW w:w="914" w:type="dxa"/>
            <w:shd w:val="clear" w:color="auto" w:fill="auto"/>
            <w:noWrap/>
            <w:vAlign w:val="bottom"/>
            <w:hideMark/>
          </w:tcPr>
          <w:p w14:paraId="3448D2D5" w14:textId="3AB2D583"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859 </w:t>
            </w:r>
          </w:p>
        </w:tc>
        <w:tc>
          <w:tcPr>
            <w:tcW w:w="915" w:type="dxa"/>
            <w:shd w:val="clear" w:color="auto" w:fill="auto"/>
            <w:noWrap/>
            <w:vAlign w:val="bottom"/>
            <w:hideMark/>
          </w:tcPr>
          <w:p w14:paraId="68CD0B05" w14:textId="188BBD4A"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1,138 </w:t>
            </w:r>
          </w:p>
        </w:tc>
        <w:tc>
          <w:tcPr>
            <w:tcW w:w="914" w:type="dxa"/>
            <w:shd w:val="clear" w:color="auto" w:fill="auto"/>
            <w:noWrap/>
            <w:vAlign w:val="bottom"/>
            <w:hideMark/>
          </w:tcPr>
          <w:p w14:paraId="1D2CB043" w14:textId="0801D512"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1,208 </w:t>
            </w:r>
          </w:p>
        </w:tc>
        <w:tc>
          <w:tcPr>
            <w:tcW w:w="914" w:type="dxa"/>
            <w:shd w:val="clear" w:color="auto" w:fill="auto"/>
            <w:noWrap/>
            <w:vAlign w:val="bottom"/>
            <w:hideMark/>
          </w:tcPr>
          <w:p w14:paraId="5672ADF7" w14:textId="0F4680CB"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1,409 </w:t>
            </w:r>
          </w:p>
        </w:tc>
        <w:tc>
          <w:tcPr>
            <w:tcW w:w="915" w:type="dxa"/>
            <w:shd w:val="clear" w:color="auto" w:fill="auto"/>
            <w:noWrap/>
            <w:vAlign w:val="bottom"/>
            <w:hideMark/>
          </w:tcPr>
          <w:p w14:paraId="0888BC58" w14:textId="300E8D3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1,412 </w:t>
            </w:r>
          </w:p>
        </w:tc>
      </w:tr>
      <w:tr w:rsidR="00965DD0" w:rsidRPr="00965DD0" w14:paraId="6FAC9579" w14:textId="77777777" w:rsidTr="00AB0119">
        <w:trPr>
          <w:trHeight w:val="300"/>
        </w:trPr>
        <w:tc>
          <w:tcPr>
            <w:tcW w:w="2547" w:type="dxa"/>
            <w:shd w:val="clear" w:color="auto" w:fill="auto"/>
            <w:noWrap/>
            <w:vAlign w:val="bottom"/>
            <w:hideMark/>
          </w:tcPr>
          <w:p w14:paraId="34118917" w14:textId="1174BA49"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Intensive Care </w:t>
            </w:r>
          </w:p>
        </w:tc>
        <w:tc>
          <w:tcPr>
            <w:tcW w:w="914" w:type="dxa"/>
            <w:shd w:val="clear" w:color="auto" w:fill="auto"/>
            <w:noWrap/>
            <w:vAlign w:val="bottom"/>
            <w:hideMark/>
          </w:tcPr>
          <w:p w14:paraId="1FC4FC11" w14:textId="2CBD4F9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613 </w:t>
            </w:r>
          </w:p>
        </w:tc>
        <w:tc>
          <w:tcPr>
            <w:tcW w:w="914" w:type="dxa"/>
            <w:shd w:val="clear" w:color="auto" w:fill="auto"/>
            <w:noWrap/>
            <w:vAlign w:val="bottom"/>
            <w:hideMark/>
          </w:tcPr>
          <w:p w14:paraId="6306ECCE" w14:textId="2C505A74"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868 </w:t>
            </w:r>
          </w:p>
        </w:tc>
        <w:tc>
          <w:tcPr>
            <w:tcW w:w="914" w:type="dxa"/>
            <w:shd w:val="clear" w:color="auto" w:fill="auto"/>
            <w:noWrap/>
            <w:vAlign w:val="bottom"/>
            <w:hideMark/>
          </w:tcPr>
          <w:p w14:paraId="1BB78E1E" w14:textId="565F612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1,059 </w:t>
            </w:r>
          </w:p>
        </w:tc>
        <w:tc>
          <w:tcPr>
            <w:tcW w:w="915" w:type="dxa"/>
            <w:shd w:val="clear" w:color="auto" w:fill="auto"/>
            <w:noWrap/>
            <w:vAlign w:val="bottom"/>
            <w:hideMark/>
          </w:tcPr>
          <w:p w14:paraId="6BD3C6A6" w14:textId="54CE697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1,518 </w:t>
            </w:r>
          </w:p>
        </w:tc>
        <w:tc>
          <w:tcPr>
            <w:tcW w:w="914" w:type="dxa"/>
            <w:shd w:val="clear" w:color="auto" w:fill="auto"/>
            <w:noWrap/>
            <w:vAlign w:val="bottom"/>
            <w:hideMark/>
          </w:tcPr>
          <w:p w14:paraId="3678BF86" w14:textId="43A83C7B"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1,022 </w:t>
            </w:r>
          </w:p>
        </w:tc>
        <w:tc>
          <w:tcPr>
            <w:tcW w:w="914" w:type="dxa"/>
            <w:shd w:val="clear" w:color="auto" w:fill="auto"/>
            <w:noWrap/>
            <w:vAlign w:val="bottom"/>
            <w:hideMark/>
          </w:tcPr>
          <w:p w14:paraId="51583CD6" w14:textId="15C513D5"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1,080 </w:t>
            </w:r>
          </w:p>
        </w:tc>
        <w:tc>
          <w:tcPr>
            <w:tcW w:w="915" w:type="dxa"/>
            <w:shd w:val="clear" w:color="auto" w:fill="auto"/>
            <w:noWrap/>
            <w:vAlign w:val="bottom"/>
            <w:hideMark/>
          </w:tcPr>
          <w:p w14:paraId="4122D0AF" w14:textId="288AC24C"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992 </w:t>
            </w:r>
          </w:p>
        </w:tc>
      </w:tr>
      <w:tr w:rsidR="00965DD0" w:rsidRPr="00965DD0" w14:paraId="57CC7F15" w14:textId="77777777" w:rsidTr="001C001C">
        <w:trPr>
          <w:trHeight w:val="300"/>
        </w:trPr>
        <w:tc>
          <w:tcPr>
            <w:tcW w:w="2547" w:type="dxa"/>
            <w:shd w:val="clear" w:color="auto" w:fill="auto"/>
            <w:noWrap/>
            <w:vAlign w:val="bottom"/>
            <w:hideMark/>
          </w:tcPr>
          <w:p w14:paraId="4AEF433C" w14:textId="461B4727" w:rsidR="00965DD0" w:rsidRPr="00965DD0" w:rsidRDefault="00965DD0" w:rsidP="00965DD0">
            <w:pPr>
              <w:spacing w:after="0"/>
              <w:rPr>
                <w:rFonts w:ascii="Calibri" w:eastAsia="Times New Roman" w:hAnsi="Calibri" w:cs="Calibri"/>
                <w:color w:val="000000"/>
                <w:sz w:val="20"/>
                <w:szCs w:val="20"/>
              </w:rPr>
            </w:pPr>
            <w:r w:rsidRPr="00965DD0">
              <w:rPr>
                <w:rFonts w:ascii="Calibri" w:hAnsi="Calibri" w:cs="Calibri"/>
                <w:color w:val="000000"/>
                <w:sz w:val="20"/>
                <w:szCs w:val="20"/>
              </w:rPr>
              <w:t xml:space="preserve">Obstetrics and Gynaecology </w:t>
            </w:r>
          </w:p>
        </w:tc>
        <w:tc>
          <w:tcPr>
            <w:tcW w:w="914" w:type="dxa"/>
            <w:shd w:val="clear" w:color="auto" w:fill="auto"/>
            <w:noWrap/>
            <w:vAlign w:val="bottom"/>
            <w:hideMark/>
          </w:tcPr>
          <w:p w14:paraId="57F32D70" w14:textId="142AF23E"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362 </w:t>
            </w:r>
          </w:p>
        </w:tc>
        <w:tc>
          <w:tcPr>
            <w:tcW w:w="914" w:type="dxa"/>
            <w:shd w:val="clear" w:color="auto" w:fill="auto"/>
            <w:noWrap/>
            <w:vAlign w:val="bottom"/>
            <w:hideMark/>
          </w:tcPr>
          <w:p w14:paraId="2722F6F5" w14:textId="2BEF2F51"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792 </w:t>
            </w:r>
          </w:p>
        </w:tc>
        <w:tc>
          <w:tcPr>
            <w:tcW w:w="914" w:type="dxa"/>
            <w:shd w:val="clear" w:color="auto" w:fill="auto"/>
            <w:noWrap/>
            <w:vAlign w:val="bottom"/>
            <w:hideMark/>
          </w:tcPr>
          <w:p w14:paraId="0368E39C" w14:textId="693D2E1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1,504 </w:t>
            </w:r>
          </w:p>
        </w:tc>
        <w:tc>
          <w:tcPr>
            <w:tcW w:w="915" w:type="dxa"/>
            <w:shd w:val="clear" w:color="auto" w:fill="auto"/>
            <w:noWrap/>
            <w:vAlign w:val="bottom"/>
            <w:hideMark/>
          </w:tcPr>
          <w:p w14:paraId="69F0798A" w14:textId="14419D5D"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1,610 </w:t>
            </w:r>
          </w:p>
        </w:tc>
        <w:tc>
          <w:tcPr>
            <w:tcW w:w="914" w:type="dxa"/>
            <w:shd w:val="clear" w:color="auto" w:fill="auto"/>
            <w:noWrap/>
            <w:vAlign w:val="bottom"/>
            <w:hideMark/>
          </w:tcPr>
          <w:p w14:paraId="497380DE" w14:textId="183FE037"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959 </w:t>
            </w:r>
          </w:p>
        </w:tc>
        <w:tc>
          <w:tcPr>
            <w:tcW w:w="914" w:type="dxa"/>
            <w:shd w:val="clear" w:color="auto" w:fill="auto"/>
            <w:noWrap/>
            <w:vAlign w:val="bottom"/>
            <w:hideMark/>
          </w:tcPr>
          <w:p w14:paraId="6F23A767" w14:textId="09A35666"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433 </w:t>
            </w:r>
          </w:p>
        </w:tc>
        <w:tc>
          <w:tcPr>
            <w:tcW w:w="915" w:type="dxa"/>
            <w:shd w:val="clear" w:color="auto" w:fill="auto"/>
            <w:noWrap/>
            <w:vAlign w:val="bottom"/>
            <w:hideMark/>
          </w:tcPr>
          <w:p w14:paraId="45DA03B1" w14:textId="3EDBE0B9" w:rsidR="00965DD0" w:rsidRPr="00965DD0" w:rsidRDefault="00965DD0" w:rsidP="00965DD0">
            <w:pPr>
              <w:spacing w:after="0"/>
              <w:jc w:val="right"/>
              <w:rPr>
                <w:rFonts w:ascii="Calibri" w:eastAsia="Times New Roman" w:hAnsi="Calibri" w:cs="Calibri"/>
                <w:color w:val="000000"/>
                <w:sz w:val="20"/>
                <w:szCs w:val="20"/>
              </w:rPr>
            </w:pPr>
            <w:r w:rsidRPr="00965DD0">
              <w:rPr>
                <w:rFonts w:ascii="Calibri" w:hAnsi="Calibri" w:cs="Calibri"/>
                <w:color w:val="000000"/>
                <w:sz w:val="20"/>
                <w:szCs w:val="20"/>
              </w:rPr>
              <w:t xml:space="preserve"> 352 </w:t>
            </w:r>
          </w:p>
        </w:tc>
      </w:tr>
    </w:tbl>
    <w:p w14:paraId="04C39C7D" w14:textId="148CB6F1" w:rsidR="00F323A5" w:rsidRPr="00FE0BE0" w:rsidRDefault="001C001C" w:rsidP="00FE0BE0">
      <w:pPr>
        <w:pStyle w:val="Notes"/>
      </w:pPr>
      <w:r w:rsidRPr="00FE0BE0">
        <w:t xml:space="preserve">Note: Patients </w:t>
      </w:r>
      <w:r w:rsidR="00FE0BE0" w:rsidRPr="00FE0BE0">
        <w:t>may be counted under more than one prescriber type</w:t>
      </w:r>
      <w:r w:rsidRPr="00FE0BE0">
        <w:t xml:space="preserve"> </w:t>
      </w:r>
      <w:r w:rsidR="00F323A5">
        <w:br/>
        <w:t xml:space="preserve">VRGP: </w:t>
      </w:r>
      <w:r w:rsidR="00F323A5" w:rsidRPr="00F323A5">
        <w:t xml:space="preserve">Vocationally registered </w:t>
      </w:r>
      <w:r w:rsidR="00F323A5">
        <w:t>g</w:t>
      </w:r>
      <w:r w:rsidR="00F323A5" w:rsidRPr="00F323A5">
        <w:t>eneral practitioner</w:t>
      </w:r>
      <w:r w:rsidR="00F323A5">
        <w:t xml:space="preserve">, </w:t>
      </w:r>
      <w:r w:rsidR="00F323A5" w:rsidRPr="00F323A5">
        <w:t>Non-VRGP</w:t>
      </w:r>
      <w:r w:rsidR="00F323A5">
        <w:t>:</w:t>
      </w:r>
      <w:r w:rsidR="00F323A5" w:rsidRPr="00F323A5">
        <w:t xml:space="preserve"> Non-vocationally registered </w:t>
      </w:r>
      <w:r w:rsidR="00F323A5">
        <w:t>g</w:t>
      </w:r>
      <w:r w:rsidR="00F323A5" w:rsidRPr="00F323A5">
        <w:t>eneral practitioner</w:t>
      </w:r>
    </w:p>
    <w:p w14:paraId="224B5F0E" w14:textId="472AC945" w:rsidR="00C53500" w:rsidRDefault="00C53500" w:rsidP="0098215A">
      <w:r w:rsidRPr="00C53500">
        <w:t>The majority of prescribers for tapentadol across all calendar years was GPs.</w:t>
      </w:r>
      <w:r>
        <w:t xml:space="preserve"> In 2021 there were </w:t>
      </w:r>
      <w:r w:rsidR="001C001C">
        <w:t>215,145</w:t>
      </w:r>
      <w:r>
        <w:t xml:space="preserve"> patients supplied tapentadol, </w:t>
      </w:r>
      <w:r w:rsidRPr="001C001C">
        <w:t xml:space="preserve">including </w:t>
      </w:r>
      <w:r w:rsidR="001C001C" w:rsidRPr="001C001C">
        <w:t>187,091</w:t>
      </w:r>
      <w:r w:rsidRPr="001C001C">
        <w:t xml:space="preserve"> (</w:t>
      </w:r>
      <w:r w:rsidR="001C001C" w:rsidRPr="001C001C">
        <w:t>87</w:t>
      </w:r>
      <w:r w:rsidRPr="001C001C">
        <w:t>%) p</w:t>
      </w:r>
      <w:r>
        <w:t>atients supplied tapentadol which was prescribed by a VRGP, non-VRGP or trainee GP.</w:t>
      </w:r>
    </w:p>
    <w:p w14:paraId="1A25BEEB" w14:textId="77777777" w:rsidR="00C53500" w:rsidRDefault="00C53500" w:rsidP="0098215A"/>
    <w:p w14:paraId="32359508" w14:textId="1A3873AD" w:rsidR="0098215A" w:rsidRPr="007B2F3E" w:rsidRDefault="0098215A" w:rsidP="0098215A"/>
    <w:p w14:paraId="7F23970D" w14:textId="77777777" w:rsidR="00C80CE7" w:rsidRDefault="00C80CE7">
      <w:pPr>
        <w:spacing w:line="276" w:lineRule="auto"/>
        <w:rPr>
          <w:b/>
        </w:rPr>
      </w:pPr>
      <w:r>
        <w:br w:type="page"/>
      </w:r>
    </w:p>
    <w:p w14:paraId="240FEF13" w14:textId="2960BC46" w:rsidR="0098215A" w:rsidRPr="0098215A" w:rsidRDefault="0098215A" w:rsidP="0098215A">
      <w:pPr>
        <w:pStyle w:val="Tabletitle"/>
      </w:pPr>
      <w:r w:rsidRPr="0098215A">
        <w:lastRenderedPageBreak/>
        <w:t xml:space="preserve">Table </w:t>
      </w:r>
      <w:r w:rsidR="00373F55">
        <w:t>12</w:t>
      </w:r>
      <w:r w:rsidRPr="0098215A">
        <w:t>: Medicine sequence for patients supplied tapentadol</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0"/>
        <w:gridCol w:w="960"/>
        <w:gridCol w:w="960"/>
      </w:tblGrid>
      <w:tr w:rsidR="009E68FB" w:rsidRPr="0098215A" w14:paraId="79DCB388" w14:textId="2FDC32D8" w:rsidTr="00AB0119">
        <w:trPr>
          <w:trHeight w:val="300"/>
        </w:trPr>
        <w:tc>
          <w:tcPr>
            <w:tcW w:w="6280" w:type="dxa"/>
            <w:shd w:val="clear" w:color="auto" w:fill="BFBFBF" w:themeFill="background1" w:themeFillShade="BF"/>
            <w:noWrap/>
            <w:vAlign w:val="bottom"/>
            <w:hideMark/>
          </w:tcPr>
          <w:p w14:paraId="3551E620" w14:textId="77777777" w:rsidR="009E68FB" w:rsidRPr="0098215A" w:rsidRDefault="009E68FB" w:rsidP="009E68FB">
            <w:pPr>
              <w:spacing w:after="0"/>
              <w:rPr>
                <w:rFonts w:ascii="Calibri" w:eastAsia="Times New Roman" w:hAnsi="Calibri" w:cs="Calibri"/>
                <w:b/>
                <w:bCs/>
                <w:color w:val="000000"/>
                <w:sz w:val="20"/>
                <w:szCs w:val="20"/>
              </w:rPr>
            </w:pPr>
            <w:r w:rsidRPr="0098215A">
              <w:rPr>
                <w:rFonts w:ascii="Calibri" w:eastAsia="Times New Roman" w:hAnsi="Calibri" w:cs="Calibri"/>
                <w:b/>
                <w:bCs/>
                <w:color w:val="000000"/>
                <w:sz w:val="20"/>
                <w:szCs w:val="20"/>
              </w:rPr>
              <w:t>Sequence</w:t>
            </w:r>
          </w:p>
        </w:tc>
        <w:tc>
          <w:tcPr>
            <w:tcW w:w="960" w:type="dxa"/>
            <w:shd w:val="clear" w:color="auto" w:fill="BFBFBF" w:themeFill="background1" w:themeFillShade="BF"/>
            <w:noWrap/>
            <w:vAlign w:val="bottom"/>
            <w:hideMark/>
          </w:tcPr>
          <w:p w14:paraId="21F61DA9" w14:textId="77777777" w:rsidR="009E68FB" w:rsidRPr="0098215A" w:rsidRDefault="009E68FB" w:rsidP="009E68FB">
            <w:pPr>
              <w:spacing w:after="0"/>
              <w:rPr>
                <w:rFonts w:ascii="Calibri" w:eastAsia="Times New Roman" w:hAnsi="Calibri" w:cs="Calibri"/>
                <w:b/>
                <w:bCs/>
                <w:color w:val="000000"/>
                <w:sz w:val="20"/>
                <w:szCs w:val="20"/>
              </w:rPr>
            </w:pPr>
            <w:r w:rsidRPr="0098215A">
              <w:rPr>
                <w:rFonts w:ascii="Calibri" w:eastAsia="Times New Roman" w:hAnsi="Calibri" w:cs="Calibri"/>
                <w:b/>
                <w:bCs/>
                <w:color w:val="000000"/>
                <w:sz w:val="20"/>
                <w:szCs w:val="20"/>
              </w:rPr>
              <w:t>Count Patients</w:t>
            </w:r>
          </w:p>
        </w:tc>
        <w:tc>
          <w:tcPr>
            <w:tcW w:w="960" w:type="dxa"/>
            <w:shd w:val="clear" w:color="auto" w:fill="BFBFBF" w:themeFill="background1" w:themeFillShade="BF"/>
            <w:vAlign w:val="bottom"/>
          </w:tcPr>
          <w:p w14:paraId="2D9758F1" w14:textId="7C9E4ABC" w:rsidR="009E68FB" w:rsidRPr="009E68FB" w:rsidRDefault="009E68FB" w:rsidP="009E68FB">
            <w:pPr>
              <w:spacing w:after="0"/>
              <w:rPr>
                <w:rFonts w:ascii="Calibri" w:eastAsia="Times New Roman" w:hAnsi="Calibri" w:cs="Calibri"/>
                <w:b/>
                <w:bCs/>
                <w:color w:val="000000"/>
                <w:sz w:val="20"/>
                <w:szCs w:val="20"/>
              </w:rPr>
            </w:pPr>
            <w:r w:rsidRPr="009E68FB">
              <w:rPr>
                <w:rFonts w:ascii="Calibri" w:hAnsi="Calibri" w:cs="Calibri"/>
                <w:b/>
                <w:bCs/>
                <w:color w:val="000000"/>
                <w:sz w:val="20"/>
                <w:szCs w:val="20"/>
              </w:rPr>
              <w:t>Percent</w:t>
            </w:r>
          </w:p>
        </w:tc>
      </w:tr>
      <w:tr w:rsidR="009E68FB" w:rsidRPr="0098215A" w14:paraId="329A2337" w14:textId="223BF28A" w:rsidTr="00AB0119">
        <w:trPr>
          <w:trHeight w:val="300"/>
        </w:trPr>
        <w:tc>
          <w:tcPr>
            <w:tcW w:w="6280" w:type="dxa"/>
            <w:shd w:val="clear" w:color="auto" w:fill="auto"/>
            <w:noWrap/>
            <w:vAlign w:val="bottom"/>
            <w:hideMark/>
          </w:tcPr>
          <w:p w14:paraId="22E07220"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w:t>
            </w:r>
          </w:p>
        </w:tc>
        <w:tc>
          <w:tcPr>
            <w:tcW w:w="960" w:type="dxa"/>
            <w:shd w:val="clear" w:color="auto" w:fill="auto"/>
            <w:noWrap/>
            <w:vAlign w:val="bottom"/>
            <w:hideMark/>
          </w:tcPr>
          <w:p w14:paraId="17870A12" w14:textId="653662BD"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14</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379</w:t>
            </w:r>
          </w:p>
        </w:tc>
        <w:tc>
          <w:tcPr>
            <w:tcW w:w="960" w:type="dxa"/>
            <w:vAlign w:val="bottom"/>
          </w:tcPr>
          <w:p w14:paraId="70D45B91" w14:textId="5FA60EF2"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17.9%</w:t>
            </w:r>
          </w:p>
        </w:tc>
      </w:tr>
      <w:tr w:rsidR="009E68FB" w:rsidRPr="0098215A" w14:paraId="21F43D49" w14:textId="1DC9B5CD" w:rsidTr="00AB0119">
        <w:trPr>
          <w:trHeight w:val="300"/>
        </w:trPr>
        <w:tc>
          <w:tcPr>
            <w:tcW w:w="6280" w:type="dxa"/>
            <w:shd w:val="clear" w:color="auto" w:fill="auto"/>
            <w:noWrap/>
            <w:vAlign w:val="bottom"/>
            <w:hideMark/>
          </w:tcPr>
          <w:p w14:paraId="5E45C42E"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OXYCODONE&gt;TAPENTADOL</w:t>
            </w:r>
          </w:p>
        </w:tc>
        <w:tc>
          <w:tcPr>
            <w:tcW w:w="960" w:type="dxa"/>
            <w:shd w:val="clear" w:color="auto" w:fill="auto"/>
            <w:noWrap/>
            <w:vAlign w:val="bottom"/>
            <w:hideMark/>
          </w:tcPr>
          <w:p w14:paraId="3583F253" w14:textId="53EF632F"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5</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107</w:t>
            </w:r>
          </w:p>
        </w:tc>
        <w:tc>
          <w:tcPr>
            <w:tcW w:w="960" w:type="dxa"/>
            <w:vAlign w:val="bottom"/>
          </w:tcPr>
          <w:p w14:paraId="5E503125" w14:textId="0098557A"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6.3%</w:t>
            </w:r>
          </w:p>
        </w:tc>
      </w:tr>
      <w:tr w:rsidR="009E68FB" w:rsidRPr="0098215A" w14:paraId="23E188B5" w14:textId="457A30B5" w:rsidTr="00AB0119">
        <w:trPr>
          <w:trHeight w:val="300"/>
        </w:trPr>
        <w:tc>
          <w:tcPr>
            <w:tcW w:w="6280" w:type="dxa"/>
            <w:shd w:val="clear" w:color="auto" w:fill="auto"/>
            <w:noWrap/>
            <w:vAlign w:val="bottom"/>
            <w:hideMark/>
          </w:tcPr>
          <w:p w14:paraId="31DFD8E9"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CODEINE&gt;TAPENTADOL</w:t>
            </w:r>
          </w:p>
        </w:tc>
        <w:tc>
          <w:tcPr>
            <w:tcW w:w="960" w:type="dxa"/>
            <w:shd w:val="clear" w:color="auto" w:fill="auto"/>
            <w:noWrap/>
            <w:vAlign w:val="bottom"/>
            <w:hideMark/>
          </w:tcPr>
          <w:p w14:paraId="73912FBE" w14:textId="21BCE116"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767</w:t>
            </w:r>
          </w:p>
        </w:tc>
        <w:tc>
          <w:tcPr>
            <w:tcW w:w="960" w:type="dxa"/>
            <w:vAlign w:val="bottom"/>
          </w:tcPr>
          <w:p w14:paraId="7BAB688A" w14:textId="6F13CA96"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5.9%</w:t>
            </w:r>
          </w:p>
        </w:tc>
      </w:tr>
      <w:tr w:rsidR="009E68FB" w:rsidRPr="0098215A" w14:paraId="6FED8F33" w14:textId="79D67FB3" w:rsidTr="00AB0119">
        <w:trPr>
          <w:trHeight w:val="300"/>
        </w:trPr>
        <w:tc>
          <w:tcPr>
            <w:tcW w:w="6280" w:type="dxa"/>
            <w:shd w:val="clear" w:color="auto" w:fill="auto"/>
            <w:noWrap/>
            <w:vAlign w:val="bottom"/>
            <w:hideMark/>
          </w:tcPr>
          <w:p w14:paraId="1E4644D3"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TAPENTADOL&gt;OXYCODONE</w:t>
            </w:r>
          </w:p>
        </w:tc>
        <w:tc>
          <w:tcPr>
            <w:tcW w:w="960" w:type="dxa"/>
            <w:shd w:val="clear" w:color="auto" w:fill="auto"/>
            <w:noWrap/>
            <w:vAlign w:val="bottom"/>
            <w:hideMark/>
          </w:tcPr>
          <w:p w14:paraId="08CB078E" w14:textId="6613C8C1"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4</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364</w:t>
            </w:r>
          </w:p>
        </w:tc>
        <w:tc>
          <w:tcPr>
            <w:tcW w:w="960" w:type="dxa"/>
            <w:vAlign w:val="bottom"/>
          </w:tcPr>
          <w:p w14:paraId="34EDE2C0" w14:textId="654FCF35"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5.4%</w:t>
            </w:r>
          </w:p>
        </w:tc>
      </w:tr>
      <w:tr w:rsidR="009E68FB" w:rsidRPr="0098215A" w14:paraId="681B92A6" w14:textId="2520A8CF" w:rsidTr="00AB0119">
        <w:trPr>
          <w:trHeight w:val="300"/>
        </w:trPr>
        <w:tc>
          <w:tcPr>
            <w:tcW w:w="6280" w:type="dxa"/>
            <w:shd w:val="clear" w:color="auto" w:fill="auto"/>
            <w:noWrap/>
            <w:vAlign w:val="bottom"/>
            <w:hideMark/>
          </w:tcPr>
          <w:p w14:paraId="079B95B6"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TAPENTADOL&gt;PARACETAMOL + CODEINE</w:t>
            </w:r>
          </w:p>
        </w:tc>
        <w:tc>
          <w:tcPr>
            <w:tcW w:w="960" w:type="dxa"/>
            <w:shd w:val="clear" w:color="auto" w:fill="auto"/>
            <w:noWrap/>
            <w:vAlign w:val="bottom"/>
            <w:hideMark/>
          </w:tcPr>
          <w:p w14:paraId="76CB1618" w14:textId="2009840F"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2</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796</w:t>
            </w:r>
          </w:p>
        </w:tc>
        <w:tc>
          <w:tcPr>
            <w:tcW w:w="960" w:type="dxa"/>
            <w:vAlign w:val="bottom"/>
          </w:tcPr>
          <w:p w14:paraId="70F8C47E" w14:textId="41CD0D3B"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3.5%</w:t>
            </w:r>
          </w:p>
        </w:tc>
      </w:tr>
      <w:tr w:rsidR="009E68FB" w:rsidRPr="0098215A" w14:paraId="01B28670" w14:textId="129717ED" w:rsidTr="00AB0119">
        <w:trPr>
          <w:trHeight w:val="300"/>
        </w:trPr>
        <w:tc>
          <w:tcPr>
            <w:tcW w:w="6280" w:type="dxa"/>
            <w:shd w:val="clear" w:color="auto" w:fill="auto"/>
            <w:noWrap/>
            <w:vAlign w:val="bottom"/>
            <w:hideMark/>
          </w:tcPr>
          <w:p w14:paraId="04D5D4EE"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TRAMADOL&gt;TAPENTADOL</w:t>
            </w:r>
          </w:p>
        </w:tc>
        <w:tc>
          <w:tcPr>
            <w:tcW w:w="960" w:type="dxa"/>
            <w:shd w:val="clear" w:color="auto" w:fill="auto"/>
            <w:noWrap/>
            <w:vAlign w:val="bottom"/>
            <w:hideMark/>
          </w:tcPr>
          <w:p w14:paraId="1A567426" w14:textId="281BF52A"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910</w:t>
            </w:r>
          </w:p>
        </w:tc>
        <w:tc>
          <w:tcPr>
            <w:tcW w:w="960" w:type="dxa"/>
            <w:vAlign w:val="bottom"/>
          </w:tcPr>
          <w:p w14:paraId="497DA634" w14:textId="72815644"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2.4%</w:t>
            </w:r>
          </w:p>
        </w:tc>
      </w:tr>
      <w:tr w:rsidR="009E68FB" w:rsidRPr="0098215A" w14:paraId="62EE594D" w14:textId="745E0130" w:rsidTr="00AB0119">
        <w:trPr>
          <w:trHeight w:val="300"/>
        </w:trPr>
        <w:tc>
          <w:tcPr>
            <w:tcW w:w="6280" w:type="dxa"/>
            <w:shd w:val="clear" w:color="auto" w:fill="auto"/>
            <w:noWrap/>
            <w:vAlign w:val="bottom"/>
            <w:hideMark/>
          </w:tcPr>
          <w:p w14:paraId="38DC25BE"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CODEINE&gt;OXYCODONE&gt;TAPENTADOL</w:t>
            </w:r>
          </w:p>
        </w:tc>
        <w:tc>
          <w:tcPr>
            <w:tcW w:w="960" w:type="dxa"/>
            <w:shd w:val="clear" w:color="auto" w:fill="auto"/>
            <w:noWrap/>
            <w:vAlign w:val="bottom"/>
            <w:hideMark/>
          </w:tcPr>
          <w:p w14:paraId="70A0C68F" w14:textId="53990B32"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743</w:t>
            </w:r>
          </w:p>
        </w:tc>
        <w:tc>
          <w:tcPr>
            <w:tcW w:w="960" w:type="dxa"/>
            <w:vAlign w:val="bottom"/>
          </w:tcPr>
          <w:p w14:paraId="556088A5" w14:textId="66D753A1"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2.2%</w:t>
            </w:r>
          </w:p>
        </w:tc>
      </w:tr>
      <w:tr w:rsidR="009E68FB" w:rsidRPr="0098215A" w14:paraId="35EB028C" w14:textId="736705AB" w:rsidTr="00AB0119">
        <w:trPr>
          <w:trHeight w:val="300"/>
        </w:trPr>
        <w:tc>
          <w:tcPr>
            <w:tcW w:w="6280" w:type="dxa"/>
            <w:shd w:val="clear" w:color="auto" w:fill="auto"/>
            <w:noWrap/>
            <w:vAlign w:val="bottom"/>
            <w:hideMark/>
          </w:tcPr>
          <w:p w14:paraId="6CE4DAD4"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PREGABALIN&gt;TAPENTADOL</w:t>
            </w:r>
          </w:p>
        </w:tc>
        <w:tc>
          <w:tcPr>
            <w:tcW w:w="960" w:type="dxa"/>
            <w:shd w:val="clear" w:color="auto" w:fill="auto"/>
            <w:noWrap/>
            <w:vAlign w:val="bottom"/>
            <w:hideMark/>
          </w:tcPr>
          <w:p w14:paraId="22ABDA86" w14:textId="314F6D2F"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462</w:t>
            </w:r>
          </w:p>
        </w:tc>
        <w:tc>
          <w:tcPr>
            <w:tcW w:w="960" w:type="dxa"/>
            <w:vAlign w:val="bottom"/>
          </w:tcPr>
          <w:p w14:paraId="52516842" w14:textId="6DB03B1A"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1.8%</w:t>
            </w:r>
          </w:p>
        </w:tc>
      </w:tr>
      <w:tr w:rsidR="009E68FB" w:rsidRPr="0098215A" w14:paraId="778E7517" w14:textId="18197EA0" w:rsidTr="00AB0119">
        <w:trPr>
          <w:trHeight w:val="300"/>
        </w:trPr>
        <w:tc>
          <w:tcPr>
            <w:tcW w:w="6280" w:type="dxa"/>
            <w:shd w:val="clear" w:color="auto" w:fill="auto"/>
            <w:noWrap/>
            <w:vAlign w:val="bottom"/>
            <w:hideMark/>
          </w:tcPr>
          <w:p w14:paraId="13CD93B9"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TAPENTADOL&gt;TRAMADOL</w:t>
            </w:r>
          </w:p>
        </w:tc>
        <w:tc>
          <w:tcPr>
            <w:tcW w:w="960" w:type="dxa"/>
            <w:shd w:val="clear" w:color="auto" w:fill="auto"/>
            <w:noWrap/>
            <w:vAlign w:val="bottom"/>
            <w:hideMark/>
          </w:tcPr>
          <w:p w14:paraId="50A8D209" w14:textId="4F1C6CC1"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380</w:t>
            </w:r>
          </w:p>
        </w:tc>
        <w:tc>
          <w:tcPr>
            <w:tcW w:w="960" w:type="dxa"/>
            <w:vAlign w:val="bottom"/>
          </w:tcPr>
          <w:p w14:paraId="251B8104" w14:textId="1CD838B4"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1.7%</w:t>
            </w:r>
          </w:p>
        </w:tc>
      </w:tr>
      <w:tr w:rsidR="009E68FB" w:rsidRPr="0098215A" w14:paraId="0AE4E753" w14:textId="2B313578" w:rsidTr="00AB0119">
        <w:trPr>
          <w:trHeight w:val="300"/>
        </w:trPr>
        <w:tc>
          <w:tcPr>
            <w:tcW w:w="6280" w:type="dxa"/>
            <w:shd w:val="clear" w:color="auto" w:fill="auto"/>
            <w:noWrap/>
            <w:vAlign w:val="bottom"/>
            <w:hideMark/>
          </w:tcPr>
          <w:p w14:paraId="2F2EDAAF"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TAPENTADOL&gt;PREGABALIN</w:t>
            </w:r>
          </w:p>
        </w:tc>
        <w:tc>
          <w:tcPr>
            <w:tcW w:w="960" w:type="dxa"/>
            <w:shd w:val="clear" w:color="auto" w:fill="auto"/>
            <w:noWrap/>
            <w:vAlign w:val="bottom"/>
            <w:hideMark/>
          </w:tcPr>
          <w:p w14:paraId="338831A2" w14:textId="1085094C"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280</w:t>
            </w:r>
          </w:p>
        </w:tc>
        <w:tc>
          <w:tcPr>
            <w:tcW w:w="960" w:type="dxa"/>
            <w:vAlign w:val="bottom"/>
          </w:tcPr>
          <w:p w14:paraId="19DD0D38" w14:textId="2E04065E"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1.6%</w:t>
            </w:r>
          </w:p>
        </w:tc>
      </w:tr>
      <w:tr w:rsidR="009E68FB" w:rsidRPr="0098215A" w14:paraId="02E486D3" w14:textId="5050E1E7" w:rsidTr="00AB0119">
        <w:trPr>
          <w:trHeight w:val="300"/>
        </w:trPr>
        <w:tc>
          <w:tcPr>
            <w:tcW w:w="6280" w:type="dxa"/>
            <w:shd w:val="clear" w:color="auto" w:fill="auto"/>
            <w:noWrap/>
            <w:vAlign w:val="bottom"/>
            <w:hideMark/>
          </w:tcPr>
          <w:p w14:paraId="0A8B1BF8"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 + NALOXONE&gt;TAPENTADOL</w:t>
            </w:r>
          </w:p>
        </w:tc>
        <w:tc>
          <w:tcPr>
            <w:tcW w:w="960" w:type="dxa"/>
            <w:shd w:val="clear" w:color="auto" w:fill="auto"/>
            <w:noWrap/>
            <w:vAlign w:val="bottom"/>
            <w:hideMark/>
          </w:tcPr>
          <w:p w14:paraId="15BCB125" w14:textId="5AC272A3"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134</w:t>
            </w:r>
          </w:p>
        </w:tc>
        <w:tc>
          <w:tcPr>
            <w:tcW w:w="960" w:type="dxa"/>
            <w:vAlign w:val="bottom"/>
          </w:tcPr>
          <w:p w14:paraId="49F73C79" w14:textId="6B7507BB"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1.4%</w:t>
            </w:r>
          </w:p>
        </w:tc>
      </w:tr>
      <w:tr w:rsidR="009E68FB" w:rsidRPr="0098215A" w14:paraId="685F5867" w14:textId="2CD7DAD4" w:rsidTr="00AB0119">
        <w:trPr>
          <w:trHeight w:val="300"/>
        </w:trPr>
        <w:tc>
          <w:tcPr>
            <w:tcW w:w="6280" w:type="dxa"/>
            <w:shd w:val="clear" w:color="auto" w:fill="auto"/>
            <w:noWrap/>
            <w:vAlign w:val="bottom"/>
            <w:hideMark/>
          </w:tcPr>
          <w:p w14:paraId="141510D7"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CODEINE&gt;TAPENTADOL&gt;OXYCODONE</w:t>
            </w:r>
          </w:p>
        </w:tc>
        <w:tc>
          <w:tcPr>
            <w:tcW w:w="960" w:type="dxa"/>
            <w:shd w:val="clear" w:color="auto" w:fill="auto"/>
            <w:noWrap/>
            <w:vAlign w:val="bottom"/>
            <w:hideMark/>
          </w:tcPr>
          <w:p w14:paraId="0733C6D4" w14:textId="70B4C2BC"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130</w:t>
            </w:r>
          </w:p>
        </w:tc>
        <w:tc>
          <w:tcPr>
            <w:tcW w:w="960" w:type="dxa"/>
            <w:vAlign w:val="bottom"/>
          </w:tcPr>
          <w:p w14:paraId="6FF2CDEE" w14:textId="03B68AFF"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1.4%</w:t>
            </w:r>
          </w:p>
        </w:tc>
      </w:tr>
      <w:tr w:rsidR="009E68FB" w:rsidRPr="0098215A" w14:paraId="5DEBC5F1" w14:textId="50D31846" w:rsidTr="00AB0119">
        <w:trPr>
          <w:trHeight w:val="300"/>
        </w:trPr>
        <w:tc>
          <w:tcPr>
            <w:tcW w:w="6280" w:type="dxa"/>
            <w:shd w:val="clear" w:color="auto" w:fill="auto"/>
            <w:noWrap/>
            <w:vAlign w:val="bottom"/>
            <w:hideMark/>
          </w:tcPr>
          <w:p w14:paraId="2CCF59C3"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OXYCODONE&gt;TAPENTADOL&gt;PARACETAMOL + CODEINE</w:t>
            </w:r>
          </w:p>
        </w:tc>
        <w:tc>
          <w:tcPr>
            <w:tcW w:w="960" w:type="dxa"/>
            <w:shd w:val="clear" w:color="auto" w:fill="auto"/>
            <w:noWrap/>
            <w:vAlign w:val="bottom"/>
            <w:hideMark/>
          </w:tcPr>
          <w:p w14:paraId="29B3485C" w14:textId="619F993C"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98215A">
              <w:rPr>
                <w:rFonts w:ascii="Calibri" w:eastAsia="Times New Roman" w:hAnsi="Calibri" w:cs="Calibri"/>
                <w:color w:val="000000"/>
                <w:sz w:val="20"/>
                <w:szCs w:val="20"/>
              </w:rPr>
              <w:t>011</w:t>
            </w:r>
          </w:p>
        </w:tc>
        <w:tc>
          <w:tcPr>
            <w:tcW w:w="960" w:type="dxa"/>
            <w:vAlign w:val="bottom"/>
          </w:tcPr>
          <w:p w14:paraId="4D571629" w14:textId="0CFF0812"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1.3%</w:t>
            </w:r>
          </w:p>
        </w:tc>
      </w:tr>
      <w:tr w:rsidR="009E68FB" w:rsidRPr="0098215A" w14:paraId="24A34D84" w14:textId="20FA0FD8" w:rsidTr="00AB0119">
        <w:trPr>
          <w:trHeight w:val="300"/>
        </w:trPr>
        <w:tc>
          <w:tcPr>
            <w:tcW w:w="6280" w:type="dxa"/>
            <w:shd w:val="clear" w:color="auto" w:fill="auto"/>
            <w:noWrap/>
            <w:vAlign w:val="bottom"/>
            <w:hideMark/>
          </w:tcPr>
          <w:p w14:paraId="39158432"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TAPENTADOL&gt;OXYCODONE&gt;PARACETAMOL + CODEINE</w:t>
            </w:r>
          </w:p>
        </w:tc>
        <w:tc>
          <w:tcPr>
            <w:tcW w:w="960" w:type="dxa"/>
            <w:shd w:val="clear" w:color="auto" w:fill="auto"/>
            <w:noWrap/>
            <w:vAlign w:val="bottom"/>
            <w:hideMark/>
          </w:tcPr>
          <w:p w14:paraId="097D3D3F"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863</w:t>
            </w:r>
          </w:p>
        </w:tc>
        <w:tc>
          <w:tcPr>
            <w:tcW w:w="960" w:type="dxa"/>
            <w:vAlign w:val="bottom"/>
          </w:tcPr>
          <w:p w14:paraId="343E88FE" w14:textId="2EE54D31"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1.1%</w:t>
            </w:r>
          </w:p>
        </w:tc>
      </w:tr>
      <w:tr w:rsidR="009E68FB" w:rsidRPr="0098215A" w14:paraId="480E06D2" w14:textId="5E1A429A" w:rsidTr="00AB0119">
        <w:trPr>
          <w:trHeight w:val="300"/>
        </w:trPr>
        <w:tc>
          <w:tcPr>
            <w:tcW w:w="6280" w:type="dxa"/>
            <w:shd w:val="clear" w:color="auto" w:fill="auto"/>
            <w:noWrap/>
            <w:vAlign w:val="bottom"/>
            <w:hideMark/>
          </w:tcPr>
          <w:p w14:paraId="27E17A33"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OXYCODONE&gt;PARACETAMOL + CODEINE&gt;TAPENTADOL</w:t>
            </w:r>
          </w:p>
        </w:tc>
        <w:tc>
          <w:tcPr>
            <w:tcW w:w="960" w:type="dxa"/>
            <w:shd w:val="clear" w:color="auto" w:fill="auto"/>
            <w:noWrap/>
            <w:vAlign w:val="bottom"/>
            <w:hideMark/>
          </w:tcPr>
          <w:p w14:paraId="1019C7AE"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721</w:t>
            </w:r>
          </w:p>
        </w:tc>
        <w:tc>
          <w:tcPr>
            <w:tcW w:w="960" w:type="dxa"/>
            <w:vAlign w:val="bottom"/>
          </w:tcPr>
          <w:p w14:paraId="3079EEFB" w14:textId="2DCF228D"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0.9%</w:t>
            </w:r>
          </w:p>
        </w:tc>
      </w:tr>
      <w:tr w:rsidR="009E68FB" w:rsidRPr="0098215A" w14:paraId="321BA6A3" w14:textId="50D1CF46" w:rsidTr="00AB0119">
        <w:trPr>
          <w:trHeight w:val="300"/>
        </w:trPr>
        <w:tc>
          <w:tcPr>
            <w:tcW w:w="6280" w:type="dxa"/>
            <w:shd w:val="clear" w:color="auto" w:fill="auto"/>
            <w:noWrap/>
            <w:vAlign w:val="bottom"/>
            <w:hideMark/>
          </w:tcPr>
          <w:p w14:paraId="5D28915C"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CODEINE&gt;TRAMADOL&gt;TAPENTADOL</w:t>
            </w:r>
          </w:p>
        </w:tc>
        <w:tc>
          <w:tcPr>
            <w:tcW w:w="960" w:type="dxa"/>
            <w:shd w:val="clear" w:color="auto" w:fill="auto"/>
            <w:noWrap/>
            <w:vAlign w:val="bottom"/>
            <w:hideMark/>
          </w:tcPr>
          <w:p w14:paraId="785D65E9"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720</w:t>
            </w:r>
          </w:p>
        </w:tc>
        <w:tc>
          <w:tcPr>
            <w:tcW w:w="960" w:type="dxa"/>
            <w:vAlign w:val="bottom"/>
          </w:tcPr>
          <w:p w14:paraId="1C09A432" w14:textId="7E6D3537"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0.9%</w:t>
            </w:r>
          </w:p>
        </w:tc>
      </w:tr>
      <w:tr w:rsidR="009E68FB" w:rsidRPr="0098215A" w14:paraId="4B8755ED" w14:textId="38ECDDFE" w:rsidTr="00AB0119">
        <w:trPr>
          <w:trHeight w:val="300"/>
        </w:trPr>
        <w:tc>
          <w:tcPr>
            <w:tcW w:w="6280" w:type="dxa"/>
            <w:shd w:val="clear" w:color="auto" w:fill="auto"/>
            <w:noWrap/>
            <w:vAlign w:val="bottom"/>
            <w:hideMark/>
          </w:tcPr>
          <w:p w14:paraId="69D492F4"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CODEINE&gt;PREGABALIN&gt;TAPENTADOL</w:t>
            </w:r>
          </w:p>
        </w:tc>
        <w:tc>
          <w:tcPr>
            <w:tcW w:w="960" w:type="dxa"/>
            <w:shd w:val="clear" w:color="auto" w:fill="auto"/>
            <w:noWrap/>
            <w:vAlign w:val="bottom"/>
            <w:hideMark/>
          </w:tcPr>
          <w:p w14:paraId="1B168F62"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686</w:t>
            </w:r>
          </w:p>
        </w:tc>
        <w:tc>
          <w:tcPr>
            <w:tcW w:w="960" w:type="dxa"/>
            <w:vAlign w:val="bottom"/>
          </w:tcPr>
          <w:p w14:paraId="720D2C37" w14:textId="3E9F6F73"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0.9%</w:t>
            </w:r>
          </w:p>
        </w:tc>
      </w:tr>
      <w:tr w:rsidR="009E68FB" w:rsidRPr="0098215A" w14:paraId="66F4E995" w14:textId="7E663D1A" w:rsidTr="00AB0119">
        <w:trPr>
          <w:trHeight w:val="300"/>
        </w:trPr>
        <w:tc>
          <w:tcPr>
            <w:tcW w:w="6280" w:type="dxa"/>
            <w:shd w:val="clear" w:color="auto" w:fill="auto"/>
            <w:noWrap/>
            <w:vAlign w:val="bottom"/>
            <w:hideMark/>
          </w:tcPr>
          <w:p w14:paraId="21F84F33"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OXYCODONE&gt;OXYCODONE + NALOXONE&gt;TAPENTADOL</w:t>
            </w:r>
          </w:p>
        </w:tc>
        <w:tc>
          <w:tcPr>
            <w:tcW w:w="960" w:type="dxa"/>
            <w:shd w:val="clear" w:color="auto" w:fill="auto"/>
            <w:noWrap/>
            <w:vAlign w:val="bottom"/>
            <w:hideMark/>
          </w:tcPr>
          <w:p w14:paraId="4E0312CC"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604</w:t>
            </w:r>
          </w:p>
        </w:tc>
        <w:tc>
          <w:tcPr>
            <w:tcW w:w="960" w:type="dxa"/>
            <w:vAlign w:val="bottom"/>
          </w:tcPr>
          <w:p w14:paraId="334309DA" w14:textId="05835AFC"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0.8%</w:t>
            </w:r>
          </w:p>
        </w:tc>
      </w:tr>
      <w:tr w:rsidR="009E68FB" w:rsidRPr="0098215A" w14:paraId="34352FE4" w14:textId="2DDDD054" w:rsidTr="00AB0119">
        <w:trPr>
          <w:trHeight w:val="300"/>
        </w:trPr>
        <w:tc>
          <w:tcPr>
            <w:tcW w:w="6280" w:type="dxa"/>
            <w:shd w:val="clear" w:color="auto" w:fill="auto"/>
            <w:noWrap/>
            <w:vAlign w:val="bottom"/>
            <w:hideMark/>
          </w:tcPr>
          <w:p w14:paraId="5CB1F249"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TAPENTADOL&gt;OXYCODONE + NALOXONE</w:t>
            </w:r>
          </w:p>
        </w:tc>
        <w:tc>
          <w:tcPr>
            <w:tcW w:w="960" w:type="dxa"/>
            <w:shd w:val="clear" w:color="auto" w:fill="auto"/>
            <w:noWrap/>
            <w:vAlign w:val="bottom"/>
            <w:hideMark/>
          </w:tcPr>
          <w:p w14:paraId="31A8CFB5"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585</w:t>
            </w:r>
          </w:p>
        </w:tc>
        <w:tc>
          <w:tcPr>
            <w:tcW w:w="960" w:type="dxa"/>
            <w:vAlign w:val="bottom"/>
          </w:tcPr>
          <w:p w14:paraId="318E0214" w14:textId="1B461E9C"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0.7%</w:t>
            </w:r>
          </w:p>
        </w:tc>
      </w:tr>
      <w:tr w:rsidR="009E68FB" w:rsidRPr="0098215A" w14:paraId="5873A390" w14:textId="2FF291C2" w:rsidTr="00AB0119">
        <w:trPr>
          <w:trHeight w:val="300"/>
        </w:trPr>
        <w:tc>
          <w:tcPr>
            <w:tcW w:w="6280" w:type="dxa"/>
            <w:shd w:val="clear" w:color="auto" w:fill="auto"/>
            <w:noWrap/>
            <w:vAlign w:val="bottom"/>
            <w:hideMark/>
          </w:tcPr>
          <w:p w14:paraId="777B0F32"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CODEINE&gt;TAPENTADOL&gt;PREGABALIN</w:t>
            </w:r>
          </w:p>
        </w:tc>
        <w:tc>
          <w:tcPr>
            <w:tcW w:w="960" w:type="dxa"/>
            <w:shd w:val="clear" w:color="auto" w:fill="auto"/>
            <w:noWrap/>
            <w:vAlign w:val="bottom"/>
            <w:hideMark/>
          </w:tcPr>
          <w:p w14:paraId="4702FB68"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513</w:t>
            </w:r>
          </w:p>
        </w:tc>
        <w:tc>
          <w:tcPr>
            <w:tcW w:w="960" w:type="dxa"/>
            <w:vAlign w:val="bottom"/>
          </w:tcPr>
          <w:p w14:paraId="07CE86D0" w14:textId="6C110ED3"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0.6%</w:t>
            </w:r>
          </w:p>
        </w:tc>
      </w:tr>
      <w:tr w:rsidR="009E68FB" w:rsidRPr="0098215A" w14:paraId="6F153A16" w14:textId="19168A0B" w:rsidTr="00AB0119">
        <w:trPr>
          <w:trHeight w:val="300"/>
        </w:trPr>
        <w:tc>
          <w:tcPr>
            <w:tcW w:w="6280" w:type="dxa"/>
            <w:shd w:val="clear" w:color="auto" w:fill="auto"/>
            <w:noWrap/>
            <w:vAlign w:val="bottom"/>
            <w:hideMark/>
          </w:tcPr>
          <w:p w14:paraId="6756C2E5"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TRAMADOL&gt;OXYCODONE&gt;TAPENTADOL</w:t>
            </w:r>
          </w:p>
        </w:tc>
        <w:tc>
          <w:tcPr>
            <w:tcW w:w="960" w:type="dxa"/>
            <w:shd w:val="clear" w:color="auto" w:fill="auto"/>
            <w:noWrap/>
            <w:vAlign w:val="bottom"/>
            <w:hideMark/>
          </w:tcPr>
          <w:p w14:paraId="067FC780"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434</w:t>
            </w:r>
          </w:p>
        </w:tc>
        <w:tc>
          <w:tcPr>
            <w:tcW w:w="960" w:type="dxa"/>
            <w:vAlign w:val="bottom"/>
          </w:tcPr>
          <w:p w14:paraId="10BA8F7B" w14:textId="6572B1C8"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17F61FD7" w14:textId="601F2019" w:rsidTr="00AB0119">
        <w:trPr>
          <w:trHeight w:val="300"/>
        </w:trPr>
        <w:tc>
          <w:tcPr>
            <w:tcW w:w="6280" w:type="dxa"/>
            <w:shd w:val="clear" w:color="auto" w:fill="auto"/>
            <w:noWrap/>
            <w:vAlign w:val="bottom"/>
            <w:hideMark/>
          </w:tcPr>
          <w:p w14:paraId="1C624DDD"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OXYCODONE&gt;TAPENTADOL&gt;PREGABALIN</w:t>
            </w:r>
          </w:p>
        </w:tc>
        <w:tc>
          <w:tcPr>
            <w:tcW w:w="960" w:type="dxa"/>
            <w:shd w:val="clear" w:color="auto" w:fill="auto"/>
            <w:noWrap/>
            <w:vAlign w:val="bottom"/>
            <w:hideMark/>
          </w:tcPr>
          <w:p w14:paraId="0251D21C"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431</w:t>
            </w:r>
          </w:p>
        </w:tc>
        <w:tc>
          <w:tcPr>
            <w:tcW w:w="960" w:type="dxa"/>
            <w:vAlign w:val="bottom"/>
          </w:tcPr>
          <w:p w14:paraId="251F44B0" w14:textId="7C1B2CAE"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7C94375A" w14:textId="3B9AD31A" w:rsidTr="00AB0119">
        <w:trPr>
          <w:trHeight w:val="300"/>
        </w:trPr>
        <w:tc>
          <w:tcPr>
            <w:tcW w:w="6280" w:type="dxa"/>
            <w:shd w:val="clear" w:color="auto" w:fill="auto"/>
            <w:noWrap/>
            <w:vAlign w:val="bottom"/>
            <w:hideMark/>
          </w:tcPr>
          <w:p w14:paraId="58304044" w14:textId="77777777" w:rsidR="009E68FB" w:rsidRPr="0098215A" w:rsidRDefault="009E68FB" w:rsidP="009E68FB">
            <w:pPr>
              <w:spacing w:after="0"/>
              <w:rPr>
                <w:rFonts w:ascii="Calibri" w:eastAsia="Times New Roman" w:hAnsi="Calibri" w:cs="Calibri"/>
                <w:color w:val="000000"/>
                <w:sz w:val="20"/>
                <w:szCs w:val="20"/>
              </w:rPr>
            </w:pPr>
            <w:r w:rsidRPr="00F323A5">
              <w:rPr>
                <w:rFonts w:ascii="Calibri" w:eastAsia="Times New Roman" w:hAnsi="Calibri" w:cs="Calibri"/>
                <w:color w:val="000000"/>
                <w:sz w:val="20"/>
                <w:szCs w:val="20"/>
              </w:rPr>
              <w:t>TAPENTADOL &gt; DEATH</w:t>
            </w:r>
          </w:p>
        </w:tc>
        <w:tc>
          <w:tcPr>
            <w:tcW w:w="960" w:type="dxa"/>
            <w:shd w:val="clear" w:color="auto" w:fill="auto"/>
            <w:noWrap/>
            <w:vAlign w:val="bottom"/>
            <w:hideMark/>
          </w:tcPr>
          <w:p w14:paraId="4E1E5448"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401</w:t>
            </w:r>
          </w:p>
        </w:tc>
        <w:tc>
          <w:tcPr>
            <w:tcW w:w="960" w:type="dxa"/>
            <w:vAlign w:val="bottom"/>
          </w:tcPr>
          <w:p w14:paraId="3DA16B01" w14:textId="398E060C"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139D5505" w14:textId="7492E80A" w:rsidTr="00AB0119">
        <w:trPr>
          <w:trHeight w:val="300"/>
        </w:trPr>
        <w:tc>
          <w:tcPr>
            <w:tcW w:w="6280" w:type="dxa"/>
            <w:shd w:val="clear" w:color="auto" w:fill="auto"/>
            <w:noWrap/>
            <w:vAlign w:val="bottom"/>
            <w:hideMark/>
          </w:tcPr>
          <w:p w14:paraId="5D1C78CC"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CODEINE&gt;OXYCODONE + NALOXONE&gt;TAPENTADOL</w:t>
            </w:r>
          </w:p>
        </w:tc>
        <w:tc>
          <w:tcPr>
            <w:tcW w:w="960" w:type="dxa"/>
            <w:shd w:val="clear" w:color="auto" w:fill="auto"/>
            <w:noWrap/>
            <w:vAlign w:val="bottom"/>
            <w:hideMark/>
          </w:tcPr>
          <w:p w14:paraId="285302C0"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398</w:t>
            </w:r>
          </w:p>
        </w:tc>
        <w:tc>
          <w:tcPr>
            <w:tcW w:w="960" w:type="dxa"/>
            <w:vAlign w:val="bottom"/>
          </w:tcPr>
          <w:p w14:paraId="42DCD04D" w14:textId="188AD77F"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4883D72E" w14:textId="2C2FFFCD" w:rsidTr="00AB0119">
        <w:trPr>
          <w:trHeight w:val="300"/>
        </w:trPr>
        <w:tc>
          <w:tcPr>
            <w:tcW w:w="6280" w:type="dxa"/>
            <w:shd w:val="clear" w:color="auto" w:fill="auto"/>
            <w:noWrap/>
            <w:vAlign w:val="bottom"/>
            <w:hideMark/>
          </w:tcPr>
          <w:p w14:paraId="15D36F6B"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TRAMADOL&gt;TAPENTADOL&gt;OXYCODONE</w:t>
            </w:r>
          </w:p>
        </w:tc>
        <w:tc>
          <w:tcPr>
            <w:tcW w:w="960" w:type="dxa"/>
            <w:shd w:val="clear" w:color="auto" w:fill="auto"/>
            <w:noWrap/>
            <w:vAlign w:val="bottom"/>
            <w:hideMark/>
          </w:tcPr>
          <w:p w14:paraId="6B66241A"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380</w:t>
            </w:r>
          </w:p>
        </w:tc>
        <w:tc>
          <w:tcPr>
            <w:tcW w:w="960" w:type="dxa"/>
            <w:vAlign w:val="bottom"/>
          </w:tcPr>
          <w:p w14:paraId="48752F8B" w14:textId="2179F483"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68C31875" w14:textId="52ADB9B1" w:rsidTr="00AB0119">
        <w:trPr>
          <w:trHeight w:val="300"/>
        </w:trPr>
        <w:tc>
          <w:tcPr>
            <w:tcW w:w="6280" w:type="dxa"/>
            <w:shd w:val="clear" w:color="auto" w:fill="auto"/>
            <w:noWrap/>
            <w:vAlign w:val="bottom"/>
            <w:hideMark/>
          </w:tcPr>
          <w:p w14:paraId="04E2E28C"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TAPENTADOL&gt;PARACETAMOL + CODEINE&gt;OXYCODONE</w:t>
            </w:r>
          </w:p>
        </w:tc>
        <w:tc>
          <w:tcPr>
            <w:tcW w:w="960" w:type="dxa"/>
            <w:shd w:val="clear" w:color="auto" w:fill="auto"/>
            <w:noWrap/>
            <w:vAlign w:val="bottom"/>
            <w:hideMark/>
          </w:tcPr>
          <w:p w14:paraId="0F19B861"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374</w:t>
            </w:r>
          </w:p>
        </w:tc>
        <w:tc>
          <w:tcPr>
            <w:tcW w:w="960" w:type="dxa"/>
            <w:vAlign w:val="bottom"/>
          </w:tcPr>
          <w:p w14:paraId="6DB99F1A" w14:textId="5EA6031B"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15E84551" w14:textId="0519A68E" w:rsidTr="00AB0119">
        <w:trPr>
          <w:trHeight w:val="300"/>
        </w:trPr>
        <w:tc>
          <w:tcPr>
            <w:tcW w:w="6280" w:type="dxa"/>
            <w:shd w:val="clear" w:color="auto" w:fill="auto"/>
            <w:noWrap/>
            <w:vAlign w:val="bottom"/>
            <w:hideMark/>
          </w:tcPr>
          <w:p w14:paraId="1F8E3BB0"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PARACETAMOL + CODEINE&gt;TAPENTADOL&gt;TRAMADOL</w:t>
            </w:r>
          </w:p>
        </w:tc>
        <w:tc>
          <w:tcPr>
            <w:tcW w:w="960" w:type="dxa"/>
            <w:shd w:val="clear" w:color="auto" w:fill="auto"/>
            <w:noWrap/>
            <w:vAlign w:val="bottom"/>
            <w:hideMark/>
          </w:tcPr>
          <w:p w14:paraId="2E949A18"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370</w:t>
            </w:r>
          </w:p>
        </w:tc>
        <w:tc>
          <w:tcPr>
            <w:tcW w:w="960" w:type="dxa"/>
            <w:vAlign w:val="bottom"/>
          </w:tcPr>
          <w:p w14:paraId="44173DAC" w14:textId="21D20185"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0.5%</w:t>
            </w:r>
          </w:p>
        </w:tc>
      </w:tr>
      <w:tr w:rsidR="009E68FB" w:rsidRPr="0098215A" w14:paraId="08D545D8" w14:textId="4AA5D024" w:rsidTr="00AB0119">
        <w:trPr>
          <w:trHeight w:val="300"/>
        </w:trPr>
        <w:tc>
          <w:tcPr>
            <w:tcW w:w="6280" w:type="dxa"/>
            <w:shd w:val="clear" w:color="auto" w:fill="auto"/>
            <w:noWrap/>
            <w:vAlign w:val="bottom"/>
            <w:hideMark/>
          </w:tcPr>
          <w:p w14:paraId="0AB7E98E"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PREGABALIN&gt;OXYCODONE&gt;TAPENTADOL</w:t>
            </w:r>
          </w:p>
        </w:tc>
        <w:tc>
          <w:tcPr>
            <w:tcW w:w="960" w:type="dxa"/>
            <w:shd w:val="clear" w:color="auto" w:fill="auto"/>
            <w:noWrap/>
            <w:vAlign w:val="bottom"/>
            <w:hideMark/>
          </w:tcPr>
          <w:p w14:paraId="4C8797BF"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351</w:t>
            </w:r>
          </w:p>
        </w:tc>
        <w:tc>
          <w:tcPr>
            <w:tcW w:w="960" w:type="dxa"/>
            <w:vAlign w:val="bottom"/>
          </w:tcPr>
          <w:p w14:paraId="562EDB0E" w14:textId="10911593"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0.4%</w:t>
            </w:r>
          </w:p>
        </w:tc>
      </w:tr>
      <w:tr w:rsidR="009E68FB" w:rsidRPr="0098215A" w14:paraId="56B709E0" w14:textId="5E968A17" w:rsidTr="00AB0119">
        <w:trPr>
          <w:trHeight w:val="300"/>
        </w:trPr>
        <w:tc>
          <w:tcPr>
            <w:tcW w:w="6280" w:type="dxa"/>
            <w:shd w:val="clear" w:color="auto" w:fill="auto"/>
            <w:noWrap/>
            <w:vAlign w:val="bottom"/>
            <w:hideMark/>
          </w:tcPr>
          <w:p w14:paraId="78E51F92" w14:textId="77777777" w:rsidR="009E68FB" w:rsidRPr="0098215A" w:rsidRDefault="009E68FB" w:rsidP="009E68FB">
            <w:pPr>
              <w:spacing w:after="0"/>
              <w:rPr>
                <w:rFonts w:ascii="Calibri" w:eastAsia="Times New Roman" w:hAnsi="Calibri" w:cs="Calibri"/>
                <w:color w:val="000000"/>
                <w:sz w:val="20"/>
                <w:szCs w:val="20"/>
              </w:rPr>
            </w:pPr>
            <w:r w:rsidRPr="0098215A">
              <w:rPr>
                <w:rFonts w:ascii="Calibri" w:eastAsia="Times New Roman" w:hAnsi="Calibri" w:cs="Calibri"/>
                <w:color w:val="000000"/>
                <w:sz w:val="20"/>
                <w:szCs w:val="20"/>
              </w:rPr>
              <w:t>OXYCODONE&gt;TRAMADOL&gt;TAPENTADOL</w:t>
            </w:r>
          </w:p>
        </w:tc>
        <w:tc>
          <w:tcPr>
            <w:tcW w:w="960" w:type="dxa"/>
            <w:shd w:val="clear" w:color="auto" w:fill="auto"/>
            <w:noWrap/>
            <w:vAlign w:val="bottom"/>
            <w:hideMark/>
          </w:tcPr>
          <w:p w14:paraId="08F91569" w14:textId="77777777" w:rsidR="009E68FB" w:rsidRPr="0098215A" w:rsidRDefault="009E68FB" w:rsidP="009E68FB">
            <w:pPr>
              <w:spacing w:after="0"/>
              <w:jc w:val="right"/>
              <w:rPr>
                <w:rFonts w:ascii="Calibri" w:eastAsia="Times New Roman" w:hAnsi="Calibri" w:cs="Calibri"/>
                <w:color w:val="000000"/>
                <w:sz w:val="20"/>
                <w:szCs w:val="20"/>
              </w:rPr>
            </w:pPr>
            <w:r w:rsidRPr="0098215A">
              <w:rPr>
                <w:rFonts w:ascii="Calibri" w:eastAsia="Times New Roman" w:hAnsi="Calibri" w:cs="Calibri"/>
                <w:color w:val="000000"/>
                <w:sz w:val="20"/>
                <w:szCs w:val="20"/>
              </w:rPr>
              <w:t>349</w:t>
            </w:r>
          </w:p>
        </w:tc>
        <w:tc>
          <w:tcPr>
            <w:tcW w:w="960" w:type="dxa"/>
            <w:vAlign w:val="bottom"/>
          </w:tcPr>
          <w:p w14:paraId="503C84AC" w14:textId="28F55C1B" w:rsidR="009E68FB" w:rsidRPr="009E68FB" w:rsidRDefault="009E68FB" w:rsidP="009E68FB">
            <w:pPr>
              <w:spacing w:after="0"/>
              <w:jc w:val="right"/>
              <w:rPr>
                <w:rFonts w:ascii="Calibri" w:eastAsia="Times New Roman" w:hAnsi="Calibri" w:cs="Calibri"/>
                <w:color w:val="000000"/>
                <w:sz w:val="20"/>
                <w:szCs w:val="20"/>
              </w:rPr>
            </w:pPr>
            <w:r w:rsidRPr="009E68FB">
              <w:rPr>
                <w:rFonts w:ascii="Calibri" w:hAnsi="Calibri" w:cs="Calibri"/>
                <w:color w:val="000000"/>
                <w:sz w:val="20"/>
                <w:szCs w:val="20"/>
              </w:rPr>
              <w:t>0.4%</w:t>
            </w:r>
          </w:p>
        </w:tc>
      </w:tr>
    </w:tbl>
    <w:p w14:paraId="275311D0" w14:textId="77777777" w:rsidR="0098215A" w:rsidRDefault="0098215A" w:rsidP="00BF09AD">
      <w:pPr>
        <w:rPr>
          <w:highlight w:val="cyan"/>
        </w:rPr>
      </w:pPr>
    </w:p>
    <w:p w14:paraId="3B053CFD" w14:textId="77DDC2DA" w:rsidR="0098215A" w:rsidRPr="00AB0119" w:rsidRDefault="009E68FB" w:rsidP="00BF09AD">
      <w:r w:rsidRPr="00AB0119">
        <w:t>The medicine sequence includes patients who initiated during 2019, and patients were followed until 30 September 2022</w:t>
      </w:r>
      <w:r>
        <w:t>, with no duplicate medicines included</w:t>
      </w:r>
      <w:r w:rsidRPr="00AB0119">
        <w:t xml:space="preserve">. </w:t>
      </w:r>
      <w:r>
        <w:t xml:space="preserve">In total 80,254 patients </w:t>
      </w:r>
      <w:r w:rsidR="001C001C">
        <w:t xml:space="preserve">who initiated treatment in 2019 have been </w:t>
      </w:r>
      <w:r>
        <w:t>supplied tapentadol, and approximately 18% of these were only supplied tapentadol through the PBS, noting that private prescriptions and over the counter medicines were not included in the data.</w:t>
      </w:r>
    </w:p>
    <w:p w14:paraId="54F15078" w14:textId="77777777" w:rsidR="009E68FB" w:rsidRDefault="009E68FB" w:rsidP="00BF09AD">
      <w:pPr>
        <w:rPr>
          <w:highlight w:val="cyan"/>
        </w:rPr>
      </w:pPr>
    </w:p>
    <w:p w14:paraId="470729F8" w14:textId="77777777" w:rsidR="004B4821" w:rsidRDefault="004B4821" w:rsidP="00F73113">
      <w:pPr>
        <w:pStyle w:val="Heading2"/>
        <w:sectPr w:rsidR="004B4821" w:rsidSect="005A4A15">
          <w:footerReference w:type="even" r:id="rId28"/>
          <w:footerReference w:type="default" r:id="rId29"/>
          <w:footerReference w:type="first" r:id="rId30"/>
          <w:pgSz w:w="11906" w:h="16838"/>
          <w:pgMar w:top="1644" w:right="991" w:bottom="1644" w:left="1588" w:header="709" w:footer="709" w:gutter="0"/>
          <w:cols w:space="708"/>
          <w:docGrid w:linePitch="360"/>
        </w:sectPr>
      </w:pPr>
    </w:p>
    <w:p w14:paraId="4F8723A6" w14:textId="250EE22A" w:rsidR="00736041" w:rsidRPr="005E22C2"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6977F074" w14:textId="58A8651A" w:rsidR="00B63FD7" w:rsidRDefault="00746559" w:rsidP="00746559">
      <w:pPr>
        <w:pStyle w:val="Tabletitle"/>
      </w:pPr>
      <w:r>
        <w:t xml:space="preserve">Table </w:t>
      </w:r>
      <w:r w:rsidR="00373F55">
        <w:t>13</w:t>
      </w:r>
      <w:r>
        <w:t>: Cost to Government by calendar year</w:t>
      </w:r>
    </w:p>
    <w:tbl>
      <w:tblPr>
        <w:tblW w:w="12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1"/>
        <w:gridCol w:w="1531"/>
        <w:gridCol w:w="1531"/>
        <w:gridCol w:w="1531"/>
        <w:gridCol w:w="1531"/>
        <w:gridCol w:w="1531"/>
        <w:gridCol w:w="1531"/>
      </w:tblGrid>
      <w:tr w:rsidR="005B24E5" w:rsidRPr="00746559" w14:paraId="5A1ADD8D" w14:textId="77777777" w:rsidTr="004B4821">
        <w:trPr>
          <w:trHeight w:val="570"/>
        </w:trPr>
        <w:tc>
          <w:tcPr>
            <w:tcW w:w="1980" w:type="dxa"/>
            <w:shd w:val="clear" w:color="auto" w:fill="BFBFBF" w:themeFill="background1" w:themeFillShade="BF"/>
            <w:noWrap/>
            <w:vAlign w:val="bottom"/>
            <w:hideMark/>
          </w:tcPr>
          <w:p w14:paraId="69BAA43D" w14:textId="70CF4DF3" w:rsidR="00746559" w:rsidRPr="00746559" w:rsidRDefault="00746559" w:rsidP="00746559">
            <w:pPr>
              <w:spacing w:after="0"/>
              <w:rPr>
                <w:rFonts w:ascii="Calibri" w:eastAsia="Times New Roman" w:hAnsi="Calibri" w:cs="Calibri"/>
                <w:b/>
                <w:bCs/>
                <w:color w:val="000000"/>
                <w:sz w:val="20"/>
                <w:szCs w:val="20"/>
              </w:rPr>
            </w:pPr>
          </w:p>
        </w:tc>
        <w:tc>
          <w:tcPr>
            <w:tcW w:w="1531" w:type="dxa"/>
            <w:shd w:val="clear" w:color="auto" w:fill="BFBFBF" w:themeFill="background1" w:themeFillShade="BF"/>
            <w:noWrap/>
            <w:vAlign w:val="bottom"/>
            <w:hideMark/>
          </w:tcPr>
          <w:p w14:paraId="383B9599"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2016</w:t>
            </w:r>
          </w:p>
        </w:tc>
        <w:tc>
          <w:tcPr>
            <w:tcW w:w="1531" w:type="dxa"/>
            <w:shd w:val="clear" w:color="auto" w:fill="BFBFBF" w:themeFill="background1" w:themeFillShade="BF"/>
            <w:noWrap/>
            <w:vAlign w:val="bottom"/>
            <w:hideMark/>
          </w:tcPr>
          <w:p w14:paraId="60E6D576"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2017</w:t>
            </w:r>
          </w:p>
        </w:tc>
        <w:tc>
          <w:tcPr>
            <w:tcW w:w="1531" w:type="dxa"/>
            <w:shd w:val="clear" w:color="auto" w:fill="BFBFBF" w:themeFill="background1" w:themeFillShade="BF"/>
            <w:noWrap/>
            <w:vAlign w:val="bottom"/>
            <w:hideMark/>
          </w:tcPr>
          <w:p w14:paraId="129809A1"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2018</w:t>
            </w:r>
          </w:p>
        </w:tc>
        <w:tc>
          <w:tcPr>
            <w:tcW w:w="1531" w:type="dxa"/>
            <w:shd w:val="clear" w:color="auto" w:fill="BFBFBF" w:themeFill="background1" w:themeFillShade="BF"/>
            <w:noWrap/>
            <w:vAlign w:val="bottom"/>
            <w:hideMark/>
          </w:tcPr>
          <w:p w14:paraId="6DB61F55"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2019</w:t>
            </w:r>
          </w:p>
        </w:tc>
        <w:tc>
          <w:tcPr>
            <w:tcW w:w="1531" w:type="dxa"/>
            <w:shd w:val="clear" w:color="auto" w:fill="BFBFBF" w:themeFill="background1" w:themeFillShade="BF"/>
            <w:noWrap/>
            <w:vAlign w:val="bottom"/>
            <w:hideMark/>
          </w:tcPr>
          <w:p w14:paraId="7EDCE268"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2020</w:t>
            </w:r>
          </w:p>
        </w:tc>
        <w:tc>
          <w:tcPr>
            <w:tcW w:w="1531" w:type="dxa"/>
            <w:shd w:val="clear" w:color="auto" w:fill="BFBFBF" w:themeFill="background1" w:themeFillShade="BF"/>
            <w:noWrap/>
            <w:vAlign w:val="bottom"/>
            <w:hideMark/>
          </w:tcPr>
          <w:p w14:paraId="7AE6AA96" w14:textId="77777777"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2021</w:t>
            </w:r>
          </w:p>
        </w:tc>
        <w:tc>
          <w:tcPr>
            <w:tcW w:w="1531" w:type="dxa"/>
            <w:shd w:val="clear" w:color="auto" w:fill="BFBFBF" w:themeFill="background1" w:themeFillShade="BF"/>
            <w:noWrap/>
            <w:vAlign w:val="bottom"/>
            <w:hideMark/>
          </w:tcPr>
          <w:p w14:paraId="7E2B319A" w14:textId="20CAAA58" w:rsidR="00746559" w:rsidRPr="00746559" w:rsidRDefault="00746559" w:rsidP="00D25B43">
            <w:pPr>
              <w:spacing w:after="0"/>
              <w:jc w:val="center"/>
              <w:rPr>
                <w:rFonts w:ascii="Calibri" w:eastAsia="Times New Roman" w:hAnsi="Calibri" w:cs="Calibri"/>
                <w:b/>
                <w:bCs/>
                <w:color w:val="000000"/>
                <w:sz w:val="20"/>
                <w:szCs w:val="20"/>
              </w:rPr>
            </w:pPr>
            <w:r w:rsidRPr="00746559">
              <w:rPr>
                <w:rFonts w:ascii="Calibri" w:eastAsia="Times New Roman" w:hAnsi="Calibri" w:cs="Calibri"/>
                <w:b/>
                <w:bCs/>
                <w:color w:val="000000"/>
                <w:sz w:val="20"/>
                <w:szCs w:val="20"/>
              </w:rPr>
              <w:t>2022</w:t>
            </w:r>
            <w:r>
              <w:rPr>
                <w:rFonts w:ascii="Calibri" w:eastAsia="Times New Roman" w:hAnsi="Calibri" w:cs="Calibri"/>
                <w:b/>
                <w:bCs/>
                <w:color w:val="000000"/>
                <w:sz w:val="20"/>
                <w:szCs w:val="20"/>
              </w:rPr>
              <w:t xml:space="preserve"> (YTD September)</w:t>
            </w:r>
          </w:p>
        </w:tc>
      </w:tr>
      <w:tr w:rsidR="00746559" w:rsidRPr="00746559" w14:paraId="499BA61D" w14:textId="77777777" w:rsidTr="004B4821">
        <w:trPr>
          <w:trHeight w:val="300"/>
        </w:trPr>
        <w:tc>
          <w:tcPr>
            <w:tcW w:w="1980" w:type="dxa"/>
            <w:shd w:val="clear" w:color="auto" w:fill="auto"/>
            <w:noWrap/>
            <w:vAlign w:val="bottom"/>
            <w:hideMark/>
          </w:tcPr>
          <w:p w14:paraId="53B246C2"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BUPRENORPHINE</w:t>
            </w:r>
          </w:p>
        </w:tc>
        <w:tc>
          <w:tcPr>
            <w:tcW w:w="1531" w:type="dxa"/>
            <w:shd w:val="clear" w:color="auto" w:fill="auto"/>
            <w:noWrap/>
            <w:vAlign w:val="bottom"/>
            <w:hideMark/>
          </w:tcPr>
          <w:p w14:paraId="795166D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$64,403,137</w:t>
            </w:r>
          </w:p>
        </w:tc>
        <w:tc>
          <w:tcPr>
            <w:tcW w:w="1531" w:type="dxa"/>
            <w:shd w:val="clear" w:color="auto" w:fill="auto"/>
            <w:noWrap/>
            <w:vAlign w:val="bottom"/>
            <w:hideMark/>
          </w:tcPr>
          <w:p w14:paraId="42E2B18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$65,381,290</w:t>
            </w:r>
          </w:p>
        </w:tc>
        <w:tc>
          <w:tcPr>
            <w:tcW w:w="1531" w:type="dxa"/>
            <w:shd w:val="clear" w:color="auto" w:fill="auto"/>
            <w:noWrap/>
            <w:vAlign w:val="bottom"/>
            <w:hideMark/>
          </w:tcPr>
          <w:p w14:paraId="0DC0574A"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$60,210,263</w:t>
            </w:r>
          </w:p>
        </w:tc>
        <w:tc>
          <w:tcPr>
            <w:tcW w:w="1531" w:type="dxa"/>
            <w:shd w:val="clear" w:color="auto" w:fill="auto"/>
            <w:noWrap/>
            <w:vAlign w:val="bottom"/>
            <w:hideMark/>
          </w:tcPr>
          <w:p w14:paraId="26E178E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$55,208,881</w:t>
            </w:r>
          </w:p>
        </w:tc>
        <w:tc>
          <w:tcPr>
            <w:tcW w:w="1531" w:type="dxa"/>
            <w:shd w:val="clear" w:color="auto" w:fill="auto"/>
            <w:noWrap/>
            <w:vAlign w:val="bottom"/>
            <w:hideMark/>
          </w:tcPr>
          <w:p w14:paraId="32E88A57"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$56,496,826</w:t>
            </w:r>
          </w:p>
        </w:tc>
        <w:tc>
          <w:tcPr>
            <w:tcW w:w="1531" w:type="dxa"/>
            <w:shd w:val="clear" w:color="auto" w:fill="auto"/>
            <w:noWrap/>
            <w:vAlign w:val="bottom"/>
            <w:hideMark/>
          </w:tcPr>
          <w:p w14:paraId="1E10039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$56,049,580</w:t>
            </w:r>
          </w:p>
        </w:tc>
        <w:tc>
          <w:tcPr>
            <w:tcW w:w="1531" w:type="dxa"/>
            <w:shd w:val="clear" w:color="auto" w:fill="auto"/>
            <w:noWrap/>
            <w:vAlign w:val="bottom"/>
            <w:hideMark/>
          </w:tcPr>
          <w:p w14:paraId="6765DB5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$37,526,013</w:t>
            </w:r>
          </w:p>
        </w:tc>
      </w:tr>
      <w:tr w:rsidR="00746559" w:rsidRPr="00746559" w14:paraId="21A64235" w14:textId="77777777" w:rsidTr="004B4821">
        <w:trPr>
          <w:trHeight w:val="300"/>
        </w:trPr>
        <w:tc>
          <w:tcPr>
            <w:tcW w:w="1980" w:type="dxa"/>
            <w:shd w:val="clear" w:color="auto" w:fill="auto"/>
            <w:noWrap/>
            <w:vAlign w:val="bottom"/>
            <w:hideMark/>
          </w:tcPr>
          <w:p w14:paraId="734091C1"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CODEINE</w:t>
            </w:r>
          </w:p>
        </w:tc>
        <w:tc>
          <w:tcPr>
            <w:tcW w:w="1531" w:type="dxa"/>
            <w:shd w:val="clear" w:color="auto" w:fill="auto"/>
            <w:noWrap/>
            <w:vAlign w:val="bottom"/>
            <w:hideMark/>
          </w:tcPr>
          <w:p w14:paraId="0F24968C"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$1,950,161</w:t>
            </w:r>
          </w:p>
        </w:tc>
        <w:tc>
          <w:tcPr>
            <w:tcW w:w="1531" w:type="dxa"/>
            <w:shd w:val="clear" w:color="auto" w:fill="auto"/>
            <w:noWrap/>
            <w:vAlign w:val="bottom"/>
            <w:hideMark/>
          </w:tcPr>
          <w:p w14:paraId="09B02F09"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$1,856,015</w:t>
            </w:r>
          </w:p>
        </w:tc>
        <w:tc>
          <w:tcPr>
            <w:tcW w:w="1531" w:type="dxa"/>
            <w:shd w:val="clear" w:color="auto" w:fill="auto"/>
            <w:noWrap/>
            <w:vAlign w:val="bottom"/>
            <w:hideMark/>
          </w:tcPr>
          <w:p w14:paraId="47092C4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$1,759,525</w:t>
            </w:r>
          </w:p>
        </w:tc>
        <w:tc>
          <w:tcPr>
            <w:tcW w:w="1531" w:type="dxa"/>
            <w:shd w:val="clear" w:color="auto" w:fill="auto"/>
            <w:noWrap/>
            <w:vAlign w:val="bottom"/>
            <w:hideMark/>
          </w:tcPr>
          <w:p w14:paraId="45F3BE7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$1,649,674</w:t>
            </w:r>
          </w:p>
        </w:tc>
        <w:tc>
          <w:tcPr>
            <w:tcW w:w="1531" w:type="dxa"/>
            <w:shd w:val="clear" w:color="auto" w:fill="auto"/>
            <w:noWrap/>
            <w:vAlign w:val="bottom"/>
            <w:hideMark/>
          </w:tcPr>
          <w:p w14:paraId="32DE909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$1,415,729</w:t>
            </w:r>
          </w:p>
        </w:tc>
        <w:tc>
          <w:tcPr>
            <w:tcW w:w="1531" w:type="dxa"/>
            <w:shd w:val="clear" w:color="auto" w:fill="auto"/>
            <w:noWrap/>
            <w:vAlign w:val="bottom"/>
            <w:hideMark/>
          </w:tcPr>
          <w:p w14:paraId="1F5D643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$1,387,936</w:t>
            </w:r>
          </w:p>
        </w:tc>
        <w:tc>
          <w:tcPr>
            <w:tcW w:w="1531" w:type="dxa"/>
            <w:shd w:val="clear" w:color="auto" w:fill="auto"/>
            <w:noWrap/>
            <w:vAlign w:val="bottom"/>
            <w:hideMark/>
          </w:tcPr>
          <w:p w14:paraId="5CD9914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$993,974</w:t>
            </w:r>
          </w:p>
        </w:tc>
      </w:tr>
      <w:tr w:rsidR="00746559" w:rsidRPr="00746559" w14:paraId="58352A3D" w14:textId="77777777" w:rsidTr="004B4821">
        <w:trPr>
          <w:trHeight w:val="300"/>
        </w:trPr>
        <w:tc>
          <w:tcPr>
            <w:tcW w:w="1980" w:type="dxa"/>
            <w:shd w:val="clear" w:color="auto" w:fill="auto"/>
            <w:noWrap/>
            <w:vAlign w:val="bottom"/>
            <w:hideMark/>
          </w:tcPr>
          <w:p w14:paraId="0246ABB2"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FENTANYL</w:t>
            </w:r>
          </w:p>
        </w:tc>
        <w:tc>
          <w:tcPr>
            <w:tcW w:w="1531" w:type="dxa"/>
            <w:shd w:val="clear" w:color="auto" w:fill="auto"/>
            <w:noWrap/>
            <w:vAlign w:val="bottom"/>
            <w:hideMark/>
          </w:tcPr>
          <w:p w14:paraId="6C35873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$25,198,684</w:t>
            </w:r>
          </w:p>
        </w:tc>
        <w:tc>
          <w:tcPr>
            <w:tcW w:w="1531" w:type="dxa"/>
            <w:shd w:val="clear" w:color="auto" w:fill="auto"/>
            <w:noWrap/>
            <w:vAlign w:val="bottom"/>
            <w:hideMark/>
          </w:tcPr>
          <w:p w14:paraId="5C91CBC9"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$20,337,381</w:t>
            </w:r>
          </w:p>
        </w:tc>
        <w:tc>
          <w:tcPr>
            <w:tcW w:w="1531" w:type="dxa"/>
            <w:shd w:val="clear" w:color="auto" w:fill="auto"/>
            <w:noWrap/>
            <w:vAlign w:val="bottom"/>
            <w:hideMark/>
          </w:tcPr>
          <w:p w14:paraId="6043B768"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$17,788,485</w:t>
            </w:r>
          </w:p>
        </w:tc>
        <w:tc>
          <w:tcPr>
            <w:tcW w:w="1531" w:type="dxa"/>
            <w:shd w:val="clear" w:color="auto" w:fill="auto"/>
            <w:noWrap/>
            <w:vAlign w:val="bottom"/>
            <w:hideMark/>
          </w:tcPr>
          <w:p w14:paraId="20E0055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$15,405,840</w:t>
            </w:r>
          </w:p>
        </w:tc>
        <w:tc>
          <w:tcPr>
            <w:tcW w:w="1531" w:type="dxa"/>
            <w:shd w:val="clear" w:color="auto" w:fill="auto"/>
            <w:noWrap/>
            <w:vAlign w:val="bottom"/>
            <w:hideMark/>
          </w:tcPr>
          <w:p w14:paraId="4D3AD94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$13,451,389</w:t>
            </w:r>
          </w:p>
        </w:tc>
        <w:tc>
          <w:tcPr>
            <w:tcW w:w="1531" w:type="dxa"/>
            <w:shd w:val="clear" w:color="auto" w:fill="auto"/>
            <w:noWrap/>
            <w:vAlign w:val="bottom"/>
            <w:hideMark/>
          </w:tcPr>
          <w:p w14:paraId="65ADD1AE"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$12,368,062</w:t>
            </w:r>
          </w:p>
        </w:tc>
        <w:tc>
          <w:tcPr>
            <w:tcW w:w="1531" w:type="dxa"/>
            <w:shd w:val="clear" w:color="auto" w:fill="auto"/>
            <w:noWrap/>
            <w:vAlign w:val="bottom"/>
            <w:hideMark/>
          </w:tcPr>
          <w:p w14:paraId="5851E118"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$7,855,851</w:t>
            </w:r>
          </w:p>
        </w:tc>
      </w:tr>
      <w:tr w:rsidR="00746559" w:rsidRPr="00746559" w14:paraId="6FC2BFBE" w14:textId="77777777" w:rsidTr="004B4821">
        <w:trPr>
          <w:trHeight w:val="300"/>
        </w:trPr>
        <w:tc>
          <w:tcPr>
            <w:tcW w:w="1980" w:type="dxa"/>
            <w:shd w:val="clear" w:color="auto" w:fill="auto"/>
            <w:noWrap/>
            <w:vAlign w:val="bottom"/>
            <w:hideMark/>
          </w:tcPr>
          <w:p w14:paraId="0AA23BCF"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GABAPENTIN</w:t>
            </w:r>
          </w:p>
        </w:tc>
        <w:tc>
          <w:tcPr>
            <w:tcW w:w="1531" w:type="dxa"/>
            <w:shd w:val="clear" w:color="auto" w:fill="auto"/>
            <w:noWrap/>
            <w:vAlign w:val="bottom"/>
            <w:hideMark/>
          </w:tcPr>
          <w:p w14:paraId="0CDD18E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$144,379</w:t>
            </w:r>
          </w:p>
        </w:tc>
        <w:tc>
          <w:tcPr>
            <w:tcW w:w="1531" w:type="dxa"/>
            <w:shd w:val="clear" w:color="auto" w:fill="auto"/>
            <w:noWrap/>
            <w:vAlign w:val="bottom"/>
            <w:hideMark/>
          </w:tcPr>
          <w:p w14:paraId="1911A30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$93,221</w:t>
            </w:r>
          </w:p>
        </w:tc>
        <w:tc>
          <w:tcPr>
            <w:tcW w:w="1531" w:type="dxa"/>
            <w:shd w:val="clear" w:color="auto" w:fill="auto"/>
            <w:noWrap/>
            <w:vAlign w:val="bottom"/>
            <w:hideMark/>
          </w:tcPr>
          <w:p w14:paraId="54A6F03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$82,633</w:t>
            </w:r>
          </w:p>
        </w:tc>
        <w:tc>
          <w:tcPr>
            <w:tcW w:w="1531" w:type="dxa"/>
            <w:shd w:val="clear" w:color="auto" w:fill="auto"/>
            <w:noWrap/>
            <w:vAlign w:val="bottom"/>
            <w:hideMark/>
          </w:tcPr>
          <w:p w14:paraId="235B7209"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$86,216</w:t>
            </w:r>
          </w:p>
        </w:tc>
        <w:tc>
          <w:tcPr>
            <w:tcW w:w="1531" w:type="dxa"/>
            <w:shd w:val="clear" w:color="auto" w:fill="auto"/>
            <w:noWrap/>
            <w:vAlign w:val="bottom"/>
            <w:hideMark/>
          </w:tcPr>
          <w:p w14:paraId="0632923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$103,129</w:t>
            </w:r>
          </w:p>
        </w:tc>
        <w:tc>
          <w:tcPr>
            <w:tcW w:w="1531" w:type="dxa"/>
            <w:shd w:val="clear" w:color="auto" w:fill="auto"/>
            <w:noWrap/>
            <w:vAlign w:val="bottom"/>
            <w:hideMark/>
          </w:tcPr>
          <w:p w14:paraId="5D213F98"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$99,479</w:t>
            </w:r>
          </w:p>
        </w:tc>
        <w:tc>
          <w:tcPr>
            <w:tcW w:w="1531" w:type="dxa"/>
            <w:shd w:val="clear" w:color="auto" w:fill="auto"/>
            <w:noWrap/>
            <w:vAlign w:val="bottom"/>
            <w:hideMark/>
          </w:tcPr>
          <w:p w14:paraId="5F9199B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$58,961</w:t>
            </w:r>
          </w:p>
        </w:tc>
      </w:tr>
      <w:tr w:rsidR="00746559" w:rsidRPr="00746559" w14:paraId="28AB869D" w14:textId="77777777" w:rsidTr="004B4821">
        <w:trPr>
          <w:trHeight w:val="300"/>
        </w:trPr>
        <w:tc>
          <w:tcPr>
            <w:tcW w:w="1980" w:type="dxa"/>
            <w:shd w:val="clear" w:color="auto" w:fill="auto"/>
            <w:noWrap/>
            <w:vAlign w:val="bottom"/>
            <w:hideMark/>
          </w:tcPr>
          <w:p w14:paraId="1D42DA0E"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HYDROMORPHONE</w:t>
            </w:r>
          </w:p>
        </w:tc>
        <w:tc>
          <w:tcPr>
            <w:tcW w:w="1531" w:type="dxa"/>
            <w:shd w:val="clear" w:color="auto" w:fill="auto"/>
            <w:noWrap/>
            <w:vAlign w:val="bottom"/>
            <w:hideMark/>
          </w:tcPr>
          <w:p w14:paraId="28B412A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$10,224,028</w:t>
            </w:r>
          </w:p>
        </w:tc>
        <w:tc>
          <w:tcPr>
            <w:tcW w:w="1531" w:type="dxa"/>
            <w:shd w:val="clear" w:color="auto" w:fill="auto"/>
            <w:noWrap/>
            <w:vAlign w:val="bottom"/>
            <w:hideMark/>
          </w:tcPr>
          <w:p w14:paraId="1F3C095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$9,976,657</w:t>
            </w:r>
          </w:p>
        </w:tc>
        <w:tc>
          <w:tcPr>
            <w:tcW w:w="1531" w:type="dxa"/>
            <w:shd w:val="clear" w:color="auto" w:fill="auto"/>
            <w:noWrap/>
            <w:vAlign w:val="bottom"/>
            <w:hideMark/>
          </w:tcPr>
          <w:p w14:paraId="5D3E96A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$9,165,012</w:t>
            </w:r>
          </w:p>
        </w:tc>
        <w:tc>
          <w:tcPr>
            <w:tcW w:w="1531" w:type="dxa"/>
            <w:shd w:val="clear" w:color="auto" w:fill="auto"/>
            <w:noWrap/>
            <w:vAlign w:val="bottom"/>
            <w:hideMark/>
          </w:tcPr>
          <w:p w14:paraId="4525AAC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$8,101,218</w:t>
            </w:r>
          </w:p>
        </w:tc>
        <w:tc>
          <w:tcPr>
            <w:tcW w:w="1531" w:type="dxa"/>
            <w:shd w:val="clear" w:color="auto" w:fill="auto"/>
            <w:noWrap/>
            <w:vAlign w:val="bottom"/>
            <w:hideMark/>
          </w:tcPr>
          <w:p w14:paraId="51148927"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$8,039,311</w:t>
            </w:r>
          </w:p>
        </w:tc>
        <w:tc>
          <w:tcPr>
            <w:tcW w:w="1531" w:type="dxa"/>
            <w:shd w:val="clear" w:color="auto" w:fill="auto"/>
            <w:noWrap/>
            <w:vAlign w:val="bottom"/>
            <w:hideMark/>
          </w:tcPr>
          <w:p w14:paraId="1BDE6B3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$7,474,916</w:t>
            </w:r>
          </w:p>
        </w:tc>
        <w:tc>
          <w:tcPr>
            <w:tcW w:w="1531" w:type="dxa"/>
            <w:shd w:val="clear" w:color="auto" w:fill="auto"/>
            <w:noWrap/>
            <w:vAlign w:val="bottom"/>
            <w:hideMark/>
          </w:tcPr>
          <w:p w14:paraId="3EC50DB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$5,210,082</w:t>
            </w:r>
          </w:p>
        </w:tc>
      </w:tr>
      <w:tr w:rsidR="00746559" w:rsidRPr="00746559" w14:paraId="3988EDD4" w14:textId="77777777" w:rsidTr="004B4821">
        <w:trPr>
          <w:trHeight w:val="300"/>
        </w:trPr>
        <w:tc>
          <w:tcPr>
            <w:tcW w:w="1980" w:type="dxa"/>
            <w:shd w:val="clear" w:color="auto" w:fill="auto"/>
            <w:noWrap/>
            <w:vAlign w:val="bottom"/>
            <w:hideMark/>
          </w:tcPr>
          <w:p w14:paraId="5757EECE"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METHADONE</w:t>
            </w:r>
          </w:p>
        </w:tc>
        <w:tc>
          <w:tcPr>
            <w:tcW w:w="1531" w:type="dxa"/>
            <w:shd w:val="clear" w:color="auto" w:fill="auto"/>
            <w:noWrap/>
            <w:vAlign w:val="bottom"/>
            <w:hideMark/>
          </w:tcPr>
          <w:p w14:paraId="6371306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$3,544,654</w:t>
            </w:r>
          </w:p>
        </w:tc>
        <w:tc>
          <w:tcPr>
            <w:tcW w:w="1531" w:type="dxa"/>
            <w:shd w:val="clear" w:color="auto" w:fill="auto"/>
            <w:noWrap/>
            <w:vAlign w:val="bottom"/>
            <w:hideMark/>
          </w:tcPr>
          <w:p w14:paraId="085A918C"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$3,471,443</w:t>
            </w:r>
          </w:p>
        </w:tc>
        <w:tc>
          <w:tcPr>
            <w:tcW w:w="1531" w:type="dxa"/>
            <w:shd w:val="clear" w:color="auto" w:fill="auto"/>
            <w:noWrap/>
            <w:vAlign w:val="bottom"/>
            <w:hideMark/>
          </w:tcPr>
          <w:p w14:paraId="158E6F3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$3,404,220</w:t>
            </w:r>
          </w:p>
        </w:tc>
        <w:tc>
          <w:tcPr>
            <w:tcW w:w="1531" w:type="dxa"/>
            <w:shd w:val="clear" w:color="auto" w:fill="auto"/>
            <w:noWrap/>
            <w:vAlign w:val="bottom"/>
            <w:hideMark/>
          </w:tcPr>
          <w:p w14:paraId="144C81A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$3,221,020</w:t>
            </w:r>
          </w:p>
        </w:tc>
        <w:tc>
          <w:tcPr>
            <w:tcW w:w="1531" w:type="dxa"/>
            <w:shd w:val="clear" w:color="auto" w:fill="auto"/>
            <w:noWrap/>
            <w:vAlign w:val="bottom"/>
            <w:hideMark/>
          </w:tcPr>
          <w:p w14:paraId="56165E6C"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$3,209,834</w:t>
            </w:r>
          </w:p>
        </w:tc>
        <w:tc>
          <w:tcPr>
            <w:tcW w:w="1531" w:type="dxa"/>
            <w:shd w:val="clear" w:color="auto" w:fill="auto"/>
            <w:noWrap/>
            <w:vAlign w:val="bottom"/>
            <w:hideMark/>
          </w:tcPr>
          <w:p w14:paraId="33313A0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$3,118,688</w:t>
            </w:r>
          </w:p>
        </w:tc>
        <w:tc>
          <w:tcPr>
            <w:tcW w:w="1531" w:type="dxa"/>
            <w:shd w:val="clear" w:color="auto" w:fill="auto"/>
            <w:noWrap/>
            <w:vAlign w:val="bottom"/>
            <w:hideMark/>
          </w:tcPr>
          <w:p w14:paraId="028B6AB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$2,004,313</w:t>
            </w:r>
          </w:p>
        </w:tc>
      </w:tr>
      <w:tr w:rsidR="00746559" w:rsidRPr="00746559" w14:paraId="39BF40BE" w14:textId="77777777" w:rsidTr="004B4821">
        <w:trPr>
          <w:trHeight w:val="300"/>
        </w:trPr>
        <w:tc>
          <w:tcPr>
            <w:tcW w:w="1980" w:type="dxa"/>
            <w:shd w:val="clear" w:color="auto" w:fill="auto"/>
            <w:noWrap/>
            <w:vAlign w:val="bottom"/>
            <w:hideMark/>
          </w:tcPr>
          <w:p w14:paraId="5518BC94"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MORPHINE</w:t>
            </w:r>
          </w:p>
        </w:tc>
        <w:tc>
          <w:tcPr>
            <w:tcW w:w="1531" w:type="dxa"/>
            <w:shd w:val="clear" w:color="auto" w:fill="auto"/>
            <w:noWrap/>
            <w:vAlign w:val="bottom"/>
            <w:hideMark/>
          </w:tcPr>
          <w:p w14:paraId="31074D1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$21,601,435</w:t>
            </w:r>
          </w:p>
        </w:tc>
        <w:tc>
          <w:tcPr>
            <w:tcW w:w="1531" w:type="dxa"/>
            <w:shd w:val="clear" w:color="auto" w:fill="auto"/>
            <w:noWrap/>
            <w:vAlign w:val="bottom"/>
            <w:hideMark/>
          </w:tcPr>
          <w:p w14:paraId="00251E3C"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$19,997,592</w:t>
            </w:r>
          </w:p>
        </w:tc>
        <w:tc>
          <w:tcPr>
            <w:tcW w:w="1531" w:type="dxa"/>
            <w:shd w:val="clear" w:color="auto" w:fill="auto"/>
            <w:noWrap/>
            <w:vAlign w:val="bottom"/>
            <w:hideMark/>
          </w:tcPr>
          <w:p w14:paraId="2B05A41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$18,437,751</w:t>
            </w:r>
          </w:p>
        </w:tc>
        <w:tc>
          <w:tcPr>
            <w:tcW w:w="1531" w:type="dxa"/>
            <w:shd w:val="clear" w:color="auto" w:fill="auto"/>
            <w:noWrap/>
            <w:vAlign w:val="bottom"/>
            <w:hideMark/>
          </w:tcPr>
          <w:p w14:paraId="1274B3FE"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$16,814,522</w:t>
            </w:r>
          </w:p>
        </w:tc>
        <w:tc>
          <w:tcPr>
            <w:tcW w:w="1531" w:type="dxa"/>
            <w:shd w:val="clear" w:color="auto" w:fill="auto"/>
            <w:noWrap/>
            <w:vAlign w:val="bottom"/>
            <w:hideMark/>
          </w:tcPr>
          <w:p w14:paraId="2229CA87"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$16,187,953</w:t>
            </w:r>
          </w:p>
        </w:tc>
        <w:tc>
          <w:tcPr>
            <w:tcW w:w="1531" w:type="dxa"/>
            <w:shd w:val="clear" w:color="auto" w:fill="auto"/>
            <w:noWrap/>
            <w:vAlign w:val="bottom"/>
            <w:hideMark/>
          </w:tcPr>
          <w:p w14:paraId="384B59D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$15,471,791</w:t>
            </w:r>
          </w:p>
        </w:tc>
        <w:tc>
          <w:tcPr>
            <w:tcW w:w="1531" w:type="dxa"/>
            <w:shd w:val="clear" w:color="auto" w:fill="auto"/>
            <w:noWrap/>
            <w:vAlign w:val="bottom"/>
            <w:hideMark/>
          </w:tcPr>
          <w:p w14:paraId="3DC13FF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$10,776,582</w:t>
            </w:r>
          </w:p>
        </w:tc>
      </w:tr>
      <w:tr w:rsidR="00746559" w:rsidRPr="00746559" w14:paraId="75302911" w14:textId="77777777" w:rsidTr="004B4821">
        <w:trPr>
          <w:trHeight w:val="300"/>
        </w:trPr>
        <w:tc>
          <w:tcPr>
            <w:tcW w:w="1980" w:type="dxa"/>
            <w:shd w:val="clear" w:color="auto" w:fill="auto"/>
            <w:noWrap/>
            <w:vAlign w:val="bottom"/>
            <w:hideMark/>
          </w:tcPr>
          <w:p w14:paraId="79238F56"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OXYCODONE</w:t>
            </w:r>
          </w:p>
        </w:tc>
        <w:tc>
          <w:tcPr>
            <w:tcW w:w="1531" w:type="dxa"/>
            <w:shd w:val="clear" w:color="auto" w:fill="auto"/>
            <w:noWrap/>
            <w:vAlign w:val="bottom"/>
            <w:hideMark/>
          </w:tcPr>
          <w:p w14:paraId="643EE009"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$63,083,676</w:t>
            </w:r>
          </w:p>
        </w:tc>
        <w:tc>
          <w:tcPr>
            <w:tcW w:w="1531" w:type="dxa"/>
            <w:shd w:val="clear" w:color="auto" w:fill="auto"/>
            <w:noWrap/>
            <w:vAlign w:val="bottom"/>
            <w:hideMark/>
          </w:tcPr>
          <w:p w14:paraId="5B25949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$60,190,363</w:t>
            </w:r>
          </w:p>
        </w:tc>
        <w:tc>
          <w:tcPr>
            <w:tcW w:w="1531" w:type="dxa"/>
            <w:shd w:val="clear" w:color="auto" w:fill="auto"/>
            <w:noWrap/>
            <w:vAlign w:val="bottom"/>
            <w:hideMark/>
          </w:tcPr>
          <w:p w14:paraId="4BC2E84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$54,714,892</w:t>
            </w:r>
          </w:p>
        </w:tc>
        <w:tc>
          <w:tcPr>
            <w:tcW w:w="1531" w:type="dxa"/>
            <w:shd w:val="clear" w:color="auto" w:fill="auto"/>
            <w:noWrap/>
            <w:vAlign w:val="bottom"/>
            <w:hideMark/>
          </w:tcPr>
          <w:p w14:paraId="0F54FFAD"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$47,268,306</w:t>
            </w:r>
          </w:p>
        </w:tc>
        <w:tc>
          <w:tcPr>
            <w:tcW w:w="1531" w:type="dxa"/>
            <w:shd w:val="clear" w:color="auto" w:fill="auto"/>
            <w:noWrap/>
            <w:vAlign w:val="bottom"/>
            <w:hideMark/>
          </w:tcPr>
          <w:p w14:paraId="4AE13F3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$48,015,771</w:t>
            </w:r>
          </w:p>
        </w:tc>
        <w:tc>
          <w:tcPr>
            <w:tcW w:w="1531" w:type="dxa"/>
            <w:shd w:val="clear" w:color="auto" w:fill="auto"/>
            <w:noWrap/>
            <w:vAlign w:val="bottom"/>
            <w:hideMark/>
          </w:tcPr>
          <w:p w14:paraId="3E427FF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$48,575,111</w:t>
            </w:r>
          </w:p>
        </w:tc>
        <w:tc>
          <w:tcPr>
            <w:tcW w:w="1531" w:type="dxa"/>
            <w:shd w:val="clear" w:color="auto" w:fill="auto"/>
            <w:noWrap/>
            <w:vAlign w:val="bottom"/>
            <w:hideMark/>
          </w:tcPr>
          <w:p w14:paraId="1832F00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$35,380,002</w:t>
            </w:r>
          </w:p>
        </w:tc>
      </w:tr>
      <w:tr w:rsidR="00746559" w:rsidRPr="00746559" w14:paraId="6EB29961" w14:textId="77777777" w:rsidTr="004B4821">
        <w:trPr>
          <w:trHeight w:val="300"/>
        </w:trPr>
        <w:tc>
          <w:tcPr>
            <w:tcW w:w="1980" w:type="dxa"/>
            <w:shd w:val="clear" w:color="auto" w:fill="auto"/>
            <w:noWrap/>
            <w:vAlign w:val="bottom"/>
            <w:hideMark/>
          </w:tcPr>
          <w:p w14:paraId="53A4652A"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OXYCODONE + NALOXONE</w:t>
            </w:r>
          </w:p>
        </w:tc>
        <w:tc>
          <w:tcPr>
            <w:tcW w:w="1531" w:type="dxa"/>
            <w:shd w:val="clear" w:color="auto" w:fill="auto"/>
            <w:noWrap/>
            <w:vAlign w:val="bottom"/>
            <w:hideMark/>
          </w:tcPr>
          <w:p w14:paraId="64C9DCFD"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$66,208,229</w:t>
            </w:r>
          </w:p>
        </w:tc>
        <w:tc>
          <w:tcPr>
            <w:tcW w:w="1531" w:type="dxa"/>
            <w:shd w:val="clear" w:color="auto" w:fill="auto"/>
            <w:noWrap/>
            <w:vAlign w:val="bottom"/>
            <w:hideMark/>
          </w:tcPr>
          <w:p w14:paraId="2F2FC2D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$71,313,468</w:t>
            </w:r>
          </w:p>
        </w:tc>
        <w:tc>
          <w:tcPr>
            <w:tcW w:w="1531" w:type="dxa"/>
            <w:shd w:val="clear" w:color="auto" w:fill="auto"/>
            <w:noWrap/>
            <w:vAlign w:val="bottom"/>
            <w:hideMark/>
          </w:tcPr>
          <w:p w14:paraId="5653297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$72,268,271</w:t>
            </w:r>
          </w:p>
        </w:tc>
        <w:tc>
          <w:tcPr>
            <w:tcW w:w="1531" w:type="dxa"/>
            <w:shd w:val="clear" w:color="auto" w:fill="auto"/>
            <w:noWrap/>
            <w:vAlign w:val="bottom"/>
            <w:hideMark/>
          </w:tcPr>
          <w:p w14:paraId="4F69C4BE"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$67,945,433</w:t>
            </w:r>
          </w:p>
        </w:tc>
        <w:tc>
          <w:tcPr>
            <w:tcW w:w="1531" w:type="dxa"/>
            <w:shd w:val="clear" w:color="auto" w:fill="auto"/>
            <w:noWrap/>
            <w:vAlign w:val="bottom"/>
            <w:hideMark/>
          </w:tcPr>
          <w:p w14:paraId="27AD8E0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$66,714,712</w:t>
            </w:r>
          </w:p>
        </w:tc>
        <w:tc>
          <w:tcPr>
            <w:tcW w:w="1531" w:type="dxa"/>
            <w:shd w:val="clear" w:color="auto" w:fill="auto"/>
            <w:noWrap/>
            <w:vAlign w:val="bottom"/>
            <w:hideMark/>
          </w:tcPr>
          <w:p w14:paraId="482F918B"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$64,770,446</w:t>
            </w:r>
          </w:p>
        </w:tc>
        <w:tc>
          <w:tcPr>
            <w:tcW w:w="1531" w:type="dxa"/>
            <w:shd w:val="clear" w:color="auto" w:fill="auto"/>
            <w:noWrap/>
            <w:vAlign w:val="bottom"/>
            <w:hideMark/>
          </w:tcPr>
          <w:p w14:paraId="63EF4EE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$34,942,430</w:t>
            </w:r>
          </w:p>
        </w:tc>
      </w:tr>
      <w:tr w:rsidR="00746559" w:rsidRPr="00746559" w14:paraId="3322DED4" w14:textId="77777777" w:rsidTr="004B4821">
        <w:trPr>
          <w:trHeight w:val="300"/>
        </w:trPr>
        <w:tc>
          <w:tcPr>
            <w:tcW w:w="1980" w:type="dxa"/>
            <w:shd w:val="clear" w:color="auto" w:fill="auto"/>
            <w:noWrap/>
            <w:vAlign w:val="bottom"/>
            <w:hideMark/>
          </w:tcPr>
          <w:p w14:paraId="54B3178C"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PARACETAMOL + CODEINE</w:t>
            </w:r>
          </w:p>
        </w:tc>
        <w:tc>
          <w:tcPr>
            <w:tcW w:w="1531" w:type="dxa"/>
            <w:shd w:val="clear" w:color="auto" w:fill="auto"/>
            <w:noWrap/>
            <w:vAlign w:val="bottom"/>
            <w:hideMark/>
          </w:tcPr>
          <w:p w14:paraId="759B32B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$23,001,396</w:t>
            </w:r>
          </w:p>
        </w:tc>
        <w:tc>
          <w:tcPr>
            <w:tcW w:w="1531" w:type="dxa"/>
            <w:shd w:val="clear" w:color="auto" w:fill="auto"/>
            <w:noWrap/>
            <w:vAlign w:val="bottom"/>
            <w:hideMark/>
          </w:tcPr>
          <w:p w14:paraId="5DF4B28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$26,706,993</w:t>
            </w:r>
          </w:p>
        </w:tc>
        <w:tc>
          <w:tcPr>
            <w:tcW w:w="1531" w:type="dxa"/>
            <w:shd w:val="clear" w:color="auto" w:fill="auto"/>
            <w:noWrap/>
            <w:vAlign w:val="bottom"/>
            <w:hideMark/>
          </w:tcPr>
          <w:p w14:paraId="0F71B33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$28,814,560</w:t>
            </w:r>
          </w:p>
        </w:tc>
        <w:tc>
          <w:tcPr>
            <w:tcW w:w="1531" w:type="dxa"/>
            <w:shd w:val="clear" w:color="auto" w:fill="auto"/>
            <w:noWrap/>
            <w:vAlign w:val="bottom"/>
            <w:hideMark/>
          </w:tcPr>
          <w:p w14:paraId="17F449F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$28,039,121</w:t>
            </w:r>
          </w:p>
        </w:tc>
        <w:tc>
          <w:tcPr>
            <w:tcW w:w="1531" w:type="dxa"/>
            <w:shd w:val="clear" w:color="auto" w:fill="auto"/>
            <w:noWrap/>
            <w:vAlign w:val="bottom"/>
            <w:hideMark/>
          </w:tcPr>
          <w:p w14:paraId="11C5BF6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$35,459,515</w:t>
            </w:r>
          </w:p>
        </w:tc>
        <w:tc>
          <w:tcPr>
            <w:tcW w:w="1531" w:type="dxa"/>
            <w:shd w:val="clear" w:color="auto" w:fill="auto"/>
            <w:noWrap/>
            <w:vAlign w:val="bottom"/>
            <w:hideMark/>
          </w:tcPr>
          <w:p w14:paraId="6A4BA66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$38,031,933</w:t>
            </w:r>
          </w:p>
        </w:tc>
        <w:tc>
          <w:tcPr>
            <w:tcW w:w="1531" w:type="dxa"/>
            <w:shd w:val="clear" w:color="auto" w:fill="auto"/>
            <w:noWrap/>
            <w:vAlign w:val="bottom"/>
            <w:hideMark/>
          </w:tcPr>
          <w:p w14:paraId="733AD5A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$25,754,980</w:t>
            </w:r>
          </w:p>
        </w:tc>
      </w:tr>
      <w:tr w:rsidR="00746559" w:rsidRPr="00746559" w14:paraId="30475EA2" w14:textId="77777777" w:rsidTr="004B4821">
        <w:trPr>
          <w:trHeight w:val="300"/>
        </w:trPr>
        <w:tc>
          <w:tcPr>
            <w:tcW w:w="1980" w:type="dxa"/>
            <w:shd w:val="clear" w:color="auto" w:fill="auto"/>
            <w:noWrap/>
            <w:vAlign w:val="bottom"/>
            <w:hideMark/>
          </w:tcPr>
          <w:p w14:paraId="5BCB345E"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PREGABALIN</w:t>
            </w:r>
          </w:p>
        </w:tc>
        <w:tc>
          <w:tcPr>
            <w:tcW w:w="1531" w:type="dxa"/>
            <w:shd w:val="clear" w:color="auto" w:fill="auto"/>
            <w:noWrap/>
            <w:vAlign w:val="bottom"/>
            <w:hideMark/>
          </w:tcPr>
          <w:p w14:paraId="1DA4F3A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$153,417,805</w:t>
            </w:r>
          </w:p>
        </w:tc>
        <w:tc>
          <w:tcPr>
            <w:tcW w:w="1531" w:type="dxa"/>
            <w:shd w:val="clear" w:color="auto" w:fill="auto"/>
            <w:noWrap/>
            <w:vAlign w:val="bottom"/>
            <w:hideMark/>
          </w:tcPr>
          <w:p w14:paraId="5C254BE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$151,940,627</w:t>
            </w:r>
          </w:p>
        </w:tc>
        <w:tc>
          <w:tcPr>
            <w:tcW w:w="1531" w:type="dxa"/>
            <w:shd w:val="clear" w:color="auto" w:fill="auto"/>
            <w:noWrap/>
            <w:vAlign w:val="bottom"/>
            <w:hideMark/>
          </w:tcPr>
          <w:p w14:paraId="1DDCBF4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$126,404,161</w:t>
            </w:r>
          </w:p>
        </w:tc>
        <w:tc>
          <w:tcPr>
            <w:tcW w:w="1531" w:type="dxa"/>
            <w:shd w:val="clear" w:color="auto" w:fill="auto"/>
            <w:noWrap/>
            <w:vAlign w:val="bottom"/>
            <w:hideMark/>
          </w:tcPr>
          <w:p w14:paraId="38A28D5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$98,113,993</w:t>
            </w:r>
          </w:p>
        </w:tc>
        <w:tc>
          <w:tcPr>
            <w:tcW w:w="1531" w:type="dxa"/>
            <w:shd w:val="clear" w:color="auto" w:fill="auto"/>
            <w:noWrap/>
            <w:vAlign w:val="bottom"/>
            <w:hideMark/>
          </w:tcPr>
          <w:p w14:paraId="4F140855"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$82,964,933</w:t>
            </w:r>
          </w:p>
        </w:tc>
        <w:tc>
          <w:tcPr>
            <w:tcW w:w="1531" w:type="dxa"/>
            <w:shd w:val="clear" w:color="auto" w:fill="auto"/>
            <w:noWrap/>
            <w:vAlign w:val="bottom"/>
            <w:hideMark/>
          </w:tcPr>
          <w:p w14:paraId="4E908FA7"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$62,956,405</w:t>
            </w:r>
          </w:p>
        </w:tc>
        <w:tc>
          <w:tcPr>
            <w:tcW w:w="1531" w:type="dxa"/>
            <w:shd w:val="clear" w:color="auto" w:fill="auto"/>
            <w:noWrap/>
            <w:vAlign w:val="bottom"/>
            <w:hideMark/>
          </w:tcPr>
          <w:p w14:paraId="1AE3CD4A"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$38,420,248</w:t>
            </w:r>
          </w:p>
        </w:tc>
      </w:tr>
      <w:tr w:rsidR="00746559" w:rsidRPr="00746559" w14:paraId="569140CC" w14:textId="77777777" w:rsidTr="004B4821">
        <w:trPr>
          <w:trHeight w:val="300"/>
        </w:trPr>
        <w:tc>
          <w:tcPr>
            <w:tcW w:w="1980" w:type="dxa"/>
            <w:shd w:val="clear" w:color="auto" w:fill="auto"/>
            <w:noWrap/>
            <w:vAlign w:val="bottom"/>
            <w:hideMark/>
          </w:tcPr>
          <w:p w14:paraId="3D064305"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TAPENTADOL</w:t>
            </w:r>
          </w:p>
        </w:tc>
        <w:tc>
          <w:tcPr>
            <w:tcW w:w="1531" w:type="dxa"/>
            <w:shd w:val="clear" w:color="auto" w:fill="auto"/>
            <w:noWrap/>
            <w:vAlign w:val="bottom"/>
            <w:hideMark/>
          </w:tcPr>
          <w:p w14:paraId="3445EC5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$12,263,070</w:t>
            </w:r>
          </w:p>
        </w:tc>
        <w:tc>
          <w:tcPr>
            <w:tcW w:w="1531" w:type="dxa"/>
            <w:shd w:val="clear" w:color="auto" w:fill="auto"/>
            <w:noWrap/>
            <w:vAlign w:val="bottom"/>
            <w:hideMark/>
          </w:tcPr>
          <w:p w14:paraId="7987763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$18,128,578</w:t>
            </w:r>
          </w:p>
        </w:tc>
        <w:tc>
          <w:tcPr>
            <w:tcW w:w="1531" w:type="dxa"/>
            <w:shd w:val="clear" w:color="auto" w:fill="auto"/>
            <w:noWrap/>
            <w:vAlign w:val="bottom"/>
            <w:hideMark/>
          </w:tcPr>
          <w:p w14:paraId="5CCE8B1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$23,062,790</w:t>
            </w:r>
          </w:p>
        </w:tc>
        <w:tc>
          <w:tcPr>
            <w:tcW w:w="1531" w:type="dxa"/>
            <w:shd w:val="clear" w:color="auto" w:fill="auto"/>
            <w:noWrap/>
            <w:vAlign w:val="bottom"/>
            <w:hideMark/>
          </w:tcPr>
          <w:p w14:paraId="7ABC0331"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$27,124,057</w:t>
            </w:r>
          </w:p>
        </w:tc>
        <w:tc>
          <w:tcPr>
            <w:tcW w:w="1531" w:type="dxa"/>
            <w:shd w:val="clear" w:color="auto" w:fill="auto"/>
            <w:noWrap/>
            <w:vAlign w:val="bottom"/>
            <w:hideMark/>
          </w:tcPr>
          <w:p w14:paraId="19D3745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$31,442,298</w:t>
            </w:r>
          </w:p>
        </w:tc>
        <w:tc>
          <w:tcPr>
            <w:tcW w:w="1531" w:type="dxa"/>
            <w:shd w:val="clear" w:color="auto" w:fill="auto"/>
            <w:noWrap/>
            <w:vAlign w:val="bottom"/>
            <w:hideMark/>
          </w:tcPr>
          <w:p w14:paraId="6022620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$34,636,441</w:t>
            </w:r>
          </w:p>
        </w:tc>
        <w:tc>
          <w:tcPr>
            <w:tcW w:w="1531" w:type="dxa"/>
            <w:shd w:val="clear" w:color="auto" w:fill="auto"/>
            <w:noWrap/>
            <w:vAlign w:val="bottom"/>
            <w:hideMark/>
          </w:tcPr>
          <w:p w14:paraId="22168FA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$27,154,588</w:t>
            </w:r>
          </w:p>
        </w:tc>
      </w:tr>
      <w:tr w:rsidR="00746559" w:rsidRPr="00746559" w14:paraId="6FDFE05F" w14:textId="77777777" w:rsidTr="004B4821">
        <w:trPr>
          <w:trHeight w:val="300"/>
        </w:trPr>
        <w:tc>
          <w:tcPr>
            <w:tcW w:w="1980" w:type="dxa"/>
            <w:shd w:val="clear" w:color="auto" w:fill="auto"/>
            <w:noWrap/>
            <w:vAlign w:val="bottom"/>
            <w:hideMark/>
          </w:tcPr>
          <w:p w14:paraId="1D6FB11F" w14:textId="77777777"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TRAMADOL</w:t>
            </w:r>
          </w:p>
        </w:tc>
        <w:tc>
          <w:tcPr>
            <w:tcW w:w="1531" w:type="dxa"/>
            <w:shd w:val="clear" w:color="auto" w:fill="auto"/>
            <w:noWrap/>
            <w:vAlign w:val="bottom"/>
            <w:hideMark/>
          </w:tcPr>
          <w:p w14:paraId="60EAB206"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$23,507,424</w:t>
            </w:r>
          </w:p>
        </w:tc>
        <w:tc>
          <w:tcPr>
            <w:tcW w:w="1531" w:type="dxa"/>
            <w:shd w:val="clear" w:color="auto" w:fill="auto"/>
            <w:noWrap/>
            <w:vAlign w:val="bottom"/>
            <w:hideMark/>
          </w:tcPr>
          <w:p w14:paraId="26BC802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$23,902,154</w:t>
            </w:r>
          </w:p>
        </w:tc>
        <w:tc>
          <w:tcPr>
            <w:tcW w:w="1531" w:type="dxa"/>
            <w:shd w:val="clear" w:color="auto" w:fill="auto"/>
            <w:noWrap/>
            <w:vAlign w:val="bottom"/>
            <w:hideMark/>
          </w:tcPr>
          <w:p w14:paraId="288C0D57"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$24,054,502</w:t>
            </w:r>
          </w:p>
        </w:tc>
        <w:tc>
          <w:tcPr>
            <w:tcW w:w="1531" w:type="dxa"/>
            <w:shd w:val="clear" w:color="auto" w:fill="auto"/>
            <w:noWrap/>
            <w:vAlign w:val="bottom"/>
            <w:hideMark/>
          </w:tcPr>
          <w:p w14:paraId="1FE8818C"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$23,171,474</w:t>
            </w:r>
          </w:p>
        </w:tc>
        <w:tc>
          <w:tcPr>
            <w:tcW w:w="1531" w:type="dxa"/>
            <w:shd w:val="clear" w:color="auto" w:fill="auto"/>
            <w:noWrap/>
            <w:vAlign w:val="bottom"/>
            <w:hideMark/>
          </w:tcPr>
          <w:p w14:paraId="35BEA184"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$20,947,869</w:t>
            </w:r>
          </w:p>
        </w:tc>
        <w:tc>
          <w:tcPr>
            <w:tcW w:w="1531" w:type="dxa"/>
            <w:shd w:val="clear" w:color="auto" w:fill="auto"/>
            <w:noWrap/>
            <w:vAlign w:val="bottom"/>
            <w:hideMark/>
          </w:tcPr>
          <w:p w14:paraId="6D470DA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$18,426,741</w:t>
            </w:r>
          </w:p>
        </w:tc>
        <w:tc>
          <w:tcPr>
            <w:tcW w:w="1531" w:type="dxa"/>
            <w:shd w:val="clear" w:color="auto" w:fill="auto"/>
            <w:noWrap/>
            <w:vAlign w:val="bottom"/>
            <w:hideMark/>
          </w:tcPr>
          <w:p w14:paraId="59E2E108"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$12,182,612</w:t>
            </w:r>
          </w:p>
        </w:tc>
      </w:tr>
      <w:tr w:rsidR="00746559" w:rsidRPr="00746559" w14:paraId="0543E568" w14:textId="77777777" w:rsidTr="004B4821">
        <w:trPr>
          <w:trHeight w:val="300"/>
        </w:trPr>
        <w:tc>
          <w:tcPr>
            <w:tcW w:w="1980" w:type="dxa"/>
            <w:shd w:val="clear" w:color="auto" w:fill="auto"/>
            <w:noWrap/>
            <w:vAlign w:val="bottom"/>
            <w:hideMark/>
          </w:tcPr>
          <w:p w14:paraId="7AAF8F00" w14:textId="5BEE5910" w:rsidR="00746559" w:rsidRPr="00746559" w:rsidRDefault="00746559" w:rsidP="00746559">
            <w:pPr>
              <w:spacing w:after="0"/>
              <w:rPr>
                <w:rFonts w:ascii="Calibri" w:eastAsia="Times New Roman" w:hAnsi="Calibri" w:cs="Calibri"/>
                <w:color w:val="000000"/>
                <w:sz w:val="20"/>
                <w:szCs w:val="20"/>
              </w:rPr>
            </w:pPr>
            <w:r w:rsidRPr="00746559">
              <w:rPr>
                <w:rFonts w:ascii="Calibri" w:eastAsia="Times New Roman" w:hAnsi="Calibri" w:cs="Calibri"/>
                <w:color w:val="000000"/>
                <w:sz w:val="20"/>
                <w:szCs w:val="20"/>
              </w:rPr>
              <w:t>Total</w:t>
            </w:r>
          </w:p>
        </w:tc>
        <w:tc>
          <w:tcPr>
            <w:tcW w:w="1531" w:type="dxa"/>
            <w:shd w:val="clear" w:color="auto" w:fill="auto"/>
            <w:noWrap/>
            <w:vAlign w:val="bottom"/>
            <w:hideMark/>
          </w:tcPr>
          <w:p w14:paraId="3C0DE1D2"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$468,548,077</w:t>
            </w:r>
          </w:p>
        </w:tc>
        <w:tc>
          <w:tcPr>
            <w:tcW w:w="1531" w:type="dxa"/>
            <w:shd w:val="clear" w:color="auto" w:fill="auto"/>
            <w:noWrap/>
            <w:vAlign w:val="bottom"/>
            <w:hideMark/>
          </w:tcPr>
          <w:p w14:paraId="7B9D01A3"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$473,295,785</w:t>
            </w:r>
          </w:p>
        </w:tc>
        <w:tc>
          <w:tcPr>
            <w:tcW w:w="1531" w:type="dxa"/>
            <w:shd w:val="clear" w:color="auto" w:fill="auto"/>
            <w:noWrap/>
            <w:vAlign w:val="bottom"/>
            <w:hideMark/>
          </w:tcPr>
          <w:p w14:paraId="5154CDF0"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$440,167,062</w:t>
            </w:r>
          </w:p>
        </w:tc>
        <w:tc>
          <w:tcPr>
            <w:tcW w:w="1531" w:type="dxa"/>
            <w:shd w:val="clear" w:color="auto" w:fill="auto"/>
            <w:noWrap/>
            <w:vAlign w:val="bottom"/>
            <w:hideMark/>
          </w:tcPr>
          <w:p w14:paraId="3D6D569D"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$392,149,756</w:t>
            </w:r>
          </w:p>
        </w:tc>
        <w:tc>
          <w:tcPr>
            <w:tcW w:w="1531" w:type="dxa"/>
            <w:shd w:val="clear" w:color="auto" w:fill="auto"/>
            <w:noWrap/>
            <w:vAlign w:val="bottom"/>
            <w:hideMark/>
          </w:tcPr>
          <w:p w14:paraId="26A0AA7D"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$384,449,268</w:t>
            </w:r>
          </w:p>
        </w:tc>
        <w:tc>
          <w:tcPr>
            <w:tcW w:w="1531" w:type="dxa"/>
            <w:shd w:val="clear" w:color="auto" w:fill="auto"/>
            <w:noWrap/>
            <w:vAlign w:val="bottom"/>
            <w:hideMark/>
          </w:tcPr>
          <w:p w14:paraId="7CB954FF"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$363,367,530</w:t>
            </w:r>
          </w:p>
        </w:tc>
        <w:tc>
          <w:tcPr>
            <w:tcW w:w="1531" w:type="dxa"/>
            <w:shd w:val="clear" w:color="auto" w:fill="auto"/>
            <w:noWrap/>
            <w:vAlign w:val="bottom"/>
            <w:hideMark/>
          </w:tcPr>
          <w:p w14:paraId="6CFEC7CD" w14:textId="77777777" w:rsidR="00746559" w:rsidRPr="00746559" w:rsidRDefault="00746559" w:rsidP="00746559">
            <w:pPr>
              <w:spacing w:after="0"/>
              <w:jc w:val="right"/>
              <w:rPr>
                <w:rFonts w:ascii="Calibri" w:eastAsia="Times New Roman" w:hAnsi="Calibri" w:cs="Calibri"/>
                <w:color w:val="000000"/>
                <w:sz w:val="20"/>
                <w:szCs w:val="20"/>
              </w:rPr>
            </w:pPr>
            <w:r w:rsidRPr="00746559">
              <w:rPr>
                <w:rFonts w:ascii="Calibri" w:eastAsia="Times New Roman" w:hAnsi="Calibri" w:cs="Calibri"/>
                <w:color w:val="000000"/>
                <w:sz w:val="20"/>
                <w:szCs w:val="20"/>
              </w:rPr>
              <w:t>$238,260,637</w:t>
            </w:r>
          </w:p>
        </w:tc>
      </w:tr>
    </w:tbl>
    <w:p w14:paraId="37B20CC6" w14:textId="4F474AAB" w:rsidR="00746559" w:rsidRDefault="00746559" w:rsidP="00A35800"/>
    <w:p w14:paraId="7D086FBD" w14:textId="38795D93" w:rsidR="00746559" w:rsidRDefault="00746559" w:rsidP="00A35800">
      <w:r>
        <w:t xml:space="preserve">The cost to Government </w:t>
      </w:r>
      <w:r w:rsidR="00D25B43">
        <w:t xml:space="preserve">based on the published prices </w:t>
      </w:r>
      <w:r>
        <w:t>for opioids and non-opioids has decreased each year, from $470 million in 2016 to $360 million in 2021.</w:t>
      </w:r>
    </w:p>
    <w:p w14:paraId="68A0AFA7" w14:textId="77777777" w:rsidR="00746559" w:rsidRPr="002F61CA" w:rsidRDefault="00746559" w:rsidP="00A35800"/>
    <w:p w14:paraId="0B30E757" w14:textId="77777777" w:rsidR="004B4821" w:rsidRDefault="004B4821" w:rsidP="00F73113">
      <w:pPr>
        <w:pStyle w:val="Heading1"/>
        <w:sectPr w:rsidR="004B4821" w:rsidSect="004B4821">
          <w:pgSz w:w="16838" w:h="11906" w:orient="landscape"/>
          <w:pgMar w:top="1588" w:right="1644" w:bottom="1361" w:left="1644" w:header="709" w:footer="709" w:gutter="0"/>
          <w:cols w:space="708"/>
          <w:docGrid w:linePitch="360"/>
        </w:sectPr>
      </w:pPr>
    </w:p>
    <w:p w14:paraId="3555DFBA" w14:textId="78E1D838" w:rsidR="00591512" w:rsidRDefault="00AB3733" w:rsidP="00F73113">
      <w:pPr>
        <w:pStyle w:val="Heading1"/>
      </w:pPr>
      <w:r>
        <w:lastRenderedPageBreak/>
        <w:t>D</w:t>
      </w:r>
      <w:r w:rsidR="007346C7" w:rsidRPr="005E22C2">
        <w:t>iscussion</w:t>
      </w:r>
    </w:p>
    <w:p w14:paraId="7A175FC2" w14:textId="0015A734" w:rsidR="009325B3" w:rsidRDefault="00EB5958" w:rsidP="0093723C">
      <w:r>
        <w:t>T</w:t>
      </w:r>
      <w:r w:rsidRPr="00EB5958">
        <w:t xml:space="preserve">he 1 June 2020 regulatory reforms </w:t>
      </w:r>
      <w:r w:rsidR="0093723C">
        <w:t xml:space="preserve">to PBS listed opioids were implemented with the intention </w:t>
      </w:r>
      <w:r w:rsidR="0093723C" w:rsidRPr="00AB0119">
        <w:t>of</w:t>
      </w:r>
      <w:r w:rsidR="0046280F">
        <w:t xml:space="preserve"> </w:t>
      </w:r>
      <w:r w:rsidR="0093723C">
        <w:t>complement</w:t>
      </w:r>
      <w:r w:rsidR="00AB0119">
        <w:t>ing</w:t>
      </w:r>
      <w:r w:rsidR="0093723C">
        <w:t xml:space="preserve"> the TGA’s efforts to support the safe and clinically appropriate use of opioids while recognising the important role they play in providing pain relief for many people. </w:t>
      </w:r>
    </w:p>
    <w:p w14:paraId="35122BD6" w14:textId="02D6D32B" w:rsidR="003757DE" w:rsidRDefault="0093723C" w:rsidP="00F1132C">
      <w:r>
        <w:t xml:space="preserve">The </w:t>
      </w:r>
      <w:r w:rsidR="00846003">
        <w:t xml:space="preserve">utilisation </w:t>
      </w:r>
      <w:r>
        <w:t xml:space="preserve">of opioids does appear to be </w:t>
      </w:r>
      <w:r w:rsidR="003757DE">
        <w:t>decreasing</w:t>
      </w:r>
      <w:r w:rsidR="00EC714D">
        <w:t xml:space="preserve"> according to PBS data</w:t>
      </w:r>
      <w:r>
        <w:t xml:space="preserve">, however this decline in use and the number of patients treated was not sudden and may have been a continuing trend from before the regulatory reforms were implemented. </w:t>
      </w:r>
    </w:p>
    <w:p w14:paraId="727C2658" w14:textId="20A17FDC" w:rsidR="0093723C" w:rsidRDefault="0093723C" w:rsidP="0093723C">
      <w:r>
        <w:t>At the time of its recommendation (December 2019), the</w:t>
      </w:r>
      <w:r w:rsidRPr="0093723C">
        <w:t xml:space="preserve"> </w:t>
      </w:r>
      <w:r>
        <w:t xml:space="preserve">PBAC noted that the regulatory changes and recommended changes to PBS listings would be implemented as part of a broader suite of measures intended to support appropriate use of opioids, including education and awareness campaigns, changes to clinical guidelines and ongoing prescription and compliance monitoring. It is therefore difficult to determine the </w:t>
      </w:r>
      <w:r w:rsidR="000B34CE">
        <w:t>proportion of</w:t>
      </w:r>
      <w:r w:rsidR="0096321E">
        <w:t xml:space="preserve"> the reduction</w:t>
      </w:r>
      <w:r w:rsidR="000B34CE">
        <w:t xml:space="preserve"> use that </w:t>
      </w:r>
      <w:r w:rsidR="0096321E">
        <w:t>was directly attributable to the reforms.</w:t>
      </w:r>
    </w:p>
    <w:p w14:paraId="45343886" w14:textId="7E453E6B" w:rsidR="000B34CE" w:rsidRDefault="000B34CE" w:rsidP="0093723C">
      <w:r>
        <w:t>The reduction in the number of prescribed repeats</w:t>
      </w:r>
      <w:r w:rsidR="0096321E">
        <w:t xml:space="preserve"> when 2021 is compared to 2019,</w:t>
      </w:r>
      <w:r>
        <w:t xml:space="preserve"> and </w:t>
      </w:r>
      <w:r w:rsidR="0096321E">
        <w:t xml:space="preserve">the number of </w:t>
      </w:r>
      <w:r>
        <w:t>prescriptions for reduced pack sizes suggests that the reforms may have led to less wastage or stored opioids in the community.</w:t>
      </w:r>
    </w:p>
    <w:p w14:paraId="79EE0D84" w14:textId="44CD9425" w:rsidR="00A05EED" w:rsidRDefault="000B34CE" w:rsidP="00F1132C">
      <w:r>
        <w:t xml:space="preserve">The </w:t>
      </w:r>
      <w:r w:rsidR="00852BE6">
        <w:t xml:space="preserve">number of patients </w:t>
      </w:r>
      <w:r w:rsidR="0036351C">
        <w:t>initiating and supplied</w:t>
      </w:r>
      <w:r w:rsidR="00852BE6">
        <w:t xml:space="preserve"> fentanyl patches appears to have decreased over time, but may have stabilised. The number of patients treated with fentanyl patches appeared to increase in the second and third quarters of 2021, likely because of changes to the palliative</w:t>
      </w:r>
      <w:r w:rsidR="00BB35D0">
        <w:t xml:space="preserve"> schedule</w:t>
      </w:r>
      <w:r w:rsidR="00852BE6">
        <w:t xml:space="preserve"> intended to </w:t>
      </w:r>
      <w:r w:rsidR="00852BE6" w:rsidRPr="00852BE6">
        <w:t>reduce barriers to the prescribing and timely supply of opioid analgesic medications for palliative care patients</w:t>
      </w:r>
      <w:r w:rsidR="00852BE6">
        <w:t>.</w:t>
      </w:r>
    </w:p>
    <w:p w14:paraId="15F13F83" w14:textId="3F679B1A" w:rsidR="000B34CE" w:rsidRDefault="000B34CE" w:rsidP="000B34CE">
      <w:r>
        <w:t xml:space="preserve">The use of tapentadol, which is available as modified release tablets, </w:t>
      </w:r>
      <w:r w:rsidR="0096321E">
        <w:t>appears to be</w:t>
      </w:r>
      <w:r>
        <w:t xml:space="preserve"> increasing. Tapentadol was increased to Authority Required (STREAMLINED) for daily, continuous, long</w:t>
      </w:r>
      <w:r w:rsidR="00805318">
        <w:t xml:space="preserve"> </w:t>
      </w:r>
      <w:r>
        <w:t xml:space="preserve">term management of pain due to cancer or </w:t>
      </w:r>
      <w:r w:rsidR="002309B5">
        <w:t xml:space="preserve">in patients </w:t>
      </w:r>
      <w:r>
        <w:t xml:space="preserve">who have not responded to, are intolerant to or who experience inadequate pain management at maximum doses of non-opioid or other opioid analgesics. </w:t>
      </w:r>
      <w:r w:rsidR="0096321E">
        <w:t>The majority of prescribers for tapentadol across all calendar years w</w:t>
      </w:r>
      <w:r w:rsidR="00BB35D0">
        <w:t>ere</w:t>
      </w:r>
      <w:r w:rsidR="0096321E">
        <w:t xml:space="preserve"> GPs</w:t>
      </w:r>
      <w:r w:rsidR="00C53500">
        <w:t xml:space="preserve">, with </w:t>
      </w:r>
      <w:r w:rsidR="00805318">
        <w:t>87</w:t>
      </w:r>
      <w:r w:rsidR="00C53500">
        <w:t xml:space="preserve">% of the </w:t>
      </w:r>
      <w:r w:rsidR="00805318">
        <w:t>215,145</w:t>
      </w:r>
      <w:r w:rsidR="00C53500">
        <w:t xml:space="preserve"> patients supplied tapentadol </w:t>
      </w:r>
      <w:r w:rsidR="00805318">
        <w:t xml:space="preserve">in 2021 </w:t>
      </w:r>
      <w:r w:rsidR="00C53500">
        <w:t>prescribed at least one prescription written by a GP</w:t>
      </w:r>
      <w:r w:rsidR="0096321E">
        <w:t>.</w:t>
      </w:r>
    </w:p>
    <w:p w14:paraId="2ECBFE48" w14:textId="227BF7DB" w:rsidR="001310AE" w:rsidRDefault="005A4A15" w:rsidP="00F73113">
      <w:pPr>
        <w:pStyle w:val="Heading1"/>
      </w:pPr>
      <w:r>
        <w:t>DUSC consideration</w:t>
      </w:r>
    </w:p>
    <w:p w14:paraId="50C31C87" w14:textId="77777777" w:rsidR="001E745C" w:rsidRPr="001E745C" w:rsidRDefault="001E745C" w:rsidP="001E745C">
      <w:r w:rsidRPr="001E745C">
        <w:t>DUSC noted the report showed the number of PBS supplied prescriptions of opioids medicines had decreased. DUSC noted the report showed no therapeutic shift to gabapentinoids listed on the PBS. DUSC noted the number of treated patients had decreased, and it appeared that the number of initiating patients had decreased but commented that as the method only allowed one initiation per patient, the number of initiating patients may not be continuing to fall.</w:t>
      </w:r>
    </w:p>
    <w:p w14:paraId="682A412E" w14:textId="77777777" w:rsidR="001E745C" w:rsidRPr="001E745C" w:rsidRDefault="001E745C" w:rsidP="001E745C"/>
    <w:p w14:paraId="38136F42" w14:textId="19D9A84F" w:rsidR="001E745C" w:rsidRPr="001E745C" w:rsidRDefault="001E745C" w:rsidP="001E745C">
      <w:r w:rsidRPr="001E745C">
        <w:lastRenderedPageBreak/>
        <w:t xml:space="preserve">DUSC noted additional analyses of defined daily doses (DDDs) based on a 10% sample. DUSC noted that although DDDs are based on cancer pain the analysis of use by DDDs shows the volume of drug over time, and commented that the reduction in supplied opioids was much higher than the number of prescriptions and better reflects the impact of the change in pack sizes. </w:t>
      </w:r>
    </w:p>
    <w:p w14:paraId="012850D4" w14:textId="71EDFC0D" w:rsidR="001E745C" w:rsidRPr="001E745C" w:rsidRDefault="001E745C" w:rsidP="001E745C">
      <w:r w:rsidRPr="001E745C">
        <w:t xml:space="preserve">DUSC noted the number of prescriptions of oxycodone + naloxone reduced in quarter 2 of 2022, with a corresponding increase in oxycodone. DUSC </w:t>
      </w:r>
      <w:r w:rsidR="00F729C1">
        <w:t xml:space="preserve">noted that </w:t>
      </w:r>
      <w:r w:rsidRPr="001E745C">
        <w:t>this was likely due to a medicine shortage.</w:t>
      </w:r>
    </w:p>
    <w:p w14:paraId="715509DB" w14:textId="5621B72B" w:rsidR="001E745C" w:rsidRPr="001E745C" w:rsidRDefault="001E745C" w:rsidP="001E745C">
      <w:r w:rsidRPr="001E745C">
        <w:t xml:space="preserve">DUSC noted the report showed the use of tapentadol was rising. </w:t>
      </w:r>
      <w:r w:rsidR="00F729C1">
        <w:t xml:space="preserve">Noting </w:t>
      </w:r>
      <w:r w:rsidRPr="001E745C">
        <w:t>that patients may be being discharged post operatively from hospital on tapentadol, which may be contributing to its increasing use. DUSC noted that tapentadol had been marketed as being useful for treating neuropathic pain. DUSC noted that tapentadol has a higher potency than some other opioids and the modified release formulation may or may not be harm minimising.</w:t>
      </w:r>
    </w:p>
    <w:p w14:paraId="406516D2" w14:textId="77777777" w:rsidR="001E745C" w:rsidRPr="001E745C" w:rsidRDefault="001E745C" w:rsidP="001E745C">
      <w:r w:rsidRPr="001E745C">
        <w:t xml:space="preserve">DUSC noted that more women than men are treated with opioids in every age group on the general and palliative care schedules. </w:t>
      </w:r>
    </w:p>
    <w:p w14:paraId="28DFB491" w14:textId="77777777" w:rsidR="001E745C" w:rsidRPr="001E745C" w:rsidRDefault="001E745C" w:rsidP="001E745C">
      <w:r w:rsidRPr="001E745C">
        <w:t xml:space="preserve">DUSC noted that the PBS opioid reforms intended to move the use of fentanyl patches more towards cancer pain, and that the use of fentanyl patches was decreasing. DUSC commented that the decrease in use of fentanyl patches started prior to the restriction changes. </w:t>
      </w:r>
    </w:p>
    <w:p w14:paraId="22B26E54" w14:textId="77777777" w:rsidR="001E745C" w:rsidRPr="001E745C" w:rsidRDefault="001E745C" w:rsidP="001E745C">
      <w:r w:rsidRPr="001E745C">
        <w:t xml:space="preserve">DUSC noted that since the reforms, fewer patients were supplied two or more treatments on the same day and the number of </w:t>
      </w:r>
      <w:r w:rsidRPr="00AD16E4">
        <w:t>prescriptions written without repeats had reduced.</w:t>
      </w:r>
      <w:r w:rsidRPr="001E745C">
        <w:t xml:space="preserve"> DUSC noted that reduced pack sizes only applied to a few of the medicines, and accounted for 4% of the prescriptions and 10% of patients. DUSC suggested that the proportion of prescriptions written for reduced pack sizes may have been higher in initiating patients, and considered a further analysis stratified by new and existing users may be informative.</w:t>
      </w:r>
    </w:p>
    <w:p w14:paraId="34C326C6" w14:textId="77777777" w:rsidR="00E47C43" w:rsidRDefault="00E47C43" w:rsidP="00E47C43">
      <w:r>
        <w:t xml:space="preserve">DUSC noted the sponsor responses to the utilisation analysis, and the responses from The National Aboriginal Community Controlled Health Organisation and Painaustralia. </w:t>
      </w:r>
    </w:p>
    <w:p w14:paraId="6440CAE9" w14:textId="1AC90C1F" w:rsidR="00865997" w:rsidRDefault="00865997" w:rsidP="00865997">
      <w:r>
        <w:t>DUSC noted the sponsor response from Janssen stated, “The present DUSC analysis suggests that regulatory reforms and associated PBS changes to opioid analgesics since 1 June 2020 have contributed to the continued decline in their utilisation and government expenditure on this class of medicines. Meanwhile, growth in prescriptions under the Palliative Care Schedule show that recent palliative care schedule changes have met their intended purpose of improving opioid access to palliative care patients. Utilisation and government expenditure on fentanyl and hydromorphone (including Janssen marketed forms and brands) during the analysis period was lower than for most other opioids and show declining trends. In summary, Janssen supported DUSC’s conclusion that there is continuing downward trend of opioid use from before the regulatory reforms were implemented.”</w:t>
      </w:r>
    </w:p>
    <w:p w14:paraId="4A12A111" w14:textId="77777777" w:rsidR="00865997" w:rsidRDefault="00865997" w:rsidP="00865997">
      <w:r>
        <w:lastRenderedPageBreak/>
        <w:t xml:space="preserve">DUSC noted the sponsor response from TEVA, which is the sponsor of fentanyl orally disintegrating tablets and lozenges. The response noted the use of fentanyl lozenges has been declining and the volumes may become commercially unviable, as it extremely difficult to anticipate where and when there will be a demand for low volume items. </w:t>
      </w:r>
    </w:p>
    <w:p w14:paraId="434E096D" w14:textId="2E889D98" w:rsidR="001E745C" w:rsidRPr="001E745C" w:rsidRDefault="001E745C" w:rsidP="00865997">
      <w:r w:rsidRPr="001E745C">
        <w:t xml:space="preserve">DUSC noted the long term use of opioids for non-cancer pain in existing patients which represents a large volume of use is likely to be among complex patients where changes in opioid use are more likely to be realised over a longer time frame. DUSC </w:t>
      </w:r>
      <w:r w:rsidR="00F729C1">
        <w:t xml:space="preserve">noted </w:t>
      </w:r>
      <w:r w:rsidRPr="001E745C">
        <w:t>that a publication from 2015</w:t>
      </w:r>
      <w:r w:rsidRPr="001E745C">
        <w:rPr>
          <w:rStyle w:val="FootnoteReference"/>
        </w:rPr>
        <w:footnoteReference w:id="4"/>
      </w:r>
      <w:r w:rsidRPr="001E745C">
        <w:t xml:space="preserve"> found 51% of Australian patients using opioids chronically for non- cancer pain were unemployed because of pain, 60% were also diagnosed with depression and 32% were diagnosed with generalised anxiety. The report also noted 40% had an alcohol use disorder and 47% were smokers. DUSC </w:t>
      </w:r>
      <w:r w:rsidR="00F729C1">
        <w:t xml:space="preserve">noted </w:t>
      </w:r>
      <w:r w:rsidRPr="001E745C">
        <w:t>that these are patients with complex medical problems and they need other types of support outside the scope of the PBS listings.</w:t>
      </w:r>
    </w:p>
    <w:p w14:paraId="46544D4E" w14:textId="44956434" w:rsidR="001E745C" w:rsidRPr="001E745C" w:rsidRDefault="001E745C" w:rsidP="001E745C">
      <w:r w:rsidRPr="001E745C">
        <w:t xml:space="preserve">DUSC </w:t>
      </w:r>
      <w:r w:rsidR="00F729C1">
        <w:t xml:space="preserve">noted </w:t>
      </w:r>
      <w:r w:rsidRPr="001E745C">
        <w:t xml:space="preserve">that it is difficult to measure the impact of the opioid reforms on overdoses or fatalities. DUSC considered that there are still many PBS listings for chronic pain, and that although patients may need to visit their doctor more often, they should still be able to access appropriate subsidised treatment. DUSC </w:t>
      </w:r>
      <w:r w:rsidR="00F729C1">
        <w:t xml:space="preserve">noted </w:t>
      </w:r>
      <w:r w:rsidRPr="001E745C">
        <w:t>that more frequent visits to the doctor could be viewed as a positive change as it has created more opportunities for discussions with the patient regarding their pain and care.</w:t>
      </w:r>
    </w:p>
    <w:p w14:paraId="71993829" w14:textId="77777777" w:rsidR="001E745C" w:rsidRPr="001E745C" w:rsidRDefault="001E745C" w:rsidP="001E745C">
      <w:r w:rsidRPr="001E745C">
        <w:t>DUSC requested additional information be presented to the committee, including:</w:t>
      </w:r>
    </w:p>
    <w:p w14:paraId="1E0C6905" w14:textId="77777777" w:rsidR="001E745C" w:rsidRPr="009414CC" w:rsidRDefault="001E745C" w:rsidP="009414CC">
      <w:pPr>
        <w:pStyle w:val="ListParagraph"/>
        <w:numPr>
          <w:ilvl w:val="0"/>
          <w:numId w:val="33"/>
        </w:numPr>
        <w:spacing w:after="0"/>
        <w:rPr>
          <w:rFonts w:cs="Calibri"/>
        </w:rPr>
      </w:pPr>
      <w:r w:rsidRPr="009414CC">
        <w:rPr>
          <w:rFonts w:cs="Calibri"/>
        </w:rPr>
        <w:t>Use over time by DDDs</w:t>
      </w:r>
    </w:p>
    <w:p w14:paraId="5D259C7D" w14:textId="77777777" w:rsidR="001E745C" w:rsidRPr="009414CC" w:rsidRDefault="001E745C" w:rsidP="009414CC">
      <w:pPr>
        <w:pStyle w:val="ListParagraph"/>
        <w:numPr>
          <w:ilvl w:val="0"/>
          <w:numId w:val="33"/>
        </w:numPr>
        <w:spacing w:after="0"/>
        <w:rPr>
          <w:rFonts w:cs="Calibri"/>
        </w:rPr>
      </w:pPr>
      <w:r w:rsidRPr="009414CC">
        <w:rPr>
          <w:rFonts w:cs="Calibri"/>
        </w:rPr>
        <w:t>Use over time in 2022 by jurisdiction (by state and regional/remote) and age</w:t>
      </w:r>
    </w:p>
    <w:p w14:paraId="06F13FAE" w14:textId="77777777" w:rsidR="001E745C" w:rsidRPr="009414CC" w:rsidRDefault="001E745C" w:rsidP="009414CC">
      <w:pPr>
        <w:pStyle w:val="ListParagraph"/>
        <w:numPr>
          <w:ilvl w:val="0"/>
          <w:numId w:val="33"/>
        </w:numPr>
        <w:spacing w:after="0"/>
        <w:rPr>
          <w:rFonts w:cs="Calibri"/>
        </w:rPr>
      </w:pPr>
      <w:r w:rsidRPr="009414CC">
        <w:rPr>
          <w:rFonts w:cs="Calibri"/>
        </w:rPr>
        <w:t>The proportion of reduced pack size use in initiating patients versus chronic patients and the proportion of initiating patients who become chronic users (more than 90 days’ supply) stratified by whether they initiate on small or standard pack sizes.</w:t>
      </w:r>
    </w:p>
    <w:p w14:paraId="7024A8A3" w14:textId="77777777" w:rsidR="001E745C" w:rsidRPr="009414CC" w:rsidRDefault="001E745C" w:rsidP="009414CC">
      <w:pPr>
        <w:pStyle w:val="ListParagraph"/>
        <w:numPr>
          <w:ilvl w:val="0"/>
          <w:numId w:val="33"/>
        </w:numPr>
        <w:spacing w:after="0"/>
        <w:rPr>
          <w:rFonts w:cs="Calibri"/>
        </w:rPr>
      </w:pPr>
      <w:r w:rsidRPr="009414CC">
        <w:rPr>
          <w:rFonts w:cs="Calibri"/>
        </w:rPr>
        <w:t>An analysis to determine if there has been a shift to private prescriptions (if possible)</w:t>
      </w:r>
    </w:p>
    <w:p w14:paraId="4966586B" w14:textId="77777777" w:rsidR="001E745C" w:rsidRPr="009414CC" w:rsidRDefault="001E745C" w:rsidP="009414CC">
      <w:pPr>
        <w:pStyle w:val="ListParagraph"/>
        <w:numPr>
          <w:ilvl w:val="0"/>
          <w:numId w:val="33"/>
        </w:numPr>
        <w:spacing w:after="0"/>
        <w:rPr>
          <w:rFonts w:cs="Calibri"/>
        </w:rPr>
      </w:pPr>
      <w:r w:rsidRPr="009414CC">
        <w:rPr>
          <w:rFonts w:cs="Calibri"/>
        </w:rPr>
        <w:t>An analysis to determine if there has been a disproportionate effect on Aboriginal and Torres Strait Islander people (if possible)</w:t>
      </w:r>
    </w:p>
    <w:p w14:paraId="765AED97" w14:textId="0E151BD9" w:rsidR="001E745C" w:rsidRPr="009414CC" w:rsidRDefault="001E745C" w:rsidP="009414CC">
      <w:pPr>
        <w:pStyle w:val="ListParagraph"/>
        <w:numPr>
          <w:ilvl w:val="0"/>
          <w:numId w:val="33"/>
        </w:numPr>
        <w:spacing w:after="0"/>
        <w:rPr>
          <w:rFonts w:cs="Calibri"/>
        </w:rPr>
      </w:pPr>
      <w:r w:rsidRPr="009414CC">
        <w:rPr>
          <w:rFonts w:cs="Calibri"/>
        </w:rPr>
        <w:t>An analysis by volume of use per person per year (Lorenz curves) to determine the proportion of the population each year who get less than 30 days’ supply</w:t>
      </w:r>
      <w:r w:rsidR="00457E1A" w:rsidRPr="009414CC">
        <w:rPr>
          <w:rFonts w:cs="Calibri"/>
        </w:rPr>
        <w:t>.</w:t>
      </w:r>
    </w:p>
    <w:p w14:paraId="159304AD" w14:textId="5D52F359" w:rsidR="005E05BA" w:rsidRDefault="005E05BA" w:rsidP="005E05BA">
      <w:pPr>
        <w:spacing w:after="0"/>
        <w:rPr>
          <w:rFonts w:cs="Calibri"/>
        </w:rPr>
      </w:pPr>
    </w:p>
    <w:p w14:paraId="524E8016" w14:textId="1177D705" w:rsidR="005E05BA" w:rsidRPr="005E05BA" w:rsidRDefault="00F323A5" w:rsidP="005E05BA">
      <w:pPr>
        <w:spacing w:after="0"/>
        <w:rPr>
          <w:rFonts w:cs="Calibri"/>
        </w:rPr>
      </w:pPr>
      <w:r>
        <w:rPr>
          <w:rFonts w:cs="Calibri"/>
        </w:rPr>
        <w:t xml:space="preserve">Additional analyses </w:t>
      </w:r>
      <w:r w:rsidR="003D7AAA">
        <w:rPr>
          <w:rFonts w:cs="Calibri"/>
        </w:rPr>
        <w:t xml:space="preserve">were presented to the June 2023 DUSC meeting and are included in the </w:t>
      </w:r>
      <w:r w:rsidR="005E05BA">
        <w:rPr>
          <w:rFonts w:cs="Calibri"/>
        </w:rPr>
        <w:t>addendum.</w:t>
      </w:r>
    </w:p>
    <w:p w14:paraId="1CAFC6D0" w14:textId="77777777" w:rsidR="00254EAC" w:rsidRDefault="00254EAC" w:rsidP="005E05BA">
      <w:pPr>
        <w:rPr>
          <w:rFonts w:cstheme="minorHAnsi"/>
          <w:b/>
          <w:bCs/>
          <w:sz w:val="32"/>
          <w:szCs w:val="32"/>
        </w:rPr>
      </w:pPr>
      <w:bookmarkStart w:id="1" w:name="_Hlk143778729"/>
    </w:p>
    <w:p w14:paraId="565144B4" w14:textId="77777777" w:rsidR="00254EAC" w:rsidRDefault="00254EAC">
      <w:pPr>
        <w:spacing w:line="276" w:lineRule="auto"/>
        <w:rPr>
          <w:rFonts w:cstheme="minorHAnsi"/>
          <w:b/>
          <w:bCs/>
          <w:sz w:val="32"/>
          <w:szCs w:val="32"/>
        </w:rPr>
      </w:pPr>
      <w:r>
        <w:rPr>
          <w:rFonts w:cstheme="minorHAnsi"/>
          <w:b/>
          <w:bCs/>
          <w:sz w:val="32"/>
          <w:szCs w:val="32"/>
        </w:rPr>
        <w:br w:type="page"/>
      </w:r>
    </w:p>
    <w:p w14:paraId="6B6990B0" w14:textId="0A400D77" w:rsidR="005E05BA" w:rsidRPr="004622BC" w:rsidRDefault="005E05BA" w:rsidP="00E47C43">
      <w:pPr>
        <w:pStyle w:val="Title2"/>
      </w:pPr>
      <w:r>
        <w:lastRenderedPageBreak/>
        <w:t xml:space="preserve">Addendum: </w:t>
      </w:r>
      <w:r w:rsidRPr="00CC0464">
        <w:t>Impact of regulatory reforms on utilisation of opioids</w:t>
      </w:r>
    </w:p>
    <w:p w14:paraId="4BE0B2C3" w14:textId="77777777" w:rsidR="005E05BA" w:rsidRPr="00254EAC" w:rsidRDefault="005E05BA" w:rsidP="00254EAC">
      <w:pPr>
        <w:pStyle w:val="Heading1"/>
      </w:pPr>
      <w:r w:rsidRPr="00254EAC">
        <w:t>Purpose</w:t>
      </w:r>
    </w:p>
    <w:p w14:paraId="0636C261" w14:textId="77777777" w:rsidR="005E05BA" w:rsidRDefault="005E05BA" w:rsidP="005E05BA">
      <w:pPr>
        <w:spacing w:after="0"/>
        <w:contextualSpacing/>
        <w:rPr>
          <w:rFonts w:cstheme="minorHAnsi"/>
        </w:rPr>
      </w:pPr>
      <w:r>
        <w:rPr>
          <w:rFonts w:cstheme="minorHAnsi"/>
        </w:rPr>
        <w:t xml:space="preserve">At its February 2023 meeting, DUSC considered a review of </w:t>
      </w:r>
      <w:r w:rsidRPr="00A503D5">
        <w:rPr>
          <w:rFonts w:cstheme="minorHAnsi"/>
        </w:rPr>
        <w:t>the utilisation of Pharmaceutical Benefits Scheme (PBS)-listed opioid analgesics to examine the impact of the 1 June 2020 regulatory reforms and associated PBS listing changes for opioid analgesics.</w:t>
      </w:r>
    </w:p>
    <w:p w14:paraId="7DCBA70D" w14:textId="77777777" w:rsidR="005E05BA" w:rsidRDefault="005E05BA" w:rsidP="005E05BA">
      <w:pPr>
        <w:spacing w:after="0"/>
        <w:rPr>
          <w:rFonts w:cstheme="minorHAnsi"/>
        </w:rPr>
      </w:pPr>
    </w:p>
    <w:p w14:paraId="08D4972F" w14:textId="77777777" w:rsidR="005E05BA" w:rsidRPr="00470CE6" w:rsidRDefault="005E05BA" w:rsidP="00470CE6">
      <w:pPr>
        <w:spacing w:after="0"/>
        <w:rPr>
          <w:rFonts w:cstheme="minorHAnsi"/>
        </w:rPr>
      </w:pPr>
      <w:r w:rsidRPr="00470CE6">
        <w:rPr>
          <w:rFonts w:cstheme="minorHAnsi"/>
        </w:rPr>
        <w:t>DUSC requested additional information be presented to the committee, including:</w:t>
      </w:r>
    </w:p>
    <w:p w14:paraId="5EB8AA7B" w14:textId="66A16CE6" w:rsidR="005E05BA" w:rsidRPr="00254EAC" w:rsidRDefault="005E05BA" w:rsidP="00254EAC">
      <w:pPr>
        <w:pStyle w:val="ListParagraph"/>
        <w:numPr>
          <w:ilvl w:val="0"/>
          <w:numId w:val="30"/>
        </w:numPr>
        <w:spacing w:after="0"/>
        <w:rPr>
          <w:rFonts w:cstheme="minorHAnsi"/>
        </w:rPr>
      </w:pPr>
      <w:r w:rsidRPr="00254EAC">
        <w:rPr>
          <w:rFonts w:cstheme="minorHAnsi"/>
        </w:rPr>
        <w:t>Use over time by defined daily doses (DDDs)</w:t>
      </w:r>
    </w:p>
    <w:p w14:paraId="6D712AAA" w14:textId="571CA9BE" w:rsidR="005E05BA" w:rsidRPr="00254EAC" w:rsidRDefault="005E05BA" w:rsidP="00254EAC">
      <w:pPr>
        <w:pStyle w:val="ListParagraph"/>
        <w:numPr>
          <w:ilvl w:val="0"/>
          <w:numId w:val="30"/>
        </w:numPr>
        <w:spacing w:after="0"/>
        <w:rPr>
          <w:rFonts w:cstheme="minorHAnsi"/>
        </w:rPr>
      </w:pPr>
      <w:r w:rsidRPr="00254EAC">
        <w:rPr>
          <w:rFonts w:cstheme="minorHAnsi"/>
        </w:rPr>
        <w:t>Use in 2022 by jurisdiction (by state and regional/remote) and age</w:t>
      </w:r>
    </w:p>
    <w:p w14:paraId="297EB0DF" w14:textId="4085AC40" w:rsidR="005E05BA" w:rsidRPr="00254EAC" w:rsidRDefault="005E05BA" w:rsidP="00254EAC">
      <w:pPr>
        <w:pStyle w:val="ListParagraph"/>
        <w:numPr>
          <w:ilvl w:val="0"/>
          <w:numId w:val="30"/>
        </w:numPr>
        <w:spacing w:after="0"/>
        <w:rPr>
          <w:rFonts w:cstheme="minorHAnsi"/>
        </w:rPr>
      </w:pPr>
      <w:r w:rsidRPr="00254EAC">
        <w:rPr>
          <w:rFonts w:cstheme="minorHAnsi"/>
        </w:rPr>
        <w:t>The proportion of reduced pack size use in initiating patients versus chronic patients and the proportion of initiating patients who become chronic users (more than 90 days’ supply) stratified by whether they initiate on small or standard pack sizes.</w:t>
      </w:r>
    </w:p>
    <w:p w14:paraId="7C543140" w14:textId="7449645A" w:rsidR="005E05BA" w:rsidRPr="00254EAC" w:rsidRDefault="005E05BA" w:rsidP="00254EAC">
      <w:pPr>
        <w:pStyle w:val="ListParagraph"/>
        <w:numPr>
          <w:ilvl w:val="0"/>
          <w:numId w:val="30"/>
        </w:numPr>
        <w:spacing w:after="0"/>
        <w:ind w:right="-257"/>
        <w:rPr>
          <w:rFonts w:cstheme="minorHAnsi"/>
        </w:rPr>
      </w:pPr>
      <w:r w:rsidRPr="00254EAC">
        <w:rPr>
          <w:rFonts w:cstheme="minorHAnsi"/>
        </w:rPr>
        <w:t>An analysis to determine if there has been a shift to private prescriptions (if possible)</w:t>
      </w:r>
    </w:p>
    <w:p w14:paraId="44F26713" w14:textId="76E124F5" w:rsidR="005E05BA" w:rsidRPr="00254EAC" w:rsidRDefault="005E05BA" w:rsidP="00254EAC">
      <w:pPr>
        <w:pStyle w:val="ListParagraph"/>
        <w:numPr>
          <w:ilvl w:val="0"/>
          <w:numId w:val="30"/>
        </w:numPr>
        <w:spacing w:after="0"/>
        <w:rPr>
          <w:rFonts w:cstheme="minorHAnsi"/>
        </w:rPr>
      </w:pPr>
      <w:r w:rsidRPr="00254EAC">
        <w:rPr>
          <w:rFonts w:cstheme="minorHAnsi"/>
        </w:rPr>
        <w:t>An analysis to determine if there has been a disproportionate effect on Aboriginal and Torres Strait Islander people (if possible)</w:t>
      </w:r>
    </w:p>
    <w:p w14:paraId="368149DE" w14:textId="33BE83AB" w:rsidR="005E05BA" w:rsidRPr="003D7AAA" w:rsidRDefault="005E05BA" w:rsidP="005E05BA">
      <w:pPr>
        <w:pStyle w:val="ListParagraph"/>
        <w:numPr>
          <w:ilvl w:val="0"/>
          <w:numId w:val="30"/>
        </w:numPr>
        <w:spacing w:after="0"/>
        <w:rPr>
          <w:rFonts w:cstheme="minorHAnsi"/>
        </w:rPr>
      </w:pPr>
      <w:bookmarkStart w:id="2" w:name="_Hlk132969920"/>
      <w:r w:rsidRPr="00254EAC">
        <w:rPr>
          <w:rFonts w:cstheme="minorHAnsi"/>
        </w:rPr>
        <w:t>An analysis by volume of use per person per year (Lorenz curves) to determine the proportion of the population each year who get less than 30 days’ supply</w:t>
      </w:r>
      <w:bookmarkEnd w:id="2"/>
      <w:r w:rsidR="00457E1A">
        <w:rPr>
          <w:rFonts w:cstheme="minorHAnsi"/>
        </w:rPr>
        <w:t>.</w:t>
      </w:r>
    </w:p>
    <w:p w14:paraId="07B90FBA" w14:textId="77777777" w:rsidR="005E05BA" w:rsidRPr="00A04C85" w:rsidRDefault="005E05BA" w:rsidP="00A04C85">
      <w:pPr>
        <w:pStyle w:val="Heading1"/>
      </w:pPr>
      <w:r w:rsidRPr="00A04C85">
        <w:t>Methods and sources</w:t>
      </w:r>
    </w:p>
    <w:p w14:paraId="619CF8DB" w14:textId="77777777" w:rsidR="005E05BA" w:rsidRDefault="005E05BA" w:rsidP="005E05BA">
      <w:pPr>
        <w:spacing w:after="0"/>
        <w:rPr>
          <w:rFonts w:ascii="Calibri" w:hAnsi="Calibri" w:cs="Calibri"/>
          <w:color w:val="000000" w:themeColor="text1"/>
        </w:rPr>
      </w:pPr>
      <w:r w:rsidRPr="00B83468">
        <w:rPr>
          <w:rFonts w:ascii="Calibri" w:hAnsi="Calibri" w:cs="Calibri"/>
          <w:color w:val="000000" w:themeColor="text1"/>
        </w:rPr>
        <w:t>Data extracted from the PBS claims database maintained by the Department of Health and Aged Care and processed by Services Australia were used for the analyses</w:t>
      </w:r>
      <w:r>
        <w:rPr>
          <w:rFonts w:ascii="Calibri" w:hAnsi="Calibri" w:cs="Calibri"/>
          <w:color w:val="000000" w:themeColor="text1"/>
        </w:rPr>
        <w:t xml:space="preserve"> of:</w:t>
      </w:r>
    </w:p>
    <w:p w14:paraId="5E03E2CB" w14:textId="77777777" w:rsidR="005E05BA" w:rsidRPr="00704DD4" w:rsidRDefault="005E05BA" w:rsidP="005E05BA">
      <w:pPr>
        <w:pStyle w:val="ListParagraph"/>
        <w:numPr>
          <w:ilvl w:val="0"/>
          <w:numId w:val="29"/>
        </w:numPr>
        <w:spacing w:after="0" w:line="259" w:lineRule="auto"/>
        <w:rPr>
          <w:rFonts w:ascii="Calibri" w:hAnsi="Calibri" w:cs="Calibri"/>
          <w:color w:val="000000" w:themeColor="text1"/>
        </w:rPr>
      </w:pPr>
      <w:r>
        <w:rPr>
          <w:rFonts w:ascii="Calibri" w:hAnsi="Calibri" w:cs="Calibri"/>
          <w:color w:val="000000" w:themeColor="text1"/>
        </w:rPr>
        <w:t>Initiating and treated patients over time using a two year lookback for initiating patients.</w:t>
      </w:r>
    </w:p>
    <w:p w14:paraId="56205B8A" w14:textId="77777777" w:rsidR="005E05BA" w:rsidRDefault="005E05BA" w:rsidP="005E05BA">
      <w:pPr>
        <w:pStyle w:val="ListParagraph"/>
        <w:numPr>
          <w:ilvl w:val="0"/>
          <w:numId w:val="29"/>
        </w:numPr>
        <w:spacing w:after="0" w:line="259" w:lineRule="auto"/>
        <w:rPr>
          <w:rFonts w:ascii="Calibri" w:hAnsi="Calibri" w:cs="Calibri"/>
          <w:color w:val="000000" w:themeColor="text1"/>
        </w:rPr>
      </w:pPr>
      <w:r w:rsidRPr="00D6520F">
        <w:rPr>
          <w:rFonts w:ascii="Calibri" w:hAnsi="Calibri" w:cs="Calibri"/>
          <w:color w:val="000000" w:themeColor="text1"/>
        </w:rPr>
        <w:t xml:space="preserve">Use over time by </w:t>
      </w:r>
      <w:r>
        <w:rPr>
          <w:rFonts w:ascii="Calibri" w:hAnsi="Calibri" w:cs="Calibri"/>
          <w:color w:val="000000" w:themeColor="text1"/>
        </w:rPr>
        <w:t>DDDs</w:t>
      </w:r>
    </w:p>
    <w:p w14:paraId="32649626" w14:textId="77777777" w:rsidR="005E05BA" w:rsidRDefault="005E05BA" w:rsidP="005E05BA">
      <w:pPr>
        <w:pStyle w:val="ListParagraph"/>
        <w:numPr>
          <w:ilvl w:val="0"/>
          <w:numId w:val="29"/>
        </w:numPr>
        <w:spacing w:after="0" w:line="259" w:lineRule="auto"/>
        <w:rPr>
          <w:rFonts w:ascii="Calibri" w:hAnsi="Calibri" w:cs="Calibri"/>
          <w:color w:val="000000" w:themeColor="text1"/>
        </w:rPr>
      </w:pPr>
      <w:r>
        <w:rPr>
          <w:rFonts w:ascii="Calibri" w:hAnsi="Calibri" w:cs="Calibri"/>
          <w:color w:val="000000" w:themeColor="text1"/>
        </w:rPr>
        <w:t xml:space="preserve">Use in 2022 by jurisdiction </w:t>
      </w:r>
      <w:r w:rsidRPr="004B500C">
        <w:rPr>
          <w:rFonts w:ascii="Calibri" w:hAnsi="Calibri" w:cs="Calibri"/>
          <w:color w:val="000000" w:themeColor="text1"/>
        </w:rPr>
        <w:t>(by state and regional/remote) and age</w:t>
      </w:r>
      <w:r>
        <w:rPr>
          <w:rFonts w:ascii="Calibri" w:hAnsi="Calibri" w:cs="Calibri"/>
          <w:color w:val="000000" w:themeColor="text1"/>
        </w:rPr>
        <w:t>.</w:t>
      </w:r>
    </w:p>
    <w:p w14:paraId="57E1018D" w14:textId="77777777" w:rsidR="005E05BA" w:rsidRPr="00B83468" w:rsidRDefault="005E05BA" w:rsidP="005E05BA">
      <w:pPr>
        <w:pStyle w:val="ListParagraph"/>
        <w:numPr>
          <w:ilvl w:val="0"/>
          <w:numId w:val="29"/>
        </w:numPr>
        <w:spacing w:after="160" w:line="259" w:lineRule="auto"/>
        <w:rPr>
          <w:rFonts w:ascii="Calibri" w:hAnsi="Calibri" w:cs="Calibri"/>
          <w:color w:val="000000" w:themeColor="text1"/>
        </w:rPr>
      </w:pPr>
      <w:r w:rsidRPr="00B83468">
        <w:rPr>
          <w:rFonts w:ascii="Calibri" w:hAnsi="Calibri" w:cs="Calibri"/>
          <w:color w:val="000000" w:themeColor="text1"/>
        </w:rPr>
        <w:t>Further analysis of the proportion of reduced pack sizes</w:t>
      </w:r>
      <w:r>
        <w:rPr>
          <w:rFonts w:ascii="Calibri" w:hAnsi="Calibri" w:cs="Calibri"/>
          <w:color w:val="000000" w:themeColor="text1"/>
        </w:rPr>
        <w:t>.</w:t>
      </w:r>
    </w:p>
    <w:p w14:paraId="6E055E94" w14:textId="77777777" w:rsidR="005E05BA" w:rsidRPr="00B83468" w:rsidRDefault="005E05BA" w:rsidP="005E05BA">
      <w:pPr>
        <w:pStyle w:val="ListParagraph"/>
        <w:numPr>
          <w:ilvl w:val="0"/>
          <w:numId w:val="29"/>
        </w:numPr>
        <w:spacing w:after="0" w:line="259" w:lineRule="auto"/>
        <w:rPr>
          <w:rFonts w:ascii="Calibri" w:hAnsi="Calibri" w:cs="Calibri"/>
          <w:color w:val="000000" w:themeColor="text1"/>
        </w:rPr>
      </w:pPr>
      <w:r w:rsidRPr="00B83468">
        <w:rPr>
          <w:rFonts w:ascii="Calibri" w:hAnsi="Calibri" w:cs="Calibri"/>
          <w:color w:val="000000" w:themeColor="text1"/>
        </w:rPr>
        <w:t>Volume of use per person per year</w:t>
      </w:r>
      <w:r>
        <w:rPr>
          <w:rFonts w:ascii="Calibri" w:hAnsi="Calibri" w:cs="Calibri"/>
          <w:color w:val="000000" w:themeColor="text1"/>
        </w:rPr>
        <w:t xml:space="preserve"> from 2018 to 2022.</w:t>
      </w:r>
    </w:p>
    <w:p w14:paraId="5F0A443B" w14:textId="77777777" w:rsidR="005E05BA" w:rsidRDefault="005E05BA" w:rsidP="005E05BA">
      <w:pPr>
        <w:spacing w:after="0"/>
        <w:rPr>
          <w:rFonts w:ascii="Calibri" w:hAnsi="Calibri" w:cs="Calibri"/>
          <w:color w:val="000000" w:themeColor="text1"/>
        </w:rPr>
      </w:pPr>
    </w:p>
    <w:p w14:paraId="27E87E00" w14:textId="77777777" w:rsidR="005E05BA" w:rsidRDefault="005E05BA" w:rsidP="005E05BA">
      <w:pPr>
        <w:spacing w:after="0"/>
        <w:rPr>
          <w:rFonts w:ascii="Calibri" w:hAnsi="Calibri" w:cs="Calibri"/>
          <w:color w:val="000000" w:themeColor="text1"/>
        </w:rPr>
      </w:pPr>
      <w:r w:rsidRPr="00B83468">
        <w:rPr>
          <w:rFonts w:ascii="Calibri" w:hAnsi="Calibri" w:cs="Calibri"/>
          <w:color w:val="000000" w:themeColor="text1"/>
        </w:rPr>
        <w:t xml:space="preserve">Prescription data were extracted from 1 January 2016 up to and including </w:t>
      </w:r>
      <w:r>
        <w:rPr>
          <w:rFonts w:ascii="Calibri" w:hAnsi="Calibri" w:cs="Calibri"/>
          <w:color w:val="000000" w:themeColor="text1"/>
        </w:rPr>
        <w:t xml:space="preserve">31 December </w:t>
      </w:r>
      <w:r w:rsidRPr="00B83468">
        <w:rPr>
          <w:rFonts w:ascii="Calibri" w:hAnsi="Calibri" w:cs="Calibri"/>
          <w:color w:val="000000" w:themeColor="text1"/>
        </w:rPr>
        <w:t>2022 based on the date of supply.</w:t>
      </w:r>
    </w:p>
    <w:p w14:paraId="1D36956D" w14:textId="77777777" w:rsidR="005E05BA" w:rsidRDefault="005E05BA" w:rsidP="005E05BA">
      <w:pPr>
        <w:spacing w:after="0"/>
        <w:rPr>
          <w:rFonts w:ascii="Calibri" w:hAnsi="Calibri" w:cs="Calibri"/>
          <w:color w:val="000000" w:themeColor="text1"/>
        </w:rPr>
      </w:pPr>
    </w:p>
    <w:p w14:paraId="520F3EC1" w14:textId="77777777" w:rsidR="005E05BA" w:rsidRPr="00B83468" w:rsidRDefault="005E05BA" w:rsidP="005E05BA">
      <w:pPr>
        <w:spacing w:after="0"/>
        <w:rPr>
          <w:rFonts w:ascii="Calibri" w:hAnsi="Calibri" w:cs="Calibri"/>
          <w:color w:val="000000" w:themeColor="text1"/>
        </w:rPr>
      </w:pPr>
      <w:r w:rsidRPr="00B83468">
        <w:rPr>
          <w:rFonts w:ascii="Calibri" w:hAnsi="Calibri" w:cs="Calibri"/>
          <w:color w:val="000000" w:themeColor="text1"/>
        </w:rPr>
        <w:t>Data were extracted for:</w:t>
      </w:r>
    </w:p>
    <w:p w14:paraId="2DE748E2" w14:textId="045C8113" w:rsidR="005E05BA" w:rsidRPr="00B83468" w:rsidRDefault="005E05BA" w:rsidP="00254EAC">
      <w:pPr>
        <w:pStyle w:val="ListParagraph"/>
        <w:numPr>
          <w:ilvl w:val="0"/>
          <w:numId w:val="29"/>
        </w:numPr>
        <w:spacing w:after="0" w:line="259" w:lineRule="auto"/>
        <w:rPr>
          <w:rFonts w:ascii="Calibri" w:hAnsi="Calibri" w:cs="Calibri"/>
          <w:color w:val="000000" w:themeColor="text1"/>
        </w:rPr>
      </w:pPr>
      <w:r w:rsidRPr="00B83468">
        <w:rPr>
          <w:rFonts w:ascii="Calibri" w:hAnsi="Calibri" w:cs="Calibri"/>
          <w:color w:val="000000" w:themeColor="text1"/>
        </w:rPr>
        <w:t>N02A (analgesics – opioids).</w:t>
      </w:r>
    </w:p>
    <w:p w14:paraId="1CE3C69E" w14:textId="355360D1" w:rsidR="005E05BA" w:rsidRPr="00B83468" w:rsidRDefault="005E05BA" w:rsidP="00254EAC">
      <w:pPr>
        <w:pStyle w:val="ListParagraph"/>
        <w:numPr>
          <w:ilvl w:val="0"/>
          <w:numId w:val="29"/>
        </w:numPr>
        <w:spacing w:after="0" w:line="259" w:lineRule="auto"/>
        <w:rPr>
          <w:rFonts w:ascii="Calibri" w:hAnsi="Calibri" w:cs="Calibri"/>
          <w:color w:val="000000" w:themeColor="text1"/>
        </w:rPr>
      </w:pPr>
      <w:r w:rsidRPr="00B83468">
        <w:rPr>
          <w:rFonts w:ascii="Calibri" w:hAnsi="Calibri" w:cs="Calibri"/>
          <w:color w:val="000000" w:themeColor="text1"/>
        </w:rPr>
        <w:t>N02BG (Other analgesics and antipyretics) – pregabalin and gabapentin.</w:t>
      </w:r>
    </w:p>
    <w:p w14:paraId="69475DEF" w14:textId="1372C0F3" w:rsidR="005E05BA" w:rsidRDefault="005E05BA" w:rsidP="00254EAC">
      <w:pPr>
        <w:pStyle w:val="ListParagraph"/>
        <w:numPr>
          <w:ilvl w:val="0"/>
          <w:numId w:val="29"/>
        </w:numPr>
        <w:spacing w:after="0" w:line="259" w:lineRule="auto"/>
        <w:rPr>
          <w:rFonts w:ascii="Calibri" w:hAnsi="Calibri" w:cs="Calibri"/>
          <w:color w:val="000000" w:themeColor="text1"/>
        </w:rPr>
      </w:pPr>
      <w:r w:rsidRPr="00B83468">
        <w:rPr>
          <w:rFonts w:ascii="Calibri" w:hAnsi="Calibri" w:cs="Calibri"/>
          <w:color w:val="000000" w:themeColor="text1"/>
        </w:rPr>
        <w:t>Where the PBS restriction included ‘pain’.</w:t>
      </w:r>
    </w:p>
    <w:p w14:paraId="4569EBD7" w14:textId="7EC11166" w:rsidR="00A04C85" w:rsidRPr="00A04C85" w:rsidRDefault="00A04C85" w:rsidP="00A04C85">
      <w:pPr>
        <w:pStyle w:val="ListParagraph"/>
        <w:numPr>
          <w:ilvl w:val="0"/>
          <w:numId w:val="29"/>
        </w:numPr>
        <w:spacing w:after="0"/>
        <w:rPr>
          <w:rFonts w:cstheme="minorHAnsi"/>
        </w:rPr>
      </w:pPr>
      <w:r w:rsidRPr="00A04C85">
        <w:rPr>
          <w:rFonts w:cstheme="minorHAnsi"/>
        </w:rPr>
        <w:lastRenderedPageBreak/>
        <w:t xml:space="preserve">Data extracted from the PBS data maintained by Department of Health and Aged Care, processed by Services Australia, was used for the analyses. The data was extracted from 1 January 2016 to 31 December 2022 based on the date of supply. </w:t>
      </w:r>
    </w:p>
    <w:p w14:paraId="0B8968C8" w14:textId="77777777" w:rsidR="00A04C85" w:rsidRPr="00A04C85" w:rsidRDefault="00A04C85" w:rsidP="00A04C85">
      <w:pPr>
        <w:spacing w:after="0"/>
        <w:ind w:left="360"/>
        <w:rPr>
          <w:rFonts w:cstheme="minorHAnsi"/>
        </w:rPr>
      </w:pPr>
    </w:p>
    <w:p w14:paraId="318573AF" w14:textId="77777777" w:rsidR="00A04C85" w:rsidRPr="00A04C85" w:rsidRDefault="00A04C85" w:rsidP="00A04C85">
      <w:pPr>
        <w:spacing w:after="0"/>
        <w:rPr>
          <w:rFonts w:cstheme="minorHAnsi"/>
          <w:b/>
          <w:bCs/>
        </w:rPr>
      </w:pPr>
      <w:r w:rsidRPr="00A04C85">
        <w:rPr>
          <w:rFonts w:cstheme="minorHAnsi"/>
          <w:b/>
          <w:bCs/>
        </w:rPr>
        <w:t xml:space="preserve">Initiating and treated patients over time </w:t>
      </w:r>
    </w:p>
    <w:p w14:paraId="67B3CECC" w14:textId="77777777" w:rsidR="00A04C85" w:rsidRPr="00A04C85" w:rsidRDefault="00A04C85" w:rsidP="00A04C85">
      <w:pPr>
        <w:spacing w:after="0"/>
        <w:rPr>
          <w:rFonts w:cstheme="minorHAnsi"/>
        </w:rPr>
      </w:pPr>
      <w:r w:rsidRPr="00A04C85">
        <w:rPr>
          <w:rFonts w:cstheme="minorHAnsi"/>
        </w:rPr>
        <w:t>Data were extracted from 1 January 2016, initiating patients were determined using a two year lookback and presented from 1 January 2018.</w:t>
      </w:r>
    </w:p>
    <w:p w14:paraId="78115A39" w14:textId="77777777" w:rsidR="00A04C85" w:rsidRPr="00A04C85" w:rsidRDefault="00A04C85" w:rsidP="00A04C85">
      <w:pPr>
        <w:spacing w:after="0"/>
        <w:rPr>
          <w:rFonts w:cstheme="minorHAnsi"/>
        </w:rPr>
      </w:pPr>
    </w:p>
    <w:p w14:paraId="4CBF2F0C" w14:textId="77777777" w:rsidR="00A04C85" w:rsidRPr="00A04C85" w:rsidRDefault="00A04C85" w:rsidP="00A04C85">
      <w:pPr>
        <w:spacing w:after="0"/>
        <w:rPr>
          <w:rFonts w:cstheme="minorHAnsi"/>
          <w:b/>
          <w:bCs/>
        </w:rPr>
      </w:pPr>
      <w:r w:rsidRPr="00A04C85">
        <w:rPr>
          <w:rFonts w:cstheme="minorHAnsi"/>
          <w:b/>
          <w:bCs/>
        </w:rPr>
        <w:t>Use in 2022 by jurisdiction (by state and regional/remote) and age</w:t>
      </w:r>
    </w:p>
    <w:p w14:paraId="5D7CC064" w14:textId="77777777" w:rsidR="00A04C85" w:rsidRPr="00A04C85" w:rsidRDefault="00A04C85" w:rsidP="00A04C85">
      <w:pPr>
        <w:spacing w:after="0"/>
        <w:rPr>
          <w:rFonts w:cstheme="minorHAnsi"/>
        </w:rPr>
      </w:pPr>
      <w:r w:rsidRPr="00A04C85">
        <w:rPr>
          <w:rFonts w:cstheme="minorHAnsi"/>
        </w:rPr>
        <w:t xml:space="preserve">The number of patients by age and sex were standardised using the estimated resident population at 30 June 2022 (31010do002_202209 National, state and territory population, Sep 2022, https://www.abs.gov.au/statistics/people/population/national-state-and-territory-population/sep-2022#national). </w:t>
      </w:r>
    </w:p>
    <w:p w14:paraId="15ED9EC9" w14:textId="77777777" w:rsidR="00A04C85" w:rsidRPr="00A04C85" w:rsidRDefault="00A04C85" w:rsidP="00A04C85">
      <w:pPr>
        <w:spacing w:after="0"/>
        <w:rPr>
          <w:rFonts w:cstheme="minorHAnsi"/>
        </w:rPr>
      </w:pPr>
    </w:p>
    <w:p w14:paraId="57F1526B" w14:textId="77777777" w:rsidR="00A04C85" w:rsidRPr="00A04C85" w:rsidRDefault="00A04C85" w:rsidP="00A04C85">
      <w:pPr>
        <w:spacing w:after="0"/>
        <w:rPr>
          <w:rFonts w:cstheme="minorHAnsi"/>
        </w:rPr>
      </w:pPr>
      <w:r w:rsidRPr="00A04C85">
        <w:rPr>
          <w:rFonts w:cstheme="minorHAnsi"/>
        </w:rPr>
        <w:t>The number of patients by State and Territory and remoteness level were standardised using the estimated population at 30 September 2022 (https://www.abs.gov.au/statistics/people/population/national-state-and-territory-population/latest-release#states-and-territories).</w:t>
      </w:r>
    </w:p>
    <w:p w14:paraId="5FF3C50F" w14:textId="77777777" w:rsidR="00A04C85" w:rsidRPr="00A04C85" w:rsidRDefault="00A04C85" w:rsidP="00A04C85">
      <w:pPr>
        <w:spacing w:after="0"/>
        <w:rPr>
          <w:rFonts w:cstheme="minorHAnsi"/>
        </w:rPr>
      </w:pPr>
    </w:p>
    <w:p w14:paraId="25DBC9C3" w14:textId="77777777" w:rsidR="00A04C85" w:rsidRPr="00A04C85" w:rsidRDefault="00A04C85" w:rsidP="00A04C85">
      <w:pPr>
        <w:spacing w:after="0"/>
        <w:rPr>
          <w:rFonts w:cstheme="minorHAnsi"/>
          <w:b/>
          <w:bCs/>
        </w:rPr>
      </w:pPr>
      <w:r w:rsidRPr="00A04C85">
        <w:rPr>
          <w:rFonts w:cstheme="minorHAnsi"/>
          <w:b/>
          <w:bCs/>
        </w:rPr>
        <w:t>Further analysis of the proportion of reduced pack sizes</w:t>
      </w:r>
    </w:p>
    <w:p w14:paraId="7BD7F43C" w14:textId="77777777" w:rsidR="00A04C85" w:rsidRPr="00A04C85" w:rsidRDefault="00A04C85" w:rsidP="00A04C85">
      <w:pPr>
        <w:spacing w:after="0"/>
        <w:rPr>
          <w:rFonts w:cstheme="minorHAnsi"/>
        </w:rPr>
      </w:pPr>
      <w:r w:rsidRPr="00A04C85">
        <w:rPr>
          <w:rFonts w:cstheme="minorHAnsi"/>
        </w:rPr>
        <w:t>Reduced size packs were identified by the phrase “short term therapy” in the PBS restriction. Initiating patients were determined using a two year lookback, and one year of prescription data was examined to determine in the patient received 90 days continuous supply. The mode refill time by form and strength were used to determine the number of days supply for each supplied prescription, and 3 times the mode refill time were used to test for breaks.</w:t>
      </w:r>
    </w:p>
    <w:p w14:paraId="26C19D0E" w14:textId="77777777" w:rsidR="00A04C85" w:rsidRPr="00A04C85" w:rsidRDefault="00A04C85" w:rsidP="00A04C85">
      <w:pPr>
        <w:spacing w:after="0"/>
        <w:rPr>
          <w:rFonts w:cstheme="minorHAnsi"/>
        </w:rPr>
      </w:pPr>
    </w:p>
    <w:p w14:paraId="6CB2F448" w14:textId="77777777" w:rsidR="00A04C85" w:rsidRPr="00A04C85" w:rsidRDefault="00A04C85" w:rsidP="00A04C85">
      <w:pPr>
        <w:spacing w:after="0"/>
        <w:rPr>
          <w:rFonts w:cstheme="minorHAnsi"/>
          <w:b/>
          <w:bCs/>
        </w:rPr>
      </w:pPr>
      <w:r w:rsidRPr="00A04C85">
        <w:rPr>
          <w:rFonts w:cstheme="minorHAnsi"/>
          <w:b/>
          <w:bCs/>
        </w:rPr>
        <w:t>Volume of use per person per year from 2018 to 2022</w:t>
      </w:r>
    </w:p>
    <w:p w14:paraId="285251F6" w14:textId="77777777" w:rsidR="00A04C85" w:rsidRPr="00A04C85" w:rsidRDefault="00A04C85" w:rsidP="00A04C85">
      <w:pPr>
        <w:spacing w:after="0"/>
        <w:rPr>
          <w:rFonts w:cstheme="minorHAnsi"/>
        </w:rPr>
      </w:pPr>
      <w:r w:rsidRPr="00A04C85">
        <w:rPr>
          <w:rFonts w:cstheme="minorHAnsi"/>
        </w:rPr>
        <w:t>Presented as Lorenz curves using code provided by Professor Nicole Pratt.</w:t>
      </w:r>
    </w:p>
    <w:p w14:paraId="71EB7F0D" w14:textId="77777777" w:rsidR="005E05BA" w:rsidRDefault="005E05BA" w:rsidP="005E05BA">
      <w:pPr>
        <w:spacing w:after="0"/>
        <w:rPr>
          <w:rFonts w:ascii="Calibri" w:hAnsi="Calibri" w:cs="Calibri"/>
          <w:color w:val="000000" w:themeColor="text1"/>
        </w:rPr>
      </w:pPr>
    </w:p>
    <w:p w14:paraId="4496AC8F" w14:textId="77777777" w:rsidR="005E05BA" w:rsidRPr="00254EAC" w:rsidRDefault="005E05BA" w:rsidP="00254EAC">
      <w:pPr>
        <w:spacing w:after="0"/>
        <w:rPr>
          <w:rFonts w:ascii="Calibri" w:hAnsi="Calibri" w:cs="Calibri"/>
          <w:b/>
          <w:bCs/>
          <w:color w:val="000000" w:themeColor="text1"/>
        </w:rPr>
      </w:pPr>
      <w:r w:rsidRPr="00254EAC">
        <w:rPr>
          <w:rFonts w:ascii="Calibri" w:hAnsi="Calibri" w:cs="Calibri"/>
          <w:b/>
          <w:bCs/>
          <w:color w:val="000000" w:themeColor="text1"/>
        </w:rPr>
        <w:t>Use of private prescriptions</w:t>
      </w:r>
    </w:p>
    <w:p w14:paraId="6366B639" w14:textId="77777777" w:rsidR="005E05BA" w:rsidRPr="004373C7" w:rsidRDefault="005E05BA" w:rsidP="005E05BA">
      <w:pPr>
        <w:spacing w:after="0"/>
        <w:rPr>
          <w:rFonts w:ascii="Calibri" w:hAnsi="Calibri" w:cs="Calibri"/>
          <w:color w:val="000000" w:themeColor="text1"/>
        </w:rPr>
      </w:pPr>
      <w:bookmarkStart w:id="3" w:name="_Hlk137202957"/>
      <w:r>
        <w:rPr>
          <w:rFonts w:ascii="Calibri" w:hAnsi="Calibri" w:cs="Calibri"/>
          <w:color w:val="000000" w:themeColor="text1"/>
        </w:rPr>
        <w:t xml:space="preserve">It was not possible to complete an analysis to determine </w:t>
      </w:r>
      <w:r w:rsidRPr="003D7B54">
        <w:rPr>
          <w:rFonts w:ascii="Calibri" w:hAnsi="Calibri" w:cs="Calibri"/>
          <w:color w:val="000000" w:themeColor="text1"/>
        </w:rPr>
        <w:t>if there has been a shift to private prescriptions</w:t>
      </w:r>
      <w:r>
        <w:rPr>
          <w:rFonts w:ascii="Calibri" w:hAnsi="Calibri" w:cs="Calibri"/>
          <w:color w:val="000000" w:themeColor="text1"/>
        </w:rPr>
        <w:t xml:space="preserve"> in the PBS data or other data available to the Secretariat.</w:t>
      </w:r>
    </w:p>
    <w:bookmarkEnd w:id="3"/>
    <w:p w14:paraId="7669A576" w14:textId="77777777" w:rsidR="005E05BA" w:rsidRPr="004373C7" w:rsidRDefault="005E05BA" w:rsidP="005E05BA">
      <w:pPr>
        <w:spacing w:after="0"/>
        <w:rPr>
          <w:rFonts w:ascii="Calibri" w:hAnsi="Calibri" w:cs="Calibri"/>
          <w:color w:val="000000" w:themeColor="text1"/>
        </w:rPr>
      </w:pPr>
    </w:p>
    <w:p w14:paraId="4DFD8A44" w14:textId="77777777" w:rsidR="005E05BA" w:rsidRPr="00254EAC" w:rsidRDefault="005E05BA" w:rsidP="00254EAC">
      <w:pPr>
        <w:keepNext/>
        <w:spacing w:after="0"/>
        <w:rPr>
          <w:rFonts w:ascii="Calibri" w:hAnsi="Calibri" w:cs="Calibri"/>
          <w:b/>
          <w:bCs/>
          <w:color w:val="000000" w:themeColor="text1"/>
        </w:rPr>
      </w:pPr>
      <w:r w:rsidRPr="00254EAC">
        <w:rPr>
          <w:rFonts w:ascii="Calibri" w:hAnsi="Calibri" w:cs="Calibri"/>
          <w:b/>
          <w:bCs/>
          <w:color w:val="000000" w:themeColor="text1"/>
        </w:rPr>
        <w:t>Use for Aboriginal and Torres Strait Islander people</w:t>
      </w:r>
    </w:p>
    <w:p w14:paraId="3E8826D3" w14:textId="2ECDF34A" w:rsidR="005E05BA" w:rsidRPr="003D7AAA" w:rsidRDefault="005E05BA" w:rsidP="003D7AAA">
      <w:pPr>
        <w:keepNext/>
        <w:spacing w:after="0"/>
        <w:rPr>
          <w:rFonts w:ascii="Calibri" w:hAnsi="Calibri" w:cs="Calibri"/>
          <w:color w:val="000000" w:themeColor="text1"/>
        </w:rPr>
      </w:pPr>
      <w:r>
        <w:rPr>
          <w:rFonts w:ascii="Calibri" w:hAnsi="Calibri" w:cs="Calibri"/>
          <w:color w:val="000000" w:themeColor="text1"/>
        </w:rPr>
        <w:t>The PBS prescription data contains a variable named ‘CTG_CD’ which is an</w:t>
      </w:r>
      <w:r w:rsidRPr="008A72FC">
        <w:rPr>
          <w:rFonts w:ascii="Calibri" w:hAnsi="Calibri" w:cs="Calibri"/>
          <w:color w:val="000000" w:themeColor="text1"/>
        </w:rPr>
        <w:t xml:space="preserve"> indicator of whether the patient is eligible for a </w:t>
      </w:r>
      <w:bookmarkStart w:id="4" w:name="_Hlk137203381"/>
      <w:r w:rsidRPr="008A72FC">
        <w:rPr>
          <w:rFonts w:ascii="Calibri" w:hAnsi="Calibri" w:cs="Calibri"/>
          <w:color w:val="000000" w:themeColor="text1"/>
        </w:rPr>
        <w:t xml:space="preserve">Closing the Gap (CTG) </w:t>
      </w:r>
      <w:bookmarkEnd w:id="4"/>
      <w:r w:rsidRPr="008A72FC">
        <w:rPr>
          <w:rFonts w:ascii="Calibri" w:hAnsi="Calibri" w:cs="Calibri"/>
          <w:color w:val="000000" w:themeColor="text1"/>
        </w:rPr>
        <w:t>co-payment, as represented by a code. The CTG co-payment was established to reduce the cost of PBS medicines for eligible Aboriginal and Torres Strait Islander people either living with or at risk of chronic disease.</w:t>
      </w:r>
      <w:r>
        <w:rPr>
          <w:rFonts w:ascii="Calibri" w:hAnsi="Calibri" w:cs="Calibri"/>
          <w:color w:val="000000" w:themeColor="text1"/>
        </w:rPr>
        <w:t xml:space="preserve"> This variable is </w:t>
      </w:r>
      <w:bookmarkStart w:id="5" w:name="_Hlk137203030"/>
      <w:r>
        <w:rPr>
          <w:rFonts w:ascii="Calibri" w:hAnsi="Calibri" w:cs="Calibri"/>
          <w:color w:val="000000" w:themeColor="text1"/>
        </w:rPr>
        <w:t xml:space="preserve">generally underreported as patients must register for the CTG co-payment, and may be blank although a patient is an </w:t>
      </w:r>
      <w:r w:rsidRPr="008A72FC">
        <w:rPr>
          <w:rFonts w:ascii="Calibri" w:hAnsi="Calibri" w:cs="Calibri"/>
          <w:color w:val="000000" w:themeColor="text1"/>
        </w:rPr>
        <w:t xml:space="preserve">Aboriginal </w:t>
      </w:r>
      <w:r>
        <w:rPr>
          <w:rFonts w:ascii="Calibri" w:hAnsi="Calibri" w:cs="Calibri"/>
          <w:color w:val="000000" w:themeColor="text1"/>
        </w:rPr>
        <w:t>or</w:t>
      </w:r>
      <w:r w:rsidRPr="008A72FC">
        <w:rPr>
          <w:rFonts w:ascii="Calibri" w:hAnsi="Calibri" w:cs="Calibri"/>
          <w:color w:val="000000" w:themeColor="text1"/>
        </w:rPr>
        <w:t xml:space="preserve"> Torres Strait Islander</w:t>
      </w:r>
      <w:r>
        <w:rPr>
          <w:rFonts w:ascii="Calibri" w:hAnsi="Calibri" w:cs="Calibri"/>
          <w:color w:val="000000" w:themeColor="text1"/>
        </w:rPr>
        <w:t xml:space="preserve"> person. </w:t>
      </w:r>
      <w:bookmarkEnd w:id="5"/>
      <w:r>
        <w:rPr>
          <w:rFonts w:ascii="Calibri" w:hAnsi="Calibri" w:cs="Calibri"/>
          <w:color w:val="000000" w:themeColor="text1"/>
        </w:rPr>
        <w:t xml:space="preserve">In the opioids data, 2.3% of patients were indicated as being eligible for the </w:t>
      </w:r>
      <w:r w:rsidRPr="00FE3B06">
        <w:rPr>
          <w:rFonts w:ascii="Calibri" w:hAnsi="Calibri" w:cs="Calibri"/>
          <w:color w:val="000000" w:themeColor="text1"/>
        </w:rPr>
        <w:t>CTG co-payment</w:t>
      </w:r>
      <w:r>
        <w:rPr>
          <w:rFonts w:ascii="Calibri" w:hAnsi="Calibri" w:cs="Calibri"/>
          <w:color w:val="000000" w:themeColor="text1"/>
        </w:rPr>
        <w:t>.</w:t>
      </w:r>
    </w:p>
    <w:p w14:paraId="174C7C78" w14:textId="77777777" w:rsidR="003D7AAA" w:rsidRDefault="003D7AAA">
      <w:pPr>
        <w:spacing w:line="276" w:lineRule="auto"/>
        <w:rPr>
          <w:rFonts w:eastAsiaTheme="majorEastAsia" w:cstheme="majorBidi"/>
          <w:b/>
          <w:bCs/>
          <w:sz w:val="32"/>
          <w:szCs w:val="32"/>
          <w:shd w:val="clear" w:color="auto" w:fill="FFFFFF"/>
        </w:rPr>
      </w:pPr>
      <w:r>
        <w:rPr>
          <w:shd w:val="clear" w:color="auto" w:fill="FFFFFF"/>
        </w:rPr>
        <w:br w:type="page"/>
      </w:r>
    </w:p>
    <w:p w14:paraId="084640F3" w14:textId="2F241BD5" w:rsidR="005E05BA" w:rsidRPr="001A4341" w:rsidRDefault="005E05BA" w:rsidP="00A04C85">
      <w:pPr>
        <w:pStyle w:val="Heading1"/>
        <w:rPr>
          <w:b w:val="0"/>
          <w:bCs w:val="0"/>
          <w:shd w:val="clear" w:color="auto" w:fill="FFFFFF"/>
        </w:rPr>
      </w:pPr>
      <w:r>
        <w:rPr>
          <w:shd w:val="clear" w:color="auto" w:fill="FFFFFF"/>
        </w:rPr>
        <w:lastRenderedPageBreak/>
        <w:t>Results</w:t>
      </w:r>
    </w:p>
    <w:p w14:paraId="0A366B05" w14:textId="77777777" w:rsidR="005E05BA" w:rsidRPr="00254EAC" w:rsidRDefault="005E05BA" w:rsidP="00254EAC">
      <w:pPr>
        <w:spacing w:after="0"/>
        <w:rPr>
          <w:rFonts w:ascii="Calibri" w:hAnsi="Calibri" w:cs="Calibri"/>
          <w:b/>
          <w:bCs/>
          <w:color w:val="000000" w:themeColor="text1"/>
        </w:rPr>
      </w:pPr>
      <w:r w:rsidRPr="00254EAC">
        <w:rPr>
          <w:rFonts w:ascii="Calibri" w:hAnsi="Calibri" w:cs="Calibri"/>
          <w:b/>
          <w:bCs/>
          <w:color w:val="000000" w:themeColor="text1"/>
        </w:rPr>
        <w:t xml:space="preserve">Use over time </w:t>
      </w:r>
    </w:p>
    <w:p w14:paraId="64B44FE4" w14:textId="03F523A4" w:rsidR="005E05BA" w:rsidRDefault="005E05BA" w:rsidP="005E05BA">
      <w:pPr>
        <w:spacing w:after="0"/>
        <w:rPr>
          <w:rFonts w:ascii="Calibri" w:hAnsi="Calibri" w:cs="Calibri"/>
          <w:color w:val="000000" w:themeColor="text1"/>
        </w:rPr>
      </w:pPr>
      <w:bookmarkStart w:id="6" w:name="_Hlk137204312"/>
      <w:r>
        <w:rPr>
          <w:rFonts w:ascii="Calibri" w:hAnsi="Calibri" w:cs="Calibri"/>
          <w:color w:val="000000" w:themeColor="text1"/>
        </w:rPr>
        <w:t xml:space="preserve">At the February 2023 DUSC meeting, DUSC commented that the decrease in the number of initiating patients may appear higher as the analysis only counted first time initiators. </w:t>
      </w:r>
      <w:bookmarkEnd w:id="6"/>
      <w:r>
        <w:rPr>
          <w:rFonts w:ascii="Calibri" w:hAnsi="Calibri" w:cs="Calibri"/>
          <w:color w:val="000000" w:themeColor="text1"/>
        </w:rPr>
        <w:t>Figure 1</w:t>
      </w:r>
      <w:r w:rsidR="00A04C85">
        <w:rPr>
          <w:rFonts w:ascii="Calibri" w:hAnsi="Calibri" w:cs="Calibri"/>
          <w:color w:val="000000" w:themeColor="text1"/>
        </w:rPr>
        <w:t>2</w:t>
      </w:r>
      <w:r>
        <w:rPr>
          <w:rFonts w:ascii="Calibri" w:hAnsi="Calibri" w:cs="Calibri"/>
          <w:color w:val="000000" w:themeColor="text1"/>
        </w:rPr>
        <w:t xml:space="preserve"> below shows patients initiating with a two year lookback and for the first time with a lookback to 1 January 2016. </w:t>
      </w:r>
    </w:p>
    <w:p w14:paraId="7469DD0E" w14:textId="77777777" w:rsidR="005E05BA" w:rsidRDefault="005E05BA" w:rsidP="005E05BA">
      <w:pPr>
        <w:spacing w:after="0"/>
        <w:rPr>
          <w:rFonts w:ascii="Calibri" w:hAnsi="Calibri" w:cs="Calibri"/>
          <w:color w:val="000000" w:themeColor="text1"/>
        </w:rPr>
      </w:pPr>
    </w:p>
    <w:p w14:paraId="1C524C43" w14:textId="77777777" w:rsidR="005E05BA" w:rsidRDefault="005E05BA" w:rsidP="005E05BA">
      <w:pPr>
        <w:spacing w:after="0"/>
        <w:rPr>
          <w:rFonts w:ascii="Calibri" w:hAnsi="Calibri" w:cs="Calibri"/>
          <w:color w:val="000000" w:themeColor="text1"/>
        </w:rPr>
      </w:pPr>
      <w:r>
        <w:rPr>
          <w:noProof/>
        </w:rPr>
        <w:drawing>
          <wp:inline distT="0" distB="0" distL="0" distR="0" wp14:anchorId="23C7AA9B" wp14:editId="40F216BC">
            <wp:extent cx="5900420" cy="4333875"/>
            <wp:effectExtent l="0" t="0" r="5080" b="9525"/>
            <wp:docPr id="12" name="Chart 12" descr="Initiating and treated patients over time using a two year lookback for initiating patients">
              <a:extLst xmlns:a="http://schemas.openxmlformats.org/drawingml/2006/main">
                <a:ext uri="{FF2B5EF4-FFF2-40B4-BE49-F238E27FC236}">
                  <a16:creationId xmlns:a16="http://schemas.microsoft.com/office/drawing/2014/main" id="{AD25B1C4-9E1C-4F31-968B-781308187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4468A7" w14:textId="799C805B" w:rsidR="005E05BA" w:rsidRPr="005F2AFA" w:rsidRDefault="005E05BA" w:rsidP="005E05BA">
      <w:pPr>
        <w:spacing w:after="0"/>
        <w:rPr>
          <w:rFonts w:ascii="Calibri" w:hAnsi="Calibri" w:cs="Calibri"/>
          <w:b/>
          <w:bCs/>
          <w:color w:val="000000" w:themeColor="text1"/>
        </w:rPr>
      </w:pPr>
      <w:r w:rsidRPr="005F2AFA">
        <w:rPr>
          <w:rFonts w:ascii="Calibri" w:hAnsi="Calibri" w:cs="Calibri"/>
          <w:b/>
          <w:bCs/>
          <w:color w:val="000000" w:themeColor="text1"/>
        </w:rPr>
        <w:t>Figure 1</w:t>
      </w:r>
      <w:r w:rsidR="00A04C85">
        <w:rPr>
          <w:rFonts w:ascii="Calibri" w:hAnsi="Calibri" w:cs="Calibri"/>
          <w:b/>
          <w:bCs/>
          <w:color w:val="000000" w:themeColor="text1"/>
        </w:rPr>
        <w:t>2</w:t>
      </w:r>
      <w:r w:rsidRPr="005F2AFA">
        <w:rPr>
          <w:rFonts w:ascii="Calibri" w:hAnsi="Calibri" w:cs="Calibri"/>
          <w:b/>
          <w:bCs/>
          <w:color w:val="000000" w:themeColor="text1"/>
        </w:rPr>
        <w:t xml:space="preserve">: </w:t>
      </w:r>
      <w:r>
        <w:rPr>
          <w:rFonts w:ascii="Calibri" w:hAnsi="Calibri" w:cs="Calibri"/>
          <w:b/>
          <w:bCs/>
          <w:color w:val="000000" w:themeColor="text1"/>
        </w:rPr>
        <w:t>Initiating and treated patients over time</w:t>
      </w:r>
    </w:p>
    <w:p w14:paraId="076F9EFF" w14:textId="77777777" w:rsidR="005E05BA" w:rsidRDefault="005E05BA" w:rsidP="005E05BA">
      <w:pPr>
        <w:spacing w:after="0"/>
        <w:rPr>
          <w:rFonts w:ascii="Calibri" w:hAnsi="Calibri" w:cs="Calibri"/>
          <w:color w:val="000000" w:themeColor="text1"/>
        </w:rPr>
      </w:pPr>
    </w:p>
    <w:p w14:paraId="60334552" w14:textId="3239D513" w:rsidR="005E05BA" w:rsidRDefault="005E05BA" w:rsidP="005E05BA">
      <w:pPr>
        <w:spacing w:after="0"/>
        <w:rPr>
          <w:rFonts w:ascii="Calibri" w:hAnsi="Calibri" w:cs="Calibri"/>
          <w:color w:val="000000" w:themeColor="text1"/>
        </w:rPr>
      </w:pPr>
      <w:r>
        <w:rPr>
          <w:rFonts w:ascii="Calibri" w:hAnsi="Calibri" w:cs="Calibri"/>
          <w:color w:val="000000" w:themeColor="text1"/>
        </w:rPr>
        <w:t xml:space="preserve">Use over time by drug using DDDs is shown in Figure </w:t>
      </w:r>
      <w:r w:rsidR="00A04C85">
        <w:rPr>
          <w:rFonts w:ascii="Calibri" w:hAnsi="Calibri" w:cs="Calibri"/>
          <w:color w:val="000000" w:themeColor="text1"/>
        </w:rPr>
        <w:t>13</w:t>
      </w:r>
      <w:r>
        <w:rPr>
          <w:rFonts w:ascii="Calibri" w:hAnsi="Calibri" w:cs="Calibri"/>
          <w:color w:val="000000" w:themeColor="text1"/>
        </w:rPr>
        <w:t xml:space="preserve">. </w:t>
      </w:r>
    </w:p>
    <w:p w14:paraId="29F74CD5" w14:textId="77777777" w:rsidR="005E05BA" w:rsidRDefault="005E05BA" w:rsidP="005E05BA">
      <w:pPr>
        <w:spacing w:after="0"/>
        <w:rPr>
          <w:rFonts w:ascii="Calibri" w:hAnsi="Calibri" w:cs="Calibri"/>
          <w:color w:val="000000" w:themeColor="text1"/>
        </w:rPr>
      </w:pPr>
      <w:r>
        <w:rPr>
          <w:noProof/>
        </w:rPr>
        <w:lastRenderedPageBreak/>
        <w:drawing>
          <wp:inline distT="0" distB="0" distL="0" distR="0" wp14:anchorId="25E29EB5" wp14:editId="04574CA6">
            <wp:extent cx="5904230" cy="3835400"/>
            <wp:effectExtent l="0" t="0" r="1270" b="12700"/>
            <wp:docPr id="13" name="Chart 13" descr="Use over time using DDDs since 2016">
              <a:extLst xmlns:a="http://schemas.openxmlformats.org/drawingml/2006/main">
                <a:ext uri="{FF2B5EF4-FFF2-40B4-BE49-F238E27FC236}">
                  <a16:creationId xmlns:a16="http://schemas.microsoft.com/office/drawing/2014/main" id="{B260772E-BDBE-4CCC-A657-A37BB90BE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F4B4C64" w14:textId="5F394B0A" w:rsidR="005E05BA" w:rsidRPr="009D7886" w:rsidRDefault="005E05BA" w:rsidP="005E05BA">
      <w:pPr>
        <w:spacing w:after="0"/>
        <w:rPr>
          <w:rFonts w:ascii="Calibri" w:hAnsi="Calibri" w:cs="Calibri"/>
          <w:b/>
          <w:bCs/>
          <w:color w:val="000000" w:themeColor="text1"/>
        </w:rPr>
      </w:pPr>
      <w:r w:rsidRPr="009D7886">
        <w:rPr>
          <w:rFonts w:ascii="Calibri" w:hAnsi="Calibri" w:cs="Calibri"/>
          <w:b/>
          <w:bCs/>
          <w:color w:val="000000" w:themeColor="text1"/>
        </w:rPr>
        <w:t xml:space="preserve">Figure </w:t>
      </w:r>
      <w:r w:rsidR="00A04C85">
        <w:rPr>
          <w:rFonts w:ascii="Calibri" w:hAnsi="Calibri" w:cs="Calibri"/>
          <w:b/>
          <w:bCs/>
          <w:color w:val="000000" w:themeColor="text1"/>
        </w:rPr>
        <w:t>13</w:t>
      </w:r>
      <w:r w:rsidRPr="009D7886">
        <w:rPr>
          <w:rFonts w:ascii="Calibri" w:hAnsi="Calibri" w:cs="Calibri"/>
          <w:b/>
          <w:bCs/>
          <w:color w:val="000000" w:themeColor="text1"/>
        </w:rPr>
        <w:t>: Use over time using DDDs</w:t>
      </w:r>
    </w:p>
    <w:p w14:paraId="56BE56F8" w14:textId="77777777" w:rsidR="005E05BA" w:rsidRDefault="005E05BA" w:rsidP="005E05BA">
      <w:pPr>
        <w:spacing w:after="0"/>
        <w:rPr>
          <w:rFonts w:ascii="Calibri" w:hAnsi="Calibri" w:cs="Calibri"/>
          <w:color w:val="000000" w:themeColor="text1"/>
        </w:rPr>
      </w:pPr>
    </w:p>
    <w:p w14:paraId="5F1B3C3D" w14:textId="77777777" w:rsidR="005E05BA" w:rsidRPr="003D7B54" w:rsidRDefault="005E05BA" w:rsidP="005E05BA">
      <w:pPr>
        <w:rPr>
          <w:rFonts w:ascii="Calibri" w:eastAsia="MS Mincho" w:hAnsi="Calibri"/>
        </w:rPr>
      </w:pPr>
      <w:r>
        <w:rPr>
          <w:rFonts w:ascii="Calibri" w:hAnsi="Calibri" w:cs="Calibri"/>
          <w:color w:val="000000" w:themeColor="text1"/>
        </w:rPr>
        <w:t xml:space="preserve">The increase in hydromorphone from the third quarter of 2022 is likely due to amendments to the PBS listings </w:t>
      </w:r>
      <w:r w:rsidRPr="003D7B54">
        <w:rPr>
          <w:rFonts w:ascii="Calibri" w:hAnsi="Calibri" w:cs="Calibri"/>
          <w:color w:val="000000" w:themeColor="text1"/>
        </w:rPr>
        <w:t>of hydromorphone oral solutions to allow pharmacists to dispense volumes smaller than a whole bottle at PBS subsidised prices</w:t>
      </w:r>
      <w:r>
        <w:rPr>
          <w:rFonts w:ascii="Calibri" w:hAnsi="Calibri" w:cs="Calibri"/>
          <w:color w:val="000000" w:themeColor="text1"/>
        </w:rPr>
        <w:t>,</w:t>
      </w:r>
      <w:r w:rsidRPr="003D7B54">
        <w:rPr>
          <w:rFonts w:ascii="Calibri" w:hAnsi="Calibri" w:cs="Calibri"/>
          <w:color w:val="000000" w:themeColor="text1"/>
        </w:rPr>
        <w:t xml:space="preserve"> </w:t>
      </w:r>
      <w:r>
        <w:rPr>
          <w:rFonts w:ascii="Calibri" w:hAnsi="Calibri" w:cs="Calibri"/>
          <w:color w:val="000000" w:themeColor="text1"/>
        </w:rPr>
        <w:t xml:space="preserve">from </w:t>
      </w:r>
      <w:r w:rsidRPr="003D7B54">
        <w:rPr>
          <w:rFonts w:ascii="Calibri" w:hAnsi="Calibri" w:cs="Calibri"/>
          <w:color w:val="000000" w:themeColor="text1"/>
        </w:rPr>
        <w:t>1 August 2022</w:t>
      </w:r>
      <w:r>
        <w:rPr>
          <w:rFonts w:ascii="Calibri" w:hAnsi="Calibri" w:cs="Calibri"/>
          <w:color w:val="000000" w:themeColor="text1"/>
        </w:rPr>
        <w:t>.</w:t>
      </w:r>
      <w:r w:rsidRPr="003D7B54">
        <w:rPr>
          <w:rFonts w:ascii="Calibri" w:eastAsia="MS Mincho" w:hAnsi="Calibri"/>
          <w:vertAlign w:val="superscript"/>
        </w:rPr>
        <w:footnoteReference w:id="5"/>
      </w:r>
    </w:p>
    <w:p w14:paraId="32E2C953" w14:textId="54EC520D" w:rsidR="005E05BA" w:rsidRPr="00393AA3" w:rsidRDefault="005E05BA" w:rsidP="005E05BA">
      <w:pPr>
        <w:spacing w:before="240" w:after="20"/>
        <w:outlineLvl w:val="3"/>
        <w:rPr>
          <w:rFonts w:eastAsia="MS Gothic" w:cstheme="minorHAnsi"/>
          <w:b/>
        </w:rPr>
      </w:pPr>
      <w:r w:rsidRPr="00393AA3">
        <w:rPr>
          <w:rFonts w:eastAsia="MS Gothic" w:cstheme="minorHAnsi"/>
          <w:b/>
        </w:rPr>
        <w:t>Table 1</w:t>
      </w:r>
      <w:r w:rsidR="00A04C85">
        <w:rPr>
          <w:rFonts w:eastAsia="MS Gothic" w:cstheme="minorHAnsi"/>
          <w:b/>
        </w:rPr>
        <w:t>4</w:t>
      </w:r>
      <w:r w:rsidRPr="00393AA3">
        <w:rPr>
          <w:rFonts w:eastAsia="MS Gothic" w:cstheme="minorHAnsi"/>
          <w:b/>
        </w:rPr>
        <w:t>: Amendments to hydromorphone oral solution effective 1 August 2022</w:t>
      </w:r>
    </w:p>
    <w:tbl>
      <w:tblPr>
        <w:tblStyle w:val="Summarybox1"/>
        <w:tblW w:w="0" w:type="auto"/>
        <w:tblLook w:val="04A0" w:firstRow="1" w:lastRow="0" w:firstColumn="1" w:lastColumn="0" w:noHBand="0" w:noVBand="1"/>
      </w:tblPr>
      <w:tblGrid>
        <w:gridCol w:w="2982"/>
        <w:gridCol w:w="2982"/>
        <w:gridCol w:w="2983"/>
      </w:tblGrid>
      <w:tr w:rsidR="005E05BA" w:rsidRPr="003D7B54" w14:paraId="6F19A660" w14:textId="77777777" w:rsidTr="000C28F2">
        <w:tc>
          <w:tcPr>
            <w:tcW w:w="2982" w:type="dxa"/>
            <w:shd w:val="clear" w:color="auto" w:fill="BFBFBF"/>
          </w:tcPr>
          <w:p w14:paraId="415254D6" w14:textId="77777777" w:rsidR="005E05BA" w:rsidRPr="003D7B54" w:rsidRDefault="005E05BA" w:rsidP="000C28F2">
            <w:pPr>
              <w:rPr>
                <w:rFonts w:cs="Calibri"/>
                <w:sz w:val="20"/>
                <w:szCs w:val="20"/>
              </w:rPr>
            </w:pPr>
            <w:r w:rsidRPr="003D7B54">
              <w:rPr>
                <w:rFonts w:cs="Calibri"/>
                <w:b/>
                <w:bCs/>
                <w:sz w:val="20"/>
                <w:szCs w:val="20"/>
                <w:bdr w:val="none" w:sz="0" w:space="0" w:color="auto" w:frame="1"/>
              </w:rPr>
              <w:t>Change</w:t>
            </w:r>
          </w:p>
        </w:tc>
        <w:tc>
          <w:tcPr>
            <w:tcW w:w="2982" w:type="dxa"/>
            <w:shd w:val="clear" w:color="auto" w:fill="BFBFBF"/>
            <w:vAlign w:val="center"/>
          </w:tcPr>
          <w:p w14:paraId="0E8D6DDC" w14:textId="77777777" w:rsidR="005E05BA" w:rsidRPr="003D7B54" w:rsidRDefault="005E05BA" w:rsidP="000C28F2">
            <w:pPr>
              <w:jc w:val="center"/>
              <w:rPr>
                <w:rFonts w:cs="Calibri"/>
                <w:sz w:val="20"/>
                <w:szCs w:val="20"/>
              </w:rPr>
            </w:pPr>
            <w:r w:rsidRPr="003D7B54">
              <w:rPr>
                <w:rFonts w:cs="Calibri"/>
                <w:b/>
                <w:bCs/>
                <w:sz w:val="20"/>
                <w:szCs w:val="20"/>
                <w:bdr w:val="none" w:sz="0" w:space="0" w:color="auto" w:frame="1"/>
              </w:rPr>
              <w:t>Previous listing</w:t>
            </w:r>
          </w:p>
        </w:tc>
        <w:tc>
          <w:tcPr>
            <w:tcW w:w="2983" w:type="dxa"/>
            <w:shd w:val="clear" w:color="auto" w:fill="BFBFBF"/>
            <w:vAlign w:val="center"/>
          </w:tcPr>
          <w:p w14:paraId="62BC5BC6" w14:textId="77777777" w:rsidR="005E05BA" w:rsidRPr="003D7B54" w:rsidRDefault="005E05BA" w:rsidP="000C28F2">
            <w:pPr>
              <w:jc w:val="center"/>
              <w:rPr>
                <w:rFonts w:cs="Calibri"/>
                <w:sz w:val="20"/>
                <w:szCs w:val="20"/>
              </w:rPr>
            </w:pPr>
            <w:r w:rsidRPr="003D7B54">
              <w:rPr>
                <w:rFonts w:cs="Calibri"/>
                <w:b/>
                <w:bCs/>
                <w:sz w:val="20"/>
                <w:szCs w:val="20"/>
                <w:bdr w:val="none" w:sz="0" w:space="0" w:color="auto" w:frame="1"/>
              </w:rPr>
              <w:t>Amendments from 1 August 2022</w:t>
            </w:r>
          </w:p>
        </w:tc>
      </w:tr>
      <w:tr w:rsidR="005E05BA" w:rsidRPr="003D7B54" w14:paraId="161E2423" w14:textId="77777777" w:rsidTr="000C28F2">
        <w:trPr>
          <w:trHeight w:val="227"/>
        </w:trPr>
        <w:tc>
          <w:tcPr>
            <w:tcW w:w="2982" w:type="dxa"/>
          </w:tcPr>
          <w:p w14:paraId="46109CD9" w14:textId="77777777" w:rsidR="005E05BA" w:rsidRPr="003D7B54" w:rsidRDefault="005E05BA" w:rsidP="000C28F2">
            <w:pPr>
              <w:rPr>
                <w:rFonts w:cs="Calibri"/>
                <w:sz w:val="20"/>
                <w:szCs w:val="20"/>
              </w:rPr>
            </w:pPr>
            <w:r w:rsidRPr="003D7B54">
              <w:rPr>
                <w:rFonts w:cs="Calibri"/>
                <w:sz w:val="20"/>
                <w:szCs w:val="20"/>
                <w:bdr w:val="none" w:sz="0" w:space="0" w:color="auto" w:frame="1"/>
              </w:rPr>
              <w:t>Legislative Instrument form descriptions</w:t>
            </w:r>
          </w:p>
        </w:tc>
        <w:tc>
          <w:tcPr>
            <w:tcW w:w="2982" w:type="dxa"/>
            <w:vAlign w:val="center"/>
          </w:tcPr>
          <w:p w14:paraId="065E00EF" w14:textId="77777777" w:rsidR="005E05BA" w:rsidRPr="003D7B54" w:rsidRDefault="005E05BA" w:rsidP="000C28F2">
            <w:pPr>
              <w:jc w:val="center"/>
              <w:rPr>
                <w:rFonts w:cs="Calibri"/>
                <w:sz w:val="20"/>
                <w:szCs w:val="20"/>
              </w:rPr>
            </w:pPr>
            <w:r w:rsidRPr="003D7B54">
              <w:rPr>
                <w:rFonts w:cs="Calibri"/>
                <w:sz w:val="20"/>
                <w:szCs w:val="20"/>
              </w:rPr>
              <w:t>Oral solution containing hydromorphone hydrochloride 1 mg per mL, </w:t>
            </w:r>
            <w:r w:rsidRPr="003D7B54">
              <w:rPr>
                <w:rFonts w:cs="Calibri"/>
                <w:b/>
                <w:bCs/>
                <w:sz w:val="20"/>
                <w:szCs w:val="20"/>
                <w:bdr w:val="none" w:sz="0" w:space="0" w:color="auto" w:frame="1"/>
              </w:rPr>
              <w:t>473 mL</w:t>
            </w:r>
          </w:p>
        </w:tc>
        <w:tc>
          <w:tcPr>
            <w:tcW w:w="2983" w:type="dxa"/>
            <w:vAlign w:val="center"/>
          </w:tcPr>
          <w:p w14:paraId="5F568AF8" w14:textId="77777777" w:rsidR="005E05BA" w:rsidRPr="003D7B54" w:rsidRDefault="005E05BA" w:rsidP="000C28F2">
            <w:pPr>
              <w:jc w:val="center"/>
              <w:rPr>
                <w:rFonts w:cs="Calibri"/>
                <w:sz w:val="20"/>
                <w:szCs w:val="20"/>
              </w:rPr>
            </w:pPr>
            <w:r w:rsidRPr="003D7B54">
              <w:rPr>
                <w:rFonts w:cs="Calibri"/>
                <w:sz w:val="20"/>
                <w:szCs w:val="20"/>
              </w:rPr>
              <w:t>Oral solution containing hydromorphone hydrochloride 1 mg per mL, </w:t>
            </w:r>
            <w:r w:rsidRPr="003D7B54">
              <w:rPr>
                <w:rFonts w:cs="Calibri"/>
                <w:b/>
                <w:bCs/>
                <w:sz w:val="20"/>
                <w:szCs w:val="20"/>
                <w:bdr w:val="none" w:sz="0" w:space="0" w:color="auto" w:frame="1"/>
              </w:rPr>
              <w:t>1 mL</w:t>
            </w:r>
          </w:p>
        </w:tc>
      </w:tr>
      <w:tr w:rsidR="005E05BA" w:rsidRPr="003D7B54" w14:paraId="4E803EF6" w14:textId="77777777" w:rsidTr="000C28F2">
        <w:trPr>
          <w:trHeight w:val="227"/>
        </w:trPr>
        <w:tc>
          <w:tcPr>
            <w:tcW w:w="2982" w:type="dxa"/>
          </w:tcPr>
          <w:p w14:paraId="1D5D169A" w14:textId="77777777" w:rsidR="005E05BA" w:rsidRPr="003D7B54" w:rsidRDefault="005E05BA" w:rsidP="000C28F2">
            <w:pPr>
              <w:rPr>
                <w:rFonts w:cs="Calibri"/>
                <w:sz w:val="20"/>
                <w:szCs w:val="20"/>
              </w:rPr>
            </w:pPr>
            <w:r w:rsidRPr="003D7B54">
              <w:rPr>
                <w:rFonts w:cs="Calibri"/>
                <w:sz w:val="20"/>
                <w:szCs w:val="20"/>
                <w:bdr w:val="none" w:sz="0" w:space="0" w:color="auto" w:frame="1"/>
              </w:rPr>
              <w:t>Pharmaceutical Item value</w:t>
            </w:r>
          </w:p>
        </w:tc>
        <w:tc>
          <w:tcPr>
            <w:tcW w:w="2982" w:type="dxa"/>
            <w:vAlign w:val="center"/>
          </w:tcPr>
          <w:p w14:paraId="1738DB27" w14:textId="77777777" w:rsidR="005E05BA" w:rsidRPr="003D7B54" w:rsidRDefault="005E05BA" w:rsidP="000C28F2">
            <w:pPr>
              <w:jc w:val="center"/>
              <w:rPr>
                <w:rFonts w:cs="Calibri"/>
                <w:sz w:val="20"/>
                <w:szCs w:val="20"/>
              </w:rPr>
            </w:pPr>
            <w:r w:rsidRPr="003D7B54">
              <w:rPr>
                <w:rFonts w:cs="Calibri"/>
                <w:sz w:val="20"/>
                <w:szCs w:val="20"/>
              </w:rPr>
              <w:t>1 unit (i.e. bottle)</w:t>
            </w:r>
          </w:p>
        </w:tc>
        <w:tc>
          <w:tcPr>
            <w:tcW w:w="2983" w:type="dxa"/>
            <w:vAlign w:val="center"/>
          </w:tcPr>
          <w:p w14:paraId="7B3C2C66" w14:textId="77777777" w:rsidR="005E05BA" w:rsidRPr="003D7B54" w:rsidRDefault="005E05BA" w:rsidP="000C28F2">
            <w:pPr>
              <w:jc w:val="center"/>
              <w:rPr>
                <w:rFonts w:cs="Calibri"/>
                <w:sz w:val="20"/>
                <w:szCs w:val="20"/>
              </w:rPr>
            </w:pPr>
            <w:r w:rsidRPr="003D7B54">
              <w:rPr>
                <w:rFonts w:cs="Calibri"/>
                <w:sz w:val="20"/>
                <w:szCs w:val="20"/>
              </w:rPr>
              <w:t>473 units (i.e. millilitres)</w:t>
            </w:r>
          </w:p>
        </w:tc>
      </w:tr>
      <w:tr w:rsidR="005E05BA" w:rsidRPr="003D7B54" w14:paraId="22B00CDD" w14:textId="77777777" w:rsidTr="000C28F2">
        <w:trPr>
          <w:trHeight w:val="227"/>
        </w:trPr>
        <w:tc>
          <w:tcPr>
            <w:tcW w:w="2982" w:type="dxa"/>
          </w:tcPr>
          <w:p w14:paraId="28FC5197" w14:textId="77777777" w:rsidR="005E05BA" w:rsidRPr="003D7B54" w:rsidRDefault="005E05BA" w:rsidP="000C28F2">
            <w:pPr>
              <w:rPr>
                <w:rFonts w:cs="Calibri"/>
                <w:sz w:val="20"/>
                <w:szCs w:val="20"/>
              </w:rPr>
            </w:pPr>
            <w:r w:rsidRPr="003D7B54">
              <w:rPr>
                <w:rFonts w:cs="Calibri"/>
                <w:sz w:val="20"/>
                <w:szCs w:val="20"/>
                <w:bdr w:val="none" w:sz="0" w:space="0" w:color="auto" w:frame="1"/>
              </w:rPr>
              <w:t>Pack Qty</w:t>
            </w:r>
          </w:p>
        </w:tc>
        <w:tc>
          <w:tcPr>
            <w:tcW w:w="2982" w:type="dxa"/>
            <w:vAlign w:val="center"/>
          </w:tcPr>
          <w:p w14:paraId="72D2C8BF" w14:textId="77777777" w:rsidR="005E05BA" w:rsidRPr="003D7B54" w:rsidRDefault="005E05BA" w:rsidP="000C28F2">
            <w:pPr>
              <w:jc w:val="center"/>
              <w:rPr>
                <w:rFonts w:cs="Calibri"/>
                <w:sz w:val="20"/>
                <w:szCs w:val="20"/>
              </w:rPr>
            </w:pPr>
            <w:r w:rsidRPr="003D7B54">
              <w:rPr>
                <w:rFonts w:cs="Calibri"/>
                <w:sz w:val="20"/>
                <w:szCs w:val="20"/>
              </w:rPr>
              <w:t>1</w:t>
            </w:r>
          </w:p>
        </w:tc>
        <w:tc>
          <w:tcPr>
            <w:tcW w:w="2983" w:type="dxa"/>
            <w:vAlign w:val="center"/>
          </w:tcPr>
          <w:p w14:paraId="1B6C3EC0" w14:textId="77777777" w:rsidR="005E05BA" w:rsidRPr="003D7B54" w:rsidRDefault="005E05BA" w:rsidP="000C28F2">
            <w:pPr>
              <w:jc w:val="center"/>
              <w:rPr>
                <w:rFonts w:cs="Calibri"/>
                <w:sz w:val="20"/>
                <w:szCs w:val="20"/>
              </w:rPr>
            </w:pPr>
            <w:r w:rsidRPr="003D7B54">
              <w:rPr>
                <w:rFonts w:cs="Calibri"/>
                <w:sz w:val="20"/>
                <w:szCs w:val="20"/>
              </w:rPr>
              <w:t>473</w:t>
            </w:r>
          </w:p>
        </w:tc>
      </w:tr>
      <w:tr w:rsidR="005E05BA" w:rsidRPr="003D7B54" w14:paraId="6C4D205B" w14:textId="77777777" w:rsidTr="000C28F2">
        <w:trPr>
          <w:trHeight w:val="227"/>
        </w:trPr>
        <w:tc>
          <w:tcPr>
            <w:tcW w:w="2982" w:type="dxa"/>
          </w:tcPr>
          <w:p w14:paraId="56EA4E34" w14:textId="77777777" w:rsidR="005E05BA" w:rsidRPr="003D7B54" w:rsidRDefault="005E05BA" w:rsidP="000C28F2">
            <w:pPr>
              <w:rPr>
                <w:rFonts w:cs="Calibri"/>
                <w:sz w:val="20"/>
                <w:szCs w:val="20"/>
              </w:rPr>
            </w:pPr>
            <w:r w:rsidRPr="003D7B54">
              <w:rPr>
                <w:rFonts w:cs="Calibri"/>
                <w:sz w:val="20"/>
                <w:szCs w:val="20"/>
                <w:bdr w:val="none" w:sz="0" w:space="0" w:color="auto" w:frame="1"/>
              </w:rPr>
              <w:t>Pricing Qty</w:t>
            </w:r>
          </w:p>
        </w:tc>
        <w:tc>
          <w:tcPr>
            <w:tcW w:w="2982" w:type="dxa"/>
            <w:vAlign w:val="center"/>
          </w:tcPr>
          <w:p w14:paraId="75C70B83" w14:textId="77777777" w:rsidR="005E05BA" w:rsidRPr="003D7B54" w:rsidRDefault="005E05BA" w:rsidP="000C28F2">
            <w:pPr>
              <w:jc w:val="center"/>
              <w:rPr>
                <w:rFonts w:cs="Calibri"/>
                <w:sz w:val="20"/>
                <w:szCs w:val="20"/>
              </w:rPr>
            </w:pPr>
            <w:r w:rsidRPr="003D7B54">
              <w:rPr>
                <w:rFonts w:cs="Calibri"/>
                <w:sz w:val="20"/>
                <w:szCs w:val="20"/>
              </w:rPr>
              <w:t>1</w:t>
            </w:r>
          </w:p>
        </w:tc>
        <w:tc>
          <w:tcPr>
            <w:tcW w:w="2983" w:type="dxa"/>
            <w:vAlign w:val="center"/>
          </w:tcPr>
          <w:p w14:paraId="70118CA2" w14:textId="77777777" w:rsidR="005E05BA" w:rsidRPr="003D7B54" w:rsidRDefault="005E05BA" w:rsidP="000C28F2">
            <w:pPr>
              <w:jc w:val="center"/>
              <w:rPr>
                <w:rFonts w:cs="Calibri"/>
                <w:sz w:val="20"/>
                <w:szCs w:val="20"/>
              </w:rPr>
            </w:pPr>
            <w:r w:rsidRPr="003D7B54">
              <w:rPr>
                <w:rFonts w:cs="Calibri"/>
                <w:sz w:val="20"/>
                <w:szCs w:val="20"/>
              </w:rPr>
              <w:t>473</w:t>
            </w:r>
          </w:p>
        </w:tc>
      </w:tr>
      <w:tr w:rsidR="005E05BA" w:rsidRPr="003D7B54" w14:paraId="501CFFF0" w14:textId="77777777" w:rsidTr="000C28F2">
        <w:trPr>
          <w:trHeight w:val="155"/>
        </w:trPr>
        <w:tc>
          <w:tcPr>
            <w:tcW w:w="2982" w:type="dxa"/>
          </w:tcPr>
          <w:p w14:paraId="65DF267D" w14:textId="77777777" w:rsidR="005E05BA" w:rsidRPr="003D7B54" w:rsidRDefault="005E05BA" w:rsidP="000C28F2">
            <w:pPr>
              <w:rPr>
                <w:rFonts w:cs="Calibri"/>
                <w:sz w:val="20"/>
                <w:szCs w:val="20"/>
              </w:rPr>
            </w:pPr>
            <w:r w:rsidRPr="003D7B54">
              <w:rPr>
                <w:rFonts w:cs="Calibri"/>
                <w:sz w:val="20"/>
                <w:szCs w:val="20"/>
                <w:bdr w:val="none" w:sz="0" w:space="0" w:color="auto" w:frame="1"/>
              </w:rPr>
              <w:t>Max Qty Units</w:t>
            </w:r>
          </w:p>
        </w:tc>
        <w:tc>
          <w:tcPr>
            <w:tcW w:w="2982" w:type="dxa"/>
            <w:vAlign w:val="center"/>
          </w:tcPr>
          <w:p w14:paraId="3CD464C0" w14:textId="77777777" w:rsidR="005E05BA" w:rsidRPr="003D7B54" w:rsidRDefault="005E05BA" w:rsidP="000C28F2">
            <w:pPr>
              <w:jc w:val="center"/>
              <w:rPr>
                <w:rFonts w:cs="Calibri"/>
                <w:sz w:val="20"/>
                <w:szCs w:val="20"/>
              </w:rPr>
            </w:pPr>
            <w:r w:rsidRPr="003D7B54">
              <w:rPr>
                <w:rFonts w:cs="Calibri"/>
                <w:sz w:val="20"/>
                <w:szCs w:val="20"/>
              </w:rPr>
              <w:t>1</w:t>
            </w:r>
          </w:p>
        </w:tc>
        <w:tc>
          <w:tcPr>
            <w:tcW w:w="2983" w:type="dxa"/>
            <w:vAlign w:val="center"/>
          </w:tcPr>
          <w:p w14:paraId="3B29DD56" w14:textId="77777777" w:rsidR="005E05BA" w:rsidRPr="003D7B54" w:rsidRDefault="005E05BA" w:rsidP="000C28F2">
            <w:pPr>
              <w:jc w:val="center"/>
              <w:rPr>
                <w:rFonts w:cs="Calibri"/>
                <w:sz w:val="20"/>
                <w:szCs w:val="20"/>
              </w:rPr>
            </w:pPr>
            <w:r w:rsidRPr="003D7B54">
              <w:rPr>
                <w:rFonts w:cs="Calibri"/>
                <w:sz w:val="20"/>
                <w:szCs w:val="20"/>
              </w:rPr>
              <w:t>473</w:t>
            </w:r>
          </w:p>
        </w:tc>
      </w:tr>
    </w:tbl>
    <w:p w14:paraId="03936FE9" w14:textId="77777777" w:rsidR="005E05BA" w:rsidRPr="003D7B54" w:rsidRDefault="005E05BA" w:rsidP="005E05BA">
      <w:pPr>
        <w:rPr>
          <w:rFonts w:ascii="Calibri" w:eastAsia="MS Mincho" w:hAnsi="Calibri"/>
        </w:rPr>
      </w:pPr>
    </w:p>
    <w:p w14:paraId="4A38E954" w14:textId="77777777" w:rsidR="005E05BA" w:rsidRDefault="005E05BA" w:rsidP="005E05BA">
      <w:pPr>
        <w:spacing w:after="0"/>
        <w:rPr>
          <w:rFonts w:ascii="Calibri" w:hAnsi="Calibri" w:cs="Calibri"/>
          <w:color w:val="000000" w:themeColor="text1"/>
        </w:rPr>
      </w:pPr>
    </w:p>
    <w:p w14:paraId="045C1163" w14:textId="77777777" w:rsidR="005E05BA" w:rsidRDefault="005E05BA" w:rsidP="005E05BA">
      <w:pPr>
        <w:spacing w:after="0"/>
        <w:rPr>
          <w:rFonts w:ascii="Calibri" w:hAnsi="Calibri" w:cs="Calibri"/>
          <w:color w:val="000000" w:themeColor="text1"/>
        </w:rPr>
      </w:pPr>
    </w:p>
    <w:p w14:paraId="5B13BC95" w14:textId="7ADF864D" w:rsidR="005E05BA" w:rsidRDefault="005E05BA" w:rsidP="005E05BA">
      <w:pPr>
        <w:keepNext/>
        <w:spacing w:after="0"/>
        <w:rPr>
          <w:rFonts w:ascii="Calibri" w:hAnsi="Calibri" w:cs="Calibri"/>
          <w:b/>
          <w:bCs/>
          <w:color w:val="000000" w:themeColor="text1"/>
        </w:rPr>
      </w:pPr>
      <w:r w:rsidRPr="009D7886">
        <w:rPr>
          <w:rFonts w:ascii="Calibri" w:hAnsi="Calibri" w:cs="Calibri"/>
          <w:b/>
          <w:bCs/>
          <w:color w:val="000000" w:themeColor="text1"/>
        </w:rPr>
        <w:lastRenderedPageBreak/>
        <w:t>Use in 2022</w:t>
      </w:r>
    </w:p>
    <w:p w14:paraId="6C302BCF" w14:textId="77777777" w:rsidR="00254EAC" w:rsidRPr="009D7886" w:rsidRDefault="00254EAC" w:rsidP="005E05BA">
      <w:pPr>
        <w:keepNext/>
        <w:spacing w:after="0"/>
        <w:rPr>
          <w:rFonts w:ascii="Calibri" w:hAnsi="Calibri" w:cs="Calibri"/>
          <w:b/>
          <w:bCs/>
          <w:color w:val="000000" w:themeColor="text1"/>
        </w:rPr>
      </w:pPr>
    </w:p>
    <w:p w14:paraId="1F36941F" w14:textId="77777777" w:rsidR="005E05BA" w:rsidRDefault="005E05BA" w:rsidP="005E05BA">
      <w:pPr>
        <w:keepNext/>
        <w:spacing w:after="0"/>
        <w:rPr>
          <w:rFonts w:ascii="Calibri" w:hAnsi="Calibri" w:cs="Calibri"/>
          <w:color w:val="000000" w:themeColor="text1"/>
        </w:rPr>
      </w:pPr>
      <w:r>
        <w:rPr>
          <w:noProof/>
        </w:rPr>
        <w:drawing>
          <wp:inline distT="0" distB="0" distL="0" distR="0" wp14:anchorId="52FA4C84" wp14:editId="6288AC6C">
            <wp:extent cx="5686425" cy="3267075"/>
            <wp:effectExtent l="0" t="0" r="9525" b="9525"/>
            <wp:docPr id="14" name="Chart 14" descr="Age and gender of patients supplied opioids in 2022">
              <a:extLst xmlns:a="http://schemas.openxmlformats.org/drawingml/2006/main">
                <a:ext uri="{FF2B5EF4-FFF2-40B4-BE49-F238E27FC236}">
                  <a16:creationId xmlns:a16="http://schemas.microsoft.com/office/drawing/2014/main" id="{1481AD84-B931-446A-A3C4-FF5BB1F25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BDD23A2" w14:textId="37A22348" w:rsidR="005E05BA" w:rsidRPr="0003465C" w:rsidRDefault="005E05BA" w:rsidP="005E05BA">
      <w:pPr>
        <w:spacing w:after="0"/>
        <w:rPr>
          <w:rFonts w:ascii="Calibri" w:hAnsi="Calibri" w:cs="Calibri"/>
          <w:b/>
          <w:bCs/>
          <w:color w:val="000000" w:themeColor="text1"/>
        </w:rPr>
      </w:pPr>
      <w:r w:rsidRPr="0003465C">
        <w:rPr>
          <w:rFonts w:ascii="Calibri" w:hAnsi="Calibri" w:cs="Calibri"/>
          <w:b/>
          <w:bCs/>
          <w:color w:val="000000" w:themeColor="text1"/>
        </w:rPr>
        <w:t xml:space="preserve">Figure </w:t>
      </w:r>
      <w:r w:rsidR="00A04C85">
        <w:rPr>
          <w:rFonts w:ascii="Calibri" w:hAnsi="Calibri" w:cs="Calibri"/>
          <w:b/>
          <w:bCs/>
          <w:color w:val="000000" w:themeColor="text1"/>
        </w:rPr>
        <w:t>14</w:t>
      </w:r>
      <w:r w:rsidRPr="0003465C">
        <w:rPr>
          <w:rFonts w:ascii="Calibri" w:hAnsi="Calibri" w:cs="Calibri"/>
          <w:b/>
          <w:bCs/>
          <w:color w:val="000000" w:themeColor="text1"/>
        </w:rPr>
        <w:t xml:space="preserve">: Age and </w:t>
      </w:r>
      <w:r w:rsidR="00470CE6">
        <w:rPr>
          <w:rFonts w:ascii="Calibri" w:hAnsi="Calibri" w:cs="Calibri"/>
          <w:b/>
          <w:bCs/>
          <w:color w:val="000000" w:themeColor="text1"/>
        </w:rPr>
        <w:t>gender</w:t>
      </w:r>
      <w:r w:rsidRPr="0003465C">
        <w:rPr>
          <w:rFonts w:ascii="Calibri" w:hAnsi="Calibri" w:cs="Calibri"/>
          <w:b/>
          <w:bCs/>
          <w:color w:val="000000" w:themeColor="text1"/>
        </w:rPr>
        <w:t xml:space="preserve"> of patients supplied opioids in 2022</w:t>
      </w:r>
    </w:p>
    <w:p w14:paraId="3DACC46F" w14:textId="77777777" w:rsidR="005E05BA" w:rsidRDefault="005E05BA" w:rsidP="005E05BA">
      <w:pPr>
        <w:spacing w:after="0"/>
        <w:rPr>
          <w:rFonts w:ascii="Calibri" w:hAnsi="Calibri" w:cs="Calibri"/>
          <w:color w:val="000000" w:themeColor="text1"/>
        </w:rPr>
      </w:pPr>
    </w:p>
    <w:p w14:paraId="27F8B436" w14:textId="77777777" w:rsidR="005E05BA" w:rsidRDefault="005E05BA" w:rsidP="005E05BA">
      <w:pPr>
        <w:spacing w:after="0"/>
        <w:rPr>
          <w:rFonts w:ascii="Calibri" w:hAnsi="Calibri" w:cs="Calibri"/>
          <w:color w:val="000000" w:themeColor="text1"/>
        </w:rPr>
      </w:pPr>
      <w:r>
        <w:rPr>
          <w:noProof/>
        </w:rPr>
        <w:drawing>
          <wp:inline distT="0" distB="0" distL="0" distR="0" wp14:anchorId="74BB2454" wp14:editId="0F0BB038">
            <wp:extent cx="5648325" cy="3590925"/>
            <wp:effectExtent l="0" t="0" r="9525" b="9525"/>
            <wp:docPr id="15" name="Chart 15" descr="Age and gender of patients supplied opioids in 2022 (standardised)">
              <a:extLst xmlns:a="http://schemas.openxmlformats.org/drawingml/2006/main">
                <a:ext uri="{FF2B5EF4-FFF2-40B4-BE49-F238E27FC236}">
                  <a16:creationId xmlns:a16="http://schemas.microsoft.com/office/drawing/2014/main" id="{EFF3EF75-A5E2-45BB-AE48-6673840D4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B2645F3" w14:textId="089180FD" w:rsidR="005E05BA" w:rsidRDefault="005E05BA" w:rsidP="005E05BA">
      <w:pPr>
        <w:spacing w:after="0"/>
        <w:rPr>
          <w:rFonts w:ascii="Calibri" w:hAnsi="Calibri" w:cs="Calibri"/>
          <w:b/>
          <w:bCs/>
          <w:color w:val="000000" w:themeColor="text1"/>
        </w:rPr>
      </w:pPr>
      <w:r w:rsidRPr="0003465C">
        <w:rPr>
          <w:rFonts w:ascii="Calibri" w:hAnsi="Calibri" w:cs="Calibri"/>
          <w:b/>
          <w:bCs/>
          <w:color w:val="000000" w:themeColor="text1"/>
        </w:rPr>
        <w:t xml:space="preserve">Figure </w:t>
      </w:r>
      <w:r w:rsidR="00A04C85">
        <w:rPr>
          <w:rFonts w:ascii="Calibri" w:hAnsi="Calibri" w:cs="Calibri"/>
          <w:b/>
          <w:bCs/>
          <w:color w:val="000000" w:themeColor="text1"/>
        </w:rPr>
        <w:t>15</w:t>
      </w:r>
      <w:r w:rsidRPr="0003465C">
        <w:rPr>
          <w:rFonts w:ascii="Calibri" w:hAnsi="Calibri" w:cs="Calibri"/>
          <w:b/>
          <w:bCs/>
          <w:color w:val="000000" w:themeColor="text1"/>
        </w:rPr>
        <w:t xml:space="preserve">: Age and </w:t>
      </w:r>
      <w:r w:rsidR="00470CE6">
        <w:rPr>
          <w:rFonts w:ascii="Calibri" w:hAnsi="Calibri" w:cs="Calibri"/>
          <w:b/>
          <w:bCs/>
          <w:color w:val="000000" w:themeColor="text1"/>
        </w:rPr>
        <w:t>gender</w:t>
      </w:r>
      <w:r w:rsidRPr="0003465C">
        <w:rPr>
          <w:rFonts w:ascii="Calibri" w:hAnsi="Calibri" w:cs="Calibri"/>
          <w:b/>
          <w:bCs/>
          <w:color w:val="000000" w:themeColor="text1"/>
        </w:rPr>
        <w:t xml:space="preserve"> of patients supplied opioids in 2022 (standardised)</w:t>
      </w:r>
    </w:p>
    <w:p w14:paraId="565635F2" w14:textId="77777777" w:rsidR="005E05BA" w:rsidRPr="00C64709" w:rsidRDefault="005E05BA" w:rsidP="005E05BA">
      <w:pPr>
        <w:spacing w:after="0"/>
        <w:rPr>
          <w:rFonts w:ascii="Calibri" w:hAnsi="Calibri" w:cs="Calibri"/>
          <w:color w:val="000000" w:themeColor="text1"/>
        </w:rPr>
      </w:pPr>
    </w:p>
    <w:p w14:paraId="4460675F" w14:textId="3B4795FC" w:rsidR="005E05BA" w:rsidRPr="00C64709" w:rsidRDefault="005E05BA" w:rsidP="005E05BA">
      <w:pPr>
        <w:spacing w:after="0"/>
        <w:rPr>
          <w:rFonts w:ascii="Calibri" w:hAnsi="Calibri" w:cs="Calibri"/>
          <w:color w:val="000000" w:themeColor="text1"/>
        </w:rPr>
      </w:pPr>
      <w:r>
        <w:rPr>
          <w:rFonts w:ascii="Calibri" w:hAnsi="Calibri" w:cs="Calibri"/>
          <w:color w:val="000000" w:themeColor="text1"/>
        </w:rPr>
        <w:t xml:space="preserve">Figure </w:t>
      </w:r>
      <w:r w:rsidR="00A04C85">
        <w:rPr>
          <w:rFonts w:ascii="Calibri" w:hAnsi="Calibri" w:cs="Calibri"/>
          <w:color w:val="000000" w:themeColor="text1"/>
        </w:rPr>
        <w:t>15</w:t>
      </w:r>
      <w:r>
        <w:rPr>
          <w:rFonts w:ascii="Calibri" w:hAnsi="Calibri" w:cs="Calibri"/>
          <w:color w:val="000000" w:themeColor="text1"/>
        </w:rPr>
        <w:t xml:space="preserve"> shows that when</w:t>
      </w:r>
      <w:r w:rsidRPr="00C64709">
        <w:rPr>
          <w:rFonts w:ascii="Calibri" w:hAnsi="Calibri" w:cs="Calibri"/>
          <w:color w:val="000000" w:themeColor="text1"/>
        </w:rPr>
        <w:t xml:space="preserve"> </w:t>
      </w:r>
      <w:r>
        <w:rPr>
          <w:rFonts w:ascii="Calibri" w:hAnsi="Calibri" w:cs="Calibri"/>
          <w:color w:val="000000" w:themeColor="text1"/>
        </w:rPr>
        <w:t xml:space="preserve">patients supplied opioids in 2022 were standardised by age and </w:t>
      </w:r>
      <w:r w:rsidR="00470CE6">
        <w:rPr>
          <w:rFonts w:ascii="Calibri" w:hAnsi="Calibri" w:cs="Calibri"/>
          <w:color w:val="000000" w:themeColor="text1"/>
        </w:rPr>
        <w:t>gender</w:t>
      </w:r>
      <w:r>
        <w:rPr>
          <w:rFonts w:ascii="Calibri" w:hAnsi="Calibri" w:cs="Calibri"/>
          <w:color w:val="000000" w:themeColor="text1"/>
        </w:rPr>
        <w:t>, use of opioids increased with age, and was higher in female patients across every age group.</w:t>
      </w:r>
    </w:p>
    <w:p w14:paraId="2C1400D6" w14:textId="77777777" w:rsidR="005E05BA" w:rsidRDefault="005E05BA" w:rsidP="005E05BA">
      <w:pPr>
        <w:spacing w:after="0"/>
        <w:rPr>
          <w:rFonts w:ascii="Calibri" w:hAnsi="Calibri" w:cs="Calibri"/>
          <w:color w:val="000000" w:themeColor="text1"/>
        </w:rPr>
      </w:pPr>
      <w:r>
        <w:rPr>
          <w:noProof/>
        </w:rPr>
        <w:lastRenderedPageBreak/>
        <w:drawing>
          <wp:inline distT="0" distB="0" distL="0" distR="0" wp14:anchorId="6BB9CC7C" wp14:editId="63ADC3BB">
            <wp:extent cx="5904230" cy="3453765"/>
            <wp:effectExtent l="0" t="0" r="1270" b="13335"/>
            <wp:docPr id="16" name="Chart 16" descr="Patients supplied opioids in 2022 by state and remoteness level">
              <a:extLst xmlns:a="http://schemas.openxmlformats.org/drawingml/2006/main">
                <a:ext uri="{FF2B5EF4-FFF2-40B4-BE49-F238E27FC236}">
                  <a16:creationId xmlns:a16="http://schemas.microsoft.com/office/drawing/2014/main" id="{BFC1C0A3-2932-4FC1-847C-7C00A2047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670E4B1" w14:textId="5E03976F" w:rsidR="005E05BA" w:rsidRDefault="005E05BA" w:rsidP="005E05BA">
      <w:pPr>
        <w:spacing w:after="0"/>
        <w:rPr>
          <w:rFonts w:ascii="Calibri" w:hAnsi="Calibri" w:cs="Calibri"/>
          <w:b/>
          <w:bCs/>
          <w:color w:val="000000" w:themeColor="text1"/>
        </w:rPr>
      </w:pPr>
      <w:r w:rsidRPr="00774558">
        <w:rPr>
          <w:rFonts w:ascii="Calibri" w:hAnsi="Calibri" w:cs="Calibri"/>
          <w:b/>
          <w:bCs/>
          <w:color w:val="000000" w:themeColor="text1"/>
        </w:rPr>
        <w:t xml:space="preserve">Figure </w:t>
      </w:r>
      <w:r w:rsidR="00A04C85">
        <w:rPr>
          <w:rFonts w:ascii="Calibri" w:hAnsi="Calibri" w:cs="Calibri"/>
          <w:b/>
          <w:bCs/>
          <w:color w:val="000000" w:themeColor="text1"/>
        </w:rPr>
        <w:t>16</w:t>
      </w:r>
      <w:r w:rsidRPr="00774558">
        <w:rPr>
          <w:rFonts w:ascii="Calibri" w:hAnsi="Calibri" w:cs="Calibri"/>
          <w:b/>
          <w:bCs/>
          <w:color w:val="000000" w:themeColor="text1"/>
        </w:rPr>
        <w:t>: Patients supplied opioids in 2022 by state and remoteness level</w:t>
      </w:r>
    </w:p>
    <w:p w14:paraId="040210B4" w14:textId="77777777" w:rsidR="005E05BA" w:rsidRPr="00774558" w:rsidRDefault="005E05BA" w:rsidP="005E05BA">
      <w:pPr>
        <w:spacing w:after="0"/>
        <w:rPr>
          <w:rFonts w:ascii="Calibri" w:hAnsi="Calibri" w:cs="Calibri"/>
          <w:b/>
          <w:bCs/>
          <w:color w:val="000000" w:themeColor="text1"/>
        </w:rPr>
      </w:pPr>
    </w:p>
    <w:p w14:paraId="5E4777EB" w14:textId="77777777" w:rsidR="005E05BA" w:rsidRDefault="005E05BA" w:rsidP="005E05BA">
      <w:pPr>
        <w:spacing w:after="0"/>
        <w:rPr>
          <w:rFonts w:ascii="Calibri" w:hAnsi="Calibri" w:cs="Calibri"/>
          <w:color w:val="000000" w:themeColor="text1"/>
        </w:rPr>
      </w:pPr>
      <w:r>
        <w:rPr>
          <w:noProof/>
        </w:rPr>
        <w:drawing>
          <wp:inline distT="0" distB="0" distL="0" distR="0" wp14:anchorId="157C0C01" wp14:editId="44035D2C">
            <wp:extent cx="5824538" cy="3814763"/>
            <wp:effectExtent l="0" t="0" r="5080" b="14605"/>
            <wp:docPr id="17" name="Chart 17" descr="Patients supplied opioids in 2022 by state and remoteness level (standardised)">
              <a:extLst xmlns:a="http://schemas.openxmlformats.org/drawingml/2006/main">
                <a:ext uri="{FF2B5EF4-FFF2-40B4-BE49-F238E27FC236}">
                  <a16:creationId xmlns:a16="http://schemas.microsoft.com/office/drawing/2014/main" id="{FF64C00F-C34C-45DA-81B0-1EED4EDE5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6D06ADA" w14:textId="7C4A38F4" w:rsidR="005E05BA" w:rsidRPr="00774558" w:rsidRDefault="005E05BA" w:rsidP="005E05BA">
      <w:pPr>
        <w:spacing w:after="0"/>
        <w:rPr>
          <w:rFonts w:ascii="Calibri" w:hAnsi="Calibri" w:cs="Calibri"/>
          <w:b/>
          <w:bCs/>
          <w:color w:val="000000" w:themeColor="text1"/>
        </w:rPr>
      </w:pPr>
      <w:r w:rsidRPr="00774558">
        <w:rPr>
          <w:rFonts w:ascii="Calibri" w:hAnsi="Calibri" w:cs="Calibri"/>
          <w:b/>
          <w:bCs/>
          <w:color w:val="000000" w:themeColor="text1"/>
        </w:rPr>
        <w:t xml:space="preserve">Figure </w:t>
      </w:r>
      <w:r w:rsidR="00A04C85">
        <w:rPr>
          <w:rFonts w:ascii="Calibri" w:hAnsi="Calibri" w:cs="Calibri"/>
          <w:b/>
          <w:bCs/>
          <w:color w:val="000000" w:themeColor="text1"/>
        </w:rPr>
        <w:t>17</w:t>
      </w:r>
      <w:r w:rsidRPr="00774558">
        <w:rPr>
          <w:rFonts w:ascii="Calibri" w:hAnsi="Calibri" w:cs="Calibri"/>
          <w:b/>
          <w:bCs/>
          <w:color w:val="000000" w:themeColor="text1"/>
        </w:rPr>
        <w:t>: Patients supplied opioids in 2022 by state and remoteness level (standardised)</w:t>
      </w:r>
    </w:p>
    <w:p w14:paraId="34A03065" w14:textId="77777777" w:rsidR="005E05BA" w:rsidRDefault="005E05BA" w:rsidP="005E05BA">
      <w:pPr>
        <w:spacing w:after="0"/>
        <w:rPr>
          <w:rFonts w:ascii="Calibri" w:hAnsi="Calibri" w:cs="Calibri"/>
          <w:color w:val="000000" w:themeColor="text1"/>
        </w:rPr>
      </w:pPr>
    </w:p>
    <w:p w14:paraId="006D6EA2" w14:textId="538ACDA5" w:rsidR="005E05BA" w:rsidRDefault="005E05BA" w:rsidP="005E05BA">
      <w:pPr>
        <w:spacing w:after="0"/>
        <w:rPr>
          <w:rFonts w:ascii="Calibri" w:hAnsi="Calibri" w:cs="Calibri"/>
          <w:color w:val="000000" w:themeColor="text1"/>
        </w:rPr>
      </w:pPr>
      <w:r w:rsidRPr="001A4341">
        <w:rPr>
          <w:rFonts w:ascii="Calibri" w:hAnsi="Calibri" w:cs="Calibri"/>
          <w:color w:val="000000" w:themeColor="text1"/>
        </w:rPr>
        <w:t xml:space="preserve">Figure </w:t>
      </w:r>
      <w:r w:rsidR="00A04C85">
        <w:rPr>
          <w:rFonts w:ascii="Calibri" w:hAnsi="Calibri" w:cs="Calibri"/>
          <w:color w:val="000000" w:themeColor="text1"/>
        </w:rPr>
        <w:t>17</w:t>
      </w:r>
      <w:r w:rsidRPr="001A4341">
        <w:rPr>
          <w:rFonts w:ascii="Calibri" w:hAnsi="Calibri" w:cs="Calibri"/>
          <w:color w:val="000000" w:themeColor="text1"/>
        </w:rPr>
        <w:t xml:space="preserve"> shows that </w:t>
      </w:r>
      <w:r>
        <w:rPr>
          <w:rFonts w:ascii="Calibri" w:hAnsi="Calibri" w:cs="Calibri"/>
          <w:color w:val="000000" w:themeColor="text1"/>
        </w:rPr>
        <w:t xml:space="preserve">the standardised number of patients </w:t>
      </w:r>
      <w:r w:rsidRPr="001A4341">
        <w:rPr>
          <w:rFonts w:ascii="Calibri" w:hAnsi="Calibri" w:cs="Calibri"/>
          <w:color w:val="000000" w:themeColor="text1"/>
        </w:rPr>
        <w:t xml:space="preserve">supplied opioids in 2022 </w:t>
      </w:r>
      <w:r>
        <w:rPr>
          <w:rFonts w:ascii="Calibri" w:hAnsi="Calibri" w:cs="Calibri"/>
          <w:color w:val="000000" w:themeColor="text1"/>
        </w:rPr>
        <w:t>was highest in South Australia and Tasmania.</w:t>
      </w:r>
    </w:p>
    <w:p w14:paraId="260AC099" w14:textId="46950230" w:rsidR="005E05BA" w:rsidRPr="009D7886" w:rsidRDefault="005E05BA" w:rsidP="005E05BA">
      <w:pPr>
        <w:keepNext/>
        <w:spacing w:after="0"/>
        <w:rPr>
          <w:rFonts w:ascii="Calibri" w:hAnsi="Calibri" w:cs="Calibri"/>
          <w:b/>
          <w:bCs/>
          <w:color w:val="000000" w:themeColor="text1"/>
        </w:rPr>
      </w:pPr>
      <w:r w:rsidRPr="009D7886">
        <w:rPr>
          <w:rFonts w:ascii="Calibri" w:hAnsi="Calibri" w:cs="Calibri"/>
          <w:b/>
          <w:bCs/>
          <w:color w:val="000000" w:themeColor="text1"/>
        </w:rPr>
        <w:lastRenderedPageBreak/>
        <w:t>Reduced pack sizes</w:t>
      </w:r>
    </w:p>
    <w:p w14:paraId="058B6B70" w14:textId="77777777" w:rsidR="005E05BA" w:rsidRPr="003D7B54" w:rsidRDefault="005E05BA" w:rsidP="005E05BA">
      <w:pPr>
        <w:spacing w:after="0"/>
        <w:rPr>
          <w:rFonts w:cstheme="minorHAnsi"/>
        </w:rPr>
      </w:pPr>
    </w:p>
    <w:p w14:paraId="50A55535" w14:textId="7A679632" w:rsidR="005E05BA" w:rsidRPr="00DD3D64" w:rsidRDefault="005E05BA" w:rsidP="005E05BA">
      <w:pPr>
        <w:keepNext/>
        <w:spacing w:after="0"/>
        <w:rPr>
          <w:rFonts w:ascii="Calibri" w:hAnsi="Calibri" w:cs="Calibri"/>
          <w:b/>
          <w:bCs/>
          <w:color w:val="000000" w:themeColor="text1"/>
        </w:rPr>
      </w:pPr>
      <w:r w:rsidRPr="00DD3D64">
        <w:rPr>
          <w:rFonts w:ascii="Calibri" w:hAnsi="Calibri" w:cs="Calibri"/>
          <w:b/>
          <w:bCs/>
          <w:color w:val="000000" w:themeColor="text1"/>
        </w:rPr>
        <w:t xml:space="preserve">Table </w:t>
      </w:r>
      <w:r w:rsidR="00A04C85">
        <w:rPr>
          <w:rFonts w:ascii="Calibri" w:hAnsi="Calibri" w:cs="Calibri"/>
          <w:b/>
          <w:bCs/>
          <w:color w:val="000000" w:themeColor="text1"/>
        </w:rPr>
        <w:t>15</w:t>
      </w:r>
      <w:r w:rsidRPr="00DD3D64">
        <w:rPr>
          <w:rFonts w:ascii="Calibri" w:hAnsi="Calibri" w:cs="Calibri"/>
          <w:b/>
          <w:bCs/>
          <w:color w:val="000000" w:themeColor="text1"/>
        </w:rPr>
        <w:t xml:space="preserve">: </w:t>
      </w:r>
      <w:bookmarkStart w:id="7" w:name="_Hlk137205242"/>
      <w:r>
        <w:rPr>
          <w:rFonts w:ascii="Calibri" w:hAnsi="Calibri" w:cs="Calibri"/>
          <w:b/>
          <w:bCs/>
          <w:color w:val="000000" w:themeColor="text1"/>
        </w:rPr>
        <w:t>Chronic use in initiating patients</w:t>
      </w:r>
      <w:r w:rsidRPr="00DD3D64">
        <w:rPr>
          <w:rFonts w:ascii="Calibri" w:hAnsi="Calibri" w:cs="Calibri"/>
          <w:b/>
          <w:bCs/>
          <w:color w:val="000000" w:themeColor="text1"/>
        </w:rPr>
        <w:t xml:space="preserve"> stratified by whether they initiate on small or standard pack sizes</w:t>
      </w:r>
      <w:bookmarkEnd w:id="7"/>
    </w:p>
    <w:tbl>
      <w:tblPr>
        <w:tblStyle w:val="TableGrid"/>
        <w:tblW w:w="0" w:type="auto"/>
        <w:tblLook w:val="04A0" w:firstRow="1" w:lastRow="0" w:firstColumn="1" w:lastColumn="0" w:noHBand="0" w:noVBand="1"/>
      </w:tblPr>
      <w:tblGrid>
        <w:gridCol w:w="918"/>
        <w:gridCol w:w="3557"/>
        <w:gridCol w:w="1797"/>
        <w:gridCol w:w="1536"/>
        <w:gridCol w:w="1139"/>
      </w:tblGrid>
      <w:tr w:rsidR="005E05BA" w:rsidRPr="00A12418" w14:paraId="0BDA2EE7" w14:textId="77777777" w:rsidTr="00F323A5">
        <w:trPr>
          <w:trHeight w:val="300"/>
        </w:trPr>
        <w:tc>
          <w:tcPr>
            <w:tcW w:w="948" w:type="dxa"/>
            <w:shd w:val="clear" w:color="auto" w:fill="BFBFBF" w:themeFill="background1" w:themeFillShade="BF"/>
            <w:noWrap/>
            <w:hideMark/>
          </w:tcPr>
          <w:p w14:paraId="71C2A635" w14:textId="77777777" w:rsidR="005E05BA" w:rsidRPr="00A12418" w:rsidRDefault="005E05BA" w:rsidP="000C28F2">
            <w:pPr>
              <w:keepNext/>
              <w:jc w:val="center"/>
              <w:rPr>
                <w:rFonts w:ascii="Calibri" w:hAnsi="Calibri" w:cs="Calibri"/>
                <w:b/>
                <w:bCs/>
                <w:color w:val="000000" w:themeColor="text1"/>
                <w:sz w:val="20"/>
                <w:szCs w:val="20"/>
              </w:rPr>
            </w:pPr>
            <w:r w:rsidRPr="00A12418">
              <w:rPr>
                <w:rFonts w:ascii="Calibri" w:hAnsi="Calibri" w:cs="Calibri"/>
                <w:b/>
                <w:bCs/>
                <w:color w:val="000000" w:themeColor="text1"/>
                <w:sz w:val="20"/>
                <w:szCs w:val="20"/>
              </w:rPr>
              <w:t>Year</w:t>
            </w:r>
          </w:p>
        </w:tc>
        <w:tc>
          <w:tcPr>
            <w:tcW w:w="3702" w:type="dxa"/>
            <w:shd w:val="clear" w:color="auto" w:fill="BFBFBF" w:themeFill="background1" w:themeFillShade="BF"/>
            <w:noWrap/>
            <w:hideMark/>
          </w:tcPr>
          <w:p w14:paraId="536F4094" w14:textId="77777777" w:rsidR="005E05BA" w:rsidRPr="00A12418" w:rsidRDefault="005E05BA" w:rsidP="000C28F2">
            <w:pPr>
              <w:keepNext/>
              <w:jc w:val="center"/>
              <w:rPr>
                <w:rFonts w:ascii="Calibri" w:hAnsi="Calibri" w:cs="Calibri"/>
                <w:b/>
                <w:bCs/>
                <w:color w:val="000000" w:themeColor="text1"/>
                <w:sz w:val="20"/>
                <w:szCs w:val="20"/>
              </w:rPr>
            </w:pPr>
            <w:r w:rsidRPr="00A12418">
              <w:rPr>
                <w:rFonts w:ascii="Calibri" w:hAnsi="Calibri" w:cs="Calibri"/>
                <w:b/>
                <w:bCs/>
                <w:color w:val="000000" w:themeColor="text1"/>
                <w:sz w:val="20"/>
                <w:szCs w:val="20"/>
              </w:rPr>
              <w:t>Initiation type</w:t>
            </w:r>
          </w:p>
        </w:tc>
        <w:tc>
          <w:tcPr>
            <w:tcW w:w="1866" w:type="dxa"/>
            <w:shd w:val="clear" w:color="auto" w:fill="BFBFBF" w:themeFill="background1" w:themeFillShade="BF"/>
            <w:noWrap/>
            <w:hideMark/>
          </w:tcPr>
          <w:p w14:paraId="6E0D5B62" w14:textId="77777777" w:rsidR="005E05BA" w:rsidRPr="00A12418" w:rsidRDefault="005E05BA" w:rsidP="000C28F2">
            <w:pPr>
              <w:keepNext/>
              <w:jc w:val="center"/>
              <w:rPr>
                <w:rFonts w:cstheme="minorHAnsi"/>
                <w:b/>
                <w:bCs/>
                <w:color w:val="000000" w:themeColor="text1"/>
                <w:sz w:val="20"/>
                <w:szCs w:val="20"/>
              </w:rPr>
            </w:pPr>
            <w:r w:rsidRPr="00A12418">
              <w:rPr>
                <w:rFonts w:cstheme="minorHAnsi"/>
                <w:b/>
                <w:bCs/>
                <w:color w:val="000000" w:themeColor="text1"/>
                <w:sz w:val="20"/>
                <w:szCs w:val="20"/>
              </w:rPr>
              <w:t>Did not receive chronic treatment</w:t>
            </w:r>
          </w:p>
        </w:tc>
        <w:tc>
          <w:tcPr>
            <w:tcW w:w="1593" w:type="dxa"/>
            <w:shd w:val="clear" w:color="auto" w:fill="BFBFBF" w:themeFill="background1" w:themeFillShade="BF"/>
            <w:noWrap/>
            <w:hideMark/>
          </w:tcPr>
          <w:p w14:paraId="1177B4D7" w14:textId="77777777" w:rsidR="005E05BA" w:rsidRPr="00A12418" w:rsidRDefault="005E05BA" w:rsidP="000C28F2">
            <w:pPr>
              <w:keepNext/>
              <w:jc w:val="center"/>
              <w:rPr>
                <w:rFonts w:cstheme="minorHAnsi"/>
                <w:b/>
                <w:bCs/>
                <w:color w:val="000000" w:themeColor="text1"/>
                <w:sz w:val="20"/>
                <w:szCs w:val="20"/>
              </w:rPr>
            </w:pPr>
            <w:r w:rsidRPr="00A12418">
              <w:rPr>
                <w:rFonts w:cstheme="minorHAnsi"/>
                <w:b/>
                <w:bCs/>
                <w:color w:val="000000" w:themeColor="text1"/>
                <w:sz w:val="20"/>
                <w:szCs w:val="20"/>
              </w:rPr>
              <w:t>Chronic treatment</w:t>
            </w:r>
          </w:p>
        </w:tc>
        <w:tc>
          <w:tcPr>
            <w:tcW w:w="1179" w:type="dxa"/>
            <w:shd w:val="clear" w:color="auto" w:fill="BFBFBF" w:themeFill="background1" w:themeFillShade="BF"/>
            <w:noWrap/>
            <w:hideMark/>
          </w:tcPr>
          <w:p w14:paraId="386167DC" w14:textId="77777777" w:rsidR="005E05BA" w:rsidRPr="00A12418" w:rsidRDefault="005E05BA" w:rsidP="000C28F2">
            <w:pPr>
              <w:keepNext/>
              <w:jc w:val="center"/>
              <w:rPr>
                <w:rFonts w:ascii="Calibri" w:hAnsi="Calibri" w:cs="Calibri"/>
                <w:b/>
                <w:bCs/>
                <w:color w:val="000000" w:themeColor="text1"/>
                <w:sz w:val="20"/>
                <w:szCs w:val="20"/>
              </w:rPr>
            </w:pPr>
            <w:r w:rsidRPr="00A12418">
              <w:rPr>
                <w:rFonts w:ascii="Calibri" w:hAnsi="Calibri" w:cs="Calibri"/>
                <w:b/>
                <w:bCs/>
                <w:color w:val="000000" w:themeColor="text1"/>
                <w:sz w:val="20"/>
                <w:szCs w:val="20"/>
              </w:rPr>
              <w:t>Number of patients</w:t>
            </w:r>
          </w:p>
        </w:tc>
      </w:tr>
      <w:tr w:rsidR="005E05BA" w:rsidRPr="00A12418" w14:paraId="28D18AB7" w14:textId="77777777" w:rsidTr="000C28F2">
        <w:trPr>
          <w:trHeight w:val="300"/>
        </w:trPr>
        <w:tc>
          <w:tcPr>
            <w:tcW w:w="948" w:type="dxa"/>
            <w:noWrap/>
            <w:vAlign w:val="center"/>
            <w:hideMark/>
          </w:tcPr>
          <w:p w14:paraId="4C460E70" w14:textId="77777777" w:rsidR="005E05BA" w:rsidRPr="00A12418" w:rsidRDefault="005E05BA" w:rsidP="000C28F2">
            <w:pPr>
              <w:keepNext/>
              <w:rPr>
                <w:rFonts w:ascii="Calibri" w:hAnsi="Calibri" w:cs="Calibri"/>
                <w:color w:val="000000" w:themeColor="text1"/>
                <w:sz w:val="20"/>
                <w:szCs w:val="20"/>
              </w:rPr>
            </w:pPr>
            <w:r w:rsidRPr="00A12418">
              <w:rPr>
                <w:rFonts w:ascii="Calibri" w:hAnsi="Calibri" w:cs="Calibri"/>
                <w:color w:val="000000" w:themeColor="text1"/>
                <w:sz w:val="20"/>
                <w:szCs w:val="20"/>
              </w:rPr>
              <w:t>2018</w:t>
            </w:r>
          </w:p>
        </w:tc>
        <w:tc>
          <w:tcPr>
            <w:tcW w:w="3702" w:type="dxa"/>
            <w:noWrap/>
            <w:vAlign w:val="center"/>
            <w:hideMark/>
          </w:tcPr>
          <w:p w14:paraId="36A4B335" w14:textId="77777777" w:rsidR="005E05BA" w:rsidRPr="00A12418" w:rsidRDefault="005E05BA" w:rsidP="000C28F2">
            <w:pPr>
              <w:keepNext/>
              <w:rPr>
                <w:rFonts w:ascii="Calibri" w:hAnsi="Calibri" w:cs="Calibri"/>
                <w:color w:val="000000" w:themeColor="text1"/>
                <w:sz w:val="20"/>
                <w:szCs w:val="20"/>
              </w:rPr>
            </w:pPr>
            <w:r w:rsidRPr="00D6520F">
              <w:rPr>
                <w:rFonts w:ascii="Calibri" w:hAnsi="Calibri" w:cs="Calibri"/>
                <w:color w:val="000000" w:themeColor="text1"/>
                <w:sz w:val="20"/>
                <w:szCs w:val="20"/>
              </w:rPr>
              <w:t xml:space="preserve">Initiated on a </w:t>
            </w:r>
            <w:r>
              <w:rPr>
                <w:rFonts w:ascii="Calibri" w:hAnsi="Calibri" w:cs="Calibri"/>
                <w:color w:val="000000" w:themeColor="text1"/>
                <w:sz w:val="20"/>
                <w:szCs w:val="20"/>
              </w:rPr>
              <w:t>standard</w:t>
            </w:r>
            <w:r w:rsidRPr="00D6520F">
              <w:rPr>
                <w:rFonts w:ascii="Calibri" w:hAnsi="Calibri" w:cs="Calibri"/>
                <w:color w:val="000000" w:themeColor="text1"/>
                <w:sz w:val="20"/>
                <w:szCs w:val="20"/>
              </w:rPr>
              <w:t xml:space="preserve"> size </w:t>
            </w:r>
            <w:r>
              <w:rPr>
                <w:rFonts w:ascii="Calibri" w:hAnsi="Calibri" w:cs="Calibri"/>
                <w:color w:val="000000" w:themeColor="text1"/>
                <w:sz w:val="20"/>
                <w:szCs w:val="20"/>
              </w:rPr>
              <w:t>pack</w:t>
            </w:r>
          </w:p>
        </w:tc>
        <w:tc>
          <w:tcPr>
            <w:tcW w:w="1866" w:type="dxa"/>
            <w:noWrap/>
            <w:vAlign w:val="center"/>
            <w:hideMark/>
          </w:tcPr>
          <w:p w14:paraId="677BCDE5"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95.2% (1</w:t>
            </w:r>
            <w:r>
              <w:rPr>
                <w:rFonts w:cstheme="minorHAnsi"/>
                <w:sz w:val="20"/>
                <w:szCs w:val="20"/>
              </w:rPr>
              <w:t>,</w:t>
            </w:r>
            <w:r w:rsidRPr="00A12418">
              <w:rPr>
                <w:rFonts w:cstheme="minorHAnsi"/>
                <w:sz w:val="20"/>
                <w:szCs w:val="20"/>
              </w:rPr>
              <w:t>669</w:t>
            </w:r>
            <w:r>
              <w:rPr>
                <w:rFonts w:cstheme="minorHAnsi"/>
                <w:sz w:val="20"/>
                <w:szCs w:val="20"/>
              </w:rPr>
              <w:t>,</w:t>
            </w:r>
            <w:r w:rsidRPr="00A12418">
              <w:rPr>
                <w:rFonts w:cstheme="minorHAnsi"/>
                <w:sz w:val="20"/>
                <w:szCs w:val="20"/>
              </w:rPr>
              <w:t>565)</w:t>
            </w:r>
          </w:p>
        </w:tc>
        <w:tc>
          <w:tcPr>
            <w:tcW w:w="1593" w:type="dxa"/>
            <w:noWrap/>
            <w:vAlign w:val="center"/>
            <w:hideMark/>
          </w:tcPr>
          <w:p w14:paraId="1396BBA3"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4.8% (83</w:t>
            </w:r>
            <w:r>
              <w:rPr>
                <w:rFonts w:cstheme="minorHAnsi"/>
                <w:sz w:val="20"/>
                <w:szCs w:val="20"/>
              </w:rPr>
              <w:t>,</w:t>
            </w:r>
            <w:r w:rsidRPr="00A12418">
              <w:rPr>
                <w:rFonts w:cstheme="minorHAnsi"/>
                <w:sz w:val="20"/>
                <w:szCs w:val="20"/>
              </w:rPr>
              <w:t>718)</w:t>
            </w:r>
          </w:p>
        </w:tc>
        <w:tc>
          <w:tcPr>
            <w:tcW w:w="1179" w:type="dxa"/>
            <w:noWrap/>
            <w:vAlign w:val="center"/>
            <w:hideMark/>
          </w:tcPr>
          <w:p w14:paraId="18A90FD8" w14:textId="77777777" w:rsidR="005E05BA" w:rsidRPr="00A12418" w:rsidRDefault="005E05BA" w:rsidP="000C28F2">
            <w:pPr>
              <w:keepNext/>
              <w:jc w:val="right"/>
              <w:rPr>
                <w:rFonts w:ascii="Calibri" w:hAnsi="Calibri" w:cs="Calibri"/>
                <w:color w:val="000000" w:themeColor="text1"/>
                <w:sz w:val="20"/>
                <w:szCs w:val="20"/>
              </w:rPr>
            </w:pPr>
            <w:r w:rsidRPr="00A12418">
              <w:rPr>
                <w:rFonts w:ascii="Calibri" w:hAnsi="Calibri" w:cs="Calibri"/>
                <w:color w:val="000000" w:themeColor="text1"/>
                <w:sz w:val="20"/>
                <w:szCs w:val="20"/>
              </w:rPr>
              <w:t>1</w:t>
            </w:r>
            <w:r>
              <w:rPr>
                <w:rFonts w:ascii="Calibri" w:hAnsi="Calibri" w:cs="Calibri"/>
                <w:color w:val="000000" w:themeColor="text1"/>
                <w:sz w:val="20"/>
                <w:szCs w:val="20"/>
              </w:rPr>
              <w:t>,</w:t>
            </w:r>
            <w:r w:rsidRPr="00A12418">
              <w:rPr>
                <w:rFonts w:ascii="Calibri" w:hAnsi="Calibri" w:cs="Calibri"/>
                <w:color w:val="000000" w:themeColor="text1"/>
                <w:sz w:val="20"/>
                <w:szCs w:val="20"/>
              </w:rPr>
              <w:t>753</w:t>
            </w:r>
            <w:r>
              <w:rPr>
                <w:rFonts w:ascii="Calibri" w:hAnsi="Calibri" w:cs="Calibri"/>
                <w:color w:val="000000" w:themeColor="text1"/>
                <w:sz w:val="20"/>
                <w:szCs w:val="20"/>
              </w:rPr>
              <w:t>,</w:t>
            </w:r>
            <w:r w:rsidRPr="00A12418">
              <w:rPr>
                <w:rFonts w:ascii="Calibri" w:hAnsi="Calibri" w:cs="Calibri"/>
                <w:color w:val="000000" w:themeColor="text1"/>
                <w:sz w:val="20"/>
                <w:szCs w:val="20"/>
              </w:rPr>
              <w:t>283</w:t>
            </w:r>
          </w:p>
        </w:tc>
      </w:tr>
      <w:tr w:rsidR="005E05BA" w:rsidRPr="00A12418" w14:paraId="53456FC5" w14:textId="77777777" w:rsidTr="000C28F2">
        <w:trPr>
          <w:trHeight w:val="300"/>
        </w:trPr>
        <w:tc>
          <w:tcPr>
            <w:tcW w:w="948" w:type="dxa"/>
            <w:noWrap/>
            <w:vAlign w:val="center"/>
            <w:hideMark/>
          </w:tcPr>
          <w:p w14:paraId="09C35FA2" w14:textId="77777777" w:rsidR="005E05BA" w:rsidRPr="00A12418" w:rsidRDefault="005E05BA" w:rsidP="000C28F2">
            <w:pPr>
              <w:keepNext/>
              <w:rPr>
                <w:rFonts w:ascii="Calibri" w:hAnsi="Calibri" w:cs="Calibri"/>
                <w:color w:val="000000" w:themeColor="text1"/>
                <w:sz w:val="20"/>
                <w:szCs w:val="20"/>
              </w:rPr>
            </w:pPr>
            <w:r w:rsidRPr="00A12418">
              <w:rPr>
                <w:rFonts w:ascii="Calibri" w:hAnsi="Calibri" w:cs="Calibri"/>
                <w:color w:val="000000" w:themeColor="text1"/>
                <w:sz w:val="20"/>
                <w:szCs w:val="20"/>
              </w:rPr>
              <w:t>2019</w:t>
            </w:r>
          </w:p>
        </w:tc>
        <w:tc>
          <w:tcPr>
            <w:tcW w:w="3702" w:type="dxa"/>
            <w:noWrap/>
            <w:vAlign w:val="center"/>
            <w:hideMark/>
          </w:tcPr>
          <w:p w14:paraId="27387277" w14:textId="77777777" w:rsidR="005E05BA" w:rsidRPr="00A12418" w:rsidRDefault="005E05BA" w:rsidP="000C28F2">
            <w:pPr>
              <w:keepNext/>
              <w:rPr>
                <w:rFonts w:ascii="Calibri" w:hAnsi="Calibri" w:cs="Calibri"/>
                <w:color w:val="000000" w:themeColor="text1"/>
                <w:sz w:val="20"/>
                <w:szCs w:val="20"/>
              </w:rPr>
            </w:pPr>
            <w:r w:rsidRPr="00D6520F">
              <w:rPr>
                <w:rFonts w:ascii="Calibri" w:hAnsi="Calibri" w:cs="Calibri"/>
                <w:color w:val="000000" w:themeColor="text1"/>
                <w:sz w:val="20"/>
                <w:szCs w:val="20"/>
              </w:rPr>
              <w:t>Initiated on a standard size pack</w:t>
            </w:r>
          </w:p>
        </w:tc>
        <w:tc>
          <w:tcPr>
            <w:tcW w:w="1866" w:type="dxa"/>
            <w:noWrap/>
            <w:vAlign w:val="center"/>
            <w:hideMark/>
          </w:tcPr>
          <w:p w14:paraId="3B8C03F1"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95.6% (1</w:t>
            </w:r>
            <w:r>
              <w:rPr>
                <w:rFonts w:cstheme="minorHAnsi"/>
                <w:sz w:val="20"/>
                <w:szCs w:val="20"/>
              </w:rPr>
              <w:t>,</w:t>
            </w:r>
            <w:r w:rsidRPr="00A12418">
              <w:rPr>
                <w:rFonts w:cstheme="minorHAnsi"/>
                <w:sz w:val="20"/>
                <w:szCs w:val="20"/>
              </w:rPr>
              <w:t>592</w:t>
            </w:r>
            <w:r>
              <w:rPr>
                <w:rFonts w:cstheme="minorHAnsi"/>
                <w:sz w:val="20"/>
                <w:szCs w:val="20"/>
              </w:rPr>
              <w:t>,</w:t>
            </w:r>
            <w:r w:rsidRPr="00A12418">
              <w:rPr>
                <w:rFonts w:cstheme="minorHAnsi"/>
                <w:sz w:val="20"/>
                <w:szCs w:val="20"/>
              </w:rPr>
              <w:t>722)</w:t>
            </w:r>
          </w:p>
        </w:tc>
        <w:tc>
          <w:tcPr>
            <w:tcW w:w="1593" w:type="dxa"/>
            <w:noWrap/>
            <w:vAlign w:val="center"/>
            <w:hideMark/>
          </w:tcPr>
          <w:p w14:paraId="057FFDAF"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4.4% (73</w:t>
            </w:r>
            <w:r>
              <w:rPr>
                <w:rFonts w:cstheme="minorHAnsi"/>
                <w:sz w:val="20"/>
                <w:szCs w:val="20"/>
              </w:rPr>
              <w:t>,</w:t>
            </w:r>
            <w:r w:rsidRPr="00A12418">
              <w:rPr>
                <w:rFonts w:cstheme="minorHAnsi"/>
                <w:sz w:val="20"/>
                <w:szCs w:val="20"/>
              </w:rPr>
              <w:t>400)</w:t>
            </w:r>
          </w:p>
        </w:tc>
        <w:tc>
          <w:tcPr>
            <w:tcW w:w="1179" w:type="dxa"/>
            <w:noWrap/>
            <w:vAlign w:val="center"/>
            <w:hideMark/>
          </w:tcPr>
          <w:p w14:paraId="1A33E0D8" w14:textId="77777777" w:rsidR="005E05BA" w:rsidRPr="00A12418" w:rsidRDefault="005E05BA" w:rsidP="000C28F2">
            <w:pPr>
              <w:keepNext/>
              <w:jc w:val="right"/>
              <w:rPr>
                <w:rFonts w:ascii="Calibri" w:hAnsi="Calibri" w:cs="Calibri"/>
                <w:color w:val="000000" w:themeColor="text1"/>
                <w:sz w:val="20"/>
                <w:szCs w:val="20"/>
              </w:rPr>
            </w:pPr>
            <w:r w:rsidRPr="00A12418">
              <w:rPr>
                <w:rFonts w:ascii="Calibri" w:hAnsi="Calibri" w:cs="Calibri"/>
                <w:color w:val="000000" w:themeColor="text1"/>
                <w:sz w:val="20"/>
                <w:szCs w:val="20"/>
              </w:rPr>
              <w:t>1</w:t>
            </w:r>
            <w:r>
              <w:rPr>
                <w:rFonts w:ascii="Calibri" w:hAnsi="Calibri" w:cs="Calibri"/>
                <w:color w:val="000000" w:themeColor="text1"/>
                <w:sz w:val="20"/>
                <w:szCs w:val="20"/>
              </w:rPr>
              <w:t>,</w:t>
            </w:r>
            <w:r w:rsidRPr="00A12418">
              <w:rPr>
                <w:rFonts w:ascii="Calibri" w:hAnsi="Calibri" w:cs="Calibri"/>
                <w:color w:val="000000" w:themeColor="text1"/>
                <w:sz w:val="20"/>
                <w:szCs w:val="20"/>
              </w:rPr>
              <w:t>666</w:t>
            </w:r>
            <w:r>
              <w:rPr>
                <w:rFonts w:ascii="Calibri" w:hAnsi="Calibri" w:cs="Calibri"/>
                <w:color w:val="000000" w:themeColor="text1"/>
                <w:sz w:val="20"/>
                <w:szCs w:val="20"/>
              </w:rPr>
              <w:t>,</w:t>
            </w:r>
            <w:r w:rsidRPr="00A12418">
              <w:rPr>
                <w:rFonts w:ascii="Calibri" w:hAnsi="Calibri" w:cs="Calibri"/>
                <w:color w:val="000000" w:themeColor="text1"/>
                <w:sz w:val="20"/>
                <w:szCs w:val="20"/>
              </w:rPr>
              <w:t>122</w:t>
            </w:r>
          </w:p>
        </w:tc>
      </w:tr>
      <w:tr w:rsidR="005E05BA" w:rsidRPr="00A12418" w14:paraId="53900466" w14:textId="77777777" w:rsidTr="000C28F2">
        <w:trPr>
          <w:trHeight w:val="300"/>
        </w:trPr>
        <w:tc>
          <w:tcPr>
            <w:tcW w:w="948" w:type="dxa"/>
            <w:vMerge w:val="restart"/>
            <w:noWrap/>
            <w:vAlign w:val="center"/>
            <w:hideMark/>
          </w:tcPr>
          <w:p w14:paraId="29DDC657" w14:textId="77777777" w:rsidR="005E05BA" w:rsidRPr="00A12418" w:rsidRDefault="005E05BA" w:rsidP="000C28F2">
            <w:pPr>
              <w:keepNext/>
              <w:rPr>
                <w:rFonts w:ascii="Calibri" w:hAnsi="Calibri" w:cs="Calibri"/>
                <w:color w:val="000000" w:themeColor="text1"/>
                <w:sz w:val="20"/>
                <w:szCs w:val="20"/>
              </w:rPr>
            </w:pPr>
            <w:r w:rsidRPr="00A12418">
              <w:rPr>
                <w:rFonts w:ascii="Calibri" w:hAnsi="Calibri" w:cs="Calibri"/>
                <w:color w:val="000000" w:themeColor="text1"/>
                <w:sz w:val="20"/>
                <w:szCs w:val="20"/>
              </w:rPr>
              <w:t>2020</w:t>
            </w:r>
          </w:p>
        </w:tc>
        <w:tc>
          <w:tcPr>
            <w:tcW w:w="3702" w:type="dxa"/>
            <w:noWrap/>
            <w:vAlign w:val="center"/>
            <w:hideMark/>
          </w:tcPr>
          <w:p w14:paraId="3C0EAF0E" w14:textId="77777777" w:rsidR="005E05BA" w:rsidRPr="00A12418" w:rsidRDefault="005E05BA" w:rsidP="000C28F2">
            <w:pPr>
              <w:keepNext/>
              <w:rPr>
                <w:rFonts w:ascii="Calibri" w:hAnsi="Calibri" w:cs="Calibri"/>
                <w:color w:val="000000" w:themeColor="text1"/>
                <w:sz w:val="20"/>
                <w:szCs w:val="20"/>
              </w:rPr>
            </w:pPr>
            <w:r w:rsidRPr="00D6520F">
              <w:rPr>
                <w:rFonts w:ascii="Calibri" w:hAnsi="Calibri" w:cs="Calibri"/>
                <w:color w:val="000000" w:themeColor="text1"/>
                <w:sz w:val="20"/>
                <w:szCs w:val="20"/>
              </w:rPr>
              <w:t>Initiated on a standard size pack</w:t>
            </w:r>
          </w:p>
        </w:tc>
        <w:tc>
          <w:tcPr>
            <w:tcW w:w="1866" w:type="dxa"/>
            <w:noWrap/>
            <w:vAlign w:val="center"/>
            <w:hideMark/>
          </w:tcPr>
          <w:p w14:paraId="1A5E6F73"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95.1% (1</w:t>
            </w:r>
            <w:r>
              <w:rPr>
                <w:rFonts w:cstheme="minorHAnsi"/>
                <w:sz w:val="20"/>
                <w:szCs w:val="20"/>
              </w:rPr>
              <w:t>,</w:t>
            </w:r>
            <w:r w:rsidRPr="00A12418">
              <w:rPr>
                <w:rFonts w:cstheme="minorHAnsi"/>
                <w:sz w:val="20"/>
                <w:szCs w:val="20"/>
              </w:rPr>
              <w:t>339</w:t>
            </w:r>
            <w:r>
              <w:rPr>
                <w:rFonts w:cstheme="minorHAnsi"/>
                <w:sz w:val="20"/>
                <w:szCs w:val="20"/>
              </w:rPr>
              <w:t>,</w:t>
            </w:r>
            <w:r w:rsidRPr="00A12418">
              <w:rPr>
                <w:rFonts w:cstheme="minorHAnsi"/>
                <w:sz w:val="20"/>
                <w:szCs w:val="20"/>
              </w:rPr>
              <w:t>132)</w:t>
            </w:r>
          </w:p>
        </w:tc>
        <w:tc>
          <w:tcPr>
            <w:tcW w:w="1593" w:type="dxa"/>
            <w:noWrap/>
            <w:vAlign w:val="center"/>
            <w:hideMark/>
          </w:tcPr>
          <w:p w14:paraId="33E64D91"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4.9% (68</w:t>
            </w:r>
            <w:r>
              <w:rPr>
                <w:rFonts w:cstheme="minorHAnsi"/>
                <w:sz w:val="20"/>
                <w:szCs w:val="20"/>
              </w:rPr>
              <w:t>,</w:t>
            </w:r>
            <w:r w:rsidRPr="00A12418">
              <w:rPr>
                <w:rFonts w:cstheme="minorHAnsi"/>
                <w:sz w:val="20"/>
                <w:szCs w:val="20"/>
              </w:rPr>
              <w:t>516)</w:t>
            </w:r>
          </w:p>
        </w:tc>
        <w:tc>
          <w:tcPr>
            <w:tcW w:w="1179" w:type="dxa"/>
            <w:noWrap/>
            <w:vAlign w:val="center"/>
            <w:hideMark/>
          </w:tcPr>
          <w:p w14:paraId="253A95C2" w14:textId="77777777" w:rsidR="005E05BA" w:rsidRPr="00A12418" w:rsidRDefault="005E05BA" w:rsidP="000C28F2">
            <w:pPr>
              <w:keepNext/>
              <w:jc w:val="right"/>
              <w:rPr>
                <w:rFonts w:ascii="Calibri" w:hAnsi="Calibri" w:cs="Calibri"/>
                <w:color w:val="000000" w:themeColor="text1"/>
                <w:sz w:val="20"/>
                <w:szCs w:val="20"/>
              </w:rPr>
            </w:pPr>
            <w:r w:rsidRPr="00A12418">
              <w:rPr>
                <w:rFonts w:ascii="Calibri" w:hAnsi="Calibri" w:cs="Calibri"/>
                <w:color w:val="000000" w:themeColor="text1"/>
                <w:sz w:val="20"/>
                <w:szCs w:val="20"/>
              </w:rPr>
              <w:t>1</w:t>
            </w:r>
            <w:r>
              <w:rPr>
                <w:rFonts w:ascii="Calibri" w:hAnsi="Calibri" w:cs="Calibri"/>
                <w:color w:val="000000" w:themeColor="text1"/>
                <w:sz w:val="20"/>
                <w:szCs w:val="20"/>
              </w:rPr>
              <w:t>,</w:t>
            </w:r>
            <w:r w:rsidRPr="00A12418">
              <w:rPr>
                <w:rFonts w:ascii="Calibri" w:hAnsi="Calibri" w:cs="Calibri"/>
                <w:color w:val="000000" w:themeColor="text1"/>
                <w:sz w:val="20"/>
                <w:szCs w:val="20"/>
              </w:rPr>
              <w:t>407</w:t>
            </w:r>
            <w:r>
              <w:rPr>
                <w:rFonts w:ascii="Calibri" w:hAnsi="Calibri" w:cs="Calibri"/>
                <w:color w:val="000000" w:themeColor="text1"/>
                <w:sz w:val="20"/>
                <w:szCs w:val="20"/>
              </w:rPr>
              <w:t>,</w:t>
            </w:r>
            <w:r w:rsidRPr="00A12418">
              <w:rPr>
                <w:rFonts w:ascii="Calibri" w:hAnsi="Calibri" w:cs="Calibri"/>
                <w:color w:val="000000" w:themeColor="text1"/>
                <w:sz w:val="20"/>
                <w:szCs w:val="20"/>
              </w:rPr>
              <w:t>648</w:t>
            </w:r>
          </w:p>
        </w:tc>
      </w:tr>
      <w:tr w:rsidR="005E05BA" w:rsidRPr="00A12418" w14:paraId="2025D2C7" w14:textId="77777777" w:rsidTr="000C28F2">
        <w:trPr>
          <w:trHeight w:val="300"/>
        </w:trPr>
        <w:tc>
          <w:tcPr>
            <w:tcW w:w="948" w:type="dxa"/>
            <w:vMerge/>
            <w:noWrap/>
            <w:vAlign w:val="center"/>
            <w:hideMark/>
          </w:tcPr>
          <w:p w14:paraId="57059D7C" w14:textId="77777777" w:rsidR="005E05BA" w:rsidRPr="00A12418" w:rsidRDefault="005E05BA" w:rsidP="000C28F2">
            <w:pPr>
              <w:keepNext/>
              <w:rPr>
                <w:rFonts w:ascii="Calibri" w:hAnsi="Calibri" w:cs="Calibri"/>
                <w:color w:val="000000" w:themeColor="text1"/>
                <w:sz w:val="20"/>
                <w:szCs w:val="20"/>
              </w:rPr>
            </w:pPr>
          </w:p>
        </w:tc>
        <w:tc>
          <w:tcPr>
            <w:tcW w:w="3702" w:type="dxa"/>
            <w:noWrap/>
            <w:vAlign w:val="center"/>
            <w:hideMark/>
          </w:tcPr>
          <w:p w14:paraId="0D77957C" w14:textId="77777777" w:rsidR="005E05BA" w:rsidRPr="00A12418" w:rsidRDefault="005E05BA" w:rsidP="000C28F2">
            <w:pPr>
              <w:keepNext/>
              <w:rPr>
                <w:rFonts w:ascii="Calibri" w:hAnsi="Calibri" w:cs="Calibri"/>
                <w:color w:val="000000" w:themeColor="text1"/>
                <w:sz w:val="20"/>
                <w:szCs w:val="20"/>
              </w:rPr>
            </w:pPr>
            <w:r w:rsidRPr="00A12418">
              <w:rPr>
                <w:rFonts w:ascii="Calibri" w:hAnsi="Calibri" w:cs="Calibri"/>
                <w:color w:val="000000" w:themeColor="text1"/>
                <w:sz w:val="20"/>
                <w:szCs w:val="20"/>
              </w:rPr>
              <w:t>Initiated on a reduced size pack</w:t>
            </w:r>
          </w:p>
        </w:tc>
        <w:tc>
          <w:tcPr>
            <w:tcW w:w="1866" w:type="dxa"/>
            <w:noWrap/>
            <w:vAlign w:val="center"/>
            <w:hideMark/>
          </w:tcPr>
          <w:p w14:paraId="3FAE7E0E"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98% (124</w:t>
            </w:r>
            <w:r>
              <w:rPr>
                <w:rFonts w:cstheme="minorHAnsi"/>
                <w:sz w:val="20"/>
                <w:szCs w:val="20"/>
              </w:rPr>
              <w:t>,</w:t>
            </w:r>
            <w:r w:rsidRPr="00A12418">
              <w:rPr>
                <w:rFonts w:cstheme="minorHAnsi"/>
                <w:sz w:val="20"/>
                <w:szCs w:val="20"/>
              </w:rPr>
              <w:t>422)</w:t>
            </w:r>
          </w:p>
        </w:tc>
        <w:tc>
          <w:tcPr>
            <w:tcW w:w="1593" w:type="dxa"/>
            <w:noWrap/>
            <w:vAlign w:val="center"/>
            <w:hideMark/>
          </w:tcPr>
          <w:p w14:paraId="2426A7EB"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2% (2</w:t>
            </w:r>
            <w:r>
              <w:rPr>
                <w:rFonts w:cstheme="minorHAnsi"/>
                <w:sz w:val="20"/>
                <w:szCs w:val="20"/>
              </w:rPr>
              <w:t>,</w:t>
            </w:r>
            <w:r w:rsidRPr="00A12418">
              <w:rPr>
                <w:rFonts w:cstheme="minorHAnsi"/>
                <w:sz w:val="20"/>
                <w:szCs w:val="20"/>
              </w:rPr>
              <w:t>496)</w:t>
            </w:r>
          </w:p>
        </w:tc>
        <w:tc>
          <w:tcPr>
            <w:tcW w:w="1179" w:type="dxa"/>
            <w:noWrap/>
            <w:vAlign w:val="center"/>
            <w:hideMark/>
          </w:tcPr>
          <w:p w14:paraId="7A04AB20" w14:textId="77777777" w:rsidR="005E05BA" w:rsidRPr="00A12418" w:rsidRDefault="005E05BA" w:rsidP="000C28F2">
            <w:pPr>
              <w:keepNext/>
              <w:jc w:val="right"/>
              <w:rPr>
                <w:rFonts w:ascii="Calibri" w:hAnsi="Calibri" w:cs="Calibri"/>
                <w:color w:val="000000" w:themeColor="text1"/>
                <w:sz w:val="20"/>
                <w:szCs w:val="20"/>
              </w:rPr>
            </w:pPr>
            <w:r w:rsidRPr="00A12418">
              <w:rPr>
                <w:rFonts w:ascii="Calibri" w:hAnsi="Calibri" w:cs="Calibri"/>
                <w:color w:val="000000" w:themeColor="text1"/>
                <w:sz w:val="20"/>
                <w:szCs w:val="20"/>
              </w:rPr>
              <w:t>126</w:t>
            </w:r>
            <w:r>
              <w:rPr>
                <w:rFonts w:ascii="Calibri" w:hAnsi="Calibri" w:cs="Calibri"/>
                <w:color w:val="000000" w:themeColor="text1"/>
                <w:sz w:val="20"/>
                <w:szCs w:val="20"/>
              </w:rPr>
              <w:t>,</w:t>
            </w:r>
            <w:r w:rsidRPr="00A12418">
              <w:rPr>
                <w:rFonts w:ascii="Calibri" w:hAnsi="Calibri" w:cs="Calibri"/>
                <w:color w:val="000000" w:themeColor="text1"/>
                <w:sz w:val="20"/>
                <w:szCs w:val="20"/>
              </w:rPr>
              <w:t>918</w:t>
            </w:r>
          </w:p>
        </w:tc>
      </w:tr>
      <w:tr w:rsidR="005E05BA" w:rsidRPr="00A12418" w14:paraId="4A3ECB41" w14:textId="77777777" w:rsidTr="000C28F2">
        <w:trPr>
          <w:trHeight w:val="300"/>
        </w:trPr>
        <w:tc>
          <w:tcPr>
            <w:tcW w:w="948" w:type="dxa"/>
            <w:vMerge w:val="restart"/>
            <w:noWrap/>
            <w:vAlign w:val="center"/>
            <w:hideMark/>
          </w:tcPr>
          <w:p w14:paraId="6613E259" w14:textId="77777777" w:rsidR="005E05BA" w:rsidRPr="00A12418" w:rsidRDefault="005E05BA" w:rsidP="000C28F2">
            <w:pPr>
              <w:keepNext/>
              <w:rPr>
                <w:rFonts w:ascii="Calibri" w:hAnsi="Calibri" w:cs="Calibri"/>
                <w:color w:val="000000" w:themeColor="text1"/>
                <w:sz w:val="20"/>
                <w:szCs w:val="20"/>
              </w:rPr>
            </w:pPr>
            <w:r w:rsidRPr="00A12418">
              <w:rPr>
                <w:rFonts w:ascii="Calibri" w:hAnsi="Calibri" w:cs="Calibri"/>
                <w:color w:val="000000" w:themeColor="text1"/>
                <w:sz w:val="20"/>
                <w:szCs w:val="20"/>
              </w:rPr>
              <w:t>2021</w:t>
            </w:r>
          </w:p>
        </w:tc>
        <w:tc>
          <w:tcPr>
            <w:tcW w:w="3702" w:type="dxa"/>
            <w:noWrap/>
            <w:vAlign w:val="center"/>
            <w:hideMark/>
          </w:tcPr>
          <w:p w14:paraId="23DF6A2B" w14:textId="77777777" w:rsidR="005E05BA" w:rsidRPr="00A12418" w:rsidRDefault="005E05BA" w:rsidP="000C28F2">
            <w:pPr>
              <w:keepNext/>
              <w:rPr>
                <w:rFonts w:ascii="Calibri" w:hAnsi="Calibri" w:cs="Calibri"/>
                <w:color w:val="000000" w:themeColor="text1"/>
                <w:sz w:val="20"/>
                <w:szCs w:val="20"/>
              </w:rPr>
            </w:pPr>
            <w:r w:rsidRPr="00D6520F">
              <w:rPr>
                <w:rFonts w:ascii="Calibri" w:hAnsi="Calibri" w:cs="Calibri"/>
                <w:color w:val="000000" w:themeColor="text1"/>
                <w:sz w:val="20"/>
                <w:szCs w:val="20"/>
              </w:rPr>
              <w:t>Initiated on a standard size pack</w:t>
            </w:r>
          </w:p>
        </w:tc>
        <w:tc>
          <w:tcPr>
            <w:tcW w:w="1866" w:type="dxa"/>
            <w:noWrap/>
            <w:vAlign w:val="center"/>
            <w:hideMark/>
          </w:tcPr>
          <w:p w14:paraId="4CF8B46F"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95.2% (1</w:t>
            </w:r>
            <w:r>
              <w:rPr>
                <w:rFonts w:cstheme="minorHAnsi"/>
                <w:sz w:val="20"/>
                <w:szCs w:val="20"/>
              </w:rPr>
              <w:t>,</w:t>
            </w:r>
            <w:r w:rsidRPr="00A12418">
              <w:rPr>
                <w:rFonts w:cstheme="minorHAnsi"/>
                <w:sz w:val="20"/>
                <w:szCs w:val="20"/>
              </w:rPr>
              <w:t>274</w:t>
            </w:r>
            <w:r>
              <w:rPr>
                <w:rFonts w:cstheme="minorHAnsi"/>
                <w:sz w:val="20"/>
                <w:szCs w:val="20"/>
              </w:rPr>
              <w:t>,</w:t>
            </w:r>
            <w:r w:rsidRPr="00A12418">
              <w:rPr>
                <w:rFonts w:cstheme="minorHAnsi"/>
                <w:sz w:val="20"/>
                <w:szCs w:val="20"/>
              </w:rPr>
              <w:t>269)</w:t>
            </w:r>
          </w:p>
        </w:tc>
        <w:tc>
          <w:tcPr>
            <w:tcW w:w="1593" w:type="dxa"/>
            <w:noWrap/>
            <w:vAlign w:val="center"/>
            <w:hideMark/>
          </w:tcPr>
          <w:p w14:paraId="7C2EE4BB" w14:textId="77777777" w:rsidR="005E05BA" w:rsidRPr="00A12418" w:rsidRDefault="005E05BA" w:rsidP="000C28F2">
            <w:pPr>
              <w:keepNext/>
              <w:jc w:val="right"/>
              <w:rPr>
                <w:rFonts w:cstheme="minorHAnsi"/>
                <w:color w:val="000000" w:themeColor="text1"/>
                <w:sz w:val="20"/>
                <w:szCs w:val="20"/>
              </w:rPr>
            </w:pPr>
            <w:r w:rsidRPr="00A12418">
              <w:rPr>
                <w:rFonts w:cstheme="minorHAnsi"/>
                <w:sz w:val="20"/>
                <w:szCs w:val="20"/>
              </w:rPr>
              <w:t>4.8% (63</w:t>
            </w:r>
            <w:r>
              <w:rPr>
                <w:rFonts w:cstheme="minorHAnsi"/>
                <w:sz w:val="20"/>
                <w:szCs w:val="20"/>
              </w:rPr>
              <w:t>,</w:t>
            </w:r>
            <w:r w:rsidRPr="00A12418">
              <w:rPr>
                <w:rFonts w:cstheme="minorHAnsi"/>
                <w:sz w:val="20"/>
                <w:szCs w:val="20"/>
              </w:rPr>
              <w:t>575)</w:t>
            </w:r>
          </w:p>
        </w:tc>
        <w:tc>
          <w:tcPr>
            <w:tcW w:w="1179" w:type="dxa"/>
            <w:noWrap/>
            <w:vAlign w:val="center"/>
            <w:hideMark/>
          </w:tcPr>
          <w:p w14:paraId="2E09D50B" w14:textId="77777777" w:rsidR="005E05BA" w:rsidRPr="00A12418" w:rsidRDefault="005E05BA" w:rsidP="000C28F2">
            <w:pPr>
              <w:keepNext/>
              <w:jc w:val="right"/>
              <w:rPr>
                <w:rFonts w:ascii="Calibri" w:hAnsi="Calibri" w:cs="Calibri"/>
                <w:color w:val="000000" w:themeColor="text1"/>
                <w:sz w:val="20"/>
                <w:szCs w:val="20"/>
              </w:rPr>
            </w:pPr>
            <w:r w:rsidRPr="00A12418">
              <w:rPr>
                <w:rFonts w:ascii="Calibri" w:hAnsi="Calibri" w:cs="Calibri"/>
                <w:color w:val="000000" w:themeColor="text1"/>
                <w:sz w:val="20"/>
                <w:szCs w:val="20"/>
              </w:rPr>
              <w:t>1</w:t>
            </w:r>
            <w:r>
              <w:rPr>
                <w:rFonts w:ascii="Calibri" w:hAnsi="Calibri" w:cs="Calibri"/>
                <w:color w:val="000000" w:themeColor="text1"/>
                <w:sz w:val="20"/>
                <w:szCs w:val="20"/>
              </w:rPr>
              <w:t>,</w:t>
            </w:r>
            <w:r w:rsidRPr="00A12418">
              <w:rPr>
                <w:rFonts w:ascii="Calibri" w:hAnsi="Calibri" w:cs="Calibri"/>
                <w:color w:val="000000" w:themeColor="text1"/>
                <w:sz w:val="20"/>
                <w:szCs w:val="20"/>
              </w:rPr>
              <w:t>337</w:t>
            </w:r>
            <w:r>
              <w:rPr>
                <w:rFonts w:ascii="Calibri" w:hAnsi="Calibri" w:cs="Calibri"/>
                <w:color w:val="000000" w:themeColor="text1"/>
                <w:sz w:val="20"/>
                <w:szCs w:val="20"/>
              </w:rPr>
              <w:t>,</w:t>
            </w:r>
            <w:r w:rsidRPr="00A12418">
              <w:rPr>
                <w:rFonts w:ascii="Calibri" w:hAnsi="Calibri" w:cs="Calibri"/>
                <w:color w:val="000000" w:themeColor="text1"/>
                <w:sz w:val="20"/>
                <w:szCs w:val="20"/>
              </w:rPr>
              <w:t>844</w:t>
            </w:r>
          </w:p>
        </w:tc>
      </w:tr>
      <w:tr w:rsidR="005E05BA" w:rsidRPr="00A12418" w14:paraId="627AB0A9" w14:textId="77777777" w:rsidTr="000C28F2">
        <w:trPr>
          <w:trHeight w:val="300"/>
        </w:trPr>
        <w:tc>
          <w:tcPr>
            <w:tcW w:w="948" w:type="dxa"/>
            <w:vMerge/>
            <w:noWrap/>
            <w:hideMark/>
          </w:tcPr>
          <w:p w14:paraId="660868A8" w14:textId="77777777" w:rsidR="005E05BA" w:rsidRPr="00A12418" w:rsidRDefault="005E05BA" w:rsidP="000C28F2">
            <w:pPr>
              <w:rPr>
                <w:rFonts w:ascii="Calibri" w:hAnsi="Calibri" w:cs="Calibri"/>
                <w:color w:val="000000" w:themeColor="text1"/>
                <w:sz w:val="20"/>
                <w:szCs w:val="20"/>
              </w:rPr>
            </w:pPr>
          </w:p>
        </w:tc>
        <w:tc>
          <w:tcPr>
            <w:tcW w:w="3702" w:type="dxa"/>
            <w:noWrap/>
            <w:vAlign w:val="center"/>
            <w:hideMark/>
          </w:tcPr>
          <w:p w14:paraId="6BA3F262" w14:textId="77777777" w:rsidR="005E05BA" w:rsidRPr="00A12418" w:rsidRDefault="005E05BA" w:rsidP="000C28F2">
            <w:pPr>
              <w:rPr>
                <w:rFonts w:ascii="Calibri" w:hAnsi="Calibri" w:cs="Calibri"/>
                <w:color w:val="000000" w:themeColor="text1"/>
                <w:sz w:val="20"/>
                <w:szCs w:val="20"/>
              </w:rPr>
            </w:pPr>
            <w:r w:rsidRPr="00A12418">
              <w:rPr>
                <w:rFonts w:ascii="Calibri" w:hAnsi="Calibri" w:cs="Calibri"/>
                <w:color w:val="000000" w:themeColor="text1"/>
                <w:sz w:val="20"/>
                <w:szCs w:val="20"/>
              </w:rPr>
              <w:t>Initiated on a reduced size pack</w:t>
            </w:r>
          </w:p>
        </w:tc>
        <w:tc>
          <w:tcPr>
            <w:tcW w:w="1866" w:type="dxa"/>
            <w:noWrap/>
            <w:vAlign w:val="center"/>
            <w:hideMark/>
          </w:tcPr>
          <w:p w14:paraId="0B969563" w14:textId="77777777" w:rsidR="005E05BA" w:rsidRPr="00A12418" w:rsidRDefault="005E05BA" w:rsidP="000C28F2">
            <w:pPr>
              <w:jc w:val="right"/>
              <w:rPr>
                <w:rFonts w:cstheme="minorHAnsi"/>
                <w:color w:val="000000" w:themeColor="text1"/>
                <w:sz w:val="20"/>
                <w:szCs w:val="20"/>
              </w:rPr>
            </w:pPr>
            <w:r w:rsidRPr="00A12418">
              <w:rPr>
                <w:rFonts w:cstheme="minorHAnsi"/>
                <w:sz w:val="20"/>
                <w:szCs w:val="20"/>
              </w:rPr>
              <w:t>98.2% (237</w:t>
            </w:r>
            <w:r>
              <w:rPr>
                <w:rFonts w:cstheme="minorHAnsi"/>
                <w:sz w:val="20"/>
                <w:szCs w:val="20"/>
              </w:rPr>
              <w:t>,</w:t>
            </w:r>
            <w:r w:rsidRPr="00A12418">
              <w:rPr>
                <w:rFonts w:cstheme="minorHAnsi"/>
                <w:sz w:val="20"/>
                <w:szCs w:val="20"/>
              </w:rPr>
              <w:t>079)</w:t>
            </w:r>
          </w:p>
        </w:tc>
        <w:tc>
          <w:tcPr>
            <w:tcW w:w="1593" w:type="dxa"/>
            <w:noWrap/>
            <w:vAlign w:val="center"/>
            <w:hideMark/>
          </w:tcPr>
          <w:p w14:paraId="2AEDAD24" w14:textId="77777777" w:rsidR="005E05BA" w:rsidRPr="00A12418" w:rsidRDefault="005E05BA" w:rsidP="000C28F2">
            <w:pPr>
              <w:jc w:val="right"/>
              <w:rPr>
                <w:rFonts w:cstheme="minorHAnsi"/>
                <w:color w:val="000000" w:themeColor="text1"/>
                <w:sz w:val="20"/>
                <w:szCs w:val="20"/>
              </w:rPr>
            </w:pPr>
            <w:r w:rsidRPr="00A12418">
              <w:rPr>
                <w:rFonts w:cstheme="minorHAnsi"/>
                <w:sz w:val="20"/>
                <w:szCs w:val="20"/>
              </w:rPr>
              <w:t>1.8% (4</w:t>
            </w:r>
            <w:r>
              <w:rPr>
                <w:rFonts w:cstheme="minorHAnsi"/>
                <w:sz w:val="20"/>
                <w:szCs w:val="20"/>
              </w:rPr>
              <w:t>,</w:t>
            </w:r>
            <w:r w:rsidRPr="00A12418">
              <w:rPr>
                <w:rFonts w:cstheme="minorHAnsi"/>
                <w:sz w:val="20"/>
                <w:szCs w:val="20"/>
              </w:rPr>
              <w:t>415)</w:t>
            </w:r>
          </w:p>
        </w:tc>
        <w:tc>
          <w:tcPr>
            <w:tcW w:w="1179" w:type="dxa"/>
            <w:noWrap/>
            <w:vAlign w:val="center"/>
            <w:hideMark/>
          </w:tcPr>
          <w:p w14:paraId="7B17FE10" w14:textId="77777777" w:rsidR="005E05BA" w:rsidRPr="00A12418" w:rsidRDefault="005E05BA" w:rsidP="000C28F2">
            <w:pPr>
              <w:jc w:val="right"/>
              <w:rPr>
                <w:rFonts w:ascii="Calibri" w:hAnsi="Calibri" w:cs="Calibri"/>
                <w:color w:val="000000" w:themeColor="text1"/>
                <w:sz w:val="20"/>
                <w:szCs w:val="20"/>
              </w:rPr>
            </w:pPr>
            <w:r w:rsidRPr="00A12418">
              <w:rPr>
                <w:rFonts w:ascii="Calibri" w:hAnsi="Calibri" w:cs="Calibri"/>
                <w:color w:val="000000" w:themeColor="text1"/>
                <w:sz w:val="20"/>
                <w:szCs w:val="20"/>
              </w:rPr>
              <w:t>241</w:t>
            </w:r>
            <w:r>
              <w:rPr>
                <w:rFonts w:ascii="Calibri" w:hAnsi="Calibri" w:cs="Calibri"/>
                <w:color w:val="000000" w:themeColor="text1"/>
                <w:sz w:val="20"/>
                <w:szCs w:val="20"/>
              </w:rPr>
              <w:t>,</w:t>
            </w:r>
            <w:r w:rsidRPr="00A12418">
              <w:rPr>
                <w:rFonts w:ascii="Calibri" w:hAnsi="Calibri" w:cs="Calibri"/>
                <w:color w:val="000000" w:themeColor="text1"/>
                <w:sz w:val="20"/>
                <w:szCs w:val="20"/>
              </w:rPr>
              <w:t>494</w:t>
            </w:r>
          </w:p>
        </w:tc>
      </w:tr>
    </w:tbl>
    <w:p w14:paraId="17D81F2F" w14:textId="77777777" w:rsidR="005E05BA" w:rsidRDefault="005E05BA" w:rsidP="005E05BA">
      <w:pPr>
        <w:spacing w:after="0"/>
        <w:rPr>
          <w:rFonts w:ascii="Calibri" w:hAnsi="Calibri" w:cs="Calibri"/>
          <w:color w:val="000000" w:themeColor="text1"/>
        </w:rPr>
      </w:pPr>
    </w:p>
    <w:p w14:paraId="5931151B" w14:textId="24CD78B5" w:rsidR="005E05BA" w:rsidRDefault="005E05BA" w:rsidP="005E05BA">
      <w:pPr>
        <w:spacing w:after="0"/>
        <w:rPr>
          <w:rFonts w:ascii="Calibri" w:hAnsi="Calibri" w:cs="Calibri"/>
          <w:color w:val="000000" w:themeColor="text1"/>
        </w:rPr>
      </w:pPr>
      <w:r>
        <w:rPr>
          <w:rFonts w:ascii="Calibri" w:hAnsi="Calibri" w:cs="Calibri"/>
          <w:color w:val="000000" w:themeColor="text1"/>
        </w:rPr>
        <w:t xml:space="preserve">Table </w:t>
      </w:r>
      <w:r w:rsidR="00A04C85">
        <w:rPr>
          <w:rFonts w:ascii="Calibri" w:hAnsi="Calibri" w:cs="Calibri"/>
          <w:color w:val="000000" w:themeColor="text1"/>
        </w:rPr>
        <w:t>15</w:t>
      </w:r>
      <w:r>
        <w:rPr>
          <w:rFonts w:ascii="Calibri" w:hAnsi="Calibri" w:cs="Calibri"/>
          <w:color w:val="000000" w:themeColor="text1"/>
        </w:rPr>
        <w:t xml:space="preserve"> above suggests that the percentage of patients who received more than 90 days supply of opioids in the first year following initiation was lower in patients who initiated on reduced size pack.</w:t>
      </w:r>
    </w:p>
    <w:p w14:paraId="4B038E24" w14:textId="77777777" w:rsidR="005E05BA" w:rsidRDefault="005E05BA" w:rsidP="005E05BA">
      <w:pPr>
        <w:spacing w:after="0"/>
        <w:rPr>
          <w:rFonts w:ascii="Calibri" w:hAnsi="Calibri" w:cs="Calibri"/>
          <w:color w:val="000000" w:themeColor="text1"/>
        </w:rPr>
      </w:pPr>
    </w:p>
    <w:p w14:paraId="6270D30B" w14:textId="5BD6F4D3" w:rsidR="005E05BA" w:rsidRDefault="005E05BA" w:rsidP="005E05BA">
      <w:pPr>
        <w:keepNext/>
        <w:spacing w:after="0"/>
        <w:rPr>
          <w:rFonts w:ascii="Calibri" w:hAnsi="Calibri" w:cs="Calibri"/>
          <w:b/>
          <w:bCs/>
          <w:color w:val="000000" w:themeColor="text1"/>
        </w:rPr>
      </w:pPr>
      <w:r w:rsidRPr="009D7886">
        <w:rPr>
          <w:rFonts w:ascii="Calibri" w:hAnsi="Calibri" w:cs="Calibri"/>
          <w:b/>
          <w:bCs/>
          <w:color w:val="000000" w:themeColor="text1"/>
        </w:rPr>
        <w:t>Volume of use per person per year from 2018 to 2022</w:t>
      </w:r>
    </w:p>
    <w:p w14:paraId="1D5D3047" w14:textId="77777777" w:rsidR="005E05BA" w:rsidRPr="009D7886" w:rsidRDefault="005E05BA" w:rsidP="005E05BA">
      <w:pPr>
        <w:keepNext/>
        <w:spacing w:after="0"/>
        <w:rPr>
          <w:rFonts w:ascii="Calibri" w:hAnsi="Calibri" w:cs="Calibri"/>
          <w:b/>
          <w:bCs/>
          <w:color w:val="000000" w:themeColor="text1"/>
        </w:rPr>
      </w:pPr>
    </w:p>
    <w:p w14:paraId="1B11E11F" w14:textId="77777777" w:rsidR="005E05BA" w:rsidRDefault="005E05BA" w:rsidP="005E05BA">
      <w:pPr>
        <w:spacing w:after="0"/>
        <w:rPr>
          <w:rFonts w:ascii="Calibri" w:hAnsi="Calibri" w:cs="Calibri"/>
          <w:color w:val="000000" w:themeColor="text1"/>
        </w:rPr>
      </w:pPr>
      <w:r>
        <w:rPr>
          <w:noProof/>
        </w:rPr>
        <w:drawing>
          <wp:inline distT="0" distB="0" distL="0" distR="0" wp14:anchorId="3F26E114" wp14:editId="470F195A">
            <wp:extent cx="5904230" cy="4229100"/>
            <wp:effectExtent l="0" t="0" r="1270" b="0"/>
            <wp:docPr id="18" name="Graphic 18" descr="Volume use per person per year from 2018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lume use per person per year from 2018 to 2022"/>
                    <pic:cNvPicPr/>
                  </pic:nvPicPr>
                  <pic:blipFill>
                    <a:blip r:embed="rId37">
                      <a:extLst>
                        <a:ext uri="{96DAC541-7B7A-43D3-8B79-37D633B846F1}">
                          <asvg:svgBlip xmlns:asvg="http://schemas.microsoft.com/office/drawing/2016/SVG/main" r:embed="rId38"/>
                        </a:ext>
                      </a:extLst>
                    </a:blip>
                    <a:stretch>
                      <a:fillRect/>
                    </a:stretch>
                  </pic:blipFill>
                  <pic:spPr>
                    <a:xfrm>
                      <a:off x="0" y="0"/>
                      <a:ext cx="5904230" cy="4229100"/>
                    </a:xfrm>
                    <a:prstGeom prst="rect">
                      <a:avLst/>
                    </a:prstGeom>
                  </pic:spPr>
                </pic:pic>
              </a:graphicData>
            </a:graphic>
          </wp:inline>
        </w:drawing>
      </w:r>
    </w:p>
    <w:p w14:paraId="17F62720" w14:textId="0F6E393A" w:rsidR="005E05BA" w:rsidRPr="00C64709" w:rsidRDefault="005E05BA" w:rsidP="005E05BA">
      <w:pPr>
        <w:rPr>
          <w:rFonts w:cstheme="minorHAnsi"/>
          <w:b/>
          <w:bCs/>
        </w:rPr>
      </w:pPr>
      <w:r w:rsidRPr="00C64709">
        <w:rPr>
          <w:rFonts w:cstheme="minorHAnsi"/>
          <w:b/>
          <w:bCs/>
        </w:rPr>
        <w:t xml:space="preserve">Figure </w:t>
      </w:r>
      <w:r w:rsidR="00A04C85">
        <w:rPr>
          <w:rFonts w:cstheme="minorHAnsi"/>
          <w:b/>
          <w:bCs/>
        </w:rPr>
        <w:t>18</w:t>
      </w:r>
      <w:r w:rsidRPr="00C64709">
        <w:rPr>
          <w:rFonts w:cstheme="minorHAnsi"/>
          <w:b/>
          <w:bCs/>
        </w:rPr>
        <w:t>: Volume use per person per year from 2018 to 2022</w:t>
      </w:r>
    </w:p>
    <w:p w14:paraId="2CEB1DE7" w14:textId="1010FB50" w:rsidR="005E05BA" w:rsidRPr="00C64709" w:rsidRDefault="005E05BA" w:rsidP="005E05BA">
      <w:pPr>
        <w:rPr>
          <w:rFonts w:eastAsiaTheme="majorEastAsia" w:cstheme="minorHAnsi"/>
        </w:rPr>
      </w:pPr>
      <w:r w:rsidRPr="00C64709">
        <w:rPr>
          <w:rFonts w:eastAsiaTheme="majorEastAsia" w:cstheme="minorHAnsi"/>
        </w:rPr>
        <w:t xml:space="preserve">Figure </w:t>
      </w:r>
      <w:r w:rsidR="00A04C85">
        <w:rPr>
          <w:rFonts w:eastAsiaTheme="majorEastAsia" w:cstheme="minorHAnsi"/>
        </w:rPr>
        <w:t>18</w:t>
      </w:r>
      <w:r w:rsidRPr="00C64709">
        <w:rPr>
          <w:rFonts w:eastAsiaTheme="majorEastAsia" w:cstheme="minorHAnsi"/>
        </w:rPr>
        <w:t xml:space="preserve"> suggests that approximately 10% of the population were supplied 70% of the opioids supplied in each year from 2018 to 2022.</w:t>
      </w:r>
    </w:p>
    <w:p w14:paraId="2A058014" w14:textId="48108490" w:rsidR="001E745C" w:rsidRDefault="001E745C" w:rsidP="00A04C85">
      <w:pPr>
        <w:pStyle w:val="Heading1"/>
      </w:pPr>
      <w:r>
        <w:lastRenderedPageBreak/>
        <w:t>DUSC consideration</w:t>
      </w:r>
    </w:p>
    <w:p w14:paraId="300F4D44" w14:textId="19299B8B" w:rsidR="001E745C" w:rsidRPr="001E745C" w:rsidRDefault="00470CE6" w:rsidP="001E745C">
      <w:pPr>
        <w:contextualSpacing/>
        <w:rPr>
          <w:lang w:val="en-US"/>
        </w:rPr>
      </w:pPr>
      <w:r>
        <w:rPr>
          <w:lang w:val="en-US"/>
        </w:rPr>
        <w:t xml:space="preserve">At the June 2023 DUSC meeting, the committee </w:t>
      </w:r>
      <w:r w:rsidR="001E745C" w:rsidRPr="001E745C">
        <w:rPr>
          <w:lang w:val="en-US"/>
        </w:rPr>
        <w:t xml:space="preserve">was presented an addendum to the February 2023 review of the utilisation of Pharmaceutical Benefits Scheme (PBS)-listed opioid analgesics to examine the impact of the 1 June 2020 regulatory reforms and associated PBS listing changes for opioid analgesics. </w:t>
      </w:r>
    </w:p>
    <w:p w14:paraId="561406EA" w14:textId="77777777" w:rsidR="001E745C" w:rsidRPr="001E745C" w:rsidRDefault="001E745C" w:rsidP="001E745C">
      <w:pPr>
        <w:contextualSpacing/>
        <w:rPr>
          <w:lang w:val="en-US"/>
        </w:rPr>
      </w:pPr>
    </w:p>
    <w:p w14:paraId="595A1759" w14:textId="77777777" w:rsidR="001E745C" w:rsidRPr="001E745C" w:rsidRDefault="001E745C" w:rsidP="001E745C">
      <w:pPr>
        <w:rPr>
          <w:rFonts w:eastAsia="Calibri"/>
        </w:rPr>
      </w:pPr>
      <w:r w:rsidRPr="001E745C">
        <w:rPr>
          <w:rFonts w:eastAsia="Calibri"/>
        </w:rPr>
        <w:t>At its February 2023 meeting, DUSC requested additional information be presented to the committee, including:</w:t>
      </w:r>
    </w:p>
    <w:p w14:paraId="703E9116"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Use over time by defined daily doses (DDDs)</w:t>
      </w:r>
    </w:p>
    <w:p w14:paraId="2B50FE71"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Use in 2022 by jurisdiction (by state and regional/remote) and age</w:t>
      </w:r>
    </w:p>
    <w:p w14:paraId="5D3DFBDB"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The proportion of reduced pack size use in initiating patients versus chronic patients and the proportion of initiating patients who become chronic users (more than 90 days’ supply) stratified by whether they initiate on small or standard pack sizes</w:t>
      </w:r>
    </w:p>
    <w:p w14:paraId="2DF3F35A"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An analysis to determine if there has been a shift to private prescriptions (if possible)</w:t>
      </w:r>
    </w:p>
    <w:p w14:paraId="02CB81AA"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An analysis to determine if there has been a disproportionate effect on Aboriginal and Torres Strait Islander people (if possible)</w:t>
      </w:r>
    </w:p>
    <w:p w14:paraId="543A128D" w14:textId="77777777" w:rsidR="001E745C" w:rsidRPr="001E745C" w:rsidRDefault="001E745C" w:rsidP="001E745C">
      <w:pPr>
        <w:numPr>
          <w:ilvl w:val="0"/>
          <w:numId w:val="25"/>
        </w:numPr>
        <w:spacing w:after="160" w:line="259" w:lineRule="auto"/>
        <w:ind w:hanging="436"/>
        <w:contextualSpacing/>
        <w:rPr>
          <w:rFonts w:eastAsia="Calibri"/>
        </w:rPr>
      </w:pPr>
      <w:r w:rsidRPr="001E745C">
        <w:rPr>
          <w:rFonts w:eastAsia="Calibri"/>
        </w:rPr>
        <w:t>An analysis by volume of use per person per year (Lorenz curves) to determine the proportion of the population each year who are dispensed less than 30 days’ supply</w:t>
      </w:r>
    </w:p>
    <w:p w14:paraId="4056683B" w14:textId="77777777" w:rsidR="00F323A5" w:rsidRDefault="00F323A5" w:rsidP="001E745C">
      <w:pPr>
        <w:rPr>
          <w:rFonts w:eastAsia="Calibri"/>
        </w:rPr>
      </w:pPr>
    </w:p>
    <w:p w14:paraId="7040E2D9" w14:textId="54EA6CA2" w:rsidR="001E745C" w:rsidRPr="001E745C" w:rsidRDefault="001E745C" w:rsidP="001E745C">
      <w:pPr>
        <w:rPr>
          <w:rFonts w:eastAsia="Calibri"/>
        </w:rPr>
      </w:pPr>
      <w:r w:rsidRPr="001E745C">
        <w:rPr>
          <w:rFonts w:eastAsia="Calibri"/>
        </w:rPr>
        <w:t>DUSC noted that it was not possible to complete an analysis to determine if there had been a shift to private prescriptions in the PBS data or other data available to the Secretariat. DUSC noted that in the opioids data, 2.3% of patients were indicated as being eligible for the Closing the Gap (CTG) co-payment, and that this variable is generally underreported as patients must register for the CTG co-payment, and may be blank although a patient is an Aboriginal or Torres Strait Islander person.</w:t>
      </w:r>
    </w:p>
    <w:p w14:paraId="044B8D94" w14:textId="77777777" w:rsidR="001E745C" w:rsidRPr="001E745C" w:rsidRDefault="001E745C" w:rsidP="001E745C">
      <w:pPr>
        <w:rPr>
          <w:rFonts w:eastAsia="Calibri"/>
        </w:rPr>
      </w:pPr>
      <w:r w:rsidRPr="001E745C">
        <w:rPr>
          <w:rFonts w:eastAsia="Calibri"/>
        </w:rPr>
        <w:t>At the February 2023 DUSC meeting, DUSC commented that it appeared the number of initiating patients had decreased but commented that as the method only allowed one initiation per patient, the number of initiating patients may not be continuing to fall. DUSC noted the number of initiating patients using a two year lookback appeared stable. DUSC commented that this analysis demonstrated that the regulatory reforms did not reduce access to opioids to initiating patients, but that the number of treated patients is decreasing.</w:t>
      </w:r>
    </w:p>
    <w:p w14:paraId="61832C39" w14:textId="77777777" w:rsidR="001E745C" w:rsidRPr="001E745C" w:rsidRDefault="001E745C" w:rsidP="001E745C">
      <w:pPr>
        <w:rPr>
          <w:rFonts w:eastAsia="Calibri"/>
        </w:rPr>
      </w:pPr>
      <w:r w:rsidRPr="001E745C">
        <w:rPr>
          <w:rFonts w:eastAsia="Calibri"/>
        </w:rPr>
        <w:t xml:space="preserve">DUSC noted the analysis of use over time by DDDs, and commented that the majority of the decrease in use is for codeine with paracetamol and tramadol. DUSC commented that the reduction in supplied codeine with paracetamol was largely due to the pack size changing from 60 to 20. DUSC considered this reduction suggested that prior to the reforms a proportion of the larger packs were wasted, shared with other people or used for other purposes. </w:t>
      </w:r>
    </w:p>
    <w:p w14:paraId="00446F29" w14:textId="612B691E" w:rsidR="001E745C" w:rsidRPr="001E745C" w:rsidRDefault="001E745C" w:rsidP="001E745C">
      <w:pPr>
        <w:rPr>
          <w:rFonts w:eastAsia="Calibri"/>
        </w:rPr>
      </w:pPr>
      <w:r w:rsidRPr="001E745C">
        <w:rPr>
          <w:rFonts w:eastAsia="Calibri"/>
        </w:rPr>
        <w:lastRenderedPageBreak/>
        <w:t xml:space="preserve">DUSC noted the standardised analysis of age and sex of patients supplied opioids in 2022 showed that use is highest in older people, and that use is higher in women than men across all age groups. DUSC noted that the analysis by state and remoteness showed that use was lowest in NT and highest in Tasmania. DUSC noted that </w:t>
      </w:r>
      <w:r w:rsidRPr="001E745C">
        <w:t>utilisation according to remoteness appeared to reflect the known demographic differences between jurisdictions and not necessarily the</w:t>
      </w:r>
      <w:r w:rsidRPr="001E745C">
        <w:rPr>
          <w:rFonts w:eastAsia="Calibri"/>
        </w:rPr>
        <w:t xml:space="preserve"> patients supplied opioids.</w:t>
      </w:r>
    </w:p>
    <w:p w14:paraId="5C693350" w14:textId="77777777" w:rsidR="001E745C" w:rsidRPr="001E745C" w:rsidRDefault="001E745C" w:rsidP="001E745C">
      <w:pPr>
        <w:rPr>
          <w:rFonts w:eastAsia="Calibri"/>
        </w:rPr>
      </w:pPr>
      <w:r w:rsidRPr="001E745C">
        <w:rPr>
          <w:rFonts w:eastAsia="Calibri"/>
        </w:rPr>
        <w:t xml:space="preserve">DUSC noted the analysis of the volume of use person per year from 2018 to 2022 using a Lorenz curve. DUSC noted this analysis did include aged care patients, palliative patients and patients treated for cancer. DUSC commented this analysis showed that in each year the majority of patients use opioids short term, that 10% of the population account for 75% of the use and that 1% of the patients account for 20% of the use. </w:t>
      </w:r>
    </w:p>
    <w:p w14:paraId="4AE25F7A" w14:textId="77777777" w:rsidR="001E745C" w:rsidRPr="001E745C" w:rsidRDefault="001E745C" w:rsidP="001E745C">
      <w:pPr>
        <w:rPr>
          <w:rFonts w:eastAsia="Calibri"/>
        </w:rPr>
      </w:pPr>
      <w:r w:rsidRPr="001E745C">
        <w:rPr>
          <w:rFonts w:eastAsia="Calibri"/>
        </w:rPr>
        <w:t>DUSC noted the further analysis of reduced pack sizes, and chronic use in initiating patients, stratified by initiation of small or standard pack sizes. DUSC commented that the number of patients initiated on small pack sizes was in relative terms modest, but those patients who were initiated on a reduced pack size were less likely to receive subsequent chronic treatment. DUSC commented that the reforms were intended to have an effect on the use of opioids into the future and considered this analysis suggested reduced packs are being prescribed and supplied to the appropriate patients.</w:t>
      </w:r>
    </w:p>
    <w:p w14:paraId="6975A442" w14:textId="77777777" w:rsidR="001E745C" w:rsidRPr="001E745C" w:rsidRDefault="001E745C" w:rsidP="001E745C">
      <w:pPr>
        <w:rPr>
          <w:rFonts w:eastAsia="Calibri"/>
        </w:rPr>
      </w:pPr>
      <w:r w:rsidRPr="001E745C">
        <w:rPr>
          <w:rFonts w:eastAsia="Calibri"/>
        </w:rPr>
        <w:t>DUSC commented on a research manuscript led by members of NHMRC Medicines Intelligence Centre of Research Excellence investigating changes in the supply of opioids to the PBS and private market after the 1 June 2020 regulatory reforms and PBS listing changes. DUSC noted preliminary findings from this study, showing that PBS dispensing and sales declined after June 2020, but total opioid sales (including the private market) declined to a lesser extent. This likely indicates there was a small shift to the private market in those opioids that were supplied on the PBS prior to the reforms.</w:t>
      </w:r>
    </w:p>
    <w:p w14:paraId="3595FCE4" w14:textId="77777777" w:rsidR="003D7AAA" w:rsidRDefault="003D7AAA" w:rsidP="003D7AAA">
      <w:pPr>
        <w:pStyle w:val="Heading1"/>
        <w:rPr>
          <w:rFonts w:ascii="Calibri" w:hAnsi="Calibri" w:cs="Calibri"/>
          <w:color w:val="000000" w:themeColor="text1"/>
        </w:rPr>
      </w:pPr>
      <w:r>
        <w:rPr>
          <w:rFonts w:ascii="Calibri" w:hAnsi="Calibri" w:cs="Calibri"/>
          <w:color w:val="000000" w:themeColor="text1"/>
        </w:rPr>
        <w:t>DUSC actions</w:t>
      </w:r>
    </w:p>
    <w:p w14:paraId="56138354" w14:textId="77777777" w:rsidR="003D7AAA" w:rsidRPr="003D7AAA" w:rsidRDefault="003D7AAA" w:rsidP="003D7AAA">
      <w:pPr>
        <w:rPr>
          <w:iCs/>
        </w:rPr>
      </w:pPr>
      <w:r w:rsidRPr="003D7AAA">
        <w:rPr>
          <w:iCs/>
        </w:rPr>
        <w:t xml:space="preserve">DUSC requested that the report be provided to the PBAC for consideration. </w:t>
      </w:r>
    </w:p>
    <w:p w14:paraId="244EF66D" w14:textId="54D519F0" w:rsidR="005A4A15" w:rsidRDefault="005A4A15" w:rsidP="005A4A15">
      <w:pPr>
        <w:pStyle w:val="Heading1"/>
      </w:pPr>
      <w:r w:rsidRPr="0092516A">
        <w:t>Context for analysis</w:t>
      </w:r>
    </w:p>
    <w:p w14:paraId="04508B45" w14:textId="77777777" w:rsidR="005A4A15" w:rsidRDefault="005A4A15" w:rsidP="005A4A15">
      <w:r>
        <w:t>The DUSC is a Sub Committee of the PBAC. The DUSC assesses estimates on projected usage and financial cost of medicines.</w:t>
      </w:r>
    </w:p>
    <w:p w14:paraId="20FB771D" w14:textId="77777777" w:rsidR="005A4A15" w:rsidRDefault="005A4A15" w:rsidP="005A4A15">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A154AFB" w14:textId="77777777" w:rsidR="005A4A15" w:rsidRDefault="005A4A15" w:rsidP="005A4A15">
      <w:r>
        <w:t xml:space="preserve">The DUSC operates in accordance with the quality use of medicines objective of the National Medicines Policy and considers that the DUSC utilisation analyses will assist </w:t>
      </w:r>
      <w:r>
        <w:lastRenderedPageBreak/>
        <w:t>consumers and health professionals to better understand the costs, benefits and risks of medicines.</w:t>
      </w:r>
    </w:p>
    <w:p w14:paraId="7C3B9BED" w14:textId="493C109A" w:rsidR="005A4A15" w:rsidRDefault="005A4A15" w:rsidP="006A52A5">
      <w:pPr>
        <w:ind w:right="-115"/>
      </w:pPr>
      <w:r>
        <w:t>The utilisation analysis report was provided to the pharmaceutical sponsors of each drug and comments on the report were provided to DUSC prior to its consideration of the analysis.</w:t>
      </w:r>
      <w:bookmarkEnd w:id="1"/>
    </w:p>
    <w:p w14:paraId="2AE8EC77" w14:textId="77777777" w:rsidR="005A4A15" w:rsidRDefault="005A4A15" w:rsidP="005A4A15">
      <w:pPr>
        <w:pStyle w:val="Heading1"/>
      </w:pPr>
      <w:r>
        <w:t>Sponsor</w:t>
      </w:r>
      <w:r w:rsidRPr="0092516A">
        <w:t>s</w:t>
      </w:r>
      <w:r>
        <w:t>’</w:t>
      </w:r>
      <w:r w:rsidRPr="0092516A">
        <w:t xml:space="preserve"> comments</w:t>
      </w:r>
    </w:p>
    <w:p w14:paraId="20E411E2" w14:textId="688EBD74" w:rsidR="00DA7BA8" w:rsidRDefault="00DA7BA8" w:rsidP="005A4A15">
      <w:r w:rsidRPr="00DA7BA8">
        <w:t>Sponsors with medications mentioned in the report were contacted for comment</w:t>
      </w:r>
      <w:r>
        <w:t>.</w:t>
      </w:r>
      <w:r w:rsidRPr="00DA7BA8">
        <w:t xml:space="preserve"> </w:t>
      </w:r>
    </w:p>
    <w:p w14:paraId="2802BA21" w14:textId="4A89BB52" w:rsidR="005A4A15" w:rsidRDefault="00F0080E" w:rsidP="005A4A15">
      <w:r w:rsidRPr="00F0080E">
        <w:t>CSL Seqirus</w:t>
      </w:r>
      <w:r>
        <w:t xml:space="preserve">: </w:t>
      </w:r>
      <w:r w:rsidRPr="00F0080E">
        <w:t>To assist with interpretation, CSL Seqirus would like to note that, in comparison to other opioids tapentadol SR was PBS listed relatively recently in 2013 with utilisation growing prior to the reforms. Since the reforms, the increase in utilisation has slowed significantly, with the increase from previous years reduced from 2019 (20.9%) through 2020 (9.93%) to 2021 (7.72%), with tapentadol only representing 6.65% of total prescriptions in 2021 as shown in the report.</w:t>
      </w:r>
    </w:p>
    <w:p w14:paraId="40575BF6" w14:textId="3F8A0A73" w:rsidR="00F0080E" w:rsidRDefault="00493B41" w:rsidP="005A4A15">
      <w:r>
        <w:t>Other</w:t>
      </w:r>
      <w:r w:rsidRPr="00493B41">
        <w:t xml:space="preserve"> sponsor</w:t>
      </w:r>
      <w:r>
        <w:t>s</w:t>
      </w:r>
      <w:r w:rsidRPr="00493B41">
        <w:t xml:space="preserve"> ha</w:t>
      </w:r>
      <w:r>
        <w:t>d</w:t>
      </w:r>
      <w:r w:rsidRPr="00493B41">
        <w:t xml:space="preserve"> no comment</w:t>
      </w:r>
      <w:r w:rsidR="00086B64">
        <w:t>.</w:t>
      </w:r>
    </w:p>
    <w:p w14:paraId="28BEDB40" w14:textId="77777777" w:rsidR="00C03B94" w:rsidRDefault="00C03B94" w:rsidP="00C03B94">
      <w:pPr>
        <w:pStyle w:val="Heading1"/>
      </w:pPr>
      <w:bookmarkStart w:id="8" w:name="_Hlk143778753"/>
      <w:r w:rsidRPr="00A4020E">
        <w:t>Disclaimer</w:t>
      </w:r>
    </w:p>
    <w:p w14:paraId="3CEDF500" w14:textId="77777777" w:rsidR="00C03B94" w:rsidRDefault="00C03B94" w:rsidP="00C03B9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FDCD72C" w14:textId="669135EF" w:rsidR="00C03B94" w:rsidRDefault="00C03B94" w:rsidP="00C03B94">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637621E" w14:textId="77777777" w:rsidR="00C03B94" w:rsidRDefault="00C03B94" w:rsidP="00C03B94">
      <w:r>
        <w:t xml:space="preserve">To the extent provided by law, the Department of Health and Aged Care makes no warranties or representations as to accuracy or completeness of information contained in this report. </w:t>
      </w:r>
    </w:p>
    <w:p w14:paraId="35BBD60A" w14:textId="77777777" w:rsidR="00C03B94" w:rsidRPr="0057109E" w:rsidRDefault="00C03B94" w:rsidP="00C03B94">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bookmarkEnd w:id="8"/>
    <w:p w14:paraId="25D65B04" w14:textId="42660417" w:rsidR="00FE645A" w:rsidRDefault="00FE645A">
      <w:pPr>
        <w:spacing w:line="276" w:lineRule="auto"/>
      </w:pPr>
    </w:p>
    <w:sectPr w:rsidR="00FE645A"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9AAF4" w14:textId="77777777" w:rsidR="0091167A" w:rsidRDefault="0091167A" w:rsidP="00A35800">
      <w:r>
        <w:separator/>
      </w:r>
    </w:p>
  </w:endnote>
  <w:endnote w:type="continuationSeparator" w:id="0">
    <w:p w14:paraId="73BD2DC1" w14:textId="77777777" w:rsidR="0091167A" w:rsidRDefault="0091167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2CF3F0D9"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5A4A15">
      <w:rPr>
        <w:rStyle w:val="PageNumber"/>
        <w:noProof/>
      </w:rPr>
      <w:t>2</w: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5D5D7FBB" w:rsidR="000E72C6" w:rsidRPr="000E72C6" w:rsidRDefault="005A4A15" w:rsidP="000E72C6">
            <w:pPr>
              <w:pStyle w:val="Footer"/>
              <w:jc w:val="center"/>
              <w:rPr>
                <w:i/>
                <w:sz w:val="20"/>
              </w:rPr>
            </w:pPr>
            <w:r>
              <w:rPr>
                <w:i/>
                <w:sz w:val="20"/>
              </w:rPr>
              <w:t>Public Release Document, June 2023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20F2C" w14:textId="77777777" w:rsidR="0091167A" w:rsidRDefault="0091167A" w:rsidP="00A35800">
      <w:r>
        <w:separator/>
      </w:r>
    </w:p>
  </w:footnote>
  <w:footnote w:type="continuationSeparator" w:id="0">
    <w:p w14:paraId="3853AA26" w14:textId="77777777" w:rsidR="0091167A" w:rsidRDefault="0091167A" w:rsidP="00A35800">
      <w:r>
        <w:continuationSeparator/>
      </w:r>
    </w:p>
  </w:footnote>
  <w:footnote w:id="1">
    <w:p w14:paraId="0EBC059F" w14:textId="291CB800" w:rsidR="00C077B6" w:rsidRDefault="00C077B6">
      <w:pPr>
        <w:pStyle w:val="FootnoteText"/>
      </w:pPr>
      <w:r>
        <w:rPr>
          <w:rStyle w:val="FootnoteReference"/>
        </w:rPr>
        <w:footnoteRef/>
      </w:r>
      <w:r>
        <w:t xml:space="preserve"> </w:t>
      </w:r>
      <w:r w:rsidRPr="00C077B6">
        <w:t>https://amhonline.amh.net.au/</w:t>
      </w:r>
    </w:p>
  </w:footnote>
  <w:footnote w:id="2">
    <w:p w14:paraId="225ADEEA" w14:textId="77777777" w:rsidR="00310C38" w:rsidRDefault="00310C38" w:rsidP="00310C38">
      <w:pPr>
        <w:pStyle w:val="FootnoteText"/>
      </w:pPr>
      <w:r>
        <w:rPr>
          <w:rStyle w:val="FootnoteReference"/>
        </w:rPr>
        <w:footnoteRef/>
      </w:r>
      <w:r>
        <w:t xml:space="preserve"> PBS website,</w:t>
      </w:r>
      <w:r w:rsidRPr="00220E98">
        <w:t xml:space="preserve"> Changes to PBS listing of hydromorphone oral solution</w:t>
      </w:r>
      <w:r>
        <w:t xml:space="preserve"> </w:t>
      </w:r>
      <w:hyperlink r:id="rId1" w:history="1">
        <w:r w:rsidRPr="008D4F3A">
          <w:rPr>
            <w:rStyle w:val="Hyperlink"/>
          </w:rPr>
          <w:t>https://www.pbs.gov.au/info/news/2022/08/changes-to-pbs-listing-of-hydromorphone-oral-solution</w:t>
        </w:r>
      </w:hyperlink>
      <w:r>
        <w:t xml:space="preserve"> </w:t>
      </w:r>
    </w:p>
  </w:footnote>
  <w:footnote w:id="3">
    <w:p w14:paraId="0A4DD767" w14:textId="77777777"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2" w:history="1">
        <w:r>
          <w:rPr>
            <w:rStyle w:val="Hyperlink"/>
            <w:sz w:val="20"/>
          </w:rPr>
          <w:t>http://www.medicareaustralia.gov.au/provider/pbs/stats.jsp</w:t>
        </w:r>
      </w:hyperlink>
      <w:r>
        <w:rPr>
          <w:sz w:val="20"/>
        </w:rPr>
        <w:t>&gt;.</w:t>
      </w:r>
    </w:p>
  </w:footnote>
  <w:footnote w:id="4">
    <w:p w14:paraId="1959A934" w14:textId="77777777" w:rsidR="001E745C" w:rsidRPr="00401D00" w:rsidRDefault="001E745C" w:rsidP="001E745C">
      <w:pPr>
        <w:pStyle w:val="FootnoteText"/>
        <w:rPr>
          <w:rFonts w:cstheme="minorHAnsi"/>
        </w:rPr>
      </w:pPr>
      <w:r w:rsidRPr="00401D00">
        <w:rPr>
          <w:rStyle w:val="FootnoteReference"/>
          <w:rFonts w:cstheme="minorHAnsi"/>
        </w:rPr>
        <w:footnoteRef/>
      </w:r>
      <w:r w:rsidRPr="00401D00">
        <w:rPr>
          <w:rFonts w:cstheme="minorHAnsi"/>
        </w:rPr>
        <w:t xml:space="preserve"> Campbell G, Nielsen S, Bruno R, Lintzeris N, Cohen M, Hall W, Larance B, Mattick RP, Degenhardt L. The Pain and Opioids IN Treatment study: characteristics of a cohort using opioids to manage chronic non-cancer pain. Pain. 2015 Feb;156(2):231-242. doi: 10.1097/01.j.pain.0000460303.63948.8e. PMID: 25599444.</w:t>
      </w:r>
    </w:p>
  </w:footnote>
  <w:footnote w:id="5">
    <w:p w14:paraId="7247C001" w14:textId="77777777" w:rsidR="005E05BA" w:rsidRPr="003D7B54" w:rsidRDefault="005E05BA" w:rsidP="005E05BA">
      <w:pPr>
        <w:pStyle w:val="FootnoteText"/>
        <w:rPr>
          <w:rFonts w:cstheme="minorHAnsi"/>
        </w:rPr>
      </w:pPr>
      <w:r w:rsidRPr="003D7B54">
        <w:rPr>
          <w:rStyle w:val="FootnoteReference"/>
          <w:rFonts w:cstheme="minorHAnsi"/>
        </w:rPr>
        <w:footnoteRef/>
      </w:r>
      <w:r w:rsidRPr="003D7B54">
        <w:rPr>
          <w:rFonts w:cstheme="minorHAnsi"/>
        </w:rPr>
        <w:t xml:space="preserve"> PBS website, Changes to PBS listing of hydromorphone oral solution </w:t>
      </w:r>
      <w:hyperlink r:id="rId3" w:history="1">
        <w:r w:rsidRPr="003D7B54">
          <w:rPr>
            <w:rStyle w:val="Hyperlink"/>
            <w:rFonts w:cstheme="minorHAnsi"/>
          </w:rPr>
          <w:t>https://www.pbs.gov.au/info/news/2022/08/changes-to-pbs-listing-of-hydromorphone-oral-solution</w:t>
        </w:r>
      </w:hyperlink>
      <w:r w:rsidRPr="003D7B54">
        <w:rPr>
          <w:rFonts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3B1"/>
    <w:multiLevelType w:val="hybridMultilevel"/>
    <w:tmpl w:val="E466AEFC"/>
    <w:lvl w:ilvl="0" w:tplc="FFFFFFFF">
      <w:start w:val="1"/>
      <w:numFmt w:val="bullet"/>
      <w:lvlText w:val=""/>
      <w:lvlJc w:val="left"/>
      <w:pPr>
        <w:ind w:left="360" w:hanging="360"/>
      </w:pPr>
      <w:rPr>
        <w:rFonts w:ascii="Symbol" w:hAnsi="Symbol" w:hint="default"/>
      </w:rPr>
    </w:lvl>
    <w:lvl w:ilvl="1" w:tplc="AA2E4A84">
      <w:numFmt w:val="bullet"/>
      <w:lvlText w:val="–"/>
      <w:lvlJc w:val="left"/>
      <w:pPr>
        <w:ind w:left="1080" w:hanging="360"/>
      </w:pPr>
      <w:rPr>
        <w:rFonts w:ascii="Calibri" w:eastAsiaTheme="minorEastAsia"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E87C61"/>
    <w:multiLevelType w:val="hybridMultilevel"/>
    <w:tmpl w:val="D1BA8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4302C"/>
    <w:multiLevelType w:val="hybridMultilevel"/>
    <w:tmpl w:val="702E12F4"/>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C5998"/>
    <w:multiLevelType w:val="hybridMultilevel"/>
    <w:tmpl w:val="D00E3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A97BBB"/>
    <w:multiLevelType w:val="hybridMultilevel"/>
    <w:tmpl w:val="0BBC8528"/>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 w15:restartNumberingAfterBreak="0">
    <w:nsid w:val="1327681B"/>
    <w:multiLevelType w:val="hybridMultilevel"/>
    <w:tmpl w:val="6620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8A7F44"/>
    <w:multiLevelType w:val="hybridMultilevel"/>
    <w:tmpl w:val="5F8E3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9E7ECE"/>
    <w:multiLevelType w:val="hybridMultilevel"/>
    <w:tmpl w:val="03FA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E17A9E"/>
    <w:multiLevelType w:val="hybridMultilevel"/>
    <w:tmpl w:val="C018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FD7235"/>
    <w:multiLevelType w:val="hybridMultilevel"/>
    <w:tmpl w:val="4DBEBFC2"/>
    <w:lvl w:ilvl="0" w:tplc="CD4695C0">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6D443B6"/>
    <w:multiLevelType w:val="hybridMultilevel"/>
    <w:tmpl w:val="C3726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A7952"/>
    <w:multiLevelType w:val="hybridMultilevel"/>
    <w:tmpl w:val="1EC85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31689D"/>
    <w:multiLevelType w:val="hybridMultilevel"/>
    <w:tmpl w:val="3DAEB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C05B1E"/>
    <w:multiLevelType w:val="hybridMultilevel"/>
    <w:tmpl w:val="D0EEC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DE595D"/>
    <w:multiLevelType w:val="hybridMultilevel"/>
    <w:tmpl w:val="0608A348"/>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E6293E"/>
    <w:multiLevelType w:val="hybridMultilevel"/>
    <w:tmpl w:val="F97A6F4A"/>
    <w:lvl w:ilvl="0" w:tplc="AA2E4A84">
      <w:numFmt w:val="bullet"/>
      <w:lvlText w:val="–"/>
      <w:lvlJc w:val="left"/>
      <w:pPr>
        <w:ind w:left="1134" w:hanging="360"/>
      </w:pPr>
      <w:rPr>
        <w:rFonts w:ascii="Calibri" w:eastAsiaTheme="minorEastAsia" w:hAnsi="Calibri" w:cs="Calibri"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17" w15:restartNumberingAfterBreak="0">
    <w:nsid w:val="3B5C6E07"/>
    <w:multiLevelType w:val="multilevel"/>
    <w:tmpl w:val="05481B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F2A644F"/>
    <w:multiLevelType w:val="hybridMultilevel"/>
    <w:tmpl w:val="18CCAEEC"/>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1C242E"/>
    <w:multiLevelType w:val="hybridMultilevel"/>
    <w:tmpl w:val="45986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AB7F96"/>
    <w:multiLevelType w:val="hybridMultilevel"/>
    <w:tmpl w:val="DB028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A1491F"/>
    <w:multiLevelType w:val="hybridMultilevel"/>
    <w:tmpl w:val="B2363D06"/>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2" w15:restartNumberingAfterBreak="0">
    <w:nsid w:val="59875EEF"/>
    <w:multiLevelType w:val="hybridMultilevel"/>
    <w:tmpl w:val="3CC01BAE"/>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456450"/>
    <w:multiLevelType w:val="hybridMultilevel"/>
    <w:tmpl w:val="4E440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25651F"/>
    <w:multiLevelType w:val="hybridMultilevel"/>
    <w:tmpl w:val="4D644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3795432"/>
    <w:multiLevelType w:val="hybridMultilevel"/>
    <w:tmpl w:val="B5700466"/>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1C090D"/>
    <w:multiLevelType w:val="hybridMultilevel"/>
    <w:tmpl w:val="BF04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887E69"/>
    <w:multiLevelType w:val="hybridMultilevel"/>
    <w:tmpl w:val="9BD01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D27984"/>
    <w:multiLevelType w:val="hybridMultilevel"/>
    <w:tmpl w:val="AC5007FE"/>
    <w:lvl w:ilvl="0" w:tplc="A0149F82">
      <w:numFmt w:val="bullet"/>
      <w:lvlText w:val="-"/>
      <w:lvlJc w:val="left"/>
      <w:pPr>
        <w:ind w:left="1134" w:hanging="360"/>
      </w:pPr>
      <w:rPr>
        <w:rFonts w:ascii="Calibri" w:eastAsiaTheme="minorEastAsia" w:hAnsi="Calibri" w:cs="Calibri"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30" w15:restartNumberingAfterBreak="0">
    <w:nsid w:val="72213753"/>
    <w:multiLevelType w:val="hybridMultilevel"/>
    <w:tmpl w:val="618CD6E0"/>
    <w:lvl w:ilvl="0" w:tplc="AA2E4A84">
      <w:numFmt w:val="bullet"/>
      <w:lvlText w:val="–"/>
      <w:lvlJc w:val="left"/>
      <w:pPr>
        <w:ind w:left="786" w:hanging="360"/>
      </w:pPr>
      <w:rPr>
        <w:rFonts w:ascii="Calibri" w:eastAsiaTheme="minorEastAsia" w:hAnsi="Calibri" w:cs="Calibr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8AB0BB4"/>
    <w:multiLevelType w:val="hybridMultilevel"/>
    <w:tmpl w:val="12DC07F0"/>
    <w:lvl w:ilvl="0" w:tplc="2F58C28E">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B549AD"/>
    <w:multiLevelType w:val="hybridMultilevel"/>
    <w:tmpl w:val="6DA60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9967726">
    <w:abstractNumId w:val="31"/>
  </w:num>
  <w:num w:numId="2" w16cid:durableId="1165821528">
    <w:abstractNumId w:val="25"/>
  </w:num>
  <w:num w:numId="3" w16cid:durableId="1755204346">
    <w:abstractNumId w:val="12"/>
  </w:num>
  <w:num w:numId="4" w16cid:durableId="1510018896">
    <w:abstractNumId w:val="20"/>
  </w:num>
  <w:num w:numId="5" w16cid:durableId="1859081711">
    <w:abstractNumId w:val="28"/>
  </w:num>
  <w:num w:numId="6" w16cid:durableId="706175533">
    <w:abstractNumId w:val="13"/>
  </w:num>
  <w:num w:numId="7" w16cid:durableId="260184783">
    <w:abstractNumId w:val="8"/>
  </w:num>
  <w:num w:numId="8" w16cid:durableId="1963145305">
    <w:abstractNumId w:val="19"/>
  </w:num>
  <w:num w:numId="9" w16cid:durableId="791167427">
    <w:abstractNumId w:val="6"/>
  </w:num>
  <w:num w:numId="10" w16cid:durableId="1536649824">
    <w:abstractNumId w:val="14"/>
  </w:num>
  <w:num w:numId="11" w16cid:durableId="18548772">
    <w:abstractNumId w:val="2"/>
  </w:num>
  <w:num w:numId="12" w16cid:durableId="722296770">
    <w:abstractNumId w:val="15"/>
  </w:num>
  <w:num w:numId="13" w16cid:durableId="570038646">
    <w:abstractNumId w:val="22"/>
  </w:num>
  <w:num w:numId="14" w16cid:durableId="1523588747">
    <w:abstractNumId w:val="32"/>
  </w:num>
  <w:num w:numId="15" w16cid:durableId="1618100112">
    <w:abstractNumId w:val="18"/>
  </w:num>
  <w:num w:numId="16" w16cid:durableId="137500198">
    <w:abstractNumId w:val="1"/>
  </w:num>
  <w:num w:numId="17" w16cid:durableId="1182936830">
    <w:abstractNumId w:val="33"/>
  </w:num>
  <w:num w:numId="18" w16cid:durableId="974796572">
    <w:abstractNumId w:val="10"/>
  </w:num>
  <w:num w:numId="19" w16cid:durableId="1412773988">
    <w:abstractNumId w:val="4"/>
  </w:num>
  <w:num w:numId="20" w16cid:durableId="1587810251">
    <w:abstractNumId w:val="29"/>
  </w:num>
  <w:num w:numId="21" w16cid:durableId="1373579933">
    <w:abstractNumId w:val="16"/>
  </w:num>
  <w:num w:numId="22" w16cid:durableId="1645771676">
    <w:abstractNumId w:val="27"/>
  </w:num>
  <w:num w:numId="23" w16cid:durableId="30614846">
    <w:abstractNumId w:val="11"/>
  </w:num>
  <w:num w:numId="24" w16cid:durableId="1066953024">
    <w:abstractNumId w:val="26"/>
  </w:num>
  <w:num w:numId="25" w16cid:durableId="1508206674">
    <w:abstractNumId w:val="9"/>
  </w:num>
  <w:num w:numId="26" w16cid:durableId="1181896621">
    <w:abstractNumId w:val="3"/>
  </w:num>
  <w:num w:numId="27" w16cid:durableId="1656566310">
    <w:abstractNumId w:val="23"/>
  </w:num>
  <w:num w:numId="28" w16cid:durableId="878511104">
    <w:abstractNumId w:val="17"/>
  </w:num>
  <w:num w:numId="29" w16cid:durableId="634140408">
    <w:abstractNumId w:val="5"/>
  </w:num>
  <w:num w:numId="30" w16cid:durableId="1819572477">
    <w:abstractNumId w:val="24"/>
  </w:num>
  <w:num w:numId="31" w16cid:durableId="49891141">
    <w:abstractNumId w:val="0"/>
  </w:num>
  <w:num w:numId="32" w16cid:durableId="678430529">
    <w:abstractNumId w:val="30"/>
  </w:num>
  <w:num w:numId="33" w16cid:durableId="12725996">
    <w:abstractNumId w:val="21"/>
  </w:num>
  <w:num w:numId="34" w16cid:durableId="474105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7E85"/>
    <w:rsid w:val="00013465"/>
    <w:rsid w:val="000226B3"/>
    <w:rsid w:val="00024549"/>
    <w:rsid w:val="00026E4D"/>
    <w:rsid w:val="000301BB"/>
    <w:rsid w:val="0004412D"/>
    <w:rsid w:val="00053FFE"/>
    <w:rsid w:val="000544B6"/>
    <w:rsid w:val="0006048B"/>
    <w:rsid w:val="000604AF"/>
    <w:rsid w:val="00066CCB"/>
    <w:rsid w:val="00074822"/>
    <w:rsid w:val="00083016"/>
    <w:rsid w:val="00085537"/>
    <w:rsid w:val="00086B64"/>
    <w:rsid w:val="00086C11"/>
    <w:rsid w:val="00094DCF"/>
    <w:rsid w:val="000A337F"/>
    <w:rsid w:val="000A5072"/>
    <w:rsid w:val="000A6CFD"/>
    <w:rsid w:val="000B0982"/>
    <w:rsid w:val="000B34CE"/>
    <w:rsid w:val="000B456F"/>
    <w:rsid w:val="000B7217"/>
    <w:rsid w:val="000B796C"/>
    <w:rsid w:val="000C1FAE"/>
    <w:rsid w:val="000C46BB"/>
    <w:rsid w:val="000C4D9D"/>
    <w:rsid w:val="000C7C4B"/>
    <w:rsid w:val="000C7D8B"/>
    <w:rsid w:val="000E485D"/>
    <w:rsid w:val="000E5CE7"/>
    <w:rsid w:val="000E6953"/>
    <w:rsid w:val="000E72C6"/>
    <w:rsid w:val="000F1893"/>
    <w:rsid w:val="000F1AFC"/>
    <w:rsid w:val="000F2F51"/>
    <w:rsid w:val="000F772B"/>
    <w:rsid w:val="00107F4F"/>
    <w:rsid w:val="00113CF8"/>
    <w:rsid w:val="00113D74"/>
    <w:rsid w:val="00117C5C"/>
    <w:rsid w:val="00121BEE"/>
    <w:rsid w:val="001310AE"/>
    <w:rsid w:val="00131796"/>
    <w:rsid w:val="00137851"/>
    <w:rsid w:val="001420B3"/>
    <w:rsid w:val="001460C4"/>
    <w:rsid w:val="0015691C"/>
    <w:rsid w:val="001621F7"/>
    <w:rsid w:val="001624D7"/>
    <w:rsid w:val="001671C9"/>
    <w:rsid w:val="00177B86"/>
    <w:rsid w:val="00181165"/>
    <w:rsid w:val="00182585"/>
    <w:rsid w:val="001834D6"/>
    <w:rsid w:val="001870BD"/>
    <w:rsid w:val="00191182"/>
    <w:rsid w:val="0019255B"/>
    <w:rsid w:val="00192A67"/>
    <w:rsid w:val="0019664D"/>
    <w:rsid w:val="001A6103"/>
    <w:rsid w:val="001B3A5F"/>
    <w:rsid w:val="001B5D37"/>
    <w:rsid w:val="001C001C"/>
    <w:rsid w:val="001C2940"/>
    <w:rsid w:val="001C4016"/>
    <w:rsid w:val="001C4B9C"/>
    <w:rsid w:val="001C548D"/>
    <w:rsid w:val="001C6A5D"/>
    <w:rsid w:val="001D05E4"/>
    <w:rsid w:val="001E31A6"/>
    <w:rsid w:val="001E42C7"/>
    <w:rsid w:val="001E4CAB"/>
    <w:rsid w:val="001E745C"/>
    <w:rsid w:val="001F0A4E"/>
    <w:rsid w:val="001F2AE0"/>
    <w:rsid w:val="001F2F3E"/>
    <w:rsid w:val="001F4906"/>
    <w:rsid w:val="001F7C4A"/>
    <w:rsid w:val="00200574"/>
    <w:rsid w:val="0020578A"/>
    <w:rsid w:val="00207631"/>
    <w:rsid w:val="002105D5"/>
    <w:rsid w:val="0021077C"/>
    <w:rsid w:val="00214013"/>
    <w:rsid w:val="002160CC"/>
    <w:rsid w:val="00220E98"/>
    <w:rsid w:val="00220FC1"/>
    <w:rsid w:val="00222E9A"/>
    <w:rsid w:val="002309B5"/>
    <w:rsid w:val="0023179D"/>
    <w:rsid w:val="0024750F"/>
    <w:rsid w:val="00252CBF"/>
    <w:rsid w:val="0025389D"/>
    <w:rsid w:val="00254E02"/>
    <w:rsid w:val="00254EAC"/>
    <w:rsid w:val="0026265F"/>
    <w:rsid w:val="00265E7D"/>
    <w:rsid w:val="00270A9D"/>
    <w:rsid w:val="002714AF"/>
    <w:rsid w:val="0027796D"/>
    <w:rsid w:val="00286C3A"/>
    <w:rsid w:val="002927E8"/>
    <w:rsid w:val="002930F5"/>
    <w:rsid w:val="00293979"/>
    <w:rsid w:val="002A06B7"/>
    <w:rsid w:val="002A4D9B"/>
    <w:rsid w:val="002A54E1"/>
    <w:rsid w:val="002C12EB"/>
    <w:rsid w:val="002C15D7"/>
    <w:rsid w:val="002C3B53"/>
    <w:rsid w:val="002C6E0C"/>
    <w:rsid w:val="002D144A"/>
    <w:rsid w:val="002E19A3"/>
    <w:rsid w:val="002E212B"/>
    <w:rsid w:val="002E3337"/>
    <w:rsid w:val="002E6D03"/>
    <w:rsid w:val="002F49A8"/>
    <w:rsid w:val="002F5E66"/>
    <w:rsid w:val="002F61CA"/>
    <w:rsid w:val="0030010D"/>
    <w:rsid w:val="00301EEB"/>
    <w:rsid w:val="0030202B"/>
    <w:rsid w:val="00310C38"/>
    <w:rsid w:val="00317A2C"/>
    <w:rsid w:val="0033504C"/>
    <w:rsid w:val="00336816"/>
    <w:rsid w:val="003370D0"/>
    <w:rsid w:val="00337355"/>
    <w:rsid w:val="003402E4"/>
    <w:rsid w:val="00340F95"/>
    <w:rsid w:val="003531ED"/>
    <w:rsid w:val="00353B54"/>
    <w:rsid w:val="0036028C"/>
    <w:rsid w:val="00360B9A"/>
    <w:rsid w:val="0036351C"/>
    <w:rsid w:val="0036608C"/>
    <w:rsid w:val="00373E22"/>
    <w:rsid w:val="00373F55"/>
    <w:rsid w:val="0037490D"/>
    <w:rsid w:val="003757DE"/>
    <w:rsid w:val="003770E8"/>
    <w:rsid w:val="00385B02"/>
    <w:rsid w:val="0039017F"/>
    <w:rsid w:val="0039132A"/>
    <w:rsid w:val="00394AEE"/>
    <w:rsid w:val="00397820"/>
    <w:rsid w:val="003A0DFA"/>
    <w:rsid w:val="003A1944"/>
    <w:rsid w:val="003A7342"/>
    <w:rsid w:val="003B6286"/>
    <w:rsid w:val="003C1690"/>
    <w:rsid w:val="003C2D98"/>
    <w:rsid w:val="003D253B"/>
    <w:rsid w:val="003D3A96"/>
    <w:rsid w:val="003D3B9C"/>
    <w:rsid w:val="003D5A73"/>
    <w:rsid w:val="003D7AAA"/>
    <w:rsid w:val="003E758E"/>
    <w:rsid w:val="003F317B"/>
    <w:rsid w:val="00404F03"/>
    <w:rsid w:val="00412051"/>
    <w:rsid w:val="00423B94"/>
    <w:rsid w:val="00426A64"/>
    <w:rsid w:val="00427181"/>
    <w:rsid w:val="00435859"/>
    <w:rsid w:val="004566F3"/>
    <w:rsid w:val="00457E1A"/>
    <w:rsid w:val="00461E7F"/>
    <w:rsid w:val="0046280F"/>
    <w:rsid w:val="00463731"/>
    <w:rsid w:val="0046400A"/>
    <w:rsid w:val="00467B25"/>
    <w:rsid w:val="00470CE6"/>
    <w:rsid w:val="00475C74"/>
    <w:rsid w:val="00481108"/>
    <w:rsid w:val="00482E34"/>
    <w:rsid w:val="004830F3"/>
    <w:rsid w:val="004834A0"/>
    <w:rsid w:val="0049042B"/>
    <w:rsid w:val="00493B41"/>
    <w:rsid w:val="00495473"/>
    <w:rsid w:val="004A259E"/>
    <w:rsid w:val="004A458E"/>
    <w:rsid w:val="004A6C76"/>
    <w:rsid w:val="004B23E7"/>
    <w:rsid w:val="004B306F"/>
    <w:rsid w:val="004B4821"/>
    <w:rsid w:val="004C3186"/>
    <w:rsid w:val="004C5042"/>
    <w:rsid w:val="004D16AD"/>
    <w:rsid w:val="004D6213"/>
    <w:rsid w:val="004E1BDF"/>
    <w:rsid w:val="004E4422"/>
    <w:rsid w:val="004F0025"/>
    <w:rsid w:val="00503998"/>
    <w:rsid w:val="0050623B"/>
    <w:rsid w:val="00516836"/>
    <w:rsid w:val="00523181"/>
    <w:rsid w:val="005233BC"/>
    <w:rsid w:val="00524D13"/>
    <w:rsid w:val="0053072C"/>
    <w:rsid w:val="00532D4B"/>
    <w:rsid w:val="005339F6"/>
    <w:rsid w:val="00534C98"/>
    <w:rsid w:val="00535AE5"/>
    <w:rsid w:val="005431C0"/>
    <w:rsid w:val="00545ED3"/>
    <w:rsid w:val="005537E7"/>
    <w:rsid w:val="00554BD3"/>
    <w:rsid w:val="005602E2"/>
    <w:rsid w:val="00562C82"/>
    <w:rsid w:val="00566F4E"/>
    <w:rsid w:val="00575F44"/>
    <w:rsid w:val="00576B18"/>
    <w:rsid w:val="00587724"/>
    <w:rsid w:val="00591512"/>
    <w:rsid w:val="00593A6A"/>
    <w:rsid w:val="005964D5"/>
    <w:rsid w:val="005A4A15"/>
    <w:rsid w:val="005A5F68"/>
    <w:rsid w:val="005B24E5"/>
    <w:rsid w:val="005B2D91"/>
    <w:rsid w:val="005B487F"/>
    <w:rsid w:val="005B48B4"/>
    <w:rsid w:val="005B4BDB"/>
    <w:rsid w:val="005C0AEF"/>
    <w:rsid w:val="005C6661"/>
    <w:rsid w:val="005C6E3B"/>
    <w:rsid w:val="005D3DE7"/>
    <w:rsid w:val="005D474B"/>
    <w:rsid w:val="005E05BA"/>
    <w:rsid w:val="005E085C"/>
    <w:rsid w:val="005E147D"/>
    <w:rsid w:val="005E22C2"/>
    <w:rsid w:val="005E39A3"/>
    <w:rsid w:val="005E57BB"/>
    <w:rsid w:val="005E6DC9"/>
    <w:rsid w:val="005F0017"/>
    <w:rsid w:val="005F548D"/>
    <w:rsid w:val="006014F1"/>
    <w:rsid w:val="00605E8A"/>
    <w:rsid w:val="0061357B"/>
    <w:rsid w:val="00614A7D"/>
    <w:rsid w:val="006166E4"/>
    <w:rsid w:val="00616C75"/>
    <w:rsid w:val="0063631C"/>
    <w:rsid w:val="006369C0"/>
    <w:rsid w:val="0063757B"/>
    <w:rsid w:val="006377CE"/>
    <w:rsid w:val="006416AC"/>
    <w:rsid w:val="00650E0A"/>
    <w:rsid w:val="006537D9"/>
    <w:rsid w:val="006621E6"/>
    <w:rsid w:val="00664A48"/>
    <w:rsid w:val="00665DEF"/>
    <w:rsid w:val="006714CF"/>
    <w:rsid w:val="006739D7"/>
    <w:rsid w:val="00674EFE"/>
    <w:rsid w:val="00675BB1"/>
    <w:rsid w:val="006775F1"/>
    <w:rsid w:val="00692AA7"/>
    <w:rsid w:val="00697FEC"/>
    <w:rsid w:val="006A175F"/>
    <w:rsid w:val="006A3EAD"/>
    <w:rsid w:val="006A44F5"/>
    <w:rsid w:val="006A52A5"/>
    <w:rsid w:val="006A690B"/>
    <w:rsid w:val="006B4537"/>
    <w:rsid w:val="006B4F82"/>
    <w:rsid w:val="006B5F85"/>
    <w:rsid w:val="006B6929"/>
    <w:rsid w:val="006B709B"/>
    <w:rsid w:val="006C3424"/>
    <w:rsid w:val="006C46DF"/>
    <w:rsid w:val="006C54AF"/>
    <w:rsid w:val="006C6B0D"/>
    <w:rsid w:val="006D2339"/>
    <w:rsid w:val="006D7A0C"/>
    <w:rsid w:val="006E0181"/>
    <w:rsid w:val="006E7523"/>
    <w:rsid w:val="006F4ACF"/>
    <w:rsid w:val="006F7AAC"/>
    <w:rsid w:val="007007DF"/>
    <w:rsid w:val="00700C0E"/>
    <w:rsid w:val="00705DAD"/>
    <w:rsid w:val="007247B9"/>
    <w:rsid w:val="00725461"/>
    <w:rsid w:val="00727D85"/>
    <w:rsid w:val="007346C7"/>
    <w:rsid w:val="00736041"/>
    <w:rsid w:val="00737CE1"/>
    <w:rsid w:val="007408C7"/>
    <w:rsid w:val="007420C1"/>
    <w:rsid w:val="00746559"/>
    <w:rsid w:val="007465DA"/>
    <w:rsid w:val="0075009A"/>
    <w:rsid w:val="00752C7F"/>
    <w:rsid w:val="0076090B"/>
    <w:rsid w:val="007640ED"/>
    <w:rsid w:val="00766B9A"/>
    <w:rsid w:val="007730CC"/>
    <w:rsid w:val="007744B2"/>
    <w:rsid w:val="00774FC2"/>
    <w:rsid w:val="00776598"/>
    <w:rsid w:val="007771CE"/>
    <w:rsid w:val="007812D4"/>
    <w:rsid w:val="00783E67"/>
    <w:rsid w:val="00786121"/>
    <w:rsid w:val="00792948"/>
    <w:rsid w:val="00794EF1"/>
    <w:rsid w:val="00796E84"/>
    <w:rsid w:val="007A3ADE"/>
    <w:rsid w:val="007A5733"/>
    <w:rsid w:val="007A5774"/>
    <w:rsid w:val="007A7825"/>
    <w:rsid w:val="007B1404"/>
    <w:rsid w:val="007B2F3E"/>
    <w:rsid w:val="007C2601"/>
    <w:rsid w:val="007E4823"/>
    <w:rsid w:val="007F396F"/>
    <w:rsid w:val="00801E74"/>
    <w:rsid w:val="0080485E"/>
    <w:rsid w:val="00805318"/>
    <w:rsid w:val="008142B4"/>
    <w:rsid w:val="008261FF"/>
    <w:rsid w:val="0083022B"/>
    <w:rsid w:val="00832324"/>
    <w:rsid w:val="00832615"/>
    <w:rsid w:val="00835337"/>
    <w:rsid w:val="00836088"/>
    <w:rsid w:val="0084063D"/>
    <w:rsid w:val="00841339"/>
    <w:rsid w:val="00846003"/>
    <w:rsid w:val="00846DCD"/>
    <w:rsid w:val="00851D85"/>
    <w:rsid w:val="00852BE6"/>
    <w:rsid w:val="00860CCB"/>
    <w:rsid w:val="00861510"/>
    <w:rsid w:val="00865997"/>
    <w:rsid w:val="00866E8A"/>
    <w:rsid w:val="008740A3"/>
    <w:rsid w:val="00887C09"/>
    <w:rsid w:val="0089297B"/>
    <w:rsid w:val="00892C03"/>
    <w:rsid w:val="008A1B8B"/>
    <w:rsid w:val="008A581D"/>
    <w:rsid w:val="008A5B07"/>
    <w:rsid w:val="008C2E21"/>
    <w:rsid w:val="008C36CA"/>
    <w:rsid w:val="008C5C88"/>
    <w:rsid w:val="008C5EED"/>
    <w:rsid w:val="008D219F"/>
    <w:rsid w:val="008D42F6"/>
    <w:rsid w:val="008E3F8C"/>
    <w:rsid w:val="008E6916"/>
    <w:rsid w:val="008E6F2C"/>
    <w:rsid w:val="00901D90"/>
    <w:rsid w:val="00902FD0"/>
    <w:rsid w:val="009053D3"/>
    <w:rsid w:val="0090691F"/>
    <w:rsid w:val="0090792A"/>
    <w:rsid w:val="0091167A"/>
    <w:rsid w:val="009270F3"/>
    <w:rsid w:val="009277B1"/>
    <w:rsid w:val="0093111F"/>
    <w:rsid w:val="009325B3"/>
    <w:rsid w:val="00932A15"/>
    <w:rsid w:val="00935689"/>
    <w:rsid w:val="00936DE4"/>
    <w:rsid w:val="0093723C"/>
    <w:rsid w:val="009414CC"/>
    <w:rsid w:val="0095303B"/>
    <w:rsid w:val="0095616A"/>
    <w:rsid w:val="0096321E"/>
    <w:rsid w:val="00965DD0"/>
    <w:rsid w:val="009663B6"/>
    <w:rsid w:val="00974A47"/>
    <w:rsid w:val="00976F5A"/>
    <w:rsid w:val="00980286"/>
    <w:rsid w:val="0098215A"/>
    <w:rsid w:val="00990DCF"/>
    <w:rsid w:val="009A2908"/>
    <w:rsid w:val="009A4CD6"/>
    <w:rsid w:val="009A537C"/>
    <w:rsid w:val="009A7B8D"/>
    <w:rsid w:val="009B072E"/>
    <w:rsid w:val="009B3A4B"/>
    <w:rsid w:val="009B4EF4"/>
    <w:rsid w:val="009B725C"/>
    <w:rsid w:val="009C0886"/>
    <w:rsid w:val="009C19EE"/>
    <w:rsid w:val="009C28D0"/>
    <w:rsid w:val="009C35F2"/>
    <w:rsid w:val="009C5562"/>
    <w:rsid w:val="009C7782"/>
    <w:rsid w:val="009D1ED5"/>
    <w:rsid w:val="009D4347"/>
    <w:rsid w:val="009D4C13"/>
    <w:rsid w:val="009D7F00"/>
    <w:rsid w:val="009E21A7"/>
    <w:rsid w:val="009E45C3"/>
    <w:rsid w:val="009E68FB"/>
    <w:rsid w:val="009F3157"/>
    <w:rsid w:val="009F58F8"/>
    <w:rsid w:val="00A04055"/>
    <w:rsid w:val="00A04C85"/>
    <w:rsid w:val="00A05EED"/>
    <w:rsid w:val="00A103ED"/>
    <w:rsid w:val="00A10CFA"/>
    <w:rsid w:val="00A122A3"/>
    <w:rsid w:val="00A13C60"/>
    <w:rsid w:val="00A15134"/>
    <w:rsid w:val="00A26AB4"/>
    <w:rsid w:val="00A341A3"/>
    <w:rsid w:val="00A35800"/>
    <w:rsid w:val="00A36BBB"/>
    <w:rsid w:val="00A4119A"/>
    <w:rsid w:val="00A5125C"/>
    <w:rsid w:val="00A52918"/>
    <w:rsid w:val="00A53D9B"/>
    <w:rsid w:val="00A547B3"/>
    <w:rsid w:val="00A6084A"/>
    <w:rsid w:val="00A63FB2"/>
    <w:rsid w:val="00A70E82"/>
    <w:rsid w:val="00A84CAD"/>
    <w:rsid w:val="00A86211"/>
    <w:rsid w:val="00A90E50"/>
    <w:rsid w:val="00A95FA5"/>
    <w:rsid w:val="00A96693"/>
    <w:rsid w:val="00A96D92"/>
    <w:rsid w:val="00AA182A"/>
    <w:rsid w:val="00AA3238"/>
    <w:rsid w:val="00AB0119"/>
    <w:rsid w:val="00AB199C"/>
    <w:rsid w:val="00AB3733"/>
    <w:rsid w:val="00AB518D"/>
    <w:rsid w:val="00AB588C"/>
    <w:rsid w:val="00AB7897"/>
    <w:rsid w:val="00AC0A56"/>
    <w:rsid w:val="00AC5054"/>
    <w:rsid w:val="00AD16E4"/>
    <w:rsid w:val="00AD2D20"/>
    <w:rsid w:val="00AD60EE"/>
    <w:rsid w:val="00AE4BAC"/>
    <w:rsid w:val="00AF43E5"/>
    <w:rsid w:val="00B01641"/>
    <w:rsid w:val="00B034FC"/>
    <w:rsid w:val="00B05310"/>
    <w:rsid w:val="00B07886"/>
    <w:rsid w:val="00B10A0B"/>
    <w:rsid w:val="00B132B7"/>
    <w:rsid w:val="00B30D85"/>
    <w:rsid w:val="00B32BCB"/>
    <w:rsid w:val="00B35A4A"/>
    <w:rsid w:val="00B453CF"/>
    <w:rsid w:val="00B526F2"/>
    <w:rsid w:val="00B63FD7"/>
    <w:rsid w:val="00B816D9"/>
    <w:rsid w:val="00B86DB7"/>
    <w:rsid w:val="00B9120F"/>
    <w:rsid w:val="00B9216C"/>
    <w:rsid w:val="00B924A4"/>
    <w:rsid w:val="00B95721"/>
    <w:rsid w:val="00BA4A1C"/>
    <w:rsid w:val="00BB067A"/>
    <w:rsid w:val="00BB0D1A"/>
    <w:rsid w:val="00BB1D3B"/>
    <w:rsid w:val="00BB35D0"/>
    <w:rsid w:val="00BC35ED"/>
    <w:rsid w:val="00BD0A83"/>
    <w:rsid w:val="00BD7931"/>
    <w:rsid w:val="00BD7FDA"/>
    <w:rsid w:val="00BE0FC7"/>
    <w:rsid w:val="00BE205A"/>
    <w:rsid w:val="00BE34AB"/>
    <w:rsid w:val="00BE3802"/>
    <w:rsid w:val="00BE3BD8"/>
    <w:rsid w:val="00BF09AD"/>
    <w:rsid w:val="00BF1EC4"/>
    <w:rsid w:val="00BF238E"/>
    <w:rsid w:val="00BF2F4A"/>
    <w:rsid w:val="00BF544D"/>
    <w:rsid w:val="00BF6821"/>
    <w:rsid w:val="00C0076F"/>
    <w:rsid w:val="00C00B69"/>
    <w:rsid w:val="00C0301C"/>
    <w:rsid w:val="00C03B94"/>
    <w:rsid w:val="00C050B6"/>
    <w:rsid w:val="00C077B6"/>
    <w:rsid w:val="00C10F12"/>
    <w:rsid w:val="00C1198E"/>
    <w:rsid w:val="00C128E6"/>
    <w:rsid w:val="00C245EA"/>
    <w:rsid w:val="00C256F6"/>
    <w:rsid w:val="00C26D9E"/>
    <w:rsid w:val="00C30731"/>
    <w:rsid w:val="00C3097E"/>
    <w:rsid w:val="00C30A1D"/>
    <w:rsid w:val="00C30A48"/>
    <w:rsid w:val="00C35ECC"/>
    <w:rsid w:val="00C361A8"/>
    <w:rsid w:val="00C40496"/>
    <w:rsid w:val="00C41246"/>
    <w:rsid w:val="00C45E5F"/>
    <w:rsid w:val="00C46291"/>
    <w:rsid w:val="00C53500"/>
    <w:rsid w:val="00C53C91"/>
    <w:rsid w:val="00C53E2C"/>
    <w:rsid w:val="00C5717F"/>
    <w:rsid w:val="00C57A8A"/>
    <w:rsid w:val="00C604FB"/>
    <w:rsid w:val="00C631F5"/>
    <w:rsid w:val="00C63412"/>
    <w:rsid w:val="00C650B1"/>
    <w:rsid w:val="00C714D0"/>
    <w:rsid w:val="00C71969"/>
    <w:rsid w:val="00C738BF"/>
    <w:rsid w:val="00C80CE7"/>
    <w:rsid w:val="00C8412E"/>
    <w:rsid w:val="00C87C72"/>
    <w:rsid w:val="00C90EF4"/>
    <w:rsid w:val="00C932D8"/>
    <w:rsid w:val="00CA015A"/>
    <w:rsid w:val="00CB6D1C"/>
    <w:rsid w:val="00CC1AA3"/>
    <w:rsid w:val="00CC34D2"/>
    <w:rsid w:val="00CD4486"/>
    <w:rsid w:val="00CF1A69"/>
    <w:rsid w:val="00CF4F76"/>
    <w:rsid w:val="00CF5E22"/>
    <w:rsid w:val="00D06A44"/>
    <w:rsid w:val="00D128C4"/>
    <w:rsid w:val="00D14766"/>
    <w:rsid w:val="00D151EB"/>
    <w:rsid w:val="00D22EE3"/>
    <w:rsid w:val="00D25B43"/>
    <w:rsid w:val="00D300E0"/>
    <w:rsid w:val="00D33C9A"/>
    <w:rsid w:val="00D34898"/>
    <w:rsid w:val="00D374CD"/>
    <w:rsid w:val="00D429A9"/>
    <w:rsid w:val="00D636DF"/>
    <w:rsid w:val="00D6495D"/>
    <w:rsid w:val="00D650CE"/>
    <w:rsid w:val="00D71719"/>
    <w:rsid w:val="00D73296"/>
    <w:rsid w:val="00D76040"/>
    <w:rsid w:val="00D776DA"/>
    <w:rsid w:val="00D77A0E"/>
    <w:rsid w:val="00D8758B"/>
    <w:rsid w:val="00D942B3"/>
    <w:rsid w:val="00D94863"/>
    <w:rsid w:val="00DA1107"/>
    <w:rsid w:val="00DA7BA8"/>
    <w:rsid w:val="00DA7D09"/>
    <w:rsid w:val="00DB3249"/>
    <w:rsid w:val="00DC193F"/>
    <w:rsid w:val="00DC2630"/>
    <w:rsid w:val="00DC49E9"/>
    <w:rsid w:val="00DC55E4"/>
    <w:rsid w:val="00DC7D71"/>
    <w:rsid w:val="00DD188C"/>
    <w:rsid w:val="00DD29A3"/>
    <w:rsid w:val="00DD48EE"/>
    <w:rsid w:val="00DE0B96"/>
    <w:rsid w:val="00DE10B9"/>
    <w:rsid w:val="00DE464C"/>
    <w:rsid w:val="00DE66A0"/>
    <w:rsid w:val="00DF0B13"/>
    <w:rsid w:val="00DF2EB8"/>
    <w:rsid w:val="00DF3DED"/>
    <w:rsid w:val="00DF4A94"/>
    <w:rsid w:val="00DF6003"/>
    <w:rsid w:val="00E00095"/>
    <w:rsid w:val="00E013A7"/>
    <w:rsid w:val="00E02F54"/>
    <w:rsid w:val="00E066C3"/>
    <w:rsid w:val="00E10D8C"/>
    <w:rsid w:val="00E1353A"/>
    <w:rsid w:val="00E1564B"/>
    <w:rsid w:val="00E208A0"/>
    <w:rsid w:val="00E23022"/>
    <w:rsid w:val="00E25B49"/>
    <w:rsid w:val="00E3047A"/>
    <w:rsid w:val="00E33CB6"/>
    <w:rsid w:val="00E371EA"/>
    <w:rsid w:val="00E47C43"/>
    <w:rsid w:val="00E53A8F"/>
    <w:rsid w:val="00E56DDA"/>
    <w:rsid w:val="00E64429"/>
    <w:rsid w:val="00E659CA"/>
    <w:rsid w:val="00E65DCA"/>
    <w:rsid w:val="00E67024"/>
    <w:rsid w:val="00E677DD"/>
    <w:rsid w:val="00E7594B"/>
    <w:rsid w:val="00E81FAA"/>
    <w:rsid w:val="00E87057"/>
    <w:rsid w:val="00E918D2"/>
    <w:rsid w:val="00EA4324"/>
    <w:rsid w:val="00EA6E0D"/>
    <w:rsid w:val="00EB0618"/>
    <w:rsid w:val="00EB2699"/>
    <w:rsid w:val="00EB4688"/>
    <w:rsid w:val="00EB5958"/>
    <w:rsid w:val="00EB5D96"/>
    <w:rsid w:val="00EB6C07"/>
    <w:rsid w:val="00EC028D"/>
    <w:rsid w:val="00EC612C"/>
    <w:rsid w:val="00EC620F"/>
    <w:rsid w:val="00EC714D"/>
    <w:rsid w:val="00ED2AA8"/>
    <w:rsid w:val="00ED633B"/>
    <w:rsid w:val="00ED787A"/>
    <w:rsid w:val="00EE169B"/>
    <w:rsid w:val="00EE2BBB"/>
    <w:rsid w:val="00EE478C"/>
    <w:rsid w:val="00EF2DBC"/>
    <w:rsid w:val="00EF4455"/>
    <w:rsid w:val="00F00443"/>
    <w:rsid w:val="00F0080E"/>
    <w:rsid w:val="00F0524A"/>
    <w:rsid w:val="00F1132C"/>
    <w:rsid w:val="00F12B2E"/>
    <w:rsid w:val="00F15518"/>
    <w:rsid w:val="00F15DD5"/>
    <w:rsid w:val="00F17D4B"/>
    <w:rsid w:val="00F22DD3"/>
    <w:rsid w:val="00F22EC3"/>
    <w:rsid w:val="00F23139"/>
    <w:rsid w:val="00F244E7"/>
    <w:rsid w:val="00F323A5"/>
    <w:rsid w:val="00F32B1D"/>
    <w:rsid w:val="00F4170B"/>
    <w:rsid w:val="00F4519A"/>
    <w:rsid w:val="00F52C14"/>
    <w:rsid w:val="00F66CD5"/>
    <w:rsid w:val="00F67A9A"/>
    <w:rsid w:val="00F70F4E"/>
    <w:rsid w:val="00F729C1"/>
    <w:rsid w:val="00F73113"/>
    <w:rsid w:val="00F75B6F"/>
    <w:rsid w:val="00F75FC4"/>
    <w:rsid w:val="00F76E2B"/>
    <w:rsid w:val="00F80A92"/>
    <w:rsid w:val="00F8416E"/>
    <w:rsid w:val="00F85981"/>
    <w:rsid w:val="00F87263"/>
    <w:rsid w:val="00F93725"/>
    <w:rsid w:val="00F9404D"/>
    <w:rsid w:val="00FA0D1D"/>
    <w:rsid w:val="00FA4890"/>
    <w:rsid w:val="00FB0904"/>
    <w:rsid w:val="00FB453B"/>
    <w:rsid w:val="00FB77FA"/>
    <w:rsid w:val="00FC3C70"/>
    <w:rsid w:val="00FC4A73"/>
    <w:rsid w:val="00FC559C"/>
    <w:rsid w:val="00FC7F0D"/>
    <w:rsid w:val="00FE0BE0"/>
    <w:rsid w:val="00FE56E2"/>
    <w:rsid w:val="00FE645A"/>
    <w:rsid w:val="00FF6102"/>
    <w:rsid w:val="00FF7D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Numbered para,#List Paragraph,Recommendation,List Paragraph1,List Paragraph11,L,Bullet Level 1,Bullet Point,Bullet point,Bulletr List Paragraph,Content descriptions,FooterText,List Bullet 1,List Paragraph2,List Paragraph21,Listeafsnit1,列"/>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A63FB2"/>
    <w:rPr>
      <w:color w:val="605E5C"/>
      <w:shd w:val="clear" w:color="auto" w:fill="E1DFDD"/>
    </w:rPr>
  </w:style>
  <w:style w:type="table" w:customStyle="1" w:styleId="Summarybox1">
    <w:name w:val="Summary box1"/>
    <w:basedOn w:val="TableNormal"/>
    <w:next w:val="TableGrid"/>
    <w:uiPriority w:val="59"/>
    <w:rsid w:val="00C07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4347"/>
    <w:rPr>
      <w:color w:val="800080" w:themeColor="followedHyperlink"/>
      <w:u w:val="single"/>
    </w:rPr>
  </w:style>
  <w:style w:type="paragraph" w:styleId="Revision">
    <w:name w:val="Revision"/>
    <w:hidden/>
    <w:uiPriority w:val="99"/>
    <w:semiHidden/>
    <w:rsid w:val="00E659C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5336">
      <w:bodyDiv w:val="1"/>
      <w:marLeft w:val="0"/>
      <w:marRight w:val="0"/>
      <w:marTop w:val="0"/>
      <w:marBottom w:val="0"/>
      <w:divBdr>
        <w:top w:val="none" w:sz="0" w:space="0" w:color="auto"/>
        <w:left w:val="none" w:sz="0" w:space="0" w:color="auto"/>
        <w:bottom w:val="none" w:sz="0" w:space="0" w:color="auto"/>
        <w:right w:val="none" w:sz="0" w:space="0" w:color="auto"/>
      </w:divBdr>
    </w:div>
    <w:div w:id="103237656">
      <w:bodyDiv w:val="1"/>
      <w:marLeft w:val="0"/>
      <w:marRight w:val="0"/>
      <w:marTop w:val="0"/>
      <w:marBottom w:val="0"/>
      <w:divBdr>
        <w:top w:val="none" w:sz="0" w:space="0" w:color="auto"/>
        <w:left w:val="none" w:sz="0" w:space="0" w:color="auto"/>
        <w:bottom w:val="none" w:sz="0" w:space="0" w:color="auto"/>
        <w:right w:val="none" w:sz="0" w:space="0" w:color="auto"/>
      </w:divBdr>
    </w:div>
    <w:div w:id="311640005">
      <w:bodyDiv w:val="1"/>
      <w:marLeft w:val="0"/>
      <w:marRight w:val="0"/>
      <w:marTop w:val="0"/>
      <w:marBottom w:val="0"/>
      <w:divBdr>
        <w:top w:val="none" w:sz="0" w:space="0" w:color="auto"/>
        <w:left w:val="none" w:sz="0" w:space="0" w:color="auto"/>
        <w:bottom w:val="none" w:sz="0" w:space="0" w:color="auto"/>
        <w:right w:val="none" w:sz="0" w:space="0" w:color="auto"/>
      </w:divBdr>
    </w:div>
    <w:div w:id="323169540">
      <w:bodyDiv w:val="1"/>
      <w:marLeft w:val="0"/>
      <w:marRight w:val="0"/>
      <w:marTop w:val="0"/>
      <w:marBottom w:val="0"/>
      <w:divBdr>
        <w:top w:val="none" w:sz="0" w:space="0" w:color="auto"/>
        <w:left w:val="none" w:sz="0" w:space="0" w:color="auto"/>
        <w:bottom w:val="none" w:sz="0" w:space="0" w:color="auto"/>
        <w:right w:val="none" w:sz="0" w:space="0" w:color="auto"/>
      </w:divBdr>
    </w:div>
    <w:div w:id="333341445">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39102976">
      <w:bodyDiv w:val="1"/>
      <w:marLeft w:val="0"/>
      <w:marRight w:val="0"/>
      <w:marTop w:val="0"/>
      <w:marBottom w:val="0"/>
      <w:divBdr>
        <w:top w:val="none" w:sz="0" w:space="0" w:color="auto"/>
        <w:left w:val="none" w:sz="0" w:space="0" w:color="auto"/>
        <w:bottom w:val="none" w:sz="0" w:space="0" w:color="auto"/>
        <w:right w:val="none" w:sz="0" w:space="0" w:color="auto"/>
      </w:divBdr>
    </w:div>
    <w:div w:id="466901656">
      <w:bodyDiv w:val="1"/>
      <w:marLeft w:val="0"/>
      <w:marRight w:val="0"/>
      <w:marTop w:val="0"/>
      <w:marBottom w:val="0"/>
      <w:divBdr>
        <w:top w:val="none" w:sz="0" w:space="0" w:color="auto"/>
        <w:left w:val="none" w:sz="0" w:space="0" w:color="auto"/>
        <w:bottom w:val="none" w:sz="0" w:space="0" w:color="auto"/>
        <w:right w:val="none" w:sz="0" w:space="0" w:color="auto"/>
      </w:divBdr>
    </w:div>
    <w:div w:id="491871356">
      <w:bodyDiv w:val="1"/>
      <w:marLeft w:val="0"/>
      <w:marRight w:val="0"/>
      <w:marTop w:val="0"/>
      <w:marBottom w:val="0"/>
      <w:divBdr>
        <w:top w:val="none" w:sz="0" w:space="0" w:color="auto"/>
        <w:left w:val="none" w:sz="0" w:space="0" w:color="auto"/>
        <w:bottom w:val="none" w:sz="0" w:space="0" w:color="auto"/>
        <w:right w:val="none" w:sz="0" w:space="0" w:color="auto"/>
      </w:divBdr>
    </w:div>
    <w:div w:id="719398888">
      <w:bodyDiv w:val="1"/>
      <w:marLeft w:val="0"/>
      <w:marRight w:val="0"/>
      <w:marTop w:val="0"/>
      <w:marBottom w:val="0"/>
      <w:divBdr>
        <w:top w:val="none" w:sz="0" w:space="0" w:color="auto"/>
        <w:left w:val="none" w:sz="0" w:space="0" w:color="auto"/>
        <w:bottom w:val="none" w:sz="0" w:space="0" w:color="auto"/>
        <w:right w:val="none" w:sz="0" w:space="0" w:color="auto"/>
      </w:divBdr>
    </w:div>
    <w:div w:id="783235898">
      <w:bodyDiv w:val="1"/>
      <w:marLeft w:val="0"/>
      <w:marRight w:val="0"/>
      <w:marTop w:val="0"/>
      <w:marBottom w:val="0"/>
      <w:divBdr>
        <w:top w:val="none" w:sz="0" w:space="0" w:color="auto"/>
        <w:left w:val="none" w:sz="0" w:space="0" w:color="auto"/>
        <w:bottom w:val="none" w:sz="0" w:space="0" w:color="auto"/>
        <w:right w:val="none" w:sz="0" w:space="0" w:color="auto"/>
      </w:divBdr>
    </w:div>
    <w:div w:id="823199455">
      <w:bodyDiv w:val="1"/>
      <w:marLeft w:val="0"/>
      <w:marRight w:val="0"/>
      <w:marTop w:val="0"/>
      <w:marBottom w:val="0"/>
      <w:divBdr>
        <w:top w:val="none" w:sz="0" w:space="0" w:color="auto"/>
        <w:left w:val="none" w:sz="0" w:space="0" w:color="auto"/>
        <w:bottom w:val="none" w:sz="0" w:space="0" w:color="auto"/>
        <w:right w:val="none" w:sz="0" w:space="0" w:color="auto"/>
      </w:divBdr>
    </w:div>
    <w:div w:id="837422339">
      <w:bodyDiv w:val="1"/>
      <w:marLeft w:val="0"/>
      <w:marRight w:val="0"/>
      <w:marTop w:val="0"/>
      <w:marBottom w:val="0"/>
      <w:divBdr>
        <w:top w:val="none" w:sz="0" w:space="0" w:color="auto"/>
        <w:left w:val="none" w:sz="0" w:space="0" w:color="auto"/>
        <w:bottom w:val="none" w:sz="0" w:space="0" w:color="auto"/>
        <w:right w:val="none" w:sz="0" w:space="0" w:color="auto"/>
      </w:divBdr>
    </w:div>
    <w:div w:id="1016421370">
      <w:bodyDiv w:val="1"/>
      <w:marLeft w:val="0"/>
      <w:marRight w:val="0"/>
      <w:marTop w:val="0"/>
      <w:marBottom w:val="0"/>
      <w:divBdr>
        <w:top w:val="none" w:sz="0" w:space="0" w:color="auto"/>
        <w:left w:val="none" w:sz="0" w:space="0" w:color="auto"/>
        <w:bottom w:val="none" w:sz="0" w:space="0" w:color="auto"/>
        <w:right w:val="none" w:sz="0" w:space="0" w:color="auto"/>
      </w:divBdr>
    </w:div>
    <w:div w:id="1018315274">
      <w:bodyDiv w:val="1"/>
      <w:marLeft w:val="0"/>
      <w:marRight w:val="0"/>
      <w:marTop w:val="0"/>
      <w:marBottom w:val="0"/>
      <w:divBdr>
        <w:top w:val="none" w:sz="0" w:space="0" w:color="auto"/>
        <w:left w:val="none" w:sz="0" w:space="0" w:color="auto"/>
        <w:bottom w:val="none" w:sz="0" w:space="0" w:color="auto"/>
        <w:right w:val="none" w:sz="0" w:space="0" w:color="auto"/>
      </w:divBdr>
    </w:div>
    <w:div w:id="1050149571">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15565957">
      <w:bodyDiv w:val="1"/>
      <w:marLeft w:val="0"/>
      <w:marRight w:val="0"/>
      <w:marTop w:val="0"/>
      <w:marBottom w:val="0"/>
      <w:divBdr>
        <w:top w:val="none" w:sz="0" w:space="0" w:color="auto"/>
        <w:left w:val="none" w:sz="0" w:space="0" w:color="auto"/>
        <w:bottom w:val="none" w:sz="0" w:space="0" w:color="auto"/>
        <w:right w:val="none" w:sz="0" w:space="0" w:color="auto"/>
      </w:divBdr>
    </w:div>
    <w:div w:id="1175608250">
      <w:bodyDiv w:val="1"/>
      <w:marLeft w:val="0"/>
      <w:marRight w:val="0"/>
      <w:marTop w:val="0"/>
      <w:marBottom w:val="0"/>
      <w:divBdr>
        <w:top w:val="none" w:sz="0" w:space="0" w:color="auto"/>
        <w:left w:val="none" w:sz="0" w:space="0" w:color="auto"/>
        <w:bottom w:val="none" w:sz="0" w:space="0" w:color="auto"/>
        <w:right w:val="none" w:sz="0" w:space="0" w:color="auto"/>
      </w:divBdr>
    </w:div>
    <w:div w:id="1352682663">
      <w:bodyDiv w:val="1"/>
      <w:marLeft w:val="0"/>
      <w:marRight w:val="0"/>
      <w:marTop w:val="0"/>
      <w:marBottom w:val="0"/>
      <w:divBdr>
        <w:top w:val="none" w:sz="0" w:space="0" w:color="auto"/>
        <w:left w:val="none" w:sz="0" w:space="0" w:color="auto"/>
        <w:bottom w:val="none" w:sz="0" w:space="0" w:color="auto"/>
        <w:right w:val="none" w:sz="0" w:space="0" w:color="auto"/>
      </w:divBdr>
    </w:div>
    <w:div w:id="1418553331">
      <w:bodyDiv w:val="1"/>
      <w:marLeft w:val="0"/>
      <w:marRight w:val="0"/>
      <w:marTop w:val="0"/>
      <w:marBottom w:val="0"/>
      <w:divBdr>
        <w:top w:val="none" w:sz="0" w:space="0" w:color="auto"/>
        <w:left w:val="none" w:sz="0" w:space="0" w:color="auto"/>
        <w:bottom w:val="none" w:sz="0" w:space="0" w:color="auto"/>
        <w:right w:val="none" w:sz="0" w:space="0" w:color="auto"/>
      </w:divBdr>
    </w:div>
    <w:div w:id="1436636756">
      <w:bodyDiv w:val="1"/>
      <w:marLeft w:val="0"/>
      <w:marRight w:val="0"/>
      <w:marTop w:val="0"/>
      <w:marBottom w:val="0"/>
      <w:divBdr>
        <w:top w:val="none" w:sz="0" w:space="0" w:color="auto"/>
        <w:left w:val="none" w:sz="0" w:space="0" w:color="auto"/>
        <w:bottom w:val="none" w:sz="0" w:space="0" w:color="auto"/>
        <w:right w:val="none" w:sz="0" w:space="0" w:color="auto"/>
      </w:divBdr>
    </w:div>
    <w:div w:id="1497767388">
      <w:bodyDiv w:val="1"/>
      <w:marLeft w:val="0"/>
      <w:marRight w:val="0"/>
      <w:marTop w:val="0"/>
      <w:marBottom w:val="0"/>
      <w:divBdr>
        <w:top w:val="none" w:sz="0" w:space="0" w:color="auto"/>
        <w:left w:val="none" w:sz="0" w:space="0" w:color="auto"/>
        <w:bottom w:val="none" w:sz="0" w:space="0" w:color="auto"/>
        <w:right w:val="none" w:sz="0" w:space="0" w:color="auto"/>
      </w:divBdr>
    </w:div>
    <w:div w:id="1562053952">
      <w:bodyDiv w:val="1"/>
      <w:marLeft w:val="0"/>
      <w:marRight w:val="0"/>
      <w:marTop w:val="0"/>
      <w:marBottom w:val="0"/>
      <w:divBdr>
        <w:top w:val="none" w:sz="0" w:space="0" w:color="auto"/>
        <w:left w:val="none" w:sz="0" w:space="0" w:color="auto"/>
        <w:bottom w:val="none" w:sz="0" w:space="0" w:color="auto"/>
        <w:right w:val="none" w:sz="0" w:space="0" w:color="auto"/>
      </w:divBdr>
    </w:div>
    <w:div w:id="1778678405">
      <w:bodyDiv w:val="1"/>
      <w:marLeft w:val="0"/>
      <w:marRight w:val="0"/>
      <w:marTop w:val="0"/>
      <w:marBottom w:val="0"/>
      <w:divBdr>
        <w:top w:val="none" w:sz="0" w:space="0" w:color="auto"/>
        <w:left w:val="none" w:sz="0" w:space="0" w:color="auto"/>
        <w:bottom w:val="none" w:sz="0" w:space="0" w:color="auto"/>
        <w:right w:val="none" w:sz="0" w:space="0" w:color="auto"/>
      </w:divBdr>
    </w:div>
    <w:div w:id="1906643638">
      <w:bodyDiv w:val="1"/>
      <w:marLeft w:val="0"/>
      <w:marRight w:val="0"/>
      <w:marTop w:val="0"/>
      <w:marBottom w:val="0"/>
      <w:divBdr>
        <w:top w:val="none" w:sz="0" w:space="0" w:color="auto"/>
        <w:left w:val="none" w:sz="0" w:space="0" w:color="auto"/>
        <w:bottom w:val="none" w:sz="0" w:space="0" w:color="auto"/>
        <w:right w:val="none" w:sz="0" w:space="0" w:color="auto"/>
      </w:divBdr>
    </w:div>
    <w:div w:id="1939555882">
      <w:bodyDiv w:val="1"/>
      <w:marLeft w:val="0"/>
      <w:marRight w:val="0"/>
      <w:marTop w:val="0"/>
      <w:marBottom w:val="0"/>
      <w:divBdr>
        <w:top w:val="none" w:sz="0" w:space="0" w:color="auto"/>
        <w:left w:val="none" w:sz="0" w:space="0" w:color="auto"/>
        <w:bottom w:val="none" w:sz="0" w:space="0" w:color="auto"/>
        <w:right w:val="none" w:sz="0" w:space="0" w:color="auto"/>
      </w:divBdr>
    </w:div>
    <w:div w:id="1989286497">
      <w:bodyDiv w:val="1"/>
      <w:marLeft w:val="0"/>
      <w:marRight w:val="0"/>
      <w:marTop w:val="0"/>
      <w:marBottom w:val="0"/>
      <w:divBdr>
        <w:top w:val="none" w:sz="0" w:space="0" w:color="auto"/>
        <w:left w:val="none" w:sz="0" w:space="0" w:color="auto"/>
        <w:bottom w:val="none" w:sz="0" w:space="0" w:color="auto"/>
        <w:right w:val="none" w:sz="0" w:space="0" w:color="auto"/>
      </w:divBdr>
    </w:div>
    <w:div w:id="2093548896">
      <w:bodyDiv w:val="1"/>
      <w:marLeft w:val="0"/>
      <w:marRight w:val="0"/>
      <w:marTop w:val="0"/>
      <w:marBottom w:val="0"/>
      <w:divBdr>
        <w:top w:val="none" w:sz="0" w:space="0" w:color="auto"/>
        <w:left w:val="none" w:sz="0" w:space="0" w:color="auto"/>
        <w:bottom w:val="none" w:sz="0" w:space="0" w:color="auto"/>
        <w:right w:val="none" w:sz="0" w:space="0" w:color="auto"/>
      </w:divBdr>
    </w:div>
    <w:div w:id="214272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products/australian-register-therapeutic-goods-artg/product-information" TargetMode="External"/><Relationship Id="rId13" Type="http://schemas.openxmlformats.org/officeDocument/2006/relationships/hyperlink" Target="https://www.pbs.gov.au/pbs/home"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5.xml"/><Relationship Id="rId7" Type="http://schemas.openxmlformats.org/officeDocument/2006/relationships/endnotes" Target="endnotes.xml"/><Relationship Id="rId12" Type="http://schemas.openxmlformats.org/officeDocument/2006/relationships/hyperlink" Target="https://www.pbs.gov.au/pbs/home"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4.xml"/><Relationship Id="rId38" Type="http://schemas.openxmlformats.org/officeDocument/2006/relationships/image" Target="media/image2.svg"/><Relationship Id="rId2" Type="http://schemas.openxmlformats.org/officeDocument/2006/relationships/numbering" Target="numbering.xml"/><Relationship Id="rId16" Type="http://schemas.openxmlformats.org/officeDocument/2006/relationships/hyperlink" Target="https://www.pbs.gov.au/info/industry/listing/participants/public-release-docs/2020-02/opioid-analgesics" TargetMode="External"/><Relationship Id="rId20" Type="http://schemas.openxmlformats.org/officeDocument/2006/relationships/chart" Target="charts/chart4.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chart" Target="charts/chart8.xml"/><Relationship Id="rId32" Type="http://schemas.openxmlformats.org/officeDocument/2006/relationships/chart" Target="charts/chart13.xml"/><Relationship Id="rId37" Type="http://schemas.openxmlformats.org/officeDocument/2006/relationships/image" Target="media/image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info/industry/listing/participants/public-release-docs/opioids/opioid-analgesics-overview" TargetMode="External"/><Relationship Id="rId23" Type="http://schemas.openxmlformats.org/officeDocument/2006/relationships/chart" Target="charts/chart7.xml"/><Relationship Id="rId28" Type="http://schemas.openxmlformats.org/officeDocument/2006/relationships/footer" Target="footer1.xml"/><Relationship Id="rId36" Type="http://schemas.openxmlformats.org/officeDocument/2006/relationships/chart" Target="charts/chart17.xml"/><Relationship Id="rId10" Type="http://schemas.openxmlformats.org/officeDocument/2006/relationships/hyperlink" Target="https://www.tga.gov.au/products/australian-register-therapeutic-goods-artg/product-information" TargetMode="External"/><Relationship Id="rId19" Type="http://schemas.openxmlformats.org/officeDocument/2006/relationships/chart" Target="charts/chart3.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s://www.tga.gov.au/products/australian-register-therapeutic-goods-artg/consumer-medicines-information-cmi" TargetMode="External"/><Relationship Id="rId14" Type="http://schemas.openxmlformats.org/officeDocument/2006/relationships/hyperlink" Target="https://www.pbs.gov.au/industry/listing/elements/pbac-meetings/psd/2019-12/files/tga-opioid-reforms-psd-december-2019.pdf"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footer" Target="footer3.xml"/><Relationship Id="rId35" Type="http://schemas.openxmlformats.org/officeDocument/2006/relationships/chart" Target="charts/chart16.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news/2022/08/changes-to-pbs-listing-of-hydromorphone-oral-solution" TargetMode="External"/><Relationship Id="rId2" Type="http://schemas.openxmlformats.org/officeDocument/2006/relationships/hyperlink" Target="http://www.medicareaustralia.gov.au/provider/pbs/stats.jsp" TargetMode="External"/><Relationship Id="rId1" Type="http://schemas.openxmlformats.org/officeDocument/2006/relationships/hyperlink" Target="https://www.pbs.gov.au/info/news/2022/08/changes-to-pbs-listing-of-hydromorphone-oral-solu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20June%2023.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2\D1454%20-%20Impact%20of%20opioid%20reforms\D1454%20-%20Impact%20of%20opioid%20regulatory%20reform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25\morrio\Desktop\D1454%20-%20Impact%20of%20opioid%20regulatory%20reforms%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2.xlsx]quarter!PivotTable1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quarter!$W$1</c:f>
              <c:strCache>
                <c:ptCount val="1"/>
                <c:pt idx="0">
                  <c:v>Treated patients</c:v>
                </c:pt>
              </c:strCache>
            </c:strRef>
          </c:tx>
          <c:spPr>
            <a:ln w="28575" cap="rnd">
              <a:solidFill>
                <a:schemeClr val="accent1"/>
              </a:solidFill>
              <a:round/>
            </a:ln>
            <a:effectLst/>
          </c:spPr>
          <c:marker>
            <c:symbol val="none"/>
          </c:marker>
          <c:cat>
            <c:strRef>
              <c:f>quarter!$V$2:$V$29</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quarter!$W$2:$W$29</c:f>
              <c:numCache>
                <c:formatCode>General</c:formatCode>
                <c:ptCount val="27"/>
                <c:pt idx="0">
                  <c:v>1411265</c:v>
                </c:pt>
                <c:pt idx="1">
                  <c:v>1486508</c:v>
                </c:pt>
                <c:pt idx="2">
                  <c:v>1526483</c:v>
                </c:pt>
                <c:pt idx="3">
                  <c:v>1514597</c:v>
                </c:pt>
                <c:pt idx="4">
                  <c:v>1471411</c:v>
                </c:pt>
                <c:pt idx="5">
                  <c:v>1514412</c:v>
                </c:pt>
                <c:pt idx="6">
                  <c:v>1549295</c:v>
                </c:pt>
                <c:pt idx="7">
                  <c:v>1514966</c:v>
                </c:pt>
                <c:pt idx="8">
                  <c:v>1523953</c:v>
                </c:pt>
                <c:pt idx="9">
                  <c:v>1579178</c:v>
                </c:pt>
                <c:pt idx="10">
                  <c:v>1589386</c:v>
                </c:pt>
                <c:pt idx="11">
                  <c:v>1579951</c:v>
                </c:pt>
                <c:pt idx="12">
                  <c:v>1513199</c:v>
                </c:pt>
                <c:pt idx="13">
                  <c:v>1549657</c:v>
                </c:pt>
                <c:pt idx="14">
                  <c:v>1570814</c:v>
                </c:pt>
                <c:pt idx="15">
                  <c:v>1533960</c:v>
                </c:pt>
                <c:pt idx="16">
                  <c:v>1489030</c:v>
                </c:pt>
                <c:pt idx="17">
                  <c:v>1420768</c:v>
                </c:pt>
                <c:pt idx="18">
                  <c:v>1490631</c:v>
                </c:pt>
                <c:pt idx="19">
                  <c:v>1484553</c:v>
                </c:pt>
                <c:pt idx="20">
                  <c:v>1428727</c:v>
                </c:pt>
                <c:pt idx="21">
                  <c:v>1463503</c:v>
                </c:pt>
                <c:pt idx="22">
                  <c:v>1477283</c:v>
                </c:pt>
                <c:pt idx="23">
                  <c:v>1432543</c:v>
                </c:pt>
                <c:pt idx="24">
                  <c:v>1359557</c:v>
                </c:pt>
                <c:pt idx="25">
                  <c:v>1403846</c:v>
                </c:pt>
                <c:pt idx="26">
                  <c:v>1431036</c:v>
                </c:pt>
              </c:numCache>
            </c:numRef>
          </c:val>
          <c:smooth val="0"/>
          <c:extLst>
            <c:ext xmlns:c16="http://schemas.microsoft.com/office/drawing/2014/chart" uri="{C3380CC4-5D6E-409C-BE32-E72D297353CC}">
              <c16:uniqueId val="{00000000-D1C1-4D30-9A38-5D4EA01A9E0B}"/>
            </c:ext>
          </c:extLst>
        </c:ser>
        <c:ser>
          <c:idx val="1"/>
          <c:order val="1"/>
          <c:tx>
            <c:strRef>
              <c:f>quarter!$X$1</c:f>
              <c:strCache>
                <c:ptCount val="1"/>
                <c:pt idx="0">
                  <c:v>Initiating patients</c:v>
                </c:pt>
              </c:strCache>
            </c:strRef>
          </c:tx>
          <c:spPr>
            <a:ln w="28575" cap="rnd">
              <a:solidFill>
                <a:schemeClr val="accent2"/>
              </a:solidFill>
              <a:round/>
            </a:ln>
            <a:effectLst/>
          </c:spPr>
          <c:marker>
            <c:symbol val="none"/>
          </c:marker>
          <c:cat>
            <c:strRef>
              <c:f>quarter!$V$2:$V$29</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quarter!$X$2:$X$29</c:f>
              <c:numCache>
                <c:formatCode>General</c:formatCode>
                <c:ptCount val="27"/>
                <c:pt idx="8">
                  <c:v>400592</c:v>
                </c:pt>
                <c:pt idx="9">
                  <c:v>393940</c:v>
                </c:pt>
                <c:pt idx="10">
                  <c:v>376942</c:v>
                </c:pt>
                <c:pt idx="11">
                  <c:v>350344</c:v>
                </c:pt>
                <c:pt idx="12">
                  <c:v>316590</c:v>
                </c:pt>
                <c:pt idx="13">
                  <c:v>314965</c:v>
                </c:pt>
                <c:pt idx="14">
                  <c:v>314267</c:v>
                </c:pt>
                <c:pt idx="15">
                  <c:v>284984</c:v>
                </c:pt>
                <c:pt idx="16">
                  <c:v>259030</c:v>
                </c:pt>
                <c:pt idx="17">
                  <c:v>220941</c:v>
                </c:pt>
                <c:pt idx="18">
                  <c:v>250095</c:v>
                </c:pt>
                <c:pt idx="19">
                  <c:v>242870</c:v>
                </c:pt>
                <c:pt idx="20">
                  <c:v>224953</c:v>
                </c:pt>
                <c:pt idx="21">
                  <c:v>230364</c:v>
                </c:pt>
                <c:pt idx="22">
                  <c:v>226190</c:v>
                </c:pt>
                <c:pt idx="23">
                  <c:v>207011</c:v>
                </c:pt>
                <c:pt idx="24">
                  <c:v>188860</c:v>
                </c:pt>
                <c:pt idx="25">
                  <c:v>199491</c:v>
                </c:pt>
                <c:pt idx="26">
                  <c:v>206208</c:v>
                </c:pt>
              </c:numCache>
            </c:numRef>
          </c:val>
          <c:smooth val="0"/>
          <c:extLst>
            <c:ext xmlns:c16="http://schemas.microsoft.com/office/drawing/2014/chart" uri="{C3380CC4-5D6E-409C-BE32-E72D297353CC}">
              <c16:uniqueId val="{00000001-D1C1-4D30-9A38-5D4EA01A9E0B}"/>
            </c:ext>
          </c:extLst>
        </c:ser>
        <c:dLbls>
          <c:showLegendKey val="0"/>
          <c:showVal val="0"/>
          <c:showCatName val="0"/>
          <c:showSerName val="0"/>
          <c:showPercent val="0"/>
          <c:showBubbleSize val="0"/>
        </c:dLbls>
        <c:marker val="1"/>
        <c:smooth val="0"/>
        <c:axId val="759652872"/>
        <c:axId val="759653200"/>
      </c:lineChart>
      <c:lineChart>
        <c:grouping val="standard"/>
        <c:varyColors val="0"/>
        <c:ser>
          <c:idx val="2"/>
          <c:order val="2"/>
          <c:tx>
            <c:strRef>
              <c:f>quarter!$Y$1</c:f>
              <c:strCache>
                <c:ptCount val="1"/>
                <c:pt idx="0">
                  <c:v>Prescriptions</c:v>
                </c:pt>
              </c:strCache>
            </c:strRef>
          </c:tx>
          <c:spPr>
            <a:ln w="28575" cap="rnd">
              <a:solidFill>
                <a:schemeClr val="accent3"/>
              </a:solidFill>
              <a:round/>
            </a:ln>
            <a:effectLst/>
          </c:spPr>
          <c:marker>
            <c:symbol val="none"/>
          </c:marker>
          <c:cat>
            <c:strRef>
              <c:f>quarter!$V$2:$V$29</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quarter!$Y$2:$Y$29</c:f>
              <c:numCache>
                <c:formatCode>General</c:formatCode>
                <c:ptCount val="27"/>
                <c:pt idx="0">
                  <c:v>4361232</c:v>
                </c:pt>
                <c:pt idx="1">
                  <c:v>4687449</c:v>
                </c:pt>
                <c:pt idx="2">
                  <c:v>4837056</c:v>
                </c:pt>
                <c:pt idx="3">
                  <c:v>5032164</c:v>
                </c:pt>
                <c:pt idx="4">
                  <c:v>4594086</c:v>
                </c:pt>
                <c:pt idx="5">
                  <c:v>4820114</c:v>
                </c:pt>
                <c:pt idx="6">
                  <c:v>4904237</c:v>
                </c:pt>
                <c:pt idx="7">
                  <c:v>5036723</c:v>
                </c:pt>
                <c:pt idx="8">
                  <c:v>4752893</c:v>
                </c:pt>
                <c:pt idx="9">
                  <c:v>5001446</c:v>
                </c:pt>
                <c:pt idx="10">
                  <c:v>5024973</c:v>
                </c:pt>
                <c:pt idx="11">
                  <c:v>5193561</c:v>
                </c:pt>
                <c:pt idx="12">
                  <c:v>4639968</c:v>
                </c:pt>
                <c:pt idx="13">
                  <c:v>4817705</c:v>
                </c:pt>
                <c:pt idx="14">
                  <c:v>4896084</c:v>
                </c:pt>
                <c:pt idx="15">
                  <c:v>4976200</c:v>
                </c:pt>
                <c:pt idx="16">
                  <c:v>4639289</c:v>
                </c:pt>
                <c:pt idx="17">
                  <c:v>4449148</c:v>
                </c:pt>
                <c:pt idx="18">
                  <c:v>4617496</c:v>
                </c:pt>
                <c:pt idx="19">
                  <c:v>4697918</c:v>
                </c:pt>
                <c:pt idx="20">
                  <c:v>4261842</c:v>
                </c:pt>
                <c:pt idx="21">
                  <c:v>4382484</c:v>
                </c:pt>
                <c:pt idx="22">
                  <c:v>4516182</c:v>
                </c:pt>
                <c:pt idx="23">
                  <c:v>4471891</c:v>
                </c:pt>
                <c:pt idx="24">
                  <c:v>4015644</c:v>
                </c:pt>
                <c:pt idx="25">
                  <c:v>4156054</c:v>
                </c:pt>
                <c:pt idx="26">
                  <c:v>4214201</c:v>
                </c:pt>
              </c:numCache>
            </c:numRef>
          </c:val>
          <c:smooth val="0"/>
          <c:extLst>
            <c:ext xmlns:c16="http://schemas.microsoft.com/office/drawing/2014/chart" uri="{C3380CC4-5D6E-409C-BE32-E72D297353CC}">
              <c16:uniqueId val="{00000002-D1C1-4D30-9A38-5D4EA01A9E0B}"/>
            </c:ext>
          </c:extLst>
        </c:ser>
        <c:dLbls>
          <c:showLegendKey val="0"/>
          <c:showVal val="0"/>
          <c:showCatName val="0"/>
          <c:showSerName val="0"/>
          <c:showPercent val="0"/>
          <c:showBubbleSize val="0"/>
        </c:dLbls>
        <c:marker val="1"/>
        <c:smooth val="0"/>
        <c:axId val="444440168"/>
        <c:axId val="444441152"/>
      </c:lineChart>
      <c:catAx>
        <c:axId val="759652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53200"/>
        <c:crosses val="autoZero"/>
        <c:auto val="1"/>
        <c:lblAlgn val="ctr"/>
        <c:lblOffset val="100"/>
        <c:noMultiLvlLbl val="0"/>
      </c:catAx>
      <c:valAx>
        <c:axId val="759653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52872"/>
        <c:crosses val="autoZero"/>
        <c:crossBetween val="between"/>
      </c:valAx>
      <c:valAx>
        <c:axId val="4444411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440168"/>
        <c:crosses val="max"/>
        <c:crossBetween val="between"/>
      </c:valAx>
      <c:catAx>
        <c:axId val="444440168"/>
        <c:scaling>
          <c:orientation val="minMax"/>
        </c:scaling>
        <c:delete val="1"/>
        <c:axPos val="b"/>
        <c:numFmt formatCode="General" sourceLinked="1"/>
        <c:majorTickMark val="out"/>
        <c:minorTickMark val="none"/>
        <c:tickLblPos val="nextTo"/>
        <c:crossAx val="444441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2.xlsx]Sheet3!PivotTable1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Sheet3!$V$1:$V$2</c:f>
              <c:strCache>
                <c:ptCount val="1"/>
                <c:pt idx="0">
                  <c:v>Other</c:v>
                </c:pt>
              </c:strCache>
            </c:strRef>
          </c:tx>
          <c:spPr>
            <a:ln w="28575" cap="rnd">
              <a:solidFill>
                <a:schemeClr val="accent1"/>
              </a:solidFill>
              <a:round/>
            </a:ln>
            <a:effectLst/>
          </c:spPr>
          <c:marker>
            <c:symbol val="none"/>
          </c:marker>
          <c:cat>
            <c:strRef>
              <c:f>Sheet3!$U$3:$U$30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Sheet3!$V$3:$V$30</c:f>
              <c:numCache>
                <c:formatCode>General</c:formatCode>
                <c:ptCount val="27"/>
                <c:pt idx="0">
                  <c:v>1411265</c:v>
                </c:pt>
                <c:pt idx="1">
                  <c:v>1486508</c:v>
                </c:pt>
                <c:pt idx="2">
                  <c:v>1526483</c:v>
                </c:pt>
                <c:pt idx="3">
                  <c:v>1514597</c:v>
                </c:pt>
                <c:pt idx="4">
                  <c:v>1471411</c:v>
                </c:pt>
                <c:pt idx="5">
                  <c:v>1514412</c:v>
                </c:pt>
                <c:pt idx="6">
                  <c:v>1549295</c:v>
                </c:pt>
                <c:pt idx="7">
                  <c:v>1514966</c:v>
                </c:pt>
                <c:pt idx="8">
                  <c:v>1523953</c:v>
                </c:pt>
                <c:pt idx="9">
                  <c:v>1579178</c:v>
                </c:pt>
                <c:pt idx="10">
                  <c:v>1589386</c:v>
                </c:pt>
                <c:pt idx="11">
                  <c:v>1579951</c:v>
                </c:pt>
                <c:pt idx="12">
                  <c:v>1513199</c:v>
                </c:pt>
                <c:pt idx="13">
                  <c:v>1549657</c:v>
                </c:pt>
                <c:pt idx="14">
                  <c:v>1570814</c:v>
                </c:pt>
                <c:pt idx="15">
                  <c:v>1533960</c:v>
                </c:pt>
                <c:pt idx="16">
                  <c:v>1489030</c:v>
                </c:pt>
                <c:pt idx="17">
                  <c:v>1397534</c:v>
                </c:pt>
                <c:pt idx="18">
                  <c:v>1416113</c:v>
                </c:pt>
                <c:pt idx="19">
                  <c:v>1406215</c:v>
                </c:pt>
                <c:pt idx="20">
                  <c:v>1347464</c:v>
                </c:pt>
                <c:pt idx="21">
                  <c:v>1376982</c:v>
                </c:pt>
                <c:pt idx="22">
                  <c:v>1391186</c:v>
                </c:pt>
                <c:pt idx="23">
                  <c:v>1352148</c:v>
                </c:pt>
                <c:pt idx="24">
                  <c:v>1283550</c:v>
                </c:pt>
                <c:pt idx="25">
                  <c:v>1320768</c:v>
                </c:pt>
                <c:pt idx="26">
                  <c:v>1345454</c:v>
                </c:pt>
              </c:numCache>
            </c:numRef>
          </c:val>
          <c:smooth val="0"/>
          <c:extLst>
            <c:ext xmlns:c16="http://schemas.microsoft.com/office/drawing/2014/chart" uri="{C3380CC4-5D6E-409C-BE32-E72D297353CC}">
              <c16:uniqueId val="{00000000-FC81-4D67-A7A7-2BAB6259D331}"/>
            </c:ext>
          </c:extLst>
        </c:ser>
        <c:ser>
          <c:idx val="1"/>
          <c:order val="1"/>
          <c:tx>
            <c:strRef>
              <c:f>Sheet3!$W$1:$W$2</c:f>
              <c:strCache>
                <c:ptCount val="1"/>
                <c:pt idx="0">
                  <c:v>Reduced pack size</c:v>
                </c:pt>
              </c:strCache>
            </c:strRef>
          </c:tx>
          <c:spPr>
            <a:ln w="28575" cap="rnd">
              <a:solidFill>
                <a:schemeClr val="accent2"/>
              </a:solidFill>
              <a:round/>
            </a:ln>
            <a:effectLst/>
          </c:spPr>
          <c:marker>
            <c:symbol val="none"/>
          </c:marker>
          <c:cat>
            <c:strRef>
              <c:f>Sheet3!$U$3:$U$30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Sheet3!$W$3:$W$30</c:f>
              <c:numCache>
                <c:formatCode>General</c:formatCode>
                <c:ptCount val="27"/>
                <c:pt idx="17">
                  <c:v>42953</c:v>
                </c:pt>
                <c:pt idx="18">
                  <c:v>132286</c:v>
                </c:pt>
                <c:pt idx="19">
                  <c:v>136209</c:v>
                </c:pt>
                <c:pt idx="20">
                  <c:v>137097</c:v>
                </c:pt>
                <c:pt idx="21">
                  <c:v>144850</c:v>
                </c:pt>
                <c:pt idx="22">
                  <c:v>145285</c:v>
                </c:pt>
                <c:pt idx="23">
                  <c:v>134798</c:v>
                </c:pt>
                <c:pt idx="24">
                  <c:v>123270</c:v>
                </c:pt>
                <c:pt idx="25">
                  <c:v>133944</c:v>
                </c:pt>
                <c:pt idx="26">
                  <c:v>137884</c:v>
                </c:pt>
              </c:numCache>
            </c:numRef>
          </c:val>
          <c:smooth val="0"/>
          <c:extLst>
            <c:ext xmlns:c16="http://schemas.microsoft.com/office/drawing/2014/chart" uri="{C3380CC4-5D6E-409C-BE32-E72D297353CC}">
              <c16:uniqueId val="{00000001-FC81-4D67-A7A7-2BAB6259D331}"/>
            </c:ext>
          </c:extLst>
        </c:ser>
        <c:dLbls>
          <c:showLegendKey val="0"/>
          <c:showVal val="0"/>
          <c:showCatName val="0"/>
          <c:showSerName val="0"/>
          <c:showPercent val="0"/>
          <c:showBubbleSize val="0"/>
        </c:dLbls>
        <c:smooth val="0"/>
        <c:axId val="769782032"/>
        <c:axId val="769784328"/>
      </c:lineChart>
      <c:catAx>
        <c:axId val="769782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784328"/>
        <c:crosses val="autoZero"/>
        <c:auto val="1"/>
        <c:lblAlgn val="ctr"/>
        <c:lblOffset val="100"/>
        <c:noMultiLvlLbl val="0"/>
      </c:catAx>
      <c:valAx>
        <c:axId val="769784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78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2.xlsx]fentanyl!PivotTable4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fentanyl!$W$1</c:f>
              <c:strCache>
                <c:ptCount val="1"/>
                <c:pt idx="0">
                  <c:v>Treated patients</c:v>
                </c:pt>
              </c:strCache>
            </c:strRef>
          </c:tx>
          <c:spPr>
            <a:ln w="28575" cap="rnd">
              <a:solidFill>
                <a:schemeClr val="accent1"/>
              </a:solidFill>
              <a:round/>
            </a:ln>
            <a:effectLst/>
          </c:spPr>
          <c:marker>
            <c:symbol val="none"/>
          </c:marker>
          <c:cat>
            <c:strRef>
              <c:f>fentanyl!$V$2:$V$29</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fentanyl!$W$2:$W$29</c:f>
              <c:numCache>
                <c:formatCode>General</c:formatCode>
                <c:ptCount val="27"/>
                <c:pt idx="0">
                  <c:v>39210</c:v>
                </c:pt>
                <c:pt idx="1">
                  <c:v>38797</c:v>
                </c:pt>
                <c:pt idx="2">
                  <c:v>37572</c:v>
                </c:pt>
                <c:pt idx="3">
                  <c:v>36802</c:v>
                </c:pt>
                <c:pt idx="4">
                  <c:v>35468</c:v>
                </c:pt>
                <c:pt idx="5">
                  <c:v>34790</c:v>
                </c:pt>
                <c:pt idx="6">
                  <c:v>33784</c:v>
                </c:pt>
                <c:pt idx="7">
                  <c:v>32242</c:v>
                </c:pt>
                <c:pt idx="8">
                  <c:v>30454</c:v>
                </c:pt>
                <c:pt idx="9">
                  <c:v>29181</c:v>
                </c:pt>
                <c:pt idx="10">
                  <c:v>27578</c:v>
                </c:pt>
                <c:pt idx="11">
                  <c:v>26186</c:v>
                </c:pt>
                <c:pt idx="12">
                  <c:v>24795</c:v>
                </c:pt>
                <c:pt idx="13">
                  <c:v>23835</c:v>
                </c:pt>
                <c:pt idx="14">
                  <c:v>22884</c:v>
                </c:pt>
                <c:pt idx="15">
                  <c:v>21922</c:v>
                </c:pt>
                <c:pt idx="16">
                  <c:v>20621</c:v>
                </c:pt>
                <c:pt idx="17">
                  <c:v>19818</c:v>
                </c:pt>
                <c:pt idx="18">
                  <c:v>18751</c:v>
                </c:pt>
                <c:pt idx="19">
                  <c:v>18065</c:v>
                </c:pt>
                <c:pt idx="20">
                  <c:v>17162</c:v>
                </c:pt>
                <c:pt idx="21">
                  <c:v>18119</c:v>
                </c:pt>
                <c:pt idx="22">
                  <c:v>19615</c:v>
                </c:pt>
                <c:pt idx="23">
                  <c:v>18822</c:v>
                </c:pt>
                <c:pt idx="24">
                  <c:v>17520</c:v>
                </c:pt>
                <c:pt idx="25">
                  <c:v>17324</c:v>
                </c:pt>
                <c:pt idx="26">
                  <c:v>16735</c:v>
                </c:pt>
              </c:numCache>
            </c:numRef>
          </c:val>
          <c:smooth val="0"/>
          <c:extLst>
            <c:ext xmlns:c16="http://schemas.microsoft.com/office/drawing/2014/chart" uri="{C3380CC4-5D6E-409C-BE32-E72D297353CC}">
              <c16:uniqueId val="{00000000-0D7E-44FE-ADF0-9408EE5C8A56}"/>
            </c:ext>
          </c:extLst>
        </c:ser>
        <c:dLbls>
          <c:showLegendKey val="0"/>
          <c:showVal val="0"/>
          <c:showCatName val="0"/>
          <c:showSerName val="0"/>
          <c:showPercent val="0"/>
          <c:showBubbleSize val="0"/>
        </c:dLbls>
        <c:marker val="1"/>
        <c:smooth val="0"/>
        <c:axId val="820810392"/>
        <c:axId val="820811048"/>
      </c:lineChart>
      <c:lineChart>
        <c:grouping val="standard"/>
        <c:varyColors val="0"/>
        <c:ser>
          <c:idx val="1"/>
          <c:order val="1"/>
          <c:tx>
            <c:strRef>
              <c:f>fentanyl!$X$1</c:f>
              <c:strCache>
                <c:ptCount val="1"/>
                <c:pt idx="0">
                  <c:v>Initiating patients</c:v>
                </c:pt>
              </c:strCache>
            </c:strRef>
          </c:tx>
          <c:spPr>
            <a:ln w="28575" cap="rnd">
              <a:solidFill>
                <a:schemeClr val="accent2"/>
              </a:solidFill>
              <a:round/>
            </a:ln>
            <a:effectLst/>
          </c:spPr>
          <c:marker>
            <c:symbol val="none"/>
          </c:marker>
          <c:cat>
            <c:strRef>
              <c:f>fentanyl!$V$2:$V$29</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fentanyl!$X$2:$X$29</c:f>
              <c:numCache>
                <c:formatCode>General</c:formatCode>
                <c:ptCount val="27"/>
                <c:pt idx="8">
                  <c:v>519</c:v>
                </c:pt>
                <c:pt idx="9">
                  <c:v>471</c:v>
                </c:pt>
                <c:pt idx="10">
                  <c:v>408</c:v>
                </c:pt>
                <c:pt idx="11">
                  <c:v>335</c:v>
                </c:pt>
                <c:pt idx="12">
                  <c:v>325</c:v>
                </c:pt>
                <c:pt idx="13">
                  <c:v>265</c:v>
                </c:pt>
                <c:pt idx="14">
                  <c:v>244</c:v>
                </c:pt>
                <c:pt idx="15">
                  <c:v>235</c:v>
                </c:pt>
                <c:pt idx="16">
                  <c:v>192</c:v>
                </c:pt>
                <c:pt idx="17">
                  <c:v>182</c:v>
                </c:pt>
                <c:pt idx="18">
                  <c:v>150</c:v>
                </c:pt>
                <c:pt idx="19">
                  <c:v>158</c:v>
                </c:pt>
                <c:pt idx="20">
                  <c:v>140</c:v>
                </c:pt>
                <c:pt idx="21">
                  <c:v>130</c:v>
                </c:pt>
                <c:pt idx="22">
                  <c:v>144</c:v>
                </c:pt>
                <c:pt idx="23">
                  <c:v>107</c:v>
                </c:pt>
                <c:pt idx="24">
                  <c:v>113</c:v>
                </c:pt>
                <c:pt idx="25">
                  <c:v>104</c:v>
                </c:pt>
                <c:pt idx="26">
                  <c:v>115</c:v>
                </c:pt>
              </c:numCache>
            </c:numRef>
          </c:val>
          <c:smooth val="0"/>
          <c:extLst>
            <c:ext xmlns:c16="http://schemas.microsoft.com/office/drawing/2014/chart" uri="{C3380CC4-5D6E-409C-BE32-E72D297353CC}">
              <c16:uniqueId val="{00000001-0D7E-44FE-ADF0-9408EE5C8A56}"/>
            </c:ext>
          </c:extLst>
        </c:ser>
        <c:dLbls>
          <c:showLegendKey val="0"/>
          <c:showVal val="0"/>
          <c:showCatName val="0"/>
          <c:showSerName val="0"/>
          <c:showPercent val="0"/>
          <c:showBubbleSize val="0"/>
        </c:dLbls>
        <c:marker val="1"/>
        <c:smooth val="0"/>
        <c:axId val="983927600"/>
        <c:axId val="983927928"/>
      </c:lineChart>
      <c:catAx>
        <c:axId val="820810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11048"/>
        <c:crosses val="autoZero"/>
        <c:auto val="1"/>
        <c:lblAlgn val="ctr"/>
        <c:lblOffset val="100"/>
        <c:noMultiLvlLbl val="0"/>
      </c:catAx>
      <c:valAx>
        <c:axId val="820811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810392"/>
        <c:crosses val="autoZero"/>
        <c:crossBetween val="between"/>
      </c:valAx>
      <c:valAx>
        <c:axId val="98392792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3927600"/>
        <c:crosses val="max"/>
        <c:crossBetween val="between"/>
      </c:valAx>
      <c:catAx>
        <c:axId val="983927600"/>
        <c:scaling>
          <c:orientation val="minMax"/>
        </c:scaling>
        <c:delete val="1"/>
        <c:axPos val="b"/>
        <c:numFmt formatCode="General" sourceLinked="1"/>
        <c:majorTickMark val="out"/>
        <c:minorTickMark val="none"/>
        <c:tickLblPos val="nextTo"/>
        <c:crossAx val="9839279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23.xlsx]patients!PivotTable8</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630687307005263"/>
          <c:y val="3.3107599699021821E-2"/>
          <c:w val="0.830016846258402"/>
          <c:h val="0.67655510329831792"/>
        </c:manualLayout>
      </c:layout>
      <c:lineChart>
        <c:grouping val="standard"/>
        <c:varyColors val="0"/>
        <c:ser>
          <c:idx val="0"/>
          <c:order val="0"/>
          <c:tx>
            <c:strRef>
              <c:f>patients!$Q$1</c:f>
              <c:strCache>
                <c:ptCount val="1"/>
                <c:pt idx="0">
                  <c:v>Treated patients</c:v>
                </c:pt>
              </c:strCache>
            </c:strRef>
          </c:tx>
          <c:spPr>
            <a:ln w="28575" cap="rnd">
              <a:solidFill>
                <a:schemeClr val="accent1"/>
              </a:solidFill>
              <a:round/>
            </a:ln>
            <a:effectLst/>
          </c:spPr>
          <c:marker>
            <c:symbol val="none"/>
          </c:marker>
          <c:cat>
            <c:strRef>
              <c:f>patients!$P$2:$P$22</c:f>
              <c:strCache>
                <c:ptCount val="20"/>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strCache>
            </c:strRef>
          </c:cat>
          <c:val>
            <c:numRef>
              <c:f>patients!$Q$2:$Q$22</c:f>
              <c:numCache>
                <c:formatCode>General</c:formatCode>
                <c:ptCount val="20"/>
                <c:pt idx="0">
                  <c:v>1523954</c:v>
                </c:pt>
                <c:pt idx="1">
                  <c:v>1579178</c:v>
                </c:pt>
                <c:pt idx="2">
                  <c:v>1589386</c:v>
                </c:pt>
                <c:pt idx="3">
                  <c:v>1579952</c:v>
                </c:pt>
                <c:pt idx="4">
                  <c:v>1513199</c:v>
                </c:pt>
                <c:pt idx="5">
                  <c:v>1549658</c:v>
                </c:pt>
                <c:pt idx="6">
                  <c:v>1570812</c:v>
                </c:pt>
                <c:pt idx="7">
                  <c:v>1533961</c:v>
                </c:pt>
                <c:pt idx="8">
                  <c:v>1489032</c:v>
                </c:pt>
                <c:pt idx="9">
                  <c:v>1420771</c:v>
                </c:pt>
                <c:pt idx="10">
                  <c:v>1490642</c:v>
                </c:pt>
                <c:pt idx="11">
                  <c:v>1484560</c:v>
                </c:pt>
                <c:pt idx="12">
                  <c:v>1428750</c:v>
                </c:pt>
                <c:pt idx="13">
                  <c:v>1463521</c:v>
                </c:pt>
                <c:pt idx="14">
                  <c:v>1477335</c:v>
                </c:pt>
                <c:pt idx="15">
                  <c:v>1432706</c:v>
                </c:pt>
                <c:pt idx="16">
                  <c:v>1359717</c:v>
                </c:pt>
                <c:pt idx="17">
                  <c:v>1404265</c:v>
                </c:pt>
                <c:pt idx="18">
                  <c:v>1432598</c:v>
                </c:pt>
                <c:pt idx="19">
                  <c:v>1420983</c:v>
                </c:pt>
              </c:numCache>
            </c:numRef>
          </c:val>
          <c:smooth val="0"/>
          <c:extLst>
            <c:ext xmlns:c16="http://schemas.microsoft.com/office/drawing/2014/chart" uri="{C3380CC4-5D6E-409C-BE32-E72D297353CC}">
              <c16:uniqueId val="{00000000-4FFC-447A-A2A5-A1CBBA48D575}"/>
            </c:ext>
          </c:extLst>
        </c:ser>
        <c:ser>
          <c:idx val="1"/>
          <c:order val="1"/>
          <c:tx>
            <c:strRef>
              <c:f>patients!$R$1</c:f>
              <c:strCache>
                <c:ptCount val="1"/>
                <c:pt idx="0">
                  <c:v>Initiating patients - two year lookback</c:v>
                </c:pt>
              </c:strCache>
            </c:strRef>
          </c:tx>
          <c:spPr>
            <a:ln w="28575" cap="rnd">
              <a:solidFill>
                <a:schemeClr val="accent2"/>
              </a:solidFill>
              <a:round/>
            </a:ln>
            <a:effectLst/>
          </c:spPr>
          <c:marker>
            <c:symbol val="none"/>
          </c:marker>
          <c:cat>
            <c:strRef>
              <c:f>patients!$P$2:$P$22</c:f>
              <c:strCache>
                <c:ptCount val="20"/>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strCache>
            </c:strRef>
          </c:cat>
          <c:val>
            <c:numRef>
              <c:f>patients!$R$2:$R$22</c:f>
              <c:numCache>
                <c:formatCode>General</c:formatCode>
                <c:ptCount val="20"/>
                <c:pt idx="0">
                  <c:v>410520</c:v>
                </c:pt>
                <c:pt idx="1">
                  <c:v>423220</c:v>
                </c:pt>
                <c:pt idx="2">
                  <c:v>424237</c:v>
                </c:pt>
                <c:pt idx="3">
                  <c:v>411778</c:v>
                </c:pt>
                <c:pt idx="4">
                  <c:v>387599</c:v>
                </c:pt>
                <c:pt idx="5">
                  <c:v>400255</c:v>
                </c:pt>
                <c:pt idx="6">
                  <c:v>414471</c:v>
                </c:pt>
                <c:pt idx="7">
                  <c:v>390573</c:v>
                </c:pt>
                <c:pt idx="8">
                  <c:v>368127</c:v>
                </c:pt>
                <c:pt idx="9">
                  <c:v>330529</c:v>
                </c:pt>
                <c:pt idx="10">
                  <c:v>382069</c:v>
                </c:pt>
                <c:pt idx="11">
                  <c:v>382913</c:v>
                </c:pt>
                <c:pt idx="12">
                  <c:v>366756</c:v>
                </c:pt>
                <c:pt idx="13">
                  <c:v>385884</c:v>
                </c:pt>
                <c:pt idx="14">
                  <c:v>391598</c:v>
                </c:pt>
                <c:pt idx="15">
                  <c:v>367179</c:v>
                </c:pt>
                <c:pt idx="16">
                  <c:v>343040</c:v>
                </c:pt>
                <c:pt idx="17">
                  <c:v>368974</c:v>
                </c:pt>
                <c:pt idx="18">
                  <c:v>390081</c:v>
                </c:pt>
                <c:pt idx="19">
                  <c:v>382063</c:v>
                </c:pt>
              </c:numCache>
            </c:numRef>
          </c:val>
          <c:smooth val="0"/>
          <c:extLst>
            <c:ext xmlns:c16="http://schemas.microsoft.com/office/drawing/2014/chart" uri="{C3380CC4-5D6E-409C-BE32-E72D297353CC}">
              <c16:uniqueId val="{00000001-4FFC-447A-A2A5-A1CBBA48D575}"/>
            </c:ext>
          </c:extLst>
        </c:ser>
        <c:ser>
          <c:idx val="2"/>
          <c:order val="2"/>
          <c:tx>
            <c:strRef>
              <c:f>patients!$S$1</c:f>
              <c:strCache>
                <c:ptCount val="1"/>
                <c:pt idx="0">
                  <c:v>Initiating patients - first time initiators</c:v>
                </c:pt>
              </c:strCache>
            </c:strRef>
          </c:tx>
          <c:spPr>
            <a:ln w="28575" cap="rnd">
              <a:solidFill>
                <a:schemeClr val="accent3"/>
              </a:solidFill>
              <a:round/>
            </a:ln>
            <a:effectLst/>
          </c:spPr>
          <c:marker>
            <c:symbol val="none"/>
          </c:marker>
          <c:cat>
            <c:strRef>
              <c:f>patients!$P$2:$P$22</c:f>
              <c:strCache>
                <c:ptCount val="20"/>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strCache>
            </c:strRef>
          </c:cat>
          <c:val>
            <c:numRef>
              <c:f>patients!$S$2:$S$22</c:f>
              <c:numCache>
                <c:formatCode>General</c:formatCode>
                <c:ptCount val="20"/>
                <c:pt idx="0">
                  <c:v>400592</c:v>
                </c:pt>
                <c:pt idx="1">
                  <c:v>393940</c:v>
                </c:pt>
                <c:pt idx="2">
                  <c:v>376942</c:v>
                </c:pt>
                <c:pt idx="3">
                  <c:v>350345</c:v>
                </c:pt>
                <c:pt idx="4">
                  <c:v>316590</c:v>
                </c:pt>
                <c:pt idx="5">
                  <c:v>314965</c:v>
                </c:pt>
                <c:pt idx="6">
                  <c:v>314267</c:v>
                </c:pt>
                <c:pt idx="7">
                  <c:v>284985</c:v>
                </c:pt>
                <c:pt idx="8">
                  <c:v>259030</c:v>
                </c:pt>
                <c:pt idx="9">
                  <c:v>220941</c:v>
                </c:pt>
                <c:pt idx="10">
                  <c:v>250098</c:v>
                </c:pt>
                <c:pt idx="11">
                  <c:v>242874</c:v>
                </c:pt>
                <c:pt idx="12">
                  <c:v>224955</c:v>
                </c:pt>
                <c:pt idx="13">
                  <c:v>230367</c:v>
                </c:pt>
                <c:pt idx="14">
                  <c:v>226195</c:v>
                </c:pt>
                <c:pt idx="15">
                  <c:v>207019</c:v>
                </c:pt>
                <c:pt idx="16">
                  <c:v>188880</c:v>
                </c:pt>
                <c:pt idx="17">
                  <c:v>199577</c:v>
                </c:pt>
                <c:pt idx="18">
                  <c:v>206425</c:v>
                </c:pt>
                <c:pt idx="19">
                  <c:v>197157</c:v>
                </c:pt>
              </c:numCache>
            </c:numRef>
          </c:val>
          <c:smooth val="0"/>
          <c:extLst>
            <c:ext xmlns:c16="http://schemas.microsoft.com/office/drawing/2014/chart" uri="{C3380CC4-5D6E-409C-BE32-E72D297353CC}">
              <c16:uniqueId val="{00000002-4FFC-447A-A2A5-A1CBBA48D575}"/>
            </c:ext>
          </c:extLst>
        </c:ser>
        <c:dLbls>
          <c:showLegendKey val="0"/>
          <c:showVal val="0"/>
          <c:showCatName val="0"/>
          <c:showSerName val="0"/>
          <c:showPercent val="0"/>
          <c:showBubbleSize val="0"/>
        </c:dLbls>
        <c:smooth val="0"/>
        <c:axId val="872555064"/>
        <c:axId val="872559656"/>
      </c:lineChart>
      <c:catAx>
        <c:axId val="872555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559656"/>
        <c:crosses val="autoZero"/>
        <c:auto val="1"/>
        <c:lblAlgn val="ctr"/>
        <c:lblOffset val="100"/>
        <c:noMultiLvlLbl val="0"/>
      </c:catAx>
      <c:valAx>
        <c:axId val="872559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555064"/>
        <c:crosses val="autoZero"/>
        <c:crossBetween val="between"/>
      </c:valAx>
      <c:spPr>
        <a:noFill/>
        <a:ln>
          <a:noFill/>
        </a:ln>
        <a:effectLst/>
      </c:spPr>
    </c:plotArea>
    <c:legend>
      <c:legendPos val="b"/>
      <c:layout>
        <c:manualLayout>
          <c:xMode val="edge"/>
          <c:yMode val="edge"/>
          <c:x val="0.20066724063710722"/>
          <c:y val="0.86842167805947335"/>
          <c:w val="0.59436074042186826"/>
          <c:h val="0.113519656196821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23.xlsx]DDDs!PivotTable1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DDDs!$X$1:$X$2</c:f>
              <c:strCache>
                <c:ptCount val="1"/>
                <c:pt idx="0">
                  <c:v>BUPRENORPHINE</c:v>
                </c:pt>
              </c:strCache>
            </c:strRef>
          </c:tx>
          <c:spPr>
            <a:ln w="28575" cap="rnd">
              <a:solidFill>
                <a:schemeClr val="accent1"/>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DDDs!$X$3:$X$31</c:f>
              <c:numCache>
                <c:formatCode>General</c:formatCode>
                <c:ptCount val="28"/>
                <c:pt idx="0">
                  <c:v>1474016.6</c:v>
                </c:pt>
                <c:pt idx="1">
                  <c:v>1537546.5</c:v>
                </c:pt>
                <c:pt idx="2">
                  <c:v>1601819.0999999999</c:v>
                </c:pt>
                <c:pt idx="3">
                  <c:v>1658977.1</c:v>
                </c:pt>
                <c:pt idx="4">
                  <c:v>1562892.6</c:v>
                </c:pt>
                <c:pt idx="5">
                  <c:v>1584855.6</c:v>
                </c:pt>
                <c:pt idx="6">
                  <c:v>1573045.8</c:v>
                </c:pt>
                <c:pt idx="7">
                  <c:v>1606139.1</c:v>
                </c:pt>
                <c:pt idx="8">
                  <c:v>1568039.3</c:v>
                </c:pt>
                <c:pt idx="9">
                  <c:v>1571690.8</c:v>
                </c:pt>
                <c:pt idx="10">
                  <c:v>1547749.1</c:v>
                </c:pt>
                <c:pt idx="11">
                  <c:v>1595412.2</c:v>
                </c:pt>
                <c:pt idx="12">
                  <c:v>1507113.9000000001</c:v>
                </c:pt>
                <c:pt idx="13">
                  <c:v>1535043.3</c:v>
                </c:pt>
                <c:pt idx="14">
                  <c:v>1534125.5999999999</c:v>
                </c:pt>
                <c:pt idx="15">
                  <c:v>1554717.9000000001</c:v>
                </c:pt>
                <c:pt idx="16">
                  <c:v>1509478.0999999999</c:v>
                </c:pt>
                <c:pt idx="17">
                  <c:v>1471534</c:v>
                </c:pt>
                <c:pt idx="18">
                  <c:v>1497593.5</c:v>
                </c:pt>
                <c:pt idx="19">
                  <c:v>1532112.4</c:v>
                </c:pt>
                <c:pt idx="20">
                  <c:v>1447936.2</c:v>
                </c:pt>
                <c:pt idx="21">
                  <c:v>1440256</c:v>
                </c:pt>
                <c:pt idx="22">
                  <c:v>1455333.8</c:v>
                </c:pt>
                <c:pt idx="23">
                  <c:v>1478735.3</c:v>
                </c:pt>
                <c:pt idx="24">
                  <c:v>1396785.9</c:v>
                </c:pt>
                <c:pt idx="25">
                  <c:v>1453177.9</c:v>
                </c:pt>
                <c:pt idx="26">
                  <c:v>1445741.8</c:v>
                </c:pt>
                <c:pt idx="27">
                  <c:v>1469933.8</c:v>
                </c:pt>
              </c:numCache>
            </c:numRef>
          </c:val>
          <c:smooth val="0"/>
          <c:extLst>
            <c:ext xmlns:c16="http://schemas.microsoft.com/office/drawing/2014/chart" uri="{C3380CC4-5D6E-409C-BE32-E72D297353CC}">
              <c16:uniqueId val="{00000000-3890-4B66-98B4-876E19B708F3}"/>
            </c:ext>
          </c:extLst>
        </c:ser>
        <c:ser>
          <c:idx val="1"/>
          <c:order val="1"/>
          <c:tx>
            <c:strRef>
              <c:f>DDDs!$Y$1:$Y$2</c:f>
              <c:strCache>
                <c:ptCount val="1"/>
                <c:pt idx="0">
                  <c:v>CODEINE</c:v>
                </c:pt>
              </c:strCache>
            </c:strRef>
          </c:tx>
          <c:spPr>
            <a:ln w="28575" cap="rnd">
              <a:solidFill>
                <a:schemeClr val="accent2"/>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DDDs!$Y$3:$Y$31</c:f>
              <c:numCache>
                <c:formatCode>General</c:formatCode>
                <c:ptCount val="28"/>
                <c:pt idx="0">
                  <c:v>274258.2</c:v>
                </c:pt>
                <c:pt idx="1">
                  <c:v>289981.19999999995</c:v>
                </c:pt>
                <c:pt idx="2">
                  <c:v>296484.3</c:v>
                </c:pt>
                <c:pt idx="3">
                  <c:v>295588.5</c:v>
                </c:pt>
                <c:pt idx="4">
                  <c:v>269884.79999999999</c:v>
                </c:pt>
                <c:pt idx="5">
                  <c:v>273275.09999999998</c:v>
                </c:pt>
                <c:pt idx="6">
                  <c:v>274115.7</c:v>
                </c:pt>
                <c:pt idx="7">
                  <c:v>270033.3</c:v>
                </c:pt>
                <c:pt idx="8">
                  <c:v>261342.3</c:v>
                </c:pt>
                <c:pt idx="9">
                  <c:v>271718.10000000003</c:v>
                </c:pt>
                <c:pt idx="10">
                  <c:v>266105.09999999998</c:v>
                </c:pt>
                <c:pt idx="11">
                  <c:v>273903</c:v>
                </c:pt>
                <c:pt idx="12">
                  <c:v>249452.1</c:v>
                </c:pt>
                <c:pt idx="13">
                  <c:v>260975.4</c:v>
                </c:pt>
                <c:pt idx="14">
                  <c:v>269265.59999999998</c:v>
                </c:pt>
                <c:pt idx="15">
                  <c:v>264830.09999999998</c:v>
                </c:pt>
                <c:pt idx="16">
                  <c:v>255694.5</c:v>
                </c:pt>
                <c:pt idx="17">
                  <c:v>231761.4</c:v>
                </c:pt>
                <c:pt idx="18">
                  <c:v>165981.6</c:v>
                </c:pt>
                <c:pt idx="19">
                  <c:v>185756.40000000002</c:v>
                </c:pt>
                <c:pt idx="20">
                  <c:v>182845.5</c:v>
                </c:pt>
                <c:pt idx="21">
                  <c:v>190925.69999999998</c:v>
                </c:pt>
                <c:pt idx="22">
                  <c:v>192229.2</c:v>
                </c:pt>
                <c:pt idx="23">
                  <c:v>190555.80000000002</c:v>
                </c:pt>
                <c:pt idx="24">
                  <c:v>180406.80000000002</c:v>
                </c:pt>
                <c:pt idx="25">
                  <c:v>190126.8</c:v>
                </c:pt>
                <c:pt idx="26">
                  <c:v>192712.19999999998</c:v>
                </c:pt>
                <c:pt idx="27">
                  <c:v>192717</c:v>
                </c:pt>
              </c:numCache>
            </c:numRef>
          </c:val>
          <c:smooth val="0"/>
          <c:extLst>
            <c:ext xmlns:c16="http://schemas.microsoft.com/office/drawing/2014/chart" uri="{C3380CC4-5D6E-409C-BE32-E72D297353CC}">
              <c16:uniqueId val="{00000001-3890-4B66-98B4-876E19B708F3}"/>
            </c:ext>
          </c:extLst>
        </c:ser>
        <c:ser>
          <c:idx val="2"/>
          <c:order val="2"/>
          <c:tx>
            <c:strRef>
              <c:f>DDDs!$Z$1:$Z$2</c:f>
              <c:strCache>
                <c:ptCount val="1"/>
                <c:pt idx="0">
                  <c:v>FENTANYL</c:v>
                </c:pt>
              </c:strCache>
            </c:strRef>
          </c:tx>
          <c:spPr>
            <a:ln w="28575" cap="rnd">
              <a:solidFill>
                <a:schemeClr val="accent3"/>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DDDs!$Z$3:$Z$31</c:f>
              <c:numCache>
                <c:formatCode>General</c:formatCode>
                <c:ptCount val="28"/>
                <c:pt idx="0">
                  <c:v>2382761.1599996635</c:v>
                </c:pt>
                <c:pt idx="1">
                  <c:v>2373405.8400000096</c:v>
                </c:pt>
                <c:pt idx="2">
                  <c:v>2323273.8799997233</c:v>
                </c:pt>
                <c:pt idx="3">
                  <c:v>2327398.0133330021</c:v>
                </c:pt>
                <c:pt idx="4">
                  <c:v>2175151.1666665999</c:v>
                </c:pt>
                <c:pt idx="5">
                  <c:v>2152628.3399999361</c:v>
                </c:pt>
                <c:pt idx="6">
                  <c:v>2087400.5400000701</c:v>
                </c:pt>
                <c:pt idx="7">
                  <c:v>2043333.0400000433</c:v>
                </c:pt>
                <c:pt idx="8">
                  <c:v>1879372.02</c:v>
                </c:pt>
                <c:pt idx="9">
                  <c:v>1796990.0333331968</c:v>
                </c:pt>
                <c:pt idx="10">
                  <c:v>1696911.213333393</c:v>
                </c:pt>
                <c:pt idx="11">
                  <c:v>1652760.4933333299</c:v>
                </c:pt>
                <c:pt idx="12">
                  <c:v>1478278.959999636</c:v>
                </c:pt>
                <c:pt idx="13">
                  <c:v>1436081.98</c:v>
                </c:pt>
                <c:pt idx="14">
                  <c:v>1383776.7866667069</c:v>
                </c:pt>
                <c:pt idx="15">
                  <c:v>1348760.4600001301</c:v>
                </c:pt>
                <c:pt idx="16">
                  <c:v>1228385.7933332731</c:v>
                </c:pt>
                <c:pt idx="17">
                  <c:v>1163030.6799999271</c:v>
                </c:pt>
                <c:pt idx="18">
                  <c:v>1112240.7933334631</c:v>
                </c:pt>
                <c:pt idx="19">
                  <c:v>1099152.8666665589</c:v>
                </c:pt>
                <c:pt idx="20">
                  <c:v>992586.86666657287</c:v>
                </c:pt>
                <c:pt idx="21">
                  <c:v>961867.54666696407</c:v>
                </c:pt>
                <c:pt idx="22">
                  <c:v>961185.52666636312</c:v>
                </c:pt>
                <c:pt idx="23">
                  <c:v>934531.44666660379</c:v>
                </c:pt>
                <c:pt idx="24">
                  <c:v>845644.70000002999</c:v>
                </c:pt>
                <c:pt idx="25">
                  <c:v>825660.43999993301</c:v>
                </c:pt>
                <c:pt idx="26">
                  <c:v>814466.22666649998</c:v>
                </c:pt>
                <c:pt idx="27">
                  <c:v>797519.95333343348</c:v>
                </c:pt>
              </c:numCache>
            </c:numRef>
          </c:val>
          <c:smooth val="0"/>
          <c:extLst>
            <c:ext xmlns:c16="http://schemas.microsoft.com/office/drawing/2014/chart" uri="{C3380CC4-5D6E-409C-BE32-E72D297353CC}">
              <c16:uniqueId val="{00000002-3890-4B66-98B4-876E19B708F3}"/>
            </c:ext>
          </c:extLst>
        </c:ser>
        <c:ser>
          <c:idx val="3"/>
          <c:order val="3"/>
          <c:tx>
            <c:strRef>
              <c:f>DDDs!$AA$1:$AA$2</c:f>
              <c:strCache>
                <c:ptCount val="1"/>
                <c:pt idx="0">
                  <c:v>GABAPENTIN</c:v>
                </c:pt>
              </c:strCache>
            </c:strRef>
          </c:tx>
          <c:spPr>
            <a:ln w="28575" cap="rnd">
              <a:solidFill>
                <a:schemeClr val="accent4"/>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DDDs!$AA$3:$AA$31</c:f>
              <c:numCache>
                <c:formatCode>General</c:formatCode>
                <c:ptCount val="28"/>
                <c:pt idx="0">
                  <c:v>29344.555555899999</c:v>
                </c:pt>
                <c:pt idx="1">
                  <c:v>27116.722221900003</c:v>
                </c:pt>
                <c:pt idx="2">
                  <c:v>27446.111110700003</c:v>
                </c:pt>
                <c:pt idx="3">
                  <c:v>26022.444444799996</c:v>
                </c:pt>
                <c:pt idx="4">
                  <c:v>21855.666666699999</c:v>
                </c:pt>
                <c:pt idx="5">
                  <c:v>20011.111111099995</c:v>
                </c:pt>
                <c:pt idx="6">
                  <c:v>17316.666666700003</c:v>
                </c:pt>
                <c:pt idx="7">
                  <c:v>18833.333333300001</c:v>
                </c:pt>
                <c:pt idx="8">
                  <c:v>17416.666666699999</c:v>
                </c:pt>
                <c:pt idx="9">
                  <c:v>16845.277777799998</c:v>
                </c:pt>
                <c:pt idx="10">
                  <c:v>16147.277777799998</c:v>
                </c:pt>
                <c:pt idx="11">
                  <c:v>18846.666666699999</c:v>
                </c:pt>
                <c:pt idx="12">
                  <c:v>17807.1111112</c:v>
                </c:pt>
                <c:pt idx="13">
                  <c:v>16609.999999899999</c:v>
                </c:pt>
                <c:pt idx="14">
                  <c:v>18750.555555500003</c:v>
                </c:pt>
                <c:pt idx="15">
                  <c:v>20212.222222299999</c:v>
                </c:pt>
                <c:pt idx="16">
                  <c:v>20276.111111099999</c:v>
                </c:pt>
                <c:pt idx="17">
                  <c:v>17861.111111099999</c:v>
                </c:pt>
                <c:pt idx="18">
                  <c:v>19455.222222300003</c:v>
                </c:pt>
                <c:pt idx="19">
                  <c:v>24364.888888500001</c:v>
                </c:pt>
                <c:pt idx="20">
                  <c:v>21161.111111099999</c:v>
                </c:pt>
                <c:pt idx="21">
                  <c:v>19363.444444500001</c:v>
                </c:pt>
                <c:pt idx="22">
                  <c:v>18950</c:v>
                </c:pt>
                <c:pt idx="23">
                  <c:v>20205.555555499999</c:v>
                </c:pt>
                <c:pt idx="24">
                  <c:v>17467.777777800002</c:v>
                </c:pt>
                <c:pt idx="25">
                  <c:v>15766.666666600002</c:v>
                </c:pt>
                <c:pt idx="26">
                  <c:v>16025.55555546</c:v>
                </c:pt>
                <c:pt idx="27">
                  <c:v>21616.333333300001</c:v>
                </c:pt>
              </c:numCache>
            </c:numRef>
          </c:val>
          <c:smooth val="0"/>
          <c:extLst>
            <c:ext xmlns:c16="http://schemas.microsoft.com/office/drawing/2014/chart" uri="{C3380CC4-5D6E-409C-BE32-E72D297353CC}">
              <c16:uniqueId val="{00000003-3890-4B66-98B4-876E19B708F3}"/>
            </c:ext>
          </c:extLst>
        </c:ser>
        <c:ser>
          <c:idx val="4"/>
          <c:order val="4"/>
          <c:tx>
            <c:strRef>
              <c:f>DDDs!$AB$1:$AB$2</c:f>
              <c:strCache>
                <c:ptCount val="1"/>
                <c:pt idx="0">
                  <c:v>HYDROMORPHONE</c:v>
                </c:pt>
              </c:strCache>
            </c:strRef>
          </c:tx>
          <c:spPr>
            <a:ln w="28575" cap="rnd">
              <a:solidFill>
                <a:schemeClr val="accent5"/>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DDDs!$AB$3:$AB$31</c:f>
              <c:numCache>
                <c:formatCode>General</c:formatCode>
                <c:ptCount val="28"/>
                <c:pt idx="0">
                  <c:v>733246.04999999981</c:v>
                </c:pt>
                <c:pt idx="1">
                  <c:v>742605.6</c:v>
                </c:pt>
                <c:pt idx="2">
                  <c:v>745673.89999999991</c:v>
                </c:pt>
                <c:pt idx="3">
                  <c:v>744084.75</c:v>
                </c:pt>
                <c:pt idx="4">
                  <c:v>705588.45</c:v>
                </c:pt>
                <c:pt idx="5">
                  <c:v>692131.39999999991</c:v>
                </c:pt>
                <c:pt idx="6">
                  <c:v>698087.2</c:v>
                </c:pt>
                <c:pt idx="7">
                  <c:v>735462.29999999993</c:v>
                </c:pt>
                <c:pt idx="8">
                  <c:v>693337.59999999998</c:v>
                </c:pt>
                <c:pt idx="9">
                  <c:v>697079.25</c:v>
                </c:pt>
                <c:pt idx="10">
                  <c:v>684828.35</c:v>
                </c:pt>
                <c:pt idx="11">
                  <c:v>679612.2</c:v>
                </c:pt>
                <c:pt idx="12">
                  <c:v>637861.80000000005</c:v>
                </c:pt>
                <c:pt idx="13">
                  <c:v>623897.25</c:v>
                </c:pt>
                <c:pt idx="14">
                  <c:v>596992.69999999995</c:v>
                </c:pt>
                <c:pt idx="15">
                  <c:v>614373.4</c:v>
                </c:pt>
                <c:pt idx="16">
                  <c:v>582244.70000000007</c:v>
                </c:pt>
                <c:pt idx="17">
                  <c:v>590659.6</c:v>
                </c:pt>
                <c:pt idx="18">
                  <c:v>593612.20000000007</c:v>
                </c:pt>
                <c:pt idx="19">
                  <c:v>596006.40000000002</c:v>
                </c:pt>
                <c:pt idx="20">
                  <c:v>536680.29999999993</c:v>
                </c:pt>
                <c:pt idx="21">
                  <c:v>512609.83000000007</c:v>
                </c:pt>
                <c:pt idx="22">
                  <c:v>526031.43000000005</c:v>
                </c:pt>
                <c:pt idx="23">
                  <c:v>519419.81</c:v>
                </c:pt>
                <c:pt idx="24">
                  <c:v>464099.68000000005</c:v>
                </c:pt>
                <c:pt idx="25">
                  <c:v>444822.10999999993</c:v>
                </c:pt>
                <c:pt idx="26">
                  <c:v>5701198.7000000002</c:v>
                </c:pt>
                <c:pt idx="27">
                  <c:v>9278693.5999999996</c:v>
                </c:pt>
              </c:numCache>
            </c:numRef>
          </c:val>
          <c:smooth val="0"/>
          <c:extLst>
            <c:ext xmlns:c16="http://schemas.microsoft.com/office/drawing/2014/chart" uri="{C3380CC4-5D6E-409C-BE32-E72D297353CC}">
              <c16:uniqueId val="{00000004-3890-4B66-98B4-876E19B708F3}"/>
            </c:ext>
          </c:extLst>
        </c:ser>
        <c:ser>
          <c:idx val="5"/>
          <c:order val="5"/>
          <c:tx>
            <c:strRef>
              <c:f>DDDs!$AC$1:$AC$2</c:f>
              <c:strCache>
                <c:ptCount val="1"/>
                <c:pt idx="0">
                  <c:v>METHADONE</c:v>
                </c:pt>
              </c:strCache>
            </c:strRef>
          </c:tx>
          <c:spPr>
            <a:ln w="28575" cap="rnd">
              <a:solidFill>
                <a:schemeClr val="accent6"/>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DDDs!$AC$3:$AC$31</c:f>
              <c:numCache>
                <c:formatCode>General</c:formatCode>
                <c:ptCount val="28"/>
                <c:pt idx="0">
                  <c:v>727752.8</c:v>
                </c:pt>
                <c:pt idx="1">
                  <c:v>740420</c:v>
                </c:pt>
                <c:pt idx="2">
                  <c:v>748336.4</c:v>
                </c:pt>
                <c:pt idx="3">
                  <c:v>740956.8</c:v>
                </c:pt>
                <c:pt idx="4">
                  <c:v>697376</c:v>
                </c:pt>
                <c:pt idx="5">
                  <c:v>706521.59999999998</c:v>
                </c:pt>
                <c:pt idx="6">
                  <c:v>704131.20000000007</c:v>
                </c:pt>
                <c:pt idx="7">
                  <c:v>807054</c:v>
                </c:pt>
                <c:pt idx="8">
                  <c:v>669373.20000000007</c:v>
                </c:pt>
                <c:pt idx="9">
                  <c:v>686366.39999999991</c:v>
                </c:pt>
                <c:pt idx="10">
                  <c:v>673628.79999999993</c:v>
                </c:pt>
                <c:pt idx="11">
                  <c:v>684369.6</c:v>
                </c:pt>
                <c:pt idx="12">
                  <c:v>632337.6</c:v>
                </c:pt>
                <c:pt idx="13">
                  <c:v>633783.20000000007</c:v>
                </c:pt>
                <c:pt idx="14">
                  <c:v>640362.79999999993</c:v>
                </c:pt>
                <c:pt idx="15">
                  <c:v>636052</c:v>
                </c:pt>
                <c:pt idx="16">
                  <c:v>608636.79999999993</c:v>
                </c:pt>
                <c:pt idx="17">
                  <c:v>629993.19999999995</c:v>
                </c:pt>
                <c:pt idx="18">
                  <c:v>618331.6</c:v>
                </c:pt>
                <c:pt idx="19">
                  <c:v>621618</c:v>
                </c:pt>
                <c:pt idx="20">
                  <c:v>618378.79999999993</c:v>
                </c:pt>
                <c:pt idx="21">
                  <c:v>628795.19999999995</c:v>
                </c:pt>
                <c:pt idx="22">
                  <c:v>669654.00000000012</c:v>
                </c:pt>
                <c:pt idx="23">
                  <c:v>683140.79999999993</c:v>
                </c:pt>
                <c:pt idx="24">
                  <c:v>520692</c:v>
                </c:pt>
                <c:pt idx="25">
                  <c:v>548460.80000000005</c:v>
                </c:pt>
                <c:pt idx="26">
                  <c:v>512990.80000000005</c:v>
                </c:pt>
                <c:pt idx="27">
                  <c:v>519568</c:v>
                </c:pt>
              </c:numCache>
            </c:numRef>
          </c:val>
          <c:smooth val="0"/>
          <c:extLst>
            <c:ext xmlns:c16="http://schemas.microsoft.com/office/drawing/2014/chart" uri="{C3380CC4-5D6E-409C-BE32-E72D297353CC}">
              <c16:uniqueId val="{00000005-3890-4B66-98B4-876E19B708F3}"/>
            </c:ext>
          </c:extLst>
        </c:ser>
        <c:ser>
          <c:idx val="6"/>
          <c:order val="6"/>
          <c:tx>
            <c:strRef>
              <c:f>DDDs!$AD$1:$AD$2</c:f>
              <c:strCache>
                <c:ptCount val="1"/>
                <c:pt idx="0">
                  <c:v>MORPHINE</c:v>
                </c:pt>
              </c:strCache>
            </c:strRef>
          </c:tx>
          <c:spPr>
            <a:ln w="28575" cap="rnd">
              <a:solidFill>
                <a:schemeClr val="accent1">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DDDs!$AD$3:$AD$31</c:f>
              <c:numCache>
                <c:formatCode>General</c:formatCode>
                <c:ptCount val="28"/>
                <c:pt idx="0">
                  <c:v>1891643.0833330003</c:v>
                </c:pt>
                <c:pt idx="1">
                  <c:v>1886655.2833336673</c:v>
                </c:pt>
                <c:pt idx="2">
                  <c:v>1864701.9000003366</c:v>
                </c:pt>
                <c:pt idx="3">
                  <c:v>1835025.8333333</c:v>
                </c:pt>
                <c:pt idx="4">
                  <c:v>1720423.65</c:v>
                </c:pt>
                <c:pt idx="5">
                  <c:v>1720884.0333330696</c:v>
                </c:pt>
                <c:pt idx="6">
                  <c:v>1690735.2500005998</c:v>
                </c:pt>
                <c:pt idx="7">
                  <c:v>1671224.6000006001</c:v>
                </c:pt>
                <c:pt idx="8">
                  <c:v>1568723.5500006999</c:v>
                </c:pt>
                <c:pt idx="9">
                  <c:v>1553594.8666673</c:v>
                </c:pt>
                <c:pt idx="10">
                  <c:v>1482202.8833326001</c:v>
                </c:pt>
                <c:pt idx="11">
                  <c:v>1482331.1999995997</c:v>
                </c:pt>
                <c:pt idx="12">
                  <c:v>1363825.9666673001</c:v>
                </c:pt>
                <c:pt idx="13">
                  <c:v>1347444.6333331005</c:v>
                </c:pt>
                <c:pt idx="14">
                  <c:v>1327089.4333326002</c:v>
                </c:pt>
                <c:pt idx="15">
                  <c:v>1334822.8333337002</c:v>
                </c:pt>
                <c:pt idx="16">
                  <c:v>1244927.7333329997</c:v>
                </c:pt>
                <c:pt idx="17">
                  <c:v>1257690.5666666306</c:v>
                </c:pt>
                <c:pt idx="18">
                  <c:v>1199297.7500003001</c:v>
                </c:pt>
                <c:pt idx="19">
                  <c:v>1193335.6499999333</c:v>
                </c:pt>
                <c:pt idx="20">
                  <c:v>1096871.8000006001</c:v>
                </c:pt>
                <c:pt idx="21">
                  <c:v>1101609.0833334376</c:v>
                </c:pt>
                <c:pt idx="22">
                  <c:v>1128913.6833337003</c:v>
                </c:pt>
                <c:pt idx="23">
                  <c:v>1103513.2000002996</c:v>
                </c:pt>
                <c:pt idx="24">
                  <c:v>1020330.7000003299</c:v>
                </c:pt>
                <c:pt idx="25">
                  <c:v>1048671.8833333</c:v>
                </c:pt>
                <c:pt idx="26">
                  <c:v>1043392.2500003302</c:v>
                </c:pt>
                <c:pt idx="27">
                  <c:v>1003557.8833336998</c:v>
                </c:pt>
              </c:numCache>
            </c:numRef>
          </c:val>
          <c:smooth val="0"/>
          <c:extLst>
            <c:ext xmlns:c16="http://schemas.microsoft.com/office/drawing/2014/chart" uri="{C3380CC4-5D6E-409C-BE32-E72D297353CC}">
              <c16:uniqueId val="{00000006-3890-4B66-98B4-876E19B708F3}"/>
            </c:ext>
          </c:extLst>
        </c:ser>
        <c:ser>
          <c:idx val="7"/>
          <c:order val="7"/>
          <c:tx>
            <c:strRef>
              <c:f>DDDs!$AE$1:$AE$2</c:f>
              <c:strCache>
                <c:ptCount val="1"/>
                <c:pt idx="0">
                  <c:v>OXYCODONE</c:v>
                </c:pt>
              </c:strCache>
            </c:strRef>
          </c:tx>
          <c:spPr>
            <a:ln w="28575" cap="rnd">
              <a:solidFill>
                <a:schemeClr val="accent2">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DDDs!$AE$3:$AE$31</c:f>
              <c:numCache>
                <c:formatCode>General</c:formatCode>
                <c:ptCount val="28"/>
                <c:pt idx="0">
                  <c:v>4375753.6666966677</c:v>
                </c:pt>
                <c:pt idx="1">
                  <c:v>4417523.1333733341</c:v>
                </c:pt>
                <c:pt idx="2">
                  <c:v>4374233.0000196667</c:v>
                </c:pt>
                <c:pt idx="3">
                  <c:v>4356158.2667106995</c:v>
                </c:pt>
                <c:pt idx="4">
                  <c:v>4107989.999956667</c:v>
                </c:pt>
                <c:pt idx="5">
                  <c:v>4115350.3332973663</c:v>
                </c:pt>
                <c:pt idx="6">
                  <c:v>4028206.6666259654</c:v>
                </c:pt>
                <c:pt idx="7">
                  <c:v>3956135.9333007005</c:v>
                </c:pt>
                <c:pt idx="8">
                  <c:v>3716150.4667066671</c:v>
                </c:pt>
                <c:pt idx="9">
                  <c:v>3683318.200033633</c:v>
                </c:pt>
                <c:pt idx="10">
                  <c:v>3549936.2666196665</c:v>
                </c:pt>
                <c:pt idx="11">
                  <c:v>3529775.6000237004</c:v>
                </c:pt>
                <c:pt idx="12">
                  <c:v>3244409.8666333333</c:v>
                </c:pt>
                <c:pt idx="13">
                  <c:v>3248455.3333196659</c:v>
                </c:pt>
                <c:pt idx="14">
                  <c:v>3188589.4667133004</c:v>
                </c:pt>
                <c:pt idx="15">
                  <c:v>3142801.0000260328</c:v>
                </c:pt>
                <c:pt idx="16">
                  <c:v>2980849.0000259997</c:v>
                </c:pt>
                <c:pt idx="17">
                  <c:v>2850908.9333363636</c:v>
                </c:pt>
                <c:pt idx="18">
                  <c:v>2820760.4666800741</c:v>
                </c:pt>
                <c:pt idx="19">
                  <c:v>2818155.800006967</c:v>
                </c:pt>
                <c:pt idx="20">
                  <c:v>2618276.9333366309</c:v>
                </c:pt>
                <c:pt idx="21">
                  <c:v>2631814.2000076068</c:v>
                </c:pt>
                <c:pt idx="22">
                  <c:v>2659235.8000076944</c:v>
                </c:pt>
                <c:pt idx="23">
                  <c:v>2603112.2000056705</c:v>
                </c:pt>
                <c:pt idx="24">
                  <c:v>2407684.8666729694</c:v>
                </c:pt>
                <c:pt idx="25">
                  <c:v>2849595.1999977306</c:v>
                </c:pt>
                <c:pt idx="26">
                  <c:v>2669497.3999947025</c:v>
                </c:pt>
                <c:pt idx="27">
                  <c:v>2581478.799994363</c:v>
                </c:pt>
              </c:numCache>
            </c:numRef>
          </c:val>
          <c:smooth val="0"/>
          <c:extLst>
            <c:ext xmlns:c16="http://schemas.microsoft.com/office/drawing/2014/chart" uri="{C3380CC4-5D6E-409C-BE32-E72D297353CC}">
              <c16:uniqueId val="{00000007-3890-4B66-98B4-876E19B708F3}"/>
            </c:ext>
          </c:extLst>
        </c:ser>
        <c:ser>
          <c:idx val="8"/>
          <c:order val="8"/>
          <c:tx>
            <c:strRef>
              <c:f>DDDs!$AF$1:$AF$2</c:f>
              <c:strCache>
                <c:ptCount val="1"/>
                <c:pt idx="0">
                  <c:v>OXYCODONE + NALOXONE</c:v>
                </c:pt>
              </c:strCache>
            </c:strRef>
          </c:tx>
          <c:spPr>
            <a:ln w="28575" cap="rnd">
              <a:solidFill>
                <a:schemeClr val="accent3">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DDDs!$AF$3:$AF$31</c:f>
              <c:numCache>
                <c:formatCode>General</c:formatCode>
                <c:ptCount val="28"/>
                <c:pt idx="0">
                  <c:v>2670.9623333300001</c:v>
                </c:pt>
                <c:pt idx="1">
                  <c:v>2859.4292333333001</c:v>
                </c:pt>
                <c:pt idx="2">
                  <c:v>2969.2888333370001</c:v>
                </c:pt>
                <c:pt idx="3">
                  <c:v>3093.3949000000002</c:v>
                </c:pt>
                <c:pt idx="4">
                  <c:v>3022.2009000029998</c:v>
                </c:pt>
                <c:pt idx="5">
                  <c:v>3162.9463999970003</c:v>
                </c:pt>
                <c:pt idx="6">
                  <c:v>3222.1001333269996</c:v>
                </c:pt>
                <c:pt idx="7">
                  <c:v>3291.1080333300001</c:v>
                </c:pt>
                <c:pt idx="8">
                  <c:v>3183.3628666639993</c:v>
                </c:pt>
                <c:pt idx="9">
                  <c:v>3220.6896666729999</c:v>
                </c:pt>
                <c:pt idx="10">
                  <c:v>3165.50866666</c:v>
                </c:pt>
                <c:pt idx="11">
                  <c:v>3211.4301999999993</c:v>
                </c:pt>
                <c:pt idx="12">
                  <c:v>2964.8477000030007</c:v>
                </c:pt>
                <c:pt idx="13">
                  <c:v>3001.2295000060003</c:v>
                </c:pt>
                <c:pt idx="14">
                  <c:v>2972.6317999960006</c:v>
                </c:pt>
                <c:pt idx="15">
                  <c:v>2956.3032000040007</c:v>
                </c:pt>
                <c:pt idx="16">
                  <c:v>2799.3397333359999</c:v>
                </c:pt>
                <c:pt idx="17">
                  <c:v>2708.8178000000007</c:v>
                </c:pt>
                <c:pt idx="18">
                  <c:v>2706.5516666699996</c:v>
                </c:pt>
                <c:pt idx="19">
                  <c:v>2712.1451000030002</c:v>
                </c:pt>
                <c:pt idx="20">
                  <c:v>2541.9004333329999</c:v>
                </c:pt>
                <c:pt idx="21">
                  <c:v>2545.0758000032997</c:v>
                </c:pt>
                <c:pt idx="22">
                  <c:v>2581.1332000102993</c:v>
                </c:pt>
                <c:pt idx="23">
                  <c:v>2552.9651333364</c:v>
                </c:pt>
                <c:pt idx="24">
                  <c:v>2296.258499992</c:v>
                </c:pt>
                <c:pt idx="25">
                  <c:v>1630.4547333290002</c:v>
                </c:pt>
                <c:pt idx="26">
                  <c:v>1880.1782000033998</c:v>
                </c:pt>
                <c:pt idx="27">
                  <c:v>1998.3913333406999</c:v>
                </c:pt>
              </c:numCache>
            </c:numRef>
          </c:val>
          <c:smooth val="0"/>
          <c:extLst>
            <c:ext xmlns:c16="http://schemas.microsoft.com/office/drawing/2014/chart" uri="{C3380CC4-5D6E-409C-BE32-E72D297353CC}">
              <c16:uniqueId val="{00000008-3890-4B66-98B4-876E19B708F3}"/>
            </c:ext>
          </c:extLst>
        </c:ser>
        <c:ser>
          <c:idx val="9"/>
          <c:order val="9"/>
          <c:tx>
            <c:strRef>
              <c:f>DDDs!$AG$1:$AG$2</c:f>
              <c:strCache>
                <c:ptCount val="1"/>
                <c:pt idx="0">
                  <c:v>PARACETAMOL + CODEINE</c:v>
                </c:pt>
              </c:strCache>
            </c:strRef>
          </c:tx>
          <c:spPr>
            <a:ln w="28575" cap="rnd">
              <a:solidFill>
                <a:schemeClr val="accent4">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DDDs!$AG$3:$AG$31</c:f>
              <c:numCache>
                <c:formatCode>General</c:formatCode>
                <c:ptCount val="28"/>
                <c:pt idx="0">
                  <c:v>12756795.300000001</c:v>
                </c:pt>
                <c:pt idx="1">
                  <c:v>13851967.800000001</c:v>
                </c:pt>
                <c:pt idx="2">
                  <c:v>14326147.5</c:v>
                </c:pt>
                <c:pt idx="3">
                  <c:v>15025547.699999999</c:v>
                </c:pt>
                <c:pt idx="4">
                  <c:v>12770371.800000001</c:v>
                </c:pt>
                <c:pt idx="5">
                  <c:v>13751358</c:v>
                </c:pt>
                <c:pt idx="6">
                  <c:v>13911342.300000001</c:v>
                </c:pt>
                <c:pt idx="7">
                  <c:v>14402257.800000001</c:v>
                </c:pt>
                <c:pt idx="8">
                  <c:v>13368819.9</c:v>
                </c:pt>
                <c:pt idx="9">
                  <c:v>14460207.899999999</c:v>
                </c:pt>
                <c:pt idx="10">
                  <c:v>14432724.300000001</c:v>
                </c:pt>
                <c:pt idx="11">
                  <c:v>15111945.299999999</c:v>
                </c:pt>
                <c:pt idx="12">
                  <c:v>13156141.200000001</c:v>
                </c:pt>
                <c:pt idx="13">
                  <c:v>13981233.6</c:v>
                </c:pt>
                <c:pt idx="14">
                  <c:v>14239142.100000001</c:v>
                </c:pt>
                <c:pt idx="15">
                  <c:v>14554203.299999999</c:v>
                </c:pt>
                <c:pt idx="16">
                  <c:v>13373171.1</c:v>
                </c:pt>
                <c:pt idx="17">
                  <c:v>12673675.199999999</c:v>
                </c:pt>
                <c:pt idx="18">
                  <c:v>11791719.9</c:v>
                </c:pt>
                <c:pt idx="19">
                  <c:v>11300001.600000001</c:v>
                </c:pt>
                <c:pt idx="20">
                  <c:v>10067108.399999999</c:v>
                </c:pt>
                <c:pt idx="21">
                  <c:v>10215741.6</c:v>
                </c:pt>
                <c:pt idx="22">
                  <c:v>10365972.9</c:v>
                </c:pt>
                <c:pt idx="23">
                  <c:v>10208062.5</c:v>
                </c:pt>
                <c:pt idx="24">
                  <c:v>9322047.2999999989</c:v>
                </c:pt>
                <c:pt idx="25">
                  <c:v>9551367.9000000004</c:v>
                </c:pt>
                <c:pt idx="26">
                  <c:v>9703168.5000000019</c:v>
                </c:pt>
                <c:pt idx="27">
                  <c:v>9651657.0000000019</c:v>
                </c:pt>
              </c:numCache>
            </c:numRef>
          </c:val>
          <c:smooth val="0"/>
          <c:extLst>
            <c:ext xmlns:c16="http://schemas.microsoft.com/office/drawing/2014/chart" uri="{C3380CC4-5D6E-409C-BE32-E72D297353CC}">
              <c16:uniqueId val="{00000009-3890-4B66-98B4-876E19B708F3}"/>
            </c:ext>
          </c:extLst>
        </c:ser>
        <c:ser>
          <c:idx val="10"/>
          <c:order val="10"/>
          <c:tx>
            <c:strRef>
              <c:f>DDDs!$AH$1:$AH$2</c:f>
              <c:strCache>
                <c:ptCount val="1"/>
                <c:pt idx="0">
                  <c:v>PREGABALIN</c:v>
                </c:pt>
              </c:strCache>
            </c:strRef>
          </c:tx>
          <c:spPr>
            <a:ln w="28575" cap="rnd">
              <a:solidFill>
                <a:schemeClr val="accent5">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DDDs!$AH$3:$AH$31</c:f>
              <c:numCache>
                <c:formatCode>General</c:formatCode>
                <c:ptCount val="28"/>
                <c:pt idx="0">
                  <c:v>14610790.66666</c:v>
                </c:pt>
                <c:pt idx="1">
                  <c:v>16680827.41666</c:v>
                </c:pt>
                <c:pt idx="2">
                  <c:v>18034493</c:v>
                </c:pt>
                <c:pt idx="3">
                  <c:v>20173252.166699998</c:v>
                </c:pt>
                <c:pt idx="4">
                  <c:v>17076612.916699998</c:v>
                </c:pt>
                <c:pt idx="5">
                  <c:v>18469496.416699998</c:v>
                </c:pt>
                <c:pt idx="6">
                  <c:v>19301500.666699998</c:v>
                </c:pt>
                <c:pt idx="7">
                  <c:v>20941579.666699998</c:v>
                </c:pt>
                <c:pt idx="8">
                  <c:v>17945929.916699998</c:v>
                </c:pt>
                <c:pt idx="9">
                  <c:v>19499828.416699998</c:v>
                </c:pt>
                <c:pt idx="10">
                  <c:v>20151986.166699998</c:v>
                </c:pt>
                <c:pt idx="11">
                  <c:v>21596606.583300002</c:v>
                </c:pt>
                <c:pt idx="12">
                  <c:v>17770538.166699998</c:v>
                </c:pt>
                <c:pt idx="13">
                  <c:v>18922603.333300002</c:v>
                </c:pt>
                <c:pt idx="14">
                  <c:v>19539222.166699998</c:v>
                </c:pt>
                <c:pt idx="15">
                  <c:v>20686669.083300002</c:v>
                </c:pt>
                <c:pt idx="16">
                  <c:v>18310090.583300002</c:v>
                </c:pt>
                <c:pt idx="17">
                  <c:v>18378102.166699998</c:v>
                </c:pt>
                <c:pt idx="18">
                  <c:v>19890844.916699998</c:v>
                </c:pt>
                <c:pt idx="19">
                  <c:v>20981279.75</c:v>
                </c:pt>
                <c:pt idx="20">
                  <c:v>17817717.416699998</c:v>
                </c:pt>
                <c:pt idx="21">
                  <c:v>18723659</c:v>
                </c:pt>
                <c:pt idx="22">
                  <c:v>19763072.833300002</c:v>
                </c:pt>
                <c:pt idx="23">
                  <c:v>20051847.75</c:v>
                </c:pt>
                <c:pt idx="24">
                  <c:v>17137375.75</c:v>
                </c:pt>
                <c:pt idx="25">
                  <c:v>17998896</c:v>
                </c:pt>
                <c:pt idx="26">
                  <c:v>18426948</c:v>
                </c:pt>
                <c:pt idx="27">
                  <c:v>19314579.5</c:v>
                </c:pt>
              </c:numCache>
            </c:numRef>
          </c:val>
          <c:smooth val="0"/>
          <c:extLst>
            <c:ext xmlns:c16="http://schemas.microsoft.com/office/drawing/2014/chart" uri="{C3380CC4-5D6E-409C-BE32-E72D297353CC}">
              <c16:uniqueId val="{0000000A-3890-4B66-98B4-876E19B708F3}"/>
            </c:ext>
          </c:extLst>
        </c:ser>
        <c:ser>
          <c:idx val="11"/>
          <c:order val="11"/>
          <c:tx>
            <c:strRef>
              <c:f>DDDs!$AI$1:$AI$2</c:f>
              <c:strCache>
                <c:ptCount val="1"/>
                <c:pt idx="0">
                  <c:v>TAPENTADOL</c:v>
                </c:pt>
              </c:strCache>
            </c:strRef>
          </c:tx>
          <c:spPr>
            <a:ln w="28575" cap="rnd">
              <a:solidFill>
                <a:schemeClr val="accent6">
                  <a:lumMod val="6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DDDs!$AI$3:$AI$31</c:f>
              <c:numCache>
                <c:formatCode>General</c:formatCode>
                <c:ptCount val="28"/>
                <c:pt idx="0">
                  <c:v>828534.5</c:v>
                </c:pt>
                <c:pt idx="1">
                  <c:v>968434.5</c:v>
                </c:pt>
                <c:pt idx="2">
                  <c:v>1078601.875</c:v>
                </c:pt>
                <c:pt idx="3">
                  <c:v>1230259</c:v>
                </c:pt>
                <c:pt idx="4">
                  <c:v>1282749.875</c:v>
                </c:pt>
                <c:pt idx="5">
                  <c:v>1453491.125</c:v>
                </c:pt>
                <c:pt idx="6">
                  <c:v>1569151.625</c:v>
                </c:pt>
                <c:pt idx="7">
                  <c:v>1706384.875</c:v>
                </c:pt>
                <c:pt idx="8">
                  <c:v>1717098.75</c:v>
                </c:pt>
                <c:pt idx="9">
                  <c:v>1840229</c:v>
                </c:pt>
                <c:pt idx="10">
                  <c:v>1894121.625</c:v>
                </c:pt>
                <c:pt idx="11">
                  <c:v>2061775.5</c:v>
                </c:pt>
                <c:pt idx="12">
                  <c:v>1990111.25</c:v>
                </c:pt>
                <c:pt idx="13">
                  <c:v>2132989.5</c:v>
                </c:pt>
                <c:pt idx="14">
                  <c:v>2243742.625</c:v>
                </c:pt>
                <c:pt idx="15">
                  <c:v>2390013.125</c:v>
                </c:pt>
                <c:pt idx="16">
                  <c:v>2364163</c:v>
                </c:pt>
                <c:pt idx="17">
                  <c:v>2345040</c:v>
                </c:pt>
                <c:pt idx="18">
                  <c:v>2429528.25</c:v>
                </c:pt>
                <c:pt idx="19">
                  <c:v>2553360</c:v>
                </c:pt>
                <c:pt idx="20">
                  <c:v>2432131.625</c:v>
                </c:pt>
                <c:pt idx="21">
                  <c:v>2520343.5</c:v>
                </c:pt>
                <c:pt idx="22">
                  <c:v>2638416.25</c:v>
                </c:pt>
                <c:pt idx="23">
                  <c:v>2693702.25</c:v>
                </c:pt>
                <c:pt idx="24">
                  <c:v>2545520.625</c:v>
                </c:pt>
                <c:pt idx="25">
                  <c:v>2804725.75</c:v>
                </c:pt>
                <c:pt idx="26">
                  <c:v>2857126.75</c:v>
                </c:pt>
                <c:pt idx="27">
                  <c:v>2921187</c:v>
                </c:pt>
              </c:numCache>
            </c:numRef>
          </c:val>
          <c:smooth val="0"/>
          <c:extLst>
            <c:ext xmlns:c16="http://schemas.microsoft.com/office/drawing/2014/chart" uri="{C3380CC4-5D6E-409C-BE32-E72D297353CC}">
              <c16:uniqueId val="{0000000B-3890-4B66-98B4-876E19B708F3}"/>
            </c:ext>
          </c:extLst>
        </c:ser>
        <c:ser>
          <c:idx val="12"/>
          <c:order val="12"/>
          <c:tx>
            <c:strRef>
              <c:f>DDDs!$AJ$1:$AJ$2</c:f>
              <c:strCache>
                <c:ptCount val="1"/>
                <c:pt idx="0">
                  <c:v>TRAMADOL</c:v>
                </c:pt>
              </c:strCache>
            </c:strRef>
          </c:tx>
          <c:spPr>
            <a:ln w="28575" cap="rnd">
              <a:solidFill>
                <a:schemeClr val="accent1">
                  <a:lumMod val="80000"/>
                  <a:lumOff val="20000"/>
                </a:schemeClr>
              </a:solidFill>
              <a:round/>
            </a:ln>
            <a:effectLst/>
          </c:spPr>
          <c:marker>
            <c:symbol val="none"/>
          </c:marker>
          <c:cat>
            <c:strRef>
              <c:f>DDDs!$W$3:$W$31</c:f>
              <c:strCache>
                <c:ptCount val="28"/>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pt idx="27">
                  <c:v>2022Q4</c:v>
                </c:pt>
              </c:strCache>
            </c:strRef>
          </c:cat>
          <c:val>
            <c:numRef>
              <c:f>DDDs!$AJ$3:$AJ$31</c:f>
              <c:numCache>
                <c:formatCode>General</c:formatCode>
                <c:ptCount val="28"/>
                <c:pt idx="0">
                  <c:v>6474136.4999767337</c:v>
                </c:pt>
                <c:pt idx="1">
                  <c:v>6981022.1667066012</c:v>
                </c:pt>
                <c:pt idx="2">
                  <c:v>7059429.4999733334</c:v>
                </c:pt>
                <c:pt idx="3">
                  <c:v>7388002.0000333004</c:v>
                </c:pt>
                <c:pt idx="4">
                  <c:v>6410883.5000366997</c:v>
                </c:pt>
                <c:pt idx="5">
                  <c:v>6772200.6667066664</c:v>
                </c:pt>
                <c:pt idx="6">
                  <c:v>6766164.8333299337</c:v>
                </c:pt>
                <c:pt idx="7">
                  <c:v>7071229.1666333666</c:v>
                </c:pt>
                <c:pt idx="8">
                  <c:v>6230330.4999367334</c:v>
                </c:pt>
                <c:pt idx="9">
                  <c:v>6576040.5000366336</c:v>
                </c:pt>
                <c:pt idx="10">
                  <c:v>6549100.3333000662</c:v>
                </c:pt>
                <c:pt idx="11">
                  <c:v>6850170.4999599997</c:v>
                </c:pt>
                <c:pt idx="12">
                  <c:v>5895643.3332666345</c:v>
                </c:pt>
                <c:pt idx="13">
                  <c:v>6163673.3333666995</c:v>
                </c:pt>
                <c:pt idx="14">
                  <c:v>6164690.6667367332</c:v>
                </c:pt>
                <c:pt idx="15">
                  <c:v>6374324.9999999665</c:v>
                </c:pt>
                <c:pt idx="16">
                  <c:v>5814797.8333299998</c:v>
                </c:pt>
                <c:pt idx="17">
                  <c:v>5449030.3333366662</c:v>
                </c:pt>
                <c:pt idx="18">
                  <c:v>4961222.6667036628</c:v>
                </c:pt>
                <c:pt idx="19">
                  <c:v>4745725.1666662702</c:v>
                </c:pt>
                <c:pt idx="20">
                  <c:v>4274236.9999630302</c:v>
                </c:pt>
                <c:pt idx="21">
                  <c:v>4258779.0000003306</c:v>
                </c:pt>
                <c:pt idx="22">
                  <c:v>4281660.4999933364</c:v>
                </c:pt>
                <c:pt idx="23">
                  <c:v>4212474.5000000698</c:v>
                </c:pt>
                <c:pt idx="24">
                  <c:v>3841329.3333696304</c:v>
                </c:pt>
                <c:pt idx="25">
                  <c:v>3890082.3332996364</c:v>
                </c:pt>
                <c:pt idx="26">
                  <c:v>3869992.8333302694</c:v>
                </c:pt>
                <c:pt idx="27">
                  <c:v>3859578.1667036396</c:v>
                </c:pt>
              </c:numCache>
            </c:numRef>
          </c:val>
          <c:smooth val="0"/>
          <c:extLst>
            <c:ext xmlns:c16="http://schemas.microsoft.com/office/drawing/2014/chart" uri="{C3380CC4-5D6E-409C-BE32-E72D297353CC}">
              <c16:uniqueId val="{0000000C-3890-4B66-98B4-876E19B708F3}"/>
            </c:ext>
          </c:extLst>
        </c:ser>
        <c:dLbls>
          <c:showLegendKey val="0"/>
          <c:showVal val="0"/>
          <c:showCatName val="0"/>
          <c:showSerName val="0"/>
          <c:showPercent val="0"/>
          <c:showBubbleSize val="0"/>
        </c:dLbls>
        <c:smooth val="0"/>
        <c:axId val="996007416"/>
        <c:axId val="996005448"/>
      </c:lineChart>
      <c:catAx>
        <c:axId val="996007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005448"/>
        <c:crosses val="autoZero"/>
        <c:auto val="1"/>
        <c:lblAlgn val="ctr"/>
        <c:lblOffset val="100"/>
        <c:noMultiLvlLbl val="0"/>
      </c:catAx>
      <c:valAx>
        <c:axId val="996005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DDDs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007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23.xlsx]age and sex!PivotTable2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and sex'!$Q$1:$Q$2</c:f>
              <c:strCache>
                <c:ptCount val="1"/>
                <c:pt idx="0">
                  <c:v>Female</c:v>
                </c:pt>
              </c:strCache>
            </c:strRef>
          </c:tx>
          <c:spPr>
            <a:solidFill>
              <a:schemeClr val="accent1"/>
            </a:solidFill>
            <a:ln>
              <a:noFill/>
            </a:ln>
            <a:effectLst/>
          </c:spPr>
          <c:invertIfNegative val="0"/>
          <c:cat>
            <c:strRef>
              <c:f>'age and sex'!$P$3:$P$24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and sex'!$Q$3:$Q$24</c:f>
              <c:numCache>
                <c:formatCode>General</c:formatCode>
                <c:ptCount val="21"/>
                <c:pt idx="0">
                  <c:v>1189</c:v>
                </c:pt>
                <c:pt idx="1">
                  <c:v>1734</c:v>
                </c:pt>
                <c:pt idx="2">
                  <c:v>7890</c:v>
                </c:pt>
                <c:pt idx="3">
                  <c:v>41443</c:v>
                </c:pt>
                <c:pt idx="4">
                  <c:v>80802</c:v>
                </c:pt>
                <c:pt idx="5">
                  <c:v>103693</c:v>
                </c:pt>
                <c:pt idx="6">
                  <c:v>126707</c:v>
                </c:pt>
                <c:pt idx="7">
                  <c:v>128759</c:v>
                </c:pt>
                <c:pt idx="8">
                  <c:v>115367</c:v>
                </c:pt>
                <c:pt idx="9">
                  <c:v>120493</c:v>
                </c:pt>
                <c:pt idx="10">
                  <c:v>135039</c:v>
                </c:pt>
                <c:pt idx="11">
                  <c:v>130119</c:v>
                </c:pt>
                <c:pt idx="12">
                  <c:v>135359</c:v>
                </c:pt>
                <c:pt idx="13">
                  <c:v>130510</c:v>
                </c:pt>
                <c:pt idx="14">
                  <c:v>129565</c:v>
                </c:pt>
                <c:pt idx="15">
                  <c:v>115568</c:v>
                </c:pt>
                <c:pt idx="16">
                  <c:v>91772</c:v>
                </c:pt>
                <c:pt idx="17">
                  <c:v>67448</c:v>
                </c:pt>
                <c:pt idx="18">
                  <c:v>41665</c:v>
                </c:pt>
                <c:pt idx="19">
                  <c:v>15243</c:v>
                </c:pt>
                <c:pt idx="20">
                  <c:v>2609</c:v>
                </c:pt>
              </c:numCache>
            </c:numRef>
          </c:val>
          <c:extLst>
            <c:ext xmlns:c16="http://schemas.microsoft.com/office/drawing/2014/chart" uri="{C3380CC4-5D6E-409C-BE32-E72D297353CC}">
              <c16:uniqueId val="{00000000-06E2-49C9-A8C8-B7C4A0F9C16B}"/>
            </c:ext>
          </c:extLst>
        </c:ser>
        <c:ser>
          <c:idx val="1"/>
          <c:order val="1"/>
          <c:tx>
            <c:strRef>
              <c:f>'age and sex'!$R$1:$R$2</c:f>
              <c:strCache>
                <c:ptCount val="1"/>
                <c:pt idx="0">
                  <c:v>Male</c:v>
                </c:pt>
              </c:strCache>
            </c:strRef>
          </c:tx>
          <c:spPr>
            <a:solidFill>
              <a:schemeClr val="accent2"/>
            </a:solidFill>
            <a:ln>
              <a:noFill/>
            </a:ln>
            <a:effectLst/>
          </c:spPr>
          <c:invertIfNegative val="0"/>
          <c:cat>
            <c:strRef>
              <c:f>'age and sex'!$P$3:$P$24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and sex'!$R$3:$R$24</c:f>
              <c:numCache>
                <c:formatCode>General</c:formatCode>
                <c:ptCount val="21"/>
                <c:pt idx="0">
                  <c:v>1857</c:v>
                </c:pt>
                <c:pt idx="1">
                  <c:v>2635</c:v>
                </c:pt>
                <c:pt idx="2">
                  <c:v>8641</c:v>
                </c:pt>
                <c:pt idx="3">
                  <c:v>34670</c:v>
                </c:pt>
                <c:pt idx="4">
                  <c:v>54484</c:v>
                </c:pt>
                <c:pt idx="5">
                  <c:v>66970</c:v>
                </c:pt>
                <c:pt idx="6">
                  <c:v>81647</c:v>
                </c:pt>
                <c:pt idx="7">
                  <c:v>93097</c:v>
                </c:pt>
                <c:pt idx="8">
                  <c:v>96679</c:v>
                </c:pt>
                <c:pt idx="9">
                  <c:v>104619</c:v>
                </c:pt>
                <c:pt idx="10">
                  <c:v>117250</c:v>
                </c:pt>
                <c:pt idx="11">
                  <c:v>120594</c:v>
                </c:pt>
                <c:pt idx="12">
                  <c:v>126200</c:v>
                </c:pt>
                <c:pt idx="13">
                  <c:v>118984</c:v>
                </c:pt>
                <c:pt idx="14">
                  <c:v>114626</c:v>
                </c:pt>
                <c:pt idx="15">
                  <c:v>95964</c:v>
                </c:pt>
                <c:pt idx="16">
                  <c:v>66143</c:v>
                </c:pt>
                <c:pt idx="17">
                  <c:v>40969</c:v>
                </c:pt>
                <c:pt idx="18">
                  <c:v>19872</c:v>
                </c:pt>
                <c:pt idx="19">
                  <c:v>5163</c:v>
                </c:pt>
                <c:pt idx="20">
                  <c:v>611</c:v>
                </c:pt>
              </c:numCache>
            </c:numRef>
          </c:val>
          <c:extLst>
            <c:ext xmlns:c16="http://schemas.microsoft.com/office/drawing/2014/chart" uri="{C3380CC4-5D6E-409C-BE32-E72D297353CC}">
              <c16:uniqueId val="{00000001-06E2-49C9-A8C8-B7C4A0F9C16B}"/>
            </c:ext>
          </c:extLst>
        </c:ser>
        <c:dLbls>
          <c:showLegendKey val="0"/>
          <c:showVal val="0"/>
          <c:showCatName val="0"/>
          <c:showSerName val="0"/>
          <c:showPercent val="0"/>
          <c:showBubbleSize val="0"/>
        </c:dLbls>
        <c:gapWidth val="219"/>
        <c:overlap val="-27"/>
        <c:axId val="96802552"/>
        <c:axId val="96804192"/>
      </c:barChart>
      <c:catAx>
        <c:axId val="96802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of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04192"/>
        <c:crosses val="autoZero"/>
        <c:auto val="1"/>
        <c:lblAlgn val="ctr"/>
        <c:lblOffset val="100"/>
        <c:noMultiLvlLbl val="0"/>
      </c:catAx>
      <c:valAx>
        <c:axId val="9680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02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23.xlsx]age and sex!PivotTable10</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and sex'!$Q$33:$Q$34</c:f>
              <c:strCache>
                <c:ptCount val="1"/>
                <c:pt idx="0">
                  <c:v>Female</c:v>
                </c:pt>
              </c:strCache>
            </c:strRef>
          </c:tx>
          <c:spPr>
            <a:solidFill>
              <a:schemeClr val="accent1"/>
            </a:solidFill>
            <a:ln>
              <a:noFill/>
            </a:ln>
            <a:effectLst/>
          </c:spPr>
          <c:invertIfNegative val="0"/>
          <c:cat>
            <c:strRef>
              <c:f>'age and sex'!$P$35:$P$56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and sex'!$Q$35:$Q$56</c:f>
              <c:numCache>
                <c:formatCode>General</c:formatCode>
                <c:ptCount val="21"/>
                <c:pt idx="0">
                  <c:v>1.6188610243891148</c:v>
                </c:pt>
                <c:pt idx="1">
                  <c:v>2.215164808772768</c:v>
                </c:pt>
                <c:pt idx="2">
                  <c:v>9.9028789890779638</c:v>
                </c:pt>
                <c:pt idx="3">
                  <c:v>55.785660730895394</c:v>
                </c:pt>
                <c:pt idx="4">
                  <c:v>102.20442402655226</c:v>
                </c:pt>
                <c:pt idx="5">
                  <c:v>115.13704676300931</c:v>
                </c:pt>
                <c:pt idx="6">
                  <c:v>131.02113284105749</c:v>
                </c:pt>
                <c:pt idx="7">
                  <c:v>134.98080523657467</c:v>
                </c:pt>
                <c:pt idx="8">
                  <c:v>133.69838565749981</c:v>
                </c:pt>
                <c:pt idx="9">
                  <c:v>147.12946557764187</c:v>
                </c:pt>
                <c:pt idx="10">
                  <c:v>160.87217572175007</c:v>
                </c:pt>
                <c:pt idx="11">
                  <c:v>167.03444823137505</c:v>
                </c:pt>
                <c:pt idx="12">
                  <c:v>176.7854997205055</c:v>
                </c:pt>
                <c:pt idx="13">
                  <c:v>193.47197020908197</c:v>
                </c:pt>
                <c:pt idx="14">
                  <c:v>218.54416341263882</c:v>
                </c:pt>
                <c:pt idx="15">
                  <c:v>254.26160114757417</c:v>
                </c:pt>
                <c:pt idx="16">
                  <c:v>300.7419253355705</c:v>
                </c:pt>
                <c:pt idx="17">
                  <c:v>349.87576318751718</c:v>
                </c:pt>
                <c:pt idx="18">
                  <c:v>409.61285121610729</c:v>
                </c:pt>
                <c:pt idx="19">
                  <c:v>471.10273210532819</c:v>
                </c:pt>
                <c:pt idx="20">
                  <c:v>540.94961642131454</c:v>
                </c:pt>
              </c:numCache>
            </c:numRef>
          </c:val>
          <c:extLst>
            <c:ext xmlns:c16="http://schemas.microsoft.com/office/drawing/2014/chart" uri="{C3380CC4-5D6E-409C-BE32-E72D297353CC}">
              <c16:uniqueId val="{00000000-DD61-44C7-A56F-D2B1BE05D5A0}"/>
            </c:ext>
          </c:extLst>
        </c:ser>
        <c:ser>
          <c:idx val="1"/>
          <c:order val="1"/>
          <c:tx>
            <c:strRef>
              <c:f>'age and sex'!$R$33:$R$34</c:f>
              <c:strCache>
                <c:ptCount val="1"/>
                <c:pt idx="0">
                  <c:v>Male</c:v>
                </c:pt>
              </c:strCache>
            </c:strRef>
          </c:tx>
          <c:spPr>
            <a:solidFill>
              <a:schemeClr val="accent2"/>
            </a:solidFill>
            <a:ln>
              <a:noFill/>
            </a:ln>
            <a:effectLst/>
          </c:spPr>
          <c:invertIfNegative val="0"/>
          <c:cat>
            <c:strRef>
              <c:f>'age and sex'!$P$35:$P$56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and sex'!$R$35:$R$56</c:f>
              <c:numCache>
                <c:formatCode>General</c:formatCode>
                <c:ptCount val="21"/>
                <c:pt idx="0">
                  <c:v>2.390989176814744</c:v>
                </c:pt>
                <c:pt idx="1">
                  <c:v>3.1761759083139869</c:v>
                </c:pt>
                <c:pt idx="2">
                  <c:v>10.261190706622095</c:v>
                </c:pt>
                <c:pt idx="3">
                  <c:v>43.851938048228277</c:v>
                </c:pt>
                <c:pt idx="4">
                  <c:v>64.526061972685028</c:v>
                </c:pt>
                <c:pt idx="5">
                  <c:v>72.631163400053794</c:v>
                </c:pt>
                <c:pt idx="6">
                  <c:v>86.295387334140827</c:v>
                </c:pt>
                <c:pt idx="7">
                  <c:v>99.049161246804204</c:v>
                </c:pt>
                <c:pt idx="8">
                  <c:v>114.90240681910291</c:v>
                </c:pt>
                <c:pt idx="9">
                  <c:v>130.35157384022497</c:v>
                </c:pt>
                <c:pt idx="10">
                  <c:v>144.110106266608</c:v>
                </c:pt>
                <c:pt idx="11">
                  <c:v>159.99458697849914</c:v>
                </c:pt>
                <c:pt idx="12">
                  <c:v>174.0468795683858</c:v>
                </c:pt>
                <c:pt idx="13">
                  <c:v>189.89313483906389</c:v>
                </c:pt>
                <c:pt idx="14">
                  <c:v>208.28177439078681</c:v>
                </c:pt>
                <c:pt idx="15">
                  <c:v>228.81313498601571</c:v>
                </c:pt>
                <c:pt idx="16">
                  <c:v>253.59537767281006</c:v>
                </c:pt>
                <c:pt idx="17">
                  <c:v>289.52129238336181</c:v>
                </c:pt>
                <c:pt idx="18">
                  <c:v>331.05102703783297</c:v>
                </c:pt>
                <c:pt idx="19">
                  <c:v>357.62277481471222</c:v>
                </c:pt>
                <c:pt idx="20">
                  <c:v>450.2579218865144</c:v>
                </c:pt>
              </c:numCache>
            </c:numRef>
          </c:val>
          <c:extLst>
            <c:ext xmlns:c16="http://schemas.microsoft.com/office/drawing/2014/chart" uri="{C3380CC4-5D6E-409C-BE32-E72D297353CC}">
              <c16:uniqueId val="{00000001-DD61-44C7-A56F-D2B1BE05D5A0}"/>
            </c:ext>
          </c:extLst>
        </c:ser>
        <c:dLbls>
          <c:showLegendKey val="0"/>
          <c:showVal val="0"/>
          <c:showCatName val="0"/>
          <c:showSerName val="0"/>
          <c:showPercent val="0"/>
          <c:showBubbleSize val="0"/>
        </c:dLbls>
        <c:gapWidth val="219"/>
        <c:overlap val="-27"/>
        <c:axId val="935932960"/>
        <c:axId val="935933616"/>
      </c:barChart>
      <c:catAx>
        <c:axId val="935932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of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933616"/>
        <c:crosses val="autoZero"/>
        <c:auto val="1"/>
        <c:lblAlgn val="ctr"/>
        <c:lblOffset val="100"/>
        <c:noMultiLvlLbl val="0"/>
      </c:catAx>
      <c:valAx>
        <c:axId val="935933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Patients/population ('000)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93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23.xlsx]rural_remote!PivotTable4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rural_remote!$S$21:$S$22</c:f>
              <c:strCache>
                <c:ptCount val="1"/>
                <c:pt idx="0">
                  <c:v>Inner Regional Australia</c:v>
                </c:pt>
              </c:strCache>
            </c:strRef>
          </c:tx>
          <c:spPr>
            <a:solidFill>
              <a:schemeClr val="accent1"/>
            </a:solidFill>
            <a:ln>
              <a:noFill/>
            </a:ln>
            <a:effectLst/>
          </c:spPr>
          <c:invertIfNegative val="0"/>
          <c:cat>
            <c:strRef>
              <c:f>rural_remote!$R$23:$R$31</c:f>
              <c:strCache>
                <c:ptCount val="8"/>
                <c:pt idx="0">
                  <c:v>ACT</c:v>
                </c:pt>
                <c:pt idx="1">
                  <c:v>NSW</c:v>
                </c:pt>
                <c:pt idx="2">
                  <c:v>NT</c:v>
                </c:pt>
                <c:pt idx="3">
                  <c:v>QLD</c:v>
                </c:pt>
                <c:pt idx="4">
                  <c:v>SA</c:v>
                </c:pt>
                <c:pt idx="5">
                  <c:v>TAS</c:v>
                </c:pt>
                <c:pt idx="6">
                  <c:v>VIC</c:v>
                </c:pt>
                <c:pt idx="7">
                  <c:v>WA</c:v>
                </c:pt>
              </c:strCache>
            </c:strRef>
          </c:cat>
          <c:val>
            <c:numRef>
              <c:f>rural_remote!$S$23:$S$31</c:f>
              <c:numCache>
                <c:formatCode>General</c:formatCode>
                <c:ptCount val="8"/>
                <c:pt idx="0">
                  <c:v>170.2286368</c:v>
                </c:pt>
                <c:pt idx="1">
                  <c:v>217278.90340000001</c:v>
                </c:pt>
                <c:pt idx="3">
                  <c:v>155928.29595</c:v>
                </c:pt>
                <c:pt idx="4">
                  <c:v>35220.062173999999</c:v>
                </c:pt>
                <c:pt idx="5">
                  <c:v>49791.6973</c:v>
                </c:pt>
                <c:pt idx="6">
                  <c:v>190046.87896</c:v>
                </c:pt>
                <c:pt idx="7">
                  <c:v>33567.760796000002</c:v>
                </c:pt>
              </c:numCache>
            </c:numRef>
          </c:val>
          <c:extLst>
            <c:ext xmlns:c16="http://schemas.microsoft.com/office/drawing/2014/chart" uri="{C3380CC4-5D6E-409C-BE32-E72D297353CC}">
              <c16:uniqueId val="{00000000-5611-4940-94EC-D88ADCE41D53}"/>
            </c:ext>
          </c:extLst>
        </c:ser>
        <c:ser>
          <c:idx val="1"/>
          <c:order val="1"/>
          <c:tx>
            <c:strRef>
              <c:f>rural_remote!$T$21:$T$22</c:f>
              <c:strCache>
                <c:ptCount val="1"/>
                <c:pt idx="0">
                  <c:v>Major Cities of Australia</c:v>
                </c:pt>
              </c:strCache>
            </c:strRef>
          </c:tx>
          <c:spPr>
            <a:solidFill>
              <a:schemeClr val="accent2"/>
            </a:solidFill>
            <a:ln>
              <a:noFill/>
            </a:ln>
            <a:effectLst/>
          </c:spPr>
          <c:invertIfNegative val="0"/>
          <c:cat>
            <c:strRef>
              <c:f>rural_remote!$R$23:$R$31</c:f>
              <c:strCache>
                <c:ptCount val="8"/>
                <c:pt idx="0">
                  <c:v>ACT</c:v>
                </c:pt>
                <c:pt idx="1">
                  <c:v>NSW</c:v>
                </c:pt>
                <c:pt idx="2">
                  <c:v>NT</c:v>
                </c:pt>
                <c:pt idx="3">
                  <c:v>QLD</c:v>
                </c:pt>
                <c:pt idx="4">
                  <c:v>SA</c:v>
                </c:pt>
                <c:pt idx="5">
                  <c:v>TAS</c:v>
                </c:pt>
                <c:pt idx="6">
                  <c:v>VIC</c:v>
                </c:pt>
                <c:pt idx="7">
                  <c:v>WA</c:v>
                </c:pt>
              </c:strCache>
            </c:strRef>
          </c:cat>
          <c:val>
            <c:numRef>
              <c:f>rural_remote!$T$23:$T$31</c:f>
              <c:numCache>
                <c:formatCode>General</c:formatCode>
                <c:ptCount val="8"/>
                <c:pt idx="0">
                  <c:v>47322.873051000002</c:v>
                </c:pt>
                <c:pt idx="1">
                  <c:v>604800.75410999998</c:v>
                </c:pt>
                <c:pt idx="3">
                  <c:v>405566.00091</c:v>
                </c:pt>
                <c:pt idx="4">
                  <c:v>165910.40711</c:v>
                </c:pt>
                <c:pt idx="6">
                  <c:v>559077.79952999996</c:v>
                </c:pt>
                <c:pt idx="7">
                  <c:v>253809.63631</c:v>
                </c:pt>
              </c:numCache>
            </c:numRef>
          </c:val>
          <c:extLst>
            <c:ext xmlns:c16="http://schemas.microsoft.com/office/drawing/2014/chart" uri="{C3380CC4-5D6E-409C-BE32-E72D297353CC}">
              <c16:uniqueId val="{00000001-5611-4940-94EC-D88ADCE41D53}"/>
            </c:ext>
          </c:extLst>
        </c:ser>
        <c:ser>
          <c:idx val="2"/>
          <c:order val="2"/>
          <c:tx>
            <c:strRef>
              <c:f>rural_remote!$U$21:$U$22</c:f>
              <c:strCache>
                <c:ptCount val="1"/>
                <c:pt idx="0">
                  <c:v>Outer Regional Australia</c:v>
                </c:pt>
              </c:strCache>
            </c:strRef>
          </c:tx>
          <c:spPr>
            <a:solidFill>
              <a:schemeClr val="accent3"/>
            </a:solidFill>
            <a:ln>
              <a:noFill/>
            </a:ln>
            <a:effectLst/>
          </c:spPr>
          <c:invertIfNegative val="0"/>
          <c:cat>
            <c:strRef>
              <c:f>rural_remote!$R$23:$R$31</c:f>
              <c:strCache>
                <c:ptCount val="8"/>
                <c:pt idx="0">
                  <c:v>ACT</c:v>
                </c:pt>
                <c:pt idx="1">
                  <c:v>NSW</c:v>
                </c:pt>
                <c:pt idx="2">
                  <c:v>NT</c:v>
                </c:pt>
                <c:pt idx="3">
                  <c:v>QLD</c:v>
                </c:pt>
                <c:pt idx="4">
                  <c:v>SA</c:v>
                </c:pt>
                <c:pt idx="5">
                  <c:v>TAS</c:v>
                </c:pt>
                <c:pt idx="6">
                  <c:v>VIC</c:v>
                </c:pt>
                <c:pt idx="7">
                  <c:v>WA</c:v>
                </c:pt>
              </c:strCache>
            </c:strRef>
          </c:cat>
          <c:val>
            <c:numRef>
              <c:f>rural_remote!$U$23:$U$31</c:f>
              <c:numCache>
                <c:formatCode>General</c:formatCode>
                <c:ptCount val="8"/>
                <c:pt idx="0">
                  <c:v>2.8986817999999999</c:v>
                </c:pt>
                <c:pt idx="1">
                  <c:v>67696.655752999999</c:v>
                </c:pt>
                <c:pt idx="2">
                  <c:v>11994.979506</c:v>
                </c:pt>
                <c:pt idx="3">
                  <c:v>98070.096149999998</c:v>
                </c:pt>
                <c:pt idx="4">
                  <c:v>29939.438292999999</c:v>
                </c:pt>
                <c:pt idx="5">
                  <c:v>25906.181915000001</c:v>
                </c:pt>
                <c:pt idx="6">
                  <c:v>40696.917353999997</c:v>
                </c:pt>
                <c:pt idx="7">
                  <c:v>28263.147384</c:v>
                </c:pt>
              </c:numCache>
            </c:numRef>
          </c:val>
          <c:extLst>
            <c:ext xmlns:c16="http://schemas.microsoft.com/office/drawing/2014/chart" uri="{C3380CC4-5D6E-409C-BE32-E72D297353CC}">
              <c16:uniqueId val="{00000002-5611-4940-94EC-D88ADCE41D53}"/>
            </c:ext>
          </c:extLst>
        </c:ser>
        <c:ser>
          <c:idx val="3"/>
          <c:order val="3"/>
          <c:tx>
            <c:strRef>
              <c:f>rural_remote!$V$21:$V$22</c:f>
              <c:strCache>
                <c:ptCount val="1"/>
                <c:pt idx="0">
                  <c:v>Remote Australia</c:v>
                </c:pt>
              </c:strCache>
            </c:strRef>
          </c:tx>
          <c:spPr>
            <a:solidFill>
              <a:schemeClr val="accent4"/>
            </a:solidFill>
            <a:ln>
              <a:noFill/>
            </a:ln>
            <a:effectLst/>
          </c:spPr>
          <c:invertIfNegative val="0"/>
          <c:cat>
            <c:strRef>
              <c:f>rural_remote!$R$23:$R$31</c:f>
              <c:strCache>
                <c:ptCount val="8"/>
                <c:pt idx="0">
                  <c:v>ACT</c:v>
                </c:pt>
                <c:pt idx="1">
                  <c:v>NSW</c:v>
                </c:pt>
                <c:pt idx="2">
                  <c:v>NT</c:v>
                </c:pt>
                <c:pt idx="3">
                  <c:v>QLD</c:v>
                </c:pt>
                <c:pt idx="4">
                  <c:v>SA</c:v>
                </c:pt>
                <c:pt idx="5">
                  <c:v>TAS</c:v>
                </c:pt>
                <c:pt idx="6">
                  <c:v>VIC</c:v>
                </c:pt>
                <c:pt idx="7">
                  <c:v>WA</c:v>
                </c:pt>
              </c:strCache>
            </c:strRef>
          </c:cat>
          <c:val>
            <c:numRef>
              <c:f>rural_remote!$V$23:$V$31</c:f>
              <c:numCache>
                <c:formatCode>General</c:formatCode>
                <c:ptCount val="8"/>
                <c:pt idx="1">
                  <c:v>4840.7666047000002</c:v>
                </c:pt>
                <c:pt idx="2">
                  <c:v>2027.5719916999999</c:v>
                </c:pt>
                <c:pt idx="3">
                  <c:v>8088.2010321999996</c:v>
                </c:pt>
                <c:pt idx="4">
                  <c:v>6136.0846534000002</c:v>
                </c:pt>
                <c:pt idx="5">
                  <c:v>1799.1207804999999</c:v>
                </c:pt>
                <c:pt idx="6">
                  <c:v>575.40401999999995</c:v>
                </c:pt>
                <c:pt idx="7">
                  <c:v>9944.1214275999992</c:v>
                </c:pt>
              </c:numCache>
            </c:numRef>
          </c:val>
          <c:extLst>
            <c:ext xmlns:c16="http://schemas.microsoft.com/office/drawing/2014/chart" uri="{C3380CC4-5D6E-409C-BE32-E72D297353CC}">
              <c16:uniqueId val="{00000003-5611-4940-94EC-D88ADCE41D53}"/>
            </c:ext>
          </c:extLst>
        </c:ser>
        <c:ser>
          <c:idx val="4"/>
          <c:order val="4"/>
          <c:tx>
            <c:strRef>
              <c:f>rural_remote!$W$21:$W$22</c:f>
              <c:strCache>
                <c:ptCount val="1"/>
                <c:pt idx="0">
                  <c:v>Very Remote Australia</c:v>
                </c:pt>
              </c:strCache>
            </c:strRef>
          </c:tx>
          <c:spPr>
            <a:solidFill>
              <a:schemeClr val="accent5"/>
            </a:solidFill>
            <a:ln>
              <a:noFill/>
            </a:ln>
            <a:effectLst/>
          </c:spPr>
          <c:invertIfNegative val="0"/>
          <c:cat>
            <c:strRef>
              <c:f>rural_remote!$R$23:$R$31</c:f>
              <c:strCache>
                <c:ptCount val="8"/>
                <c:pt idx="0">
                  <c:v>ACT</c:v>
                </c:pt>
                <c:pt idx="1">
                  <c:v>NSW</c:v>
                </c:pt>
                <c:pt idx="2">
                  <c:v>NT</c:v>
                </c:pt>
                <c:pt idx="3">
                  <c:v>QLD</c:v>
                </c:pt>
                <c:pt idx="4">
                  <c:v>SA</c:v>
                </c:pt>
                <c:pt idx="5">
                  <c:v>TAS</c:v>
                </c:pt>
                <c:pt idx="6">
                  <c:v>VIC</c:v>
                </c:pt>
                <c:pt idx="7">
                  <c:v>WA</c:v>
                </c:pt>
              </c:strCache>
            </c:strRef>
          </c:cat>
          <c:val>
            <c:numRef>
              <c:f>rural_remote!$W$23:$W$31</c:f>
              <c:numCache>
                <c:formatCode>General</c:formatCode>
                <c:ptCount val="8"/>
                <c:pt idx="1">
                  <c:v>1140.9200969999999</c:v>
                </c:pt>
                <c:pt idx="2">
                  <c:v>647.44850269999995</c:v>
                </c:pt>
                <c:pt idx="3">
                  <c:v>4809.232626</c:v>
                </c:pt>
                <c:pt idx="4">
                  <c:v>1659.0076474</c:v>
                </c:pt>
                <c:pt idx="5">
                  <c:v>340</c:v>
                </c:pt>
                <c:pt idx="7">
                  <c:v>5262.3340227999997</c:v>
                </c:pt>
              </c:numCache>
            </c:numRef>
          </c:val>
          <c:extLst>
            <c:ext xmlns:c16="http://schemas.microsoft.com/office/drawing/2014/chart" uri="{C3380CC4-5D6E-409C-BE32-E72D297353CC}">
              <c16:uniqueId val="{00000004-5611-4940-94EC-D88ADCE41D53}"/>
            </c:ext>
          </c:extLst>
        </c:ser>
        <c:dLbls>
          <c:showLegendKey val="0"/>
          <c:showVal val="0"/>
          <c:showCatName val="0"/>
          <c:showSerName val="0"/>
          <c:showPercent val="0"/>
          <c:showBubbleSize val="0"/>
        </c:dLbls>
        <c:gapWidth val="219"/>
        <c:overlap val="100"/>
        <c:axId val="394909320"/>
        <c:axId val="394911288"/>
      </c:barChart>
      <c:catAx>
        <c:axId val="394909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 or Territory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911288"/>
        <c:crosses val="autoZero"/>
        <c:auto val="1"/>
        <c:lblAlgn val="ctr"/>
        <c:lblOffset val="100"/>
        <c:noMultiLvlLbl val="0"/>
      </c:catAx>
      <c:valAx>
        <c:axId val="394911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909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June 23.xlsx]rural_remote!PivotTable9</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rural_remote!$S$41:$S$42</c:f>
              <c:strCache>
                <c:ptCount val="1"/>
                <c:pt idx="0">
                  <c:v>Inner Regional Australia</c:v>
                </c:pt>
              </c:strCache>
            </c:strRef>
          </c:tx>
          <c:spPr>
            <a:solidFill>
              <a:schemeClr val="accent1"/>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rural_remote!$S$43:$S$51</c:f>
              <c:numCache>
                <c:formatCode>General</c:formatCode>
                <c:ptCount val="8"/>
                <c:pt idx="0">
                  <c:v>0.37086848976034859</c:v>
                </c:pt>
                <c:pt idx="1">
                  <c:v>26.518447964850186</c:v>
                </c:pt>
                <c:pt idx="3">
                  <c:v>29.11935010644655</c:v>
                </c:pt>
                <c:pt idx="4">
                  <c:v>19.25961730956417</c:v>
                </c:pt>
                <c:pt idx="5">
                  <c:v>87.063642769714988</c:v>
                </c:pt>
                <c:pt idx="6">
                  <c:v>28.551429316587292</c:v>
                </c:pt>
                <c:pt idx="7">
                  <c:v>11.967116148306596</c:v>
                </c:pt>
              </c:numCache>
            </c:numRef>
          </c:val>
          <c:extLst>
            <c:ext xmlns:c16="http://schemas.microsoft.com/office/drawing/2014/chart" uri="{C3380CC4-5D6E-409C-BE32-E72D297353CC}">
              <c16:uniqueId val="{00000000-9B1D-4DD5-8CE3-2EC85C313255}"/>
            </c:ext>
          </c:extLst>
        </c:ser>
        <c:ser>
          <c:idx val="1"/>
          <c:order val="1"/>
          <c:tx>
            <c:strRef>
              <c:f>rural_remote!$T$41:$T$42</c:f>
              <c:strCache>
                <c:ptCount val="1"/>
                <c:pt idx="0">
                  <c:v>Major Cities of Australia</c:v>
                </c:pt>
              </c:strCache>
            </c:strRef>
          </c:tx>
          <c:spPr>
            <a:solidFill>
              <a:schemeClr val="accent2"/>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rural_remote!$T$43:$T$51</c:f>
              <c:numCache>
                <c:formatCode>General</c:formatCode>
                <c:ptCount val="8"/>
                <c:pt idx="0">
                  <c:v>103.0999412875817</c:v>
                </c:pt>
                <c:pt idx="1">
                  <c:v>73.814701178983341</c:v>
                </c:pt>
                <c:pt idx="3">
                  <c:v>75.73877659483081</c:v>
                </c:pt>
                <c:pt idx="4">
                  <c:v>90.725874725214638</c:v>
                </c:pt>
                <c:pt idx="6">
                  <c:v>83.99227792166819</c:v>
                </c:pt>
                <c:pt idx="7">
                  <c:v>90.484718827094468</c:v>
                </c:pt>
              </c:numCache>
            </c:numRef>
          </c:val>
          <c:extLst>
            <c:ext xmlns:c16="http://schemas.microsoft.com/office/drawing/2014/chart" uri="{C3380CC4-5D6E-409C-BE32-E72D297353CC}">
              <c16:uniqueId val="{00000001-9B1D-4DD5-8CE3-2EC85C313255}"/>
            </c:ext>
          </c:extLst>
        </c:ser>
        <c:ser>
          <c:idx val="2"/>
          <c:order val="2"/>
          <c:tx>
            <c:strRef>
              <c:f>rural_remote!$U$41:$U$42</c:f>
              <c:strCache>
                <c:ptCount val="1"/>
                <c:pt idx="0">
                  <c:v>N/A</c:v>
                </c:pt>
              </c:strCache>
            </c:strRef>
          </c:tx>
          <c:spPr>
            <a:solidFill>
              <a:schemeClr val="accent3"/>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rural_remote!$U$43:$U$51</c:f>
              <c:numCache>
                <c:formatCode>General</c:formatCode>
                <c:ptCount val="8"/>
                <c:pt idx="0">
                  <c:v>1.0675381263616557</c:v>
                </c:pt>
                <c:pt idx="1">
                  <c:v>0.61951546957954473</c:v>
                </c:pt>
                <c:pt idx="2">
                  <c:v>16.268954509177973</c:v>
                </c:pt>
                <c:pt idx="3">
                  <c:v>0.25285724957047884</c:v>
                </c:pt>
                <c:pt idx="4">
                  <c:v>0.55886695466724989</c:v>
                </c:pt>
                <c:pt idx="5">
                  <c:v>0.43014513026752932</c:v>
                </c:pt>
                <c:pt idx="6">
                  <c:v>0.9045565854904376</c:v>
                </c:pt>
                <c:pt idx="7">
                  <c:v>2.8392156862745099</c:v>
                </c:pt>
              </c:numCache>
            </c:numRef>
          </c:val>
          <c:extLst>
            <c:ext xmlns:c16="http://schemas.microsoft.com/office/drawing/2014/chart" uri="{C3380CC4-5D6E-409C-BE32-E72D297353CC}">
              <c16:uniqueId val="{00000002-9B1D-4DD5-8CE3-2EC85C313255}"/>
            </c:ext>
          </c:extLst>
        </c:ser>
        <c:ser>
          <c:idx val="3"/>
          <c:order val="3"/>
          <c:tx>
            <c:strRef>
              <c:f>rural_remote!$V$41:$V$42</c:f>
              <c:strCache>
                <c:ptCount val="1"/>
                <c:pt idx="0">
                  <c:v>Outer Regional Australia</c:v>
                </c:pt>
              </c:strCache>
            </c:strRef>
          </c:tx>
          <c:spPr>
            <a:solidFill>
              <a:schemeClr val="accent4"/>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rural_remote!$V$43:$V$51</c:f>
              <c:numCache>
                <c:formatCode>General</c:formatCode>
                <c:ptCount val="8"/>
                <c:pt idx="0">
                  <c:v>6.315210893246187E-3</c:v>
                </c:pt>
                <c:pt idx="1">
                  <c:v>8.2622390618172936</c:v>
                </c:pt>
                <c:pt idx="2">
                  <c:v>47.865041923383878</c:v>
                </c:pt>
                <c:pt idx="3">
                  <c:v>18.314427457608126</c:v>
                </c:pt>
                <c:pt idx="4">
                  <c:v>16.371979161699567</c:v>
                </c:pt>
                <c:pt idx="5">
                  <c:v>45.298447132365801</c:v>
                </c:pt>
                <c:pt idx="6">
                  <c:v>6.114044942986343</c:v>
                </c:pt>
                <c:pt idx="7">
                  <c:v>10.075988372192514</c:v>
                </c:pt>
              </c:numCache>
            </c:numRef>
          </c:val>
          <c:extLst>
            <c:ext xmlns:c16="http://schemas.microsoft.com/office/drawing/2014/chart" uri="{C3380CC4-5D6E-409C-BE32-E72D297353CC}">
              <c16:uniqueId val="{00000003-9B1D-4DD5-8CE3-2EC85C313255}"/>
            </c:ext>
          </c:extLst>
        </c:ser>
        <c:ser>
          <c:idx val="4"/>
          <c:order val="4"/>
          <c:tx>
            <c:strRef>
              <c:f>rural_remote!$W$41:$W$42</c:f>
              <c:strCache>
                <c:ptCount val="1"/>
                <c:pt idx="0">
                  <c:v>Remote Australia</c:v>
                </c:pt>
              </c:strCache>
            </c:strRef>
          </c:tx>
          <c:spPr>
            <a:solidFill>
              <a:schemeClr val="accent5"/>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rural_remote!$W$43:$W$51</c:f>
              <c:numCache>
                <c:formatCode>General</c:formatCode>
                <c:ptCount val="8"/>
                <c:pt idx="1">
                  <c:v>0.59080571241838042</c:v>
                </c:pt>
                <c:pt idx="2">
                  <c:v>8.0908698790901834</c:v>
                </c:pt>
                <c:pt idx="3">
                  <c:v>1.5104580996862627</c:v>
                </c:pt>
                <c:pt idx="4">
                  <c:v>3.3554353657789688</c:v>
                </c:pt>
                <c:pt idx="5">
                  <c:v>3.1458660264032172</c:v>
                </c:pt>
                <c:pt idx="6">
                  <c:v>8.6445025013896601E-2</c:v>
                </c:pt>
                <c:pt idx="7">
                  <c:v>3.5451413289126559</c:v>
                </c:pt>
              </c:numCache>
            </c:numRef>
          </c:val>
          <c:extLst>
            <c:ext xmlns:c16="http://schemas.microsoft.com/office/drawing/2014/chart" uri="{C3380CC4-5D6E-409C-BE32-E72D297353CC}">
              <c16:uniqueId val="{00000004-9B1D-4DD5-8CE3-2EC85C313255}"/>
            </c:ext>
          </c:extLst>
        </c:ser>
        <c:ser>
          <c:idx val="5"/>
          <c:order val="5"/>
          <c:tx>
            <c:strRef>
              <c:f>rural_remote!$X$41:$X$42</c:f>
              <c:strCache>
                <c:ptCount val="1"/>
                <c:pt idx="0">
                  <c:v>Very Remote Australia</c:v>
                </c:pt>
              </c:strCache>
            </c:strRef>
          </c:tx>
          <c:spPr>
            <a:solidFill>
              <a:schemeClr val="accent6"/>
            </a:solidFill>
            <a:ln>
              <a:noFill/>
            </a:ln>
            <a:effectLst/>
          </c:spPr>
          <c:invertIfNegative val="0"/>
          <c:cat>
            <c:strRef>
              <c:f>rural_remote!$R$43:$R$51</c:f>
              <c:strCache>
                <c:ptCount val="8"/>
                <c:pt idx="0">
                  <c:v>ACT</c:v>
                </c:pt>
                <c:pt idx="1">
                  <c:v>NSW</c:v>
                </c:pt>
                <c:pt idx="2">
                  <c:v>NT</c:v>
                </c:pt>
                <c:pt idx="3">
                  <c:v>QLD</c:v>
                </c:pt>
                <c:pt idx="4">
                  <c:v>SA</c:v>
                </c:pt>
                <c:pt idx="5">
                  <c:v>TAS</c:v>
                </c:pt>
                <c:pt idx="6">
                  <c:v>VIC</c:v>
                </c:pt>
                <c:pt idx="7">
                  <c:v>WA</c:v>
                </c:pt>
              </c:strCache>
            </c:strRef>
          </c:cat>
          <c:val>
            <c:numRef>
              <c:f>rural_remote!$X$43:$X$51</c:f>
              <c:numCache>
                <c:formatCode>General</c:formatCode>
                <c:ptCount val="8"/>
                <c:pt idx="1">
                  <c:v>0.13924697589552693</c:v>
                </c:pt>
                <c:pt idx="2">
                  <c:v>2.5835933866719869</c:v>
                </c:pt>
                <c:pt idx="3">
                  <c:v>0.89811619967132295</c:v>
                </c:pt>
                <c:pt idx="4">
                  <c:v>0.90720601924864652</c:v>
                </c:pt>
                <c:pt idx="5">
                  <c:v>0.59450952963804859</c:v>
                </c:pt>
                <c:pt idx="7">
                  <c:v>1.8760549100891264</c:v>
                </c:pt>
              </c:numCache>
            </c:numRef>
          </c:val>
          <c:extLst>
            <c:ext xmlns:c16="http://schemas.microsoft.com/office/drawing/2014/chart" uri="{C3380CC4-5D6E-409C-BE32-E72D297353CC}">
              <c16:uniqueId val="{00000005-9B1D-4DD5-8CE3-2EC85C313255}"/>
            </c:ext>
          </c:extLst>
        </c:ser>
        <c:dLbls>
          <c:showLegendKey val="0"/>
          <c:showVal val="0"/>
          <c:showCatName val="0"/>
          <c:showSerName val="0"/>
          <c:showPercent val="0"/>
          <c:showBubbleSize val="0"/>
        </c:dLbls>
        <c:gapWidth val="219"/>
        <c:overlap val="100"/>
        <c:axId val="887924872"/>
        <c:axId val="887927168"/>
      </c:barChart>
      <c:catAx>
        <c:axId val="887924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 or Territory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927168"/>
        <c:crosses val="autoZero"/>
        <c:auto val="1"/>
        <c:lblAlgn val="ctr"/>
        <c:lblOffset val="100"/>
        <c:noMultiLvlLbl val="0"/>
      </c:catAx>
      <c:valAx>
        <c:axId val="887927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Patients/State population ('000)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9248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reforms.xlsx]quarter drug!PivotTable2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'quarter drug'!$W$1:$W$2</c:f>
              <c:strCache>
                <c:ptCount val="1"/>
                <c:pt idx="0">
                  <c:v>BUPRENORPHINE</c:v>
                </c:pt>
              </c:strCache>
            </c:strRef>
          </c:tx>
          <c:spPr>
            <a:ln w="28575" cap="rnd">
              <a:solidFill>
                <a:schemeClr val="accent1"/>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drug'!$W$3:$W$30</c:f>
              <c:numCache>
                <c:formatCode>General</c:formatCode>
                <c:ptCount val="27"/>
                <c:pt idx="0">
                  <c:v>355626</c:v>
                </c:pt>
                <c:pt idx="1">
                  <c:v>364427</c:v>
                </c:pt>
                <c:pt idx="2">
                  <c:v>360776</c:v>
                </c:pt>
                <c:pt idx="3">
                  <c:v>369800</c:v>
                </c:pt>
                <c:pt idx="4">
                  <c:v>353268</c:v>
                </c:pt>
                <c:pt idx="5">
                  <c:v>356927</c:v>
                </c:pt>
                <c:pt idx="6">
                  <c:v>352687</c:v>
                </c:pt>
                <c:pt idx="7">
                  <c:v>359431</c:v>
                </c:pt>
                <c:pt idx="8">
                  <c:v>347801</c:v>
                </c:pt>
                <c:pt idx="9">
                  <c:v>347648</c:v>
                </c:pt>
                <c:pt idx="10">
                  <c:v>342489</c:v>
                </c:pt>
                <c:pt idx="11">
                  <c:v>352882</c:v>
                </c:pt>
                <c:pt idx="12">
                  <c:v>331364</c:v>
                </c:pt>
                <c:pt idx="13">
                  <c:v>336587</c:v>
                </c:pt>
                <c:pt idx="14">
                  <c:v>337005</c:v>
                </c:pt>
                <c:pt idx="15">
                  <c:v>341398</c:v>
                </c:pt>
                <c:pt idx="16">
                  <c:v>329416</c:v>
                </c:pt>
                <c:pt idx="17">
                  <c:v>322948</c:v>
                </c:pt>
                <c:pt idx="18">
                  <c:v>335170</c:v>
                </c:pt>
                <c:pt idx="19">
                  <c:v>340436</c:v>
                </c:pt>
                <c:pt idx="20">
                  <c:v>318475</c:v>
                </c:pt>
                <c:pt idx="21">
                  <c:v>317847</c:v>
                </c:pt>
                <c:pt idx="22">
                  <c:v>323186</c:v>
                </c:pt>
                <c:pt idx="23">
                  <c:v>327570</c:v>
                </c:pt>
                <c:pt idx="24">
                  <c:v>306067</c:v>
                </c:pt>
                <c:pt idx="25">
                  <c:v>325990</c:v>
                </c:pt>
                <c:pt idx="26">
                  <c:v>318927</c:v>
                </c:pt>
              </c:numCache>
            </c:numRef>
          </c:val>
          <c:smooth val="0"/>
          <c:extLst>
            <c:ext xmlns:c16="http://schemas.microsoft.com/office/drawing/2014/chart" uri="{C3380CC4-5D6E-409C-BE32-E72D297353CC}">
              <c16:uniqueId val="{00000000-300E-493B-9585-0712D464FB48}"/>
            </c:ext>
          </c:extLst>
        </c:ser>
        <c:ser>
          <c:idx val="1"/>
          <c:order val="1"/>
          <c:tx>
            <c:strRef>
              <c:f>'quarter drug'!$X$1:$X$2</c:f>
              <c:strCache>
                <c:ptCount val="1"/>
                <c:pt idx="0">
                  <c:v>CODEINE</c:v>
                </c:pt>
              </c:strCache>
            </c:strRef>
          </c:tx>
          <c:spPr>
            <a:ln w="28575" cap="rnd">
              <a:solidFill>
                <a:schemeClr val="accent2"/>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drug'!$X$3:$X$30</c:f>
              <c:numCache>
                <c:formatCode>General</c:formatCode>
                <c:ptCount val="27"/>
                <c:pt idx="0">
                  <c:v>15588</c:v>
                </c:pt>
                <c:pt idx="1">
                  <c:v>17039</c:v>
                </c:pt>
                <c:pt idx="2">
                  <c:v>18561</c:v>
                </c:pt>
                <c:pt idx="3">
                  <c:v>17308</c:v>
                </c:pt>
                <c:pt idx="4">
                  <c:v>15283</c:v>
                </c:pt>
                <c:pt idx="5">
                  <c:v>15836</c:v>
                </c:pt>
                <c:pt idx="6">
                  <c:v>16838</c:v>
                </c:pt>
                <c:pt idx="7">
                  <c:v>15675</c:v>
                </c:pt>
                <c:pt idx="8">
                  <c:v>16011</c:v>
                </c:pt>
                <c:pt idx="9">
                  <c:v>17076</c:v>
                </c:pt>
                <c:pt idx="10">
                  <c:v>16945</c:v>
                </c:pt>
                <c:pt idx="11">
                  <c:v>17068</c:v>
                </c:pt>
                <c:pt idx="12">
                  <c:v>15605</c:v>
                </c:pt>
                <c:pt idx="13">
                  <c:v>16938</c:v>
                </c:pt>
                <c:pt idx="14">
                  <c:v>18147</c:v>
                </c:pt>
                <c:pt idx="15">
                  <c:v>16682</c:v>
                </c:pt>
                <c:pt idx="16">
                  <c:v>15936</c:v>
                </c:pt>
                <c:pt idx="17">
                  <c:v>14343</c:v>
                </c:pt>
                <c:pt idx="18">
                  <c:v>8933</c:v>
                </c:pt>
                <c:pt idx="19">
                  <c:v>11906</c:v>
                </c:pt>
                <c:pt idx="20">
                  <c:v>12720</c:v>
                </c:pt>
                <c:pt idx="21">
                  <c:v>13882</c:v>
                </c:pt>
                <c:pt idx="22">
                  <c:v>14219</c:v>
                </c:pt>
                <c:pt idx="23">
                  <c:v>13535</c:v>
                </c:pt>
                <c:pt idx="24">
                  <c:v>12981</c:v>
                </c:pt>
                <c:pt idx="25">
                  <c:v>14500</c:v>
                </c:pt>
                <c:pt idx="26">
                  <c:v>15174</c:v>
                </c:pt>
              </c:numCache>
            </c:numRef>
          </c:val>
          <c:smooth val="0"/>
          <c:extLst>
            <c:ext xmlns:c16="http://schemas.microsoft.com/office/drawing/2014/chart" uri="{C3380CC4-5D6E-409C-BE32-E72D297353CC}">
              <c16:uniqueId val="{00000001-300E-493B-9585-0712D464FB48}"/>
            </c:ext>
          </c:extLst>
        </c:ser>
        <c:ser>
          <c:idx val="2"/>
          <c:order val="2"/>
          <c:tx>
            <c:strRef>
              <c:f>'quarter drug'!$Y$1:$Y$2</c:f>
              <c:strCache>
                <c:ptCount val="1"/>
                <c:pt idx="0">
                  <c:v>FENTANYL</c:v>
                </c:pt>
              </c:strCache>
            </c:strRef>
          </c:tx>
          <c:spPr>
            <a:ln w="28575" cap="rnd">
              <a:solidFill>
                <a:schemeClr val="accent3"/>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drug'!$Y$3:$Y$30</c:f>
              <c:numCache>
                <c:formatCode>General</c:formatCode>
                <c:ptCount val="27"/>
                <c:pt idx="0">
                  <c:v>152846</c:v>
                </c:pt>
                <c:pt idx="1">
                  <c:v>153002</c:v>
                </c:pt>
                <c:pt idx="2">
                  <c:v>149371</c:v>
                </c:pt>
                <c:pt idx="3">
                  <c:v>149691</c:v>
                </c:pt>
                <c:pt idx="4">
                  <c:v>139796</c:v>
                </c:pt>
                <c:pt idx="5">
                  <c:v>138377</c:v>
                </c:pt>
                <c:pt idx="6">
                  <c:v>133842</c:v>
                </c:pt>
                <c:pt idx="7">
                  <c:v>131181</c:v>
                </c:pt>
                <c:pt idx="8">
                  <c:v>121374</c:v>
                </c:pt>
                <c:pt idx="9">
                  <c:v>116480</c:v>
                </c:pt>
                <c:pt idx="10">
                  <c:v>110695</c:v>
                </c:pt>
                <c:pt idx="11">
                  <c:v>108030</c:v>
                </c:pt>
                <c:pt idx="12">
                  <c:v>97450</c:v>
                </c:pt>
                <c:pt idx="13">
                  <c:v>95214</c:v>
                </c:pt>
                <c:pt idx="14">
                  <c:v>92335</c:v>
                </c:pt>
                <c:pt idx="15">
                  <c:v>90353</c:v>
                </c:pt>
                <c:pt idx="16">
                  <c:v>82600</c:v>
                </c:pt>
                <c:pt idx="17">
                  <c:v>77725</c:v>
                </c:pt>
                <c:pt idx="18">
                  <c:v>75964</c:v>
                </c:pt>
                <c:pt idx="19">
                  <c:v>74626</c:v>
                </c:pt>
                <c:pt idx="20">
                  <c:v>67774</c:v>
                </c:pt>
                <c:pt idx="21">
                  <c:v>65685</c:v>
                </c:pt>
                <c:pt idx="22">
                  <c:v>65197</c:v>
                </c:pt>
                <c:pt idx="23">
                  <c:v>63389</c:v>
                </c:pt>
                <c:pt idx="24">
                  <c:v>57407</c:v>
                </c:pt>
                <c:pt idx="25">
                  <c:v>56668</c:v>
                </c:pt>
                <c:pt idx="26">
                  <c:v>54356</c:v>
                </c:pt>
              </c:numCache>
            </c:numRef>
          </c:val>
          <c:smooth val="0"/>
          <c:extLst>
            <c:ext xmlns:c16="http://schemas.microsoft.com/office/drawing/2014/chart" uri="{C3380CC4-5D6E-409C-BE32-E72D297353CC}">
              <c16:uniqueId val="{00000002-300E-493B-9585-0712D464FB48}"/>
            </c:ext>
          </c:extLst>
        </c:ser>
        <c:ser>
          <c:idx val="3"/>
          <c:order val="3"/>
          <c:tx>
            <c:strRef>
              <c:f>'quarter drug'!$Z$1:$Z$2</c:f>
              <c:strCache>
                <c:ptCount val="1"/>
                <c:pt idx="0">
                  <c:v>GABAPENTIN</c:v>
                </c:pt>
              </c:strCache>
            </c:strRef>
          </c:tx>
          <c:spPr>
            <a:ln w="28575" cap="rnd">
              <a:solidFill>
                <a:schemeClr val="accent4"/>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drug'!$Z$3:$Z$30</c:f>
              <c:numCache>
                <c:formatCode>General</c:formatCode>
                <c:ptCount val="27"/>
                <c:pt idx="0">
                  <c:v>1487</c:v>
                </c:pt>
                <c:pt idx="1">
                  <c:v>1382</c:v>
                </c:pt>
                <c:pt idx="2">
                  <c:v>1368</c:v>
                </c:pt>
                <c:pt idx="3">
                  <c:v>1279</c:v>
                </c:pt>
                <c:pt idx="4">
                  <c:v>1094</c:v>
                </c:pt>
                <c:pt idx="5">
                  <c:v>990</c:v>
                </c:pt>
                <c:pt idx="6">
                  <c:v>872</c:v>
                </c:pt>
                <c:pt idx="7">
                  <c:v>921</c:v>
                </c:pt>
                <c:pt idx="8">
                  <c:v>861</c:v>
                </c:pt>
                <c:pt idx="9">
                  <c:v>827</c:v>
                </c:pt>
                <c:pt idx="10">
                  <c:v>775</c:v>
                </c:pt>
                <c:pt idx="11">
                  <c:v>903</c:v>
                </c:pt>
                <c:pt idx="12">
                  <c:v>890</c:v>
                </c:pt>
                <c:pt idx="13">
                  <c:v>835</c:v>
                </c:pt>
                <c:pt idx="14">
                  <c:v>880</c:v>
                </c:pt>
                <c:pt idx="15">
                  <c:v>924</c:v>
                </c:pt>
                <c:pt idx="16">
                  <c:v>1001</c:v>
                </c:pt>
                <c:pt idx="17">
                  <c:v>905</c:v>
                </c:pt>
                <c:pt idx="18">
                  <c:v>1006</c:v>
                </c:pt>
                <c:pt idx="19">
                  <c:v>1270</c:v>
                </c:pt>
                <c:pt idx="20">
                  <c:v>1047</c:v>
                </c:pt>
                <c:pt idx="21">
                  <c:v>948</c:v>
                </c:pt>
                <c:pt idx="22">
                  <c:v>931</c:v>
                </c:pt>
                <c:pt idx="23">
                  <c:v>952</c:v>
                </c:pt>
                <c:pt idx="24">
                  <c:v>817</c:v>
                </c:pt>
                <c:pt idx="25">
                  <c:v>720</c:v>
                </c:pt>
                <c:pt idx="26">
                  <c:v>720</c:v>
                </c:pt>
              </c:numCache>
            </c:numRef>
          </c:val>
          <c:smooth val="0"/>
          <c:extLst>
            <c:ext xmlns:c16="http://schemas.microsoft.com/office/drawing/2014/chart" uri="{C3380CC4-5D6E-409C-BE32-E72D297353CC}">
              <c16:uniqueId val="{00000003-300E-493B-9585-0712D464FB48}"/>
            </c:ext>
          </c:extLst>
        </c:ser>
        <c:ser>
          <c:idx val="4"/>
          <c:order val="4"/>
          <c:tx>
            <c:strRef>
              <c:f>'quarter drug'!$AA$1:$AA$2</c:f>
              <c:strCache>
                <c:ptCount val="1"/>
                <c:pt idx="0">
                  <c:v>HYDROMORPHONE</c:v>
                </c:pt>
              </c:strCache>
            </c:strRef>
          </c:tx>
          <c:spPr>
            <a:ln w="28575" cap="rnd">
              <a:solidFill>
                <a:schemeClr val="accent5"/>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drug'!$AA$3:$AA$30</c:f>
              <c:numCache>
                <c:formatCode>General</c:formatCode>
                <c:ptCount val="27"/>
                <c:pt idx="0">
                  <c:v>40624</c:v>
                </c:pt>
                <c:pt idx="1">
                  <c:v>40903</c:v>
                </c:pt>
                <c:pt idx="2">
                  <c:v>42558</c:v>
                </c:pt>
                <c:pt idx="3">
                  <c:v>43387</c:v>
                </c:pt>
                <c:pt idx="4">
                  <c:v>40789</c:v>
                </c:pt>
                <c:pt idx="5">
                  <c:v>40740</c:v>
                </c:pt>
                <c:pt idx="6">
                  <c:v>41525</c:v>
                </c:pt>
                <c:pt idx="7">
                  <c:v>42458</c:v>
                </c:pt>
                <c:pt idx="8">
                  <c:v>40492</c:v>
                </c:pt>
                <c:pt idx="9">
                  <c:v>40855</c:v>
                </c:pt>
                <c:pt idx="10">
                  <c:v>40830</c:v>
                </c:pt>
                <c:pt idx="11">
                  <c:v>41287</c:v>
                </c:pt>
                <c:pt idx="12">
                  <c:v>38956</c:v>
                </c:pt>
                <c:pt idx="13">
                  <c:v>39810</c:v>
                </c:pt>
                <c:pt idx="14">
                  <c:v>40775</c:v>
                </c:pt>
                <c:pt idx="15">
                  <c:v>41547</c:v>
                </c:pt>
                <c:pt idx="16">
                  <c:v>39819</c:v>
                </c:pt>
                <c:pt idx="17">
                  <c:v>40166</c:v>
                </c:pt>
                <c:pt idx="18">
                  <c:v>42428</c:v>
                </c:pt>
                <c:pt idx="19">
                  <c:v>42866</c:v>
                </c:pt>
                <c:pt idx="20">
                  <c:v>39306</c:v>
                </c:pt>
                <c:pt idx="21">
                  <c:v>38463</c:v>
                </c:pt>
                <c:pt idx="22">
                  <c:v>39436</c:v>
                </c:pt>
                <c:pt idx="23">
                  <c:v>38689</c:v>
                </c:pt>
                <c:pt idx="24">
                  <c:v>32811</c:v>
                </c:pt>
                <c:pt idx="25">
                  <c:v>31530</c:v>
                </c:pt>
                <c:pt idx="26">
                  <c:v>32459</c:v>
                </c:pt>
              </c:numCache>
            </c:numRef>
          </c:val>
          <c:smooth val="0"/>
          <c:extLst>
            <c:ext xmlns:c16="http://schemas.microsoft.com/office/drawing/2014/chart" uri="{C3380CC4-5D6E-409C-BE32-E72D297353CC}">
              <c16:uniqueId val="{00000004-300E-493B-9585-0712D464FB48}"/>
            </c:ext>
          </c:extLst>
        </c:ser>
        <c:ser>
          <c:idx val="5"/>
          <c:order val="5"/>
          <c:tx>
            <c:strRef>
              <c:f>'quarter drug'!$AB$1:$AB$2</c:f>
              <c:strCache>
                <c:ptCount val="1"/>
                <c:pt idx="0">
                  <c:v>METHADONE</c:v>
                </c:pt>
              </c:strCache>
            </c:strRef>
          </c:tx>
          <c:spPr>
            <a:ln w="28575" cap="rnd">
              <a:solidFill>
                <a:schemeClr val="accent6"/>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drug'!$AB$3:$AB$30</c:f>
              <c:numCache>
                <c:formatCode>General</c:formatCode>
                <c:ptCount val="27"/>
                <c:pt idx="0">
                  <c:v>22231</c:v>
                </c:pt>
                <c:pt idx="1">
                  <c:v>22604</c:v>
                </c:pt>
                <c:pt idx="2">
                  <c:v>22622</c:v>
                </c:pt>
                <c:pt idx="3">
                  <c:v>22754</c:v>
                </c:pt>
                <c:pt idx="4">
                  <c:v>21558</c:v>
                </c:pt>
                <c:pt idx="5">
                  <c:v>21986</c:v>
                </c:pt>
                <c:pt idx="6">
                  <c:v>22072</c:v>
                </c:pt>
                <c:pt idx="7">
                  <c:v>22202</c:v>
                </c:pt>
                <c:pt idx="8">
                  <c:v>21163</c:v>
                </c:pt>
                <c:pt idx="9">
                  <c:v>21424</c:v>
                </c:pt>
                <c:pt idx="10">
                  <c:v>21210</c:v>
                </c:pt>
                <c:pt idx="11">
                  <c:v>21602</c:v>
                </c:pt>
                <c:pt idx="12">
                  <c:v>20031</c:v>
                </c:pt>
                <c:pt idx="13">
                  <c:v>20438</c:v>
                </c:pt>
                <c:pt idx="14">
                  <c:v>20687</c:v>
                </c:pt>
                <c:pt idx="15">
                  <c:v>20808</c:v>
                </c:pt>
                <c:pt idx="16">
                  <c:v>19720</c:v>
                </c:pt>
                <c:pt idx="17">
                  <c:v>19311</c:v>
                </c:pt>
                <c:pt idx="18">
                  <c:v>19157</c:v>
                </c:pt>
                <c:pt idx="19">
                  <c:v>19448</c:v>
                </c:pt>
                <c:pt idx="20">
                  <c:v>18009</c:v>
                </c:pt>
                <c:pt idx="21">
                  <c:v>17985</c:v>
                </c:pt>
                <c:pt idx="22">
                  <c:v>18011</c:v>
                </c:pt>
                <c:pt idx="23">
                  <c:v>17926</c:v>
                </c:pt>
                <c:pt idx="24">
                  <c:v>16500</c:v>
                </c:pt>
                <c:pt idx="25">
                  <c:v>16580</c:v>
                </c:pt>
                <c:pt idx="26">
                  <c:v>16332</c:v>
                </c:pt>
              </c:numCache>
            </c:numRef>
          </c:val>
          <c:smooth val="0"/>
          <c:extLst>
            <c:ext xmlns:c16="http://schemas.microsoft.com/office/drawing/2014/chart" uri="{C3380CC4-5D6E-409C-BE32-E72D297353CC}">
              <c16:uniqueId val="{00000005-300E-493B-9585-0712D464FB48}"/>
            </c:ext>
          </c:extLst>
        </c:ser>
        <c:ser>
          <c:idx val="6"/>
          <c:order val="6"/>
          <c:tx>
            <c:strRef>
              <c:f>'quarter drug'!$AC$1:$AC$2</c:f>
              <c:strCache>
                <c:ptCount val="1"/>
                <c:pt idx="0">
                  <c:v>MORPHINE</c:v>
                </c:pt>
              </c:strCache>
            </c:strRef>
          </c:tx>
          <c:spPr>
            <a:ln w="28575" cap="rnd">
              <a:solidFill>
                <a:schemeClr val="accent1">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drug'!$AC$3:$AC$30</c:f>
              <c:numCache>
                <c:formatCode>General</c:formatCode>
                <c:ptCount val="27"/>
                <c:pt idx="0">
                  <c:v>135818</c:v>
                </c:pt>
                <c:pt idx="1">
                  <c:v>138552</c:v>
                </c:pt>
                <c:pt idx="2">
                  <c:v>140113</c:v>
                </c:pt>
                <c:pt idx="3">
                  <c:v>138557</c:v>
                </c:pt>
                <c:pt idx="4">
                  <c:v>130289</c:v>
                </c:pt>
                <c:pt idx="5">
                  <c:v>133491</c:v>
                </c:pt>
                <c:pt idx="6">
                  <c:v>135310</c:v>
                </c:pt>
                <c:pt idx="7">
                  <c:v>133733</c:v>
                </c:pt>
                <c:pt idx="8">
                  <c:v>126174</c:v>
                </c:pt>
                <c:pt idx="9">
                  <c:v>126250</c:v>
                </c:pt>
                <c:pt idx="10">
                  <c:v>127247</c:v>
                </c:pt>
                <c:pt idx="11">
                  <c:v>128426</c:v>
                </c:pt>
                <c:pt idx="12">
                  <c:v>118534</c:v>
                </c:pt>
                <c:pt idx="13">
                  <c:v>121593</c:v>
                </c:pt>
                <c:pt idx="14">
                  <c:v>122050</c:v>
                </c:pt>
                <c:pt idx="15">
                  <c:v>119989</c:v>
                </c:pt>
                <c:pt idx="16">
                  <c:v>115026</c:v>
                </c:pt>
                <c:pt idx="17">
                  <c:v>114141</c:v>
                </c:pt>
                <c:pt idx="18">
                  <c:v>116992</c:v>
                </c:pt>
                <c:pt idx="19">
                  <c:v>117617</c:v>
                </c:pt>
                <c:pt idx="20">
                  <c:v>108623</c:v>
                </c:pt>
                <c:pt idx="21">
                  <c:v>111231</c:v>
                </c:pt>
                <c:pt idx="22">
                  <c:v>114293</c:v>
                </c:pt>
                <c:pt idx="23">
                  <c:v>113253</c:v>
                </c:pt>
                <c:pt idx="24">
                  <c:v>105084</c:v>
                </c:pt>
                <c:pt idx="25">
                  <c:v>113485</c:v>
                </c:pt>
                <c:pt idx="26">
                  <c:v>111252</c:v>
                </c:pt>
              </c:numCache>
            </c:numRef>
          </c:val>
          <c:smooth val="0"/>
          <c:extLst>
            <c:ext xmlns:c16="http://schemas.microsoft.com/office/drawing/2014/chart" uri="{C3380CC4-5D6E-409C-BE32-E72D297353CC}">
              <c16:uniqueId val="{00000006-300E-493B-9585-0712D464FB48}"/>
            </c:ext>
          </c:extLst>
        </c:ser>
        <c:ser>
          <c:idx val="7"/>
          <c:order val="7"/>
          <c:tx>
            <c:strRef>
              <c:f>'quarter drug'!$AD$1:$AD$2</c:f>
              <c:strCache>
                <c:ptCount val="1"/>
                <c:pt idx="0">
                  <c:v>OXYCODONE</c:v>
                </c:pt>
              </c:strCache>
            </c:strRef>
          </c:tx>
          <c:spPr>
            <a:ln w="28575" cap="rnd">
              <a:solidFill>
                <a:schemeClr val="accent2">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drug'!$AD$3:$AD$30</c:f>
              <c:numCache>
                <c:formatCode>General</c:formatCode>
                <c:ptCount val="27"/>
                <c:pt idx="0">
                  <c:v>855150</c:v>
                </c:pt>
                <c:pt idx="1">
                  <c:v>897040</c:v>
                </c:pt>
                <c:pt idx="2">
                  <c:v>904570</c:v>
                </c:pt>
                <c:pt idx="3">
                  <c:v>915612</c:v>
                </c:pt>
                <c:pt idx="4">
                  <c:v>870575</c:v>
                </c:pt>
                <c:pt idx="5">
                  <c:v>898239</c:v>
                </c:pt>
                <c:pt idx="6">
                  <c:v>894554</c:v>
                </c:pt>
                <c:pt idx="7">
                  <c:v>890495</c:v>
                </c:pt>
                <c:pt idx="8">
                  <c:v>844298</c:v>
                </c:pt>
                <c:pt idx="9">
                  <c:v>868825</c:v>
                </c:pt>
                <c:pt idx="10">
                  <c:v>856353</c:v>
                </c:pt>
                <c:pt idx="11">
                  <c:v>864025</c:v>
                </c:pt>
                <c:pt idx="12">
                  <c:v>799273</c:v>
                </c:pt>
                <c:pt idx="13">
                  <c:v>815197</c:v>
                </c:pt>
                <c:pt idx="14">
                  <c:v>814113</c:v>
                </c:pt>
                <c:pt idx="15">
                  <c:v>810957</c:v>
                </c:pt>
                <c:pt idx="16">
                  <c:v>769728</c:v>
                </c:pt>
                <c:pt idx="17">
                  <c:v>733604</c:v>
                </c:pt>
                <c:pt idx="18">
                  <c:v>800601</c:v>
                </c:pt>
                <c:pt idx="19">
                  <c:v>819300</c:v>
                </c:pt>
                <c:pt idx="20">
                  <c:v>760480</c:v>
                </c:pt>
                <c:pt idx="21">
                  <c:v>787125</c:v>
                </c:pt>
                <c:pt idx="22">
                  <c:v>805355</c:v>
                </c:pt>
                <c:pt idx="23">
                  <c:v>775531</c:v>
                </c:pt>
                <c:pt idx="24">
                  <c:v>705537</c:v>
                </c:pt>
                <c:pt idx="25">
                  <c:v>808010</c:v>
                </c:pt>
                <c:pt idx="26">
                  <c:v>781350</c:v>
                </c:pt>
              </c:numCache>
            </c:numRef>
          </c:val>
          <c:smooth val="0"/>
          <c:extLst>
            <c:ext xmlns:c16="http://schemas.microsoft.com/office/drawing/2014/chart" uri="{C3380CC4-5D6E-409C-BE32-E72D297353CC}">
              <c16:uniqueId val="{00000007-300E-493B-9585-0712D464FB48}"/>
            </c:ext>
          </c:extLst>
        </c:ser>
        <c:ser>
          <c:idx val="8"/>
          <c:order val="8"/>
          <c:tx>
            <c:strRef>
              <c:f>'quarter drug'!$AE$1:$AE$2</c:f>
              <c:strCache>
                <c:ptCount val="1"/>
                <c:pt idx="0">
                  <c:v>OXYCODONE + NALOXONE</c:v>
                </c:pt>
              </c:strCache>
            </c:strRef>
          </c:tx>
          <c:spPr>
            <a:ln w="28575" cap="rnd">
              <a:solidFill>
                <a:schemeClr val="accent3">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drug'!$AE$3:$AE$30</c:f>
              <c:numCache>
                <c:formatCode>General</c:formatCode>
                <c:ptCount val="27"/>
                <c:pt idx="0">
                  <c:v>456125</c:v>
                </c:pt>
                <c:pt idx="1">
                  <c:v>491974</c:v>
                </c:pt>
                <c:pt idx="2">
                  <c:v>510717</c:v>
                </c:pt>
                <c:pt idx="3">
                  <c:v>533618</c:v>
                </c:pt>
                <c:pt idx="4">
                  <c:v>519426</c:v>
                </c:pt>
                <c:pt idx="5">
                  <c:v>544881</c:v>
                </c:pt>
                <c:pt idx="6">
                  <c:v>555258</c:v>
                </c:pt>
                <c:pt idx="7">
                  <c:v>568492</c:v>
                </c:pt>
                <c:pt idx="8">
                  <c:v>548194</c:v>
                </c:pt>
                <c:pt idx="9">
                  <c:v>556281</c:v>
                </c:pt>
                <c:pt idx="10">
                  <c:v>549311</c:v>
                </c:pt>
                <c:pt idx="11">
                  <c:v>556972</c:v>
                </c:pt>
                <c:pt idx="12">
                  <c:v>514447</c:v>
                </c:pt>
                <c:pt idx="13">
                  <c:v>520769</c:v>
                </c:pt>
                <c:pt idx="14">
                  <c:v>518574</c:v>
                </c:pt>
                <c:pt idx="15">
                  <c:v>517369</c:v>
                </c:pt>
                <c:pt idx="16">
                  <c:v>490488</c:v>
                </c:pt>
                <c:pt idx="17">
                  <c:v>463598</c:v>
                </c:pt>
                <c:pt idx="18">
                  <c:v>471069</c:v>
                </c:pt>
                <c:pt idx="19">
                  <c:v>475470</c:v>
                </c:pt>
                <c:pt idx="20">
                  <c:v>443763</c:v>
                </c:pt>
                <c:pt idx="21">
                  <c:v>447110</c:v>
                </c:pt>
                <c:pt idx="22">
                  <c:v>455615</c:v>
                </c:pt>
                <c:pt idx="23">
                  <c:v>452132</c:v>
                </c:pt>
                <c:pt idx="24">
                  <c:v>399913</c:v>
                </c:pt>
                <c:pt idx="25">
                  <c:v>277747</c:v>
                </c:pt>
                <c:pt idx="26">
                  <c:v>319640</c:v>
                </c:pt>
              </c:numCache>
            </c:numRef>
          </c:val>
          <c:smooth val="0"/>
          <c:extLst>
            <c:ext xmlns:c16="http://schemas.microsoft.com/office/drawing/2014/chart" uri="{C3380CC4-5D6E-409C-BE32-E72D297353CC}">
              <c16:uniqueId val="{00000008-300E-493B-9585-0712D464FB48}"/>
            </c:ext>
          </c:extLst>
        </c:ser>
        <c:ser>
          <c:idx val="9"/>
          <c:order val="9"/>
          <c:tx>
            <c:strRef>
              <c:f>'quarter drug'!$AF$1:$AF$2</c:f>
              <c:strCache>
                <c:ptCount val="1"/>
                <c:pt idx="0">
                  <c:v>PARACETAMOL + CODEINE</c:v>
                </c:pt>
              </c:strCache>
            </c:strRef>
          </c:tx>
          <c:spPr>
            <a:ln w="28575" cap="rnd">
              <a:solidFill>
                <a:schemeClr val="accent4">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drug'!$AF$3:$AF$30</c:f>
              <c:numCache>
                <c:formatCode>General</c:formatCode>
                <c:ptCount val="27"/>
                <c:pt idx="0">
                  <c:v>844570</c:v>
                </c:pt>
                <c:pt idx="1">
                  <c:v>910739</c:v>
                </c:pt>
                <c:pt idx="2">
                  <c:v>947303</c:v>
                </c:pt>
                <c:pt idx="3">
                  <c:v>935717</c:v>
                </c:pt>
                <c:pt idx="4">
                  <c:v>843580</c:v>
                </c:pt>
                <c:pt idx="5">
                  <c:v>888925</c:v>
                </c:pt>
                <c:pt idx="6">
                  <c:v>917082</c:v>
                </c:pt>
                <c:pt idx="7">
                  <c:v>896437</c:v>
                </c:pt>
                <c:pt idx="8">
                  <c:v>931053</c:v>
                </c:pt>
                <c:pt idx="9">
                  <c:v>1018533</c:v>
                </c:pt>
                <c:pt idx="10">
                  <c:v>1026615</c:v>
                </c:pt>
                <c:pt idx="11">
                  <c:v>1027964</c:v>
                </c:pt>
                <c:pt idx="12">
                  <c:v>936567</c:v>
                </c:pt>
                <c:pt idx="13">
                  <c:v>978250</c:v>
                </c:pt>
                <c:pt idx="14">
                  <c:v>1002503</c:v>
                </c:pt>
                <c:pt idx="15">
                  <c:v>974733</c:v>
                </c:pt>
                <c:pt idx="16">
                  <c:v>923234</c:v>
                </c:pt>
                <c:pt idx="17">
                  <c:v>887228</c:v>
                </c:pt>
                <c:pt idx="18">
                  <c:v>928325</c:v>
                </c:pt>
                <c:pt idx="19">
                  <c:v>900641</c:v>
                </c:pt>
                <c:pt idx="20">
                  <c:v>829115</c:v>
                </c:pt>
                <c:pt idx="21">
                  <c:v>854430</c:v>
                </c:pt>
                <c:pt idx="22">
                  <c:v>871949</c:v>
                </c:pt>
                <c:pt idx="23">
                  <c:v>839203</c:v>
                </c:pt>
                <c:pt idx="24">
                  <c:v>771242</c:v>
                </c:pt>
                <c:pt idx="25">
                  <c:v>801771</c:v>
                </c:pt>
                <c:pt idx="26">
                  <c:v>824408</c:v>
                </c:pt>
              </c:numCache>
            </c:numRef>
          </c:val>
          <c:smooth val="0"/>
          <c:extLst>
            <c:ext xmlns:c16="http://schemas.microsoft.com/office/drawing/2014/chart" uri="{C3380CC4-5D6E-409C-BE32-E72D297353CC}">
              <c16:uniqueId val="{00000009-300E-493B-9585-0712D464FB48}"/>
            </c:ext>
          </c:extLst>
        </c:ser>
        <c:ser>
          <c:idx val="10"/>
          <c:order val="10"/>
          <c:tx>
            <c:strRef>
              <c:f>'quarter drug'!$AG$1:$AG$2</c:f>
              <c:strCache>
                <c:ptCount val="1"/>
                <c:pt idx="0">
                  <c:v>PREGABALIN</c:v>
                </c:pt>
              </c:strCache>
            </c:strRef>
          </c:tx>
          <c:spPr>
            <a:ln w="28575" cap="rnd">
              <a:solidFill>
                <a:schemeClr val="accent5">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drug'!$AG$3:$AG$30</c:f>
              <c:numCache>
                <c:formatCode>General</c:formatCode>
                <c:ptCount val="27"/>
                <c:pt idx="0">
                  <c:v>766881</c:v>
                </c:pt>
                <c:pt idx="1">
                  <c:v>873841</c:v>
                </c:pt>
                <c:pt idx="2">
                  <c:v>941651</c:v>
                </c:pt>
                <c:pt idx="3">
                  <c:v>1061660</c:v>
                </c:pt>
                <c:pt idx="4">
                  <c:v>891787</c:v>
                </c:pt>
                <c:pt idx="5">
                  <c:v>960399</c:v>
                </c:pt>
                <c:pt idx="6">
                  <c:v>1000758</c:v>
                </c:pt>
                <c:pt idx="7">
                  <c:v>1098082</c:v>
                </c:pt>
                <c:pt idx="8">
                  <c:v>935525</c:v>
                </c:pt>
                <c:pt idx="9">
                  <c:v>1017924</c:v>
                </c:pt>
                <c:pt idx="10">
                  <c:v>1050553</c:v>
                </c:pt>
                <c:pt idx="11">
                  <c:v>1137469</c:v>
                </c:pt>
                <c:pt idx="12">
                  <c:v>924642</c:v>
                </c:pt>
                <c:pt idx="13">
                  <c:v>987344</c:v>
                </c:pt>
                <c:pt idx="14">
                  <c:v>1023169</c:v>
                </c:pt>
                <c:pt idx="15">
                  <c:v>1097177</c:v>
                </c:pt>
                <c:pt idx="16">
                  <c:v>963380</c:v>
                </c:pt>
                <c:pt idx="17">
                  <c:v>961791</c:v>
                </c:pt>
                <c:pt idx="18">
                  <c:v>1051790</c:v>
                </c:pt>
                <c:pt idx="19">
                  <c:v>1121578</c:v>
                </c:pt>
                <c:pt idx="20">
                  <c:v>948808</c:v>
                </c:pt>
                <c:pt idx="21">
                  <c:v>999513</c:v>
                </c:pt>
                <c:pt idx="22">
                  <c:v>1058770</c:v>
                </c:pt>
                <c:pt idx="23">
                  <c:v>1083529</c:v>
                </c:pt>
                <c:pt idx="24">
                  <c:v>921075</c:v>
                </c:pt>
                <c:pt idx="25">
                  <c:v>971604</c:v>
                </c:pt>
                <c:pt idx="26">
                  <c:v>999267</c:v>
                </c:pt>
              </c:numCache>
            </c:numRef>
          </c:val>
          <c:smooth val="0"/>
          <c:extLst>
            <c:ext xmlns:c16="http://schemas.microsoft.com/office/drawing/2014/chart" uri="{C3380CC4-5D6E-409C-BE32-E72D297353CC}">
              <c16:uniqueId val="{0000000A-300E-493B-9585-0712D464FB48}"/>
            </c:ext>
          </c:extLst>
        </c:ser>
        <c:ser>
          <c:idx val="11"/>
          <c:order val="11"/>
          <c:tx>
            <c:strRef>
              <c:f>'quarter drug'!$AH$1:$AH$2</c:f>
              <c:strCache>
                <c:ptCount val="1"/>
                <c:pt idx="0">
                  <c:v>TAPENTADOL</c:v>
                </c:pt>
              </c:strCache>
            </c:strRef>
          </c:tx>
          <c:spPr>
            <a:ln w="28575" cap="rnd">
              <a:solidFill>
                <a:schemeClr val="accent6">
                  <a:lumMod val="6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drug'!$AH$3:$AH$30</c:f>
              <c:numCache>
                <c:formatCode>General</c:formatCode>
                <c:ptCount val="27"/>
                <c:pt idx="0">
                  <c:v>83470</c:v>
                </c:pt>
                <c:pt idx="1">
                  <c:v>98359</c:v>
                </c:pt>
                <c:pt idx="2">
                  <c:v>110394</c:v>
                </c:pt>
                <c:pt idx="3">
                  <c:v>128908</c:v>
                </c:pt>
                <c:pt idx="4">
                  <c:v>132895</c:v>
                </c:pt>
                <c:pt idx="5">
                  <c:v>153206</c:v>
                </c:pt>
                <c:pt idx="6">
                  <c:v>166547</c:v>
                </c:pt>
                <c:pt idx="7">
                  <c:v>183205</c:v>
                </c:pt>
                <c:pt idx="8">
                  <c:v>183684</c:v>
                </c:pt>
                <c:pt idx="9">
                  <c:v>198919</c:v>
                </c:pt>
                <c:pt idx="10">
                  <c:v>207206</c:v>
                </c:pt>
                <c:pt idx="11">
                  <c:v>229725</c:v>
                </c:pt>
                <c:pt idx="12">
                  <c:v>221083</c:v>
                </c:pt>
                <c:pt idx="13">
                  <c:v>239369</c:v>
                </c:pt>
                <c:pt idx="14">
                  <c:v>255443</c:v>
                </c:pt>
                <c:pt idx="15">
                  <c:v>274931</c:v>
                </c:pt>
                <c:pt idx="16">
                  <c:v>270555</c:v>
                </c:pt>
                <c:pt idx="17">
                  <c:v>258239</c:v>
                </c:pt>
                <c:pt idx="18">
                  <c:v>272587</c:v>
                </c:pt>
                <c:pt idx="19">
                  <c:v>287876</c:v>
                </c:pt>
                <c:pt idx="20">
                  <c:v>273760</c:v>
                </c:pt>
                <c:pt idx="21">
                  <c:v>286861</c:v>
                </c:pt>
                <c:pt idx="22">
                  <c:v>302375</c:v>
                </c:pt>
                <c:pt idx="23">
                  <c:v>310310</c:v>
                </c:pt>
                <c:pt idx="24">
                  <c:v>292020</c:v>
                </c:pt>
                <c:pt idx="25">
                  <c:v>334640</c:v>
                </c:pt>
                <c:pt idx="26">
                  <c:v>337616</c:v>
                </c:pt>
              </c:numCache>
            </c:numRef>
          </c:val>
          <c:smooth val="0"/>
          <c:extLst>
            <c:ext xmlns:c16="http://schemas.microsoft.com/office/drawing/2014/chart" uri="{C3380CC4-5D6E-409C-BE32-E72D297353CC}">
              <c16:uniqueId val="{0000000B-300E-493B-9585-0712D464FB48}"/>
            </c:ext>
          </c:extLst>
        </c:ser>
        <c:ser>
          <c:idx val="12"/>
          <c:order val="12"/>
          <c:tx>
            <c:strRef>
              <c:f>'quarter drug'!$AI$1:$AI$2</c:f>
              <c:strCache>
                <c:ptCount val="1"/>
                <c:pt idx="0">
                  <c:v>TRAMADOL</c:v>
                </c:pt>
              </c:strCache>
            </c:strRef>
          </c:tx>
          <c:spPr>
            <a:ln w="28575" cap="rnd">
              <a:solidFill>
                <a:schemeClr val="accent1">
                  <a:lumMod val="80000"/>
                  <a:lumOff val="20000"/>
                </a:schemeClr>
              </a:solidFill>
              <a:round/>
            </a:ln>
            <a:effectLst/>
          </c:spPr>
          <c:marker>
            <c:symbol val="none"/>
          </c:marker>
          <c:cat>
            <c:strRef>
              <c:f>'quarter drug'!$V$3:$V$30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'quarter drug'!$AI$3:$AI$30</c:f>
              <c:numCache>
                <c:formatCode>General</c:formatCode>
                <c:ptCount val="27"/>
                <c:pt idx="0">
                  <c:v>630816</c:v>
                </c:pt>
                <c:pt idx="1">
                  <c:v>677587</c:v>
                </c:pt>
                <c:pt idx="2">
                  <c:v>687052</c:v>
                </c:pt>
                <c:pt idx="3">
                  <c:v>713873</c:v>
                </c:pt>
                <c:pt idx="4">
                  <c:v>633746</c:v>
                </c:pt>
                <c:pt idx="5">
                  <c:v>666117</c:v>
                </c:pt>
                <c:pt idx="6">
                  <c:v>666892</c:v>
                </c:pt>
                <c:pt idx="7">
                  <c:v>694411</c:v>
                </c:pt>
                <c:pt idx="8">
                  <c:v>636263</c:v>
                </c:pt>
                <c:pt idx="9">
                  <c:v>670404</c:v>
                </c:pt>
                <c:pt idx="10">
                  <c:v>674744</c:v>
                </c:pt>
                <c:pt idx="11">
                  <c:v>707208</c:v>
                </c:pt>
                <c:pt idx="12">
                  <c:v>621126</c:v>
                </c:pt>
                <c:pt idx="13">
                  <c:v>645361</c:v>
                </c:pt>
                <c:pt idx="14">
                  <c:v>650403</c:v>
                </c:pt>
                <c:pt idx="15">
                  <c:v>669332</c:v>
                </c:pt>
                <c:pt idx="16">
                  <c:v>618386</c:v>
                </c:pt>
                <c:pt idx="17">
                  <c:v>555149</c:v>
                </c:pt>
                <c:pt idx="18">
                  <c:v>493474</c:v>
                </c:pt>
                <c:pt idx="19">
                  <c:v>484884</c:v>
                </c:pt>
                <c:pt idx="20">
                  <c:v>439962</c:v>
                </c:pt>
                <c:pt idx="21">
                  <c:v>441404</c:v>
                </c:pt>
                <c:pt idx="22">
                  <c:v>446845</c:v>
                </c:pt>
                <c:pt idx="23">
                  <c:v>435872</c:v>
                </c:pt>
                <c:pt idx="24">
                  <c:v>394190</c:v>
                </c:pt>
                <c:pt idx="25">
                  <c:v>402809</c:v>
                </c:pt>
                <c:pt idx="26">
                  <c:v>402700</c:v>
                </c:pt>
              </c:numCache>
            </c:numRef>
          </c:val>
          <c:smooth val="0"/>
          <c:extLst>
            <c:ext xmlns:c16="http://schemas.microsoft.com/office/drawing/2014/chart" uri="{C3380CC4-5D6E-409C-BE32-E72D297353CC}">
              <c16:uniqueId val="{0000000C-300E-493B-9585-0712D464FB48}"/>
            </c:ext>
          </c:extLst>
        </c:ser>
        <c:dLbls>
          <c:showLegendKey val="0"/>
          <c:showVal val="0"/>
          <c:showCatName val="0"/>
          <c:showSerName val="0"/>
          <c:showPercent val="0"/>
          <c:showBubbleSize val="0"/>
        </c:dLbls>
        <c:smooth val="0"/>
        <c:axId val="443841008"/>
        <c:axId val="443841664"/>
      </c:lineChart>
      <c:catAx>
        <c:axId val="443841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41664"/>
        <c:crosses val="autoZero"/>
        <c:auto val="1"/>
        <c:lblAlgn val="ctr"/>
        <c:lblOffset val="100"/>
        <c:noMultiLvlLbl val="0"/>
      </c:catAx>
      <c:valAx>
        <c:axId val="44384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4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reforms.xlsx]month from 2019!PivotTable1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'month from 2019'!$W$1:$W$2</c:f>
              <c:strCache>
                <c:ptCount val="1"/>
                <c:pt idx="0">
                  <c:v>BUPRENORPHINE</c:v>
                </c:pt>
              </c:strCache>
            </c:strRef>
          </c:tx>
          <c:spPr>
            <a:ln w="28575" cap="rnd">
              <a:solidFill>
                <a:schemeClr val="accent1"/>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2019'!$W$3:$W$48</c:f>
              <c:numCache>
                <c:formatCode>General</c:formatCode>
                <c:ptCount val="45"/>
                <c:pt idx="0">
                  <c:v>113058</c:v>
                </c:pt>
                <c:pt idx="1">
                  <c:v>105886</c:v>
                </c:pt>
                <c:pt idx="2">
                  <c:v>112420</c:v>
                </c:pt>
                <c:pt idx="3">
                  <c:v>112108</c:v>
                </c:pt>
                <c:pt idx="4">
                  <c:v>119151</c:v>
                </c:pt>
                <c:pt idx="5">
                  <c:v>105328</c:v>
                </c:pt>
                <c:pt idx="6">
                  <c:v>116002</c:v>
                </c:pt>
                <c:pt idx="7">
                  <c:v>113438</c:v>
                </c:pt>
                <c:pt idx="8">
                  <c:v>107565</c:v>
                </c:pt>
                <c:pt idx="9">
                  <c:v>116680</c:v>
                </c:pt>
                <c:pt idx="10">
                  <c:v>109169</c:v>
                </c:pt>
                <c:pt idx="11">
                  <c:v>115549</c:v>
                </c:pt>
                <c:pt idx="12">
                  <c:v>110271</c:v>
                </c:pt>
                <c:pt idx="13">
                  <c:v>104523</c:v>
                </c:pt>
                <c:pt idx="14">
                  <c:v>114622</c:v>
                </c:pt>
                <c:pt idx="15">
                  <c:v>108583</c:v>
                </c:pt>
                <c:pt idx="16">
                  <c:v>108025</c:v>
                </c:pt>
                <c:pt idx="17">
                  <c:v>106340</c:v>
                </c:pt>
                <c:pt idx="18">
                  <c:v>115185</c:v>
                </c:pt>
                <c:pt idx="19">
                  <c:v>108451</c:v>
                </c:pt>
                <c:pt idx="20">
                  <c:v>111534</c:v>
                </c:pt>
                <c:pt idx="21">
                  <c:v>112927</c:v>
                </c:pt>
                <c:pt idx="22">
                  <c:v>107885</c:v>
                </c:pt>
                <c:pt idx="23">
                  <c:v>119624</c:v>
                </c:pt>
                <c:pt idx="24">
                  <c:v>101465</c:v>
                </c:pt>
                <c:pt idx="25">
                  <c:v>101178</c:v>
                </c:pt>
                <c:pt idx="26">
                  <c:v>115832</c:v>
                </c:pt>
                <c:pt idx="27">
                  <c:v>105740</c:v>
                </c:pt>
                <c:pt idx="28">
                  <c:v>105139</c:v>
                </c:pt>
                <c:pt idx="29">
                  <c:v>106968</c:v>
                </c:pt>
                <c:pt idx="30">
                  <c:v>108057</c:v>
                </c:pt>
                <c:pt idx="31">
                  <c:v>107646</c:v>
                </c:pt>
                <c:pt idx="32">
                  <c:v>107483</c:v>
                </c:pt>
                <c:pt idx="33">
                  <c:v>105084</c:v>
                </c:pt>
                <c:pt idx="34">
                  <c:v>108452</c:v>
                </c:pt>
                <c:pt idx="35">
                  <c:v>114034</c:v>
                </c:pt>
                <c:pt idx="36">
                  <c:v>98887</c:v>
                </c:pt>
                <c:pt idx="37">
                  <c:v>96908</c:v>
                </c:pt>
                <c:pt idx="38">
                  <c:v>110272</c:v>
                </c:pt>
                <c:pt idx="39">
                  <c:v>105407</c:v>
                </c:pt>
                <c:pt idx="40">
                  <c:v>111688</c:v>
                </c:pt>
                <c:pt idx="41">
                  <c:v>108895</c:v>
                </c:pt>
                <c:pt idx="42">
                  <c:v>103583</c:v>
                </c:pt>
                <c:pt idx="43">
                  <c:v>110156</c:v>
                </c:pt>
                <c:pt idx="44">
                  <c:v>105188</c:v>
                </c:pt>
              </c:numCache>
            </c:numRef>
          </c:val>
          <c:smooth val="0"/>
          <c:extLst>
            <c:ext xmlns:c16="http://schemas.microsoft.com/office/drawing/2014/chart" uri="{C3380CC4-5D6E-409C-BE32-E72D297353CC}">
              <c16:uniqueId val="{00000000-2917-474D-AC96-8E464DABEA1B}"/>
            </c:ext>
          </c:extLst>
        </c:ser>
        <c:ser>
          <c:idx val="1"/>
          <c:order val="1"/>
          <c:tx>
            <c:strRef>
              <c:f>'month from 2019'!$X$1:$X$2</c:f>
              <c:strCache>
                <c:ptCount val="1"/>
                <c:pt idx="0">
                  <c:v>CODEINE</c:v>
                </c:pt>
              </c:strCache>
            </c:strRef>
          </c:tx>
          <c:spPr>
            <a:ln w="28575" cap="rnd">
              <a:solidFill>
                <a:schemeClr val="accent2"/>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2019'!$X$3:$X$48</c:f>
              <c:numCache>
                <c:formatCode>General</c:formatCode>
                <c:ptCount val="45"/>
                <c:pt idx="0">
                  <c:v>5234</c:v>
                </c:pt>
                <c:pt idx="1">
                  <c:v>5037</c:v>
                </c:pt>
                <c:pt idx="2">
                  <c:v>5334</c:v>
                </c:pt>
                <c:pt idx="3">
                  <c:v>5367</c:v>
                </c:pt>
                <c:pt idx="4">
                  <c:v>5972</c:v>
                </c:pt>
                <c:pt idx="5">
                  <c:v>5599</c:v>
                </c:pt>
                <c:pt idx="6">
                  <c:v>6356</c:v>
                </c:pt>
                <c:pt idx="7">
                  <c:v>6095</c:v>
                </c:pt>
                <c:pt idx="8">
                  <c:v>5696</c:v>
                </c:pt>
                <c:pt idx="9">
                  <c:v>5766</c:v>
                </c:pt>
                <c:pt idx="10">
                  <c:v>5384</c:v>
                </c:pt>
                <c:pt idx="11">
                  <c:v>5532</c:v>
                </c:pt>
                <c:pt idx="12">
                  <c:v>5184</c:v>
                </c:pt>
                <c:pt idx="13">
                  <c:v>4991</c:v>
                </c:pt>
                <c:pt idx="14">
                  <c:v>5761</c:v>
                </c:pt>
                <c:pt idx="15">
                  <c:v>4730</c:v>
                </c:pt>
                <c:pt idx="16">
                  <c:v>4894</c:v>
                </c:pt>
                <c:pt idx="17">
                  <c:v>4719</c:v>
                </c:pt>
                <c:pt idx="18">
                  <c:v>3252</c:v>
                </c:pt>
                <c:pt idx="19">
                  <c:v>2873</c:v>
                </c:pt>
                <c:pt idx="20">
                  <c:v>2808</c:v>
                </c:pt>
                <c:pt idx="21">
                  <c:v>2861</c:v>
                </c:pt>
                <c:pt idx="22">
                  <c:v>4331</c:v>
                </c:pt>
                <c:pt idx="23">
                  <c:v>4714</c:v>
                </c:pt>
                <c:pt idx="24">
                  <c:v>3911</c:v>
                </c:pt>
                <c:pt idx="25">
                  <c:v>4046</c:v>
                </c:pt>
                <c:pt idx="26">
                  <c:v>4763</c:v>
                </c:pt>
                <c:pt idx="27">
                  <c:v>4429</c:v>
                </c:pt>
                <c:pt idx="28">
                  <c:v>4656</c:v>
                </c:pt>
                <c:pt idx="29">
                  <c:v>4797</c:v>
                </c:pt>
                <c:pt idx="30">
                  <c:v>4773</c:v>
                </c:pt>
                <c:pt idx="31">
                  <c:v>4744</c:v>
                </c:pt>
                <c:pt idx="32">
                  <c:v>4702</c:v>
                </c:pt>
                <c:pt idx="33">
                  <c:v>4422</c:v>
                </c:pt>
                <c:pt idx="34">
                  <c:v>4555</c:v>
                </c:pt>
                <c:pt idx="35">
                  <c:v>4558</c:v>
                </c:pt>
                <c:pt idx="36">
                  <c:v>4239</c:v>
                </c:pt>
                <c:pt idx="37">
                  <c:v>4051</c:v>
                </c:pt>
                <c:pt idx="38">
                  <c:v>4691</c:v>
                </c:pt>
                <c:pt idx="39">
                  <c:v>4386</c:v>
                </c:pt>
                <c:pt idx="40">
                  <c:v>4990</c:v>
                </c:pt>
                <c:pt idx="41">
                  <c:v>5124</c:v>
                </c:pt>
                <c:pt idx="42">
                  <c:v>5126</c:v>
                </c:pt>
                <c:pt idx="43">
                  <c:v>5290</c:v>
                </c:pt>
                <c:pt idx="44">
                  <c:v>4758</c:v>
                </c:pt>
              </c:numCache>
            </c:numRef>
          </c:val>
          <c:smooth val="0"/>
          <c:extLst>
            <c:ext xmlns:c16="http://schemas.microsoft.com/office/drawing/2014/chart" uri="{C3380CC4-5D6E-409C-BE32-E72D297353CC}">
              <c16:uniqueId val="{00000001-2917-474D-AC96-8E464DABEA1B}"/>
            </c:ext>
          </c:extLst>
        </c:ser>
        <c:ser>
          <c:idx val="2"/>
          <c:order val="2"/>
          <c:tx>
            <c:strRef>
              <c:f>'month from 2019'!$Y$1:$Y$2</c:f>
              <c:strCache>
                <c:ptCount val="1"/>
                <c:pt idx="0">
                  <c:v>FENTANYL</c:v>
                </c:pt>
              </c:strCache>
            </c:strRef>
          </c:tx>
          <c:spPr>
            <a:ln w="28575" cap="rnd">
              <a:solidFill>
                <a:schemeClr val="accent3"/>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2019'!$Y$3:$Y$48</c:f>
              <c:numCache>
                <c:formatCode>General</c:formatCode>
                <c:ptCount val="45"/>
                <c:pt idx="0">
                  <c:v>33743</c:v>
                </c:pt>
                <c:pt idx="1">
                  <c:v>31209</c:v>
                </c:pt>
                <c:pt idx="2">
                  <c:v>32498</c:v>
                </c:pt>
                <c:pt idx="3">
                  <c:v>32250</c:v>
                </c:pt>
                <c:pt idx="4">
                  <c:v>33557</c:v>
                </c:pt>
                <c:pt idx="5">
                  <c:v>29407</c:v>
                </c:pt>
                <c:pt idx="6">
                  <c:v>32365</c:v>
                </c:pt>
                <c:pt idx="7">
                  <c:v>30969</c:v>
                </c:pt>
                <c:pt idx="8">
                  <c:v>29001</c:v>
                </c:pt>
                <c:pt idx="9">
                  <c:v>30959</c:v>
                </c:pt>
                <c:pt idx="10">
                  <c:v>28934</c:v>
                </c:pt>
                <c:pt idx="11">
                  <c:v>30460</c:v>
                </c:pt>
                <c:pt idx="12">
                  <c:v>27781</c:v>
                </c:pt>
                <c:pt idx="13">
                  <c:v>26001</c:v>
                </c:pt>
                <c:pt idx="14">
                  <c:v>28818</c:v>
                </c:pt>
                <c:pt idx="15">
                  <c:v>26488</c:v>
                </c:pt>
                <c:pt idx="16">
                  <c:v>26100</c:v>
                </c:pt>
                <c:pt idx="17">
                  <c:v>25137</c:v>
                </c:pt>
                <c:pt idx="18">
                  <c:v>26455</c:v>
                </c:pt>
                <c:pt idx="19">
                  <c:v>24712</c:v>
                </c:pt>
                <c:pt idx="20">
                  <c:v>24797</c:v>
                </c:pt>
                <c:pt idx="21">
                  <c:v>24954</c:v>
                </c:pt>
                <c:pt idx="22">
                  <c:v>23746</c:v>
                </c:pt>
                <c:pt idx="23">
                  <c:v>25926</c:v>
                </c:pt>
                <c:pt idx="24">
                  <c:v>21611</c:v>
                </c:pt>
                <c:pt idx="25">
                  <c:v>21605</c:v>
                </c:pt>
                <c:pt idx="26">
                  <c:v>24558</c:v>
                </c:pt>
                <c:pt idx="27">
                  <c:v>22044</c:v>
                </c:pt>
                <c:pt idx="28">
                  <c:v>21693</c:v>
                </c:pt>
                <c:pt idx="29">
                  <c:v>21948</c:v>
                </c:pt>
                <c:pt idx="30">
                  <c:v>21978</c:v>
                </c:pt>
                <c:pt idx="31">
                  <c:v>21709</c:v>
                </c:pt>
                <c:pt idx="32">
                  <c:v>21510</c:v>
                </c:pt>
                <c:pt idx="33">
                  <c:v>20754</c:v>
                </c:pt>
                <c:pt idx="34">
                  <c:v>20977</c:v>
                </c:pt>
                <c:pt idx="35">
                  <c:v>21658</c:v>
                </c:pt>
                <c:pt idx="36">
                  <c:v>18662</c:v>
                </c:pt>
                <c:pt idx="37">
                  <c:v>18289</c:v>
                </c:pt>
                <c:pt idx="38">
                  <c:v>20456</c:v>
                </c:pt>
                <c:pt idx="39">
                  <c:v>18730</c:v>
                </c:pt>
                <c:pt idx="40">
                  <c:v>19323</c:v>
                </c:pt>
                <c:pt idx="41">
                  <c:v>18615</c:v>
                </c:pt>
                <c:pt idx="42">
                  <c:v>17755</c:v>
                </c:pt>
                <c:pt idx="43">
                  <c:v>18820</c:v>
                </c:pt>
                <c:pt idx="44">
                  <c:v>17781</c:v>
                </c:pt>
              </c:numCache>
            </c:numRef>
          </c:val>
          <c:smooth val="0"/>
          <c:extLst>
            <c:ext xmlns:c16="http://schemas.microsoft.com/office/drawing/2014/chart" uri="{C3380CC4-5D6E-409C-BE32-E72D297353CC}">
              <c16:uniqueId val="{00000002-2917-474D-AC96-8E464DABEA1B}"/>
            </c:ext>
          </c:extLst>
        </c:ser>
        <c:ser>
          <c:idx val="3"/>
          <c:order val="3"/>
          <c:tx>
            <c:strRef>
              <c:f>'month from 2019'!$Z$1:$Z$2</c:f>
              <c:strCache>
                <c:ptCount val="1"/>
                <c:pt idx="0">
                  <c:v>GABAPENTIN</c:v>
                </c:pt>
              </c:strCache>
            </c:strRef>
          </c:tx>
          <c:spPr>
            <a:ln w="28575" cap="rnd">
              <a:solidFill>
                <a:schemeClr val="accent4"/>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2019'!$Z$3:$Z$48</c:f>
              <c:numCache>
                <c:formatCode>General</c:formatCode>
                <c:ptCount val="45"/>
                <c:pt idx="0">
                  <c:v>292</c:v>
                </c:pt>
                <c:pt idx="1">
                  <c:v>271</c:v>
                </c:pt>
                <c:pt idx="2">
                  <c:v>327</c:v>
                </c:pt>
                <c:pt idx="3">
                  <c:v>291</c:v>
                </c:pt>
                <c:pt idx="4">
                  <c:v>285</c:v>
                </c:pt>
                <c:pt idx="5">
                  <c:v>259</c:v>
                </c:pt>
                <c:pt idx="6">
                  <c:v>318</c:v>
                </c:pt>
                <c:pt idx="7">
                  <c:v>294</c:v>
                </c:pt>
                <c:pt idx="8">
                  <c:v>268</c:v>
                </c:pt>
                <c:pt idx="9">
                  <c:v>301</c:v>
                </c:pt>
                <c:pt idx="10">
                  <c:v>269</c:v>
                </c:pt>
                <c:pt idx="11">
                  <c:v>354</c:v>
                </c:pt>
                <c:pt idx="12">
                  <c:v>274</c:v>
                </c:pt>
                <c:pt idx="13">
                  <c:v>360</c:v>
                </c:pt>
                <c:pt idx="14">
                  <c:v>367</c:v>
                </c:pt>
                <c:pt idx="15">
                  <c:v>281</c:v>
                </c:pt>
                <c:pt idx="16">
                  <c:v>302</c:v>
                </c:pt>
                <c:pt idx="17">
                  <c:v>322</c:v>
                </c:pt>
                <c:pt idx="18">
                  <c:v>329</c:v>
                </c:pt>
                <c:pt idx="19">
                  <c:v>326</c:v>
                </c:pt>
                <c:pt idx="20">
                  <c:v>351</c:v>
                </c:pt>
                <c:pt idx="21">
                  <c:v>387</c:v>
                </c:pt>
                <c:pt idx="22">
                  <c:v>383</c:v>
                </c:pt>
                <c:pt idx="23">
                  <c:v>500</c:v>
                </c:pt>
                <c:pt idx="24">
                  <c:v>307</c:v>
                </c:pt>
                <c:pt idx="25">
                  <c:v>353</c:v>
                </c:pt>
                <c:pt idx="26">
                  <c:v>387</c:v>
                </c:pt>
                <c:pt idx="27">
                  <c:v>329</c:v>
                </c:pt>
                <c:pt idx="28">
                  <c:v>304</c:v>
                </c:pt>
                <c:pt idx="29">
                  <c:v>315</c:v>
                </c:pt>
                <c:pt idx="30">
                  <c:v>286</c:v>
                </c:pt>
                <c:pt idx="31">
                  <c:v>327</c:v>
                </c:pt>
                <c:pt idx="32">
                  <c:v>318</c:v>
                </c:pt>
                <c:pt idx="33">
                  <c:v>300</c:v>
                </c:pt>
                <c:pt idx="34">
                  <c:v>306</c:v>
                </c:pt>
                <c:pt idx="35">
                  <c:v>346</c:v>
                </c:pt>
                <c:pt idx="36">
                  <c:v>276</c:v>
                </c:pt>
                <c:pt idx="37">
                  <c:v>263</c:v>
                </c:pt>
                <c:pt idx="38">
                  <c:v>278</c:v>
                </c:pt>
                <c:pt idx="39">
                  <c:v>260</c:v>
                </c:pt>
                <c:pt idx="40">
                  <c:v>226</c:v>
                </c:pt>
                <c:pt idx="41">
                  <c:v>234</c:v>
                </c:pt>
                <c:pt idx="42">
                  <c:v>210</c:v>
                </c:pt>
                <c:pt idx="43">
                  <c:v>269</c:v>
                </c:pt>
                <c:pt idx="44">
                  <c:v>241</c:v>
                </c:pt>
              </c:numCache>
            </c:numRef>
          </c:val>
          <c:smooth val="0"/>
          <c:extLst>
            <c:ext xmlns:c16="http://schemas.microsoft.com/office/drawing/2014/chart" uri="{C3380CC4-5D6E-409C-BE32-E72D297353CC}">
              <c16:uniqueId val="{00000003-2917-474D-AC96-8E464DABEA1B}"/>
            </c:ext>
          </c:extLst>
        </c:ser>
        <c:ser>
          <c:idx val="4"/>
          <c:order val="4"/>
          <c:tx>
            <c:strRef>
              <c:f>'month from 2019'!$AA$1:$AA$2</c:f>
              <c:strCache>
                <c:ptCount val="1"/>
                <c:pt idx="0">
                  <c:v>HYDROMORPHONE</c:v>
                </c:pt>
              </c:strCache>
            </c:strRef>
          </c:tx>
          <c:spPr>
            <a:ln w="28575" cap="rnd">
              <a:solidFill>
                <a:schemeClr val="accent5"/>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2019'!$AA$3:$AA$48</c:f>
              <c:numCache>
                <c:formatCode>General</c:formatCode>
                <c:ptCount val="45"/>
                <c:pt idx="0">
                  <c:v>13094</c:v>
                </c:pt>
                <c:pt idx="1">
                  <c:v>12499</c:v>
                </c:pt>
                <c:pt idx="2">
                  <c:v>13363</c:v>
                </c:pt>
                <c:pt idx="3">
                  <c:v>13080</c:v>
                </c:pt>
                <c:pt idx="4">
                  <c:v>14130</c:v>
                </c:pt>
                <c:pt idx="5">
                  <c:v>12600</c:v>
                </c:pt>
                <c:pt idx="6">
                  <c:v>14075</c:v>
                </c:pt>
                <c:pt idx="7">
                  <c:v>13600</c:v>
                </c:pt>
                <c:pt idx="8">
                  <c:v>13100</c:v>
                </c:pt>
                <c:pt idx="9">
                  <c:v>14136</c:v>
                </c:pt>
                <c:pt idx="10">
                  <c:v>13263</c:v>
                </c:pt>
                <c:pt idx="11">
                  <c:v>14148</c:v>
                </c:pt>
                <c:pt idx="12">
                  <c:v>13109</c:v>
                </c:pt>
                <c:pt idx="13">
                  <c:v>12578</c:v>
                </c:pt>
                <c:pt idx="14">
                  <c:v>14132</c:v>
                </c:pt>
                <c:pt idx="15">
                  <c:v>13363</c:v>
                </c:pt>
                <c:pt idx="16">
                  <c:v>13388</c:v>
                </c:pt>
                <c:pt idx="17">
                  <c:v>13415</c:v>
                </c:pt>
                <c:pt idx="18">
                  <c:v>14583</c:v>
                </c:pt>
                <c:pt idx="19">
                  <c:v>13825</c:v>
                </c:pt>
                <c:pt idx="20">
                  <c:v>14020</c:v>
                </c:pt>
                <c:pt idx="21">
                  <c:v>14195</c:v>
                </c:pt>
                <c:pt idx="22">
                  <c:v>13661</c:v>
                </c:pt>
                <c:pt idx="23">
                  <c:v>15010</c:v>
                </c:pt>
                <c:pt idx="24">
                  <c:v>12569</c:v>
                </c:pt>
                <c:pt idx="25">
                  <c:v>12583</c:v>
                </c:pt>
                <c:pt idx="26">
                  <c:v>14154</c:v>
                </c:pt>
                <c:pt idx="27">
                  <c:v>12883</c:v>
                </c:pt>
                <c:pt idx="28">
                  <c:v>12605</c:v>
                </c:pt>
                <c:pt idx="29">
                  <c:v>12975</c:v>
                </c:pt>
                <c:pt idx="30">
                  <c:v>13157</c:v>
                </c:pt>
                <c:pt idx="31">
                  <c:v>13084</c:v>
                </c:pt>
                <c:pt idx="32">
                  <c:v>13195</c:v>
                </c:pt>
                <c:pt idx="33">
                  <c:v>12737</c:v>
                </c:pt>
                <c:pt idx="34">
                  <c:v>12859</c:v>
                </c:pt>
                <c:pt idx="35">
                  <c:v>13093</c:v>
                </c:pt>
                <c:pt idx="36">
                  <c:v>11302</c:v>
                </c:pt>
                <c:pt idx="37">
                  <c:v>10441</c:v>
                </c:pt>
                <c:pt idx="38">
                  <c:v>11068</c:v>
                </c:pt>
                <c:pt idx="39">
                  <c:v>9955</c:v>
                </c:pt>
                <c:pt idx="40">
                  <c:v>10809</c:v>
                </c:pt>
                <c:pt idx="41">
                  <c:v>10766</c:v>
                </c:pt>
                <c:pt idx="42">
                  <c:v>10383</c:v>
                </c:pt>
                <c:pt idx="43">
                  <c:v>11256</c:v>
                </c:pt>
                <c:pt idx="44">
                  <c:v>10820</c:v>
                </c:pt>
              </c:numCache>
            </c:numRef>
          </c:val>
          <c:smooth val="0"/>
          <c:extLst>
            <c:ext xmlns:c16="http://schemas.microsoft.com/office/drawing/2014/chart" uri="{C3380CC4-5D6E-409C-BE32-E72D297353CC}">
              <c16:uniqueId val="{00000004-2917-474D-AC96-8E464DABEA1B}"/>
            </c:ext>
          </c:extLst>
        </c:ser>
        <c:ser>
          <c:idx val="5"/>
          <c:order val="5"/>
          <c:tx>
            <c:strRef>
              <c:f>'month from 2019'!$AB$1:$AB$2</c:f>
              <c:strCache>
                <c:ptCount val="1"/>
                <c:pt idx="0">
                  <c:v>METHADONE</c:v>
                </c:pt>
              </c:strCache>
            </c:strRef>
          </c:tx>
          <c:spPr>
            <a:ln w="28575" cap="rnd">
              <a:solidFill>
                <a:schemeClr val="accent6"/>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2019'!$AB$3:$AB$48</c:f>
              <c:numCache>
                <c:formatCode>General</c:formatCode>
                <c:ptCount val="45"/>
                <c:pt idx="0">
                  <c:v>6808</c:v>
                </c:pt>
                <c:pt idx="1">
                  <c:v>6405</c:v>
                </c:pt>
                <c:pt idx="2">
                  <c:v>6818</c:v>
                </c:pt>
                <c:pt idx="3">
                  <c:v>6716</c:v>
                </c:pt>
                <c:pt idx="4">
                  <c:v>7193</c:v>
                </c:pt>
                <c:pt idx="5">
                  <c:v>6529</c:v>
                </c:pt>
                <c:pt idx="6">
                  <c:v>7169</c:v>
                </c:pt>
                <c:pt idx="7">
                  <c:v>6954</c:v>
                </c:pt>
                <c:pt idx="8">
                  <c:v>6564</c:v>
                </c:pt>
                <c:pt idx="9">
                  <c:v>7149</c:v>
                </c:pt>
                <c:pt idx="10">
                  <c:v>6612</c:v>
                </c:pt>
                <c:pt idx="11">
                  <c:v>7047</c:v>
                </c:pt>
                <c:pt idx="12">
                  <c:v>6509</c:v>
                </c:pt>
                <c:pt idx="13">
                  <c:v>6324</c:v>
                </c:pt>
                <c:pt idx="14">
                  <c:v>6887</c:v>
                </c:pt>
                <c:pt idx="15">
                  <c:v>6519</c:v>
                </c:pt>
                <c:pt idx="16">
                  <c:v>6574</c:v>
                </c:pt>
                <c:pt idx="17">
                  <c:v>6218</c:v>
                </c:pt>
                <c:pt idx="18">
                  <c:v>6728</c:v>
                </c:pt>
                <c:pt idx="19">
                  <c:v>6160</c:v>
                </c:pt>
                <c:pt idx="20">
                  <c:v>6269</c:v>
                </c:pt>
                <c:pt idx="21">
                  <c:v>6442</c:v>
                </c:pt>
                <c:pt idx="22">
                  <c:v>6163</c:v>
                </c:pt>
                <c:pt idx="23">
                  <c:v>6843</c:v>
                </c:pt>
                <c:pt idx="24">
                  <c:v>5776</c:v>
                </c:pt>
                <c:pt idx="25">
                  <c:v>5718</c:v>
                </c:pt>
                <c:pt idx="26">
                  <c:v>6515</c:v>
                </c:pt>
                <c:pt idx="27">
                  <c:v>5989</c:v>
                </c:pt>
                <c:pt idx="28">
                  <c:v>5951</c:v>
                </c:pt>
                <c:pt idx="29">
                  <c:v>6045</c:v>
                </c:pt>
                <c:pt idx="30">
                  <c:v>6070</c:v>
                </c:pt>
                <c:pt idx="31">
                  <c:v>5966</c:v>
                </c:pt>
                <c:pt idx="32">
                  <c:v>5975</c:v>
                </c:pt>
                <c:pt idx="33">
                  <c:v>5773</c:v>
                </c:pt>
                <c:pt idx="34">
                  <c:v>5837</c:v>
                </c:pt>
                <c:pt idx="35">
                  <c:v>6316</c:v>
                </c:pt>
                <c:pt idx="36">
                  <c:v>5438</c:v>
                </c:pt>
                <c:pt idx="37">
                  <c:v>5177</c:v>
                </c:pt>
                <c:pt idx="38">
                  <c:v>5885</c:v>
                </c:pt>
                <c:pt idx="39">
                  <c:v>5404</c:v>
                </c:pt>
                <c:pt idx="40">
                  <c:v>5607</c:v>
                </c:pt>
                <c:pt idx="41">
                  <c:v>5569</c:v>
                </c:pt>
                <c:pt idx="42">
                  <c:v>5414</c:v>
                </c:pt>
                <c:pt idx="43">
                  <c:v>5530</c:v>
                </c:pt>
                <c:pt idx="44">
                  <c:v>5388</c:v>
                </c:pt>
              </c:numCache>
            </c:numRef>
          </c:val>
          <c:smooth val="0"/>
          <c:extLst>
            <c:ext xmlns:c16="http://schemas.microsoft.com/office/drawing/2014/chart" uri="{C3380CC4-5D6E-409C-BE32-E72D297353CC}">
              <c16:uniqueId val="{00000005-2917-474D-AC96-8E464DABEA1B}"/>
            </c:ext>
          </c:extLst>
        </c:ser>
        <c:ser>
          <c:idx val="6"/>
          <c:order val="6"/>
          <c:tx>
            <c:strRef>
              <c:f>'month from 2019'!$AC$1:$AC$2</c:f>
              <c:strCache>
                <c:ptCount val="1"/>
                <c:pt idx="0">
                  <c:v>MORPHINE</c:v>
                </c:pt>
              </c:strCache>
            </c:strRef>
          </c:tx>
          <c:spPr>
            <a:ln w="28575" cap="rnd">
              <a:solidFill>
                <a:schemeClr val="accent1">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2019'!$AC$3:$AC$48</c:f>
              <c:numCache>
                <c:formatCode>General</c:formatCode>
                <c:ptCount val="45"/>
                <c:pt idx="0">
                  <c:v>40928</c:v>
                </c:pt>
                <c:pt idx="1">
                  <c:v>37497</c:v>
                </c:pt>
                <c:pt idx="2">
                  <c:v>40109</c:v>
                </c:pt>
                <c:pt idx="3">
                  <c:v>39821</c:v>
                </c:pt>
                <c:pt idx="4">
                  <c:v>42881</c:v>
                </c:pt>
                <c:pt idx="5">
                  <c:v>38891</c:v>
                </c:pt>
                <c:pt idx="6">
                  <c:v>42482</c:v>
                </c:pt>
                <c:pt idx="7">
                  <c:v>41293</c:v>
                </c:pt>
                <c:pt idx="8">
                  <c:v>38275</c:v>
                </c:pt>
                <c:pt idx="9">
                  <c:v>40869</c:v>
                </c:pt>
                <c:pt idx="10">
                  <c:v>38654</c:v>
                </c:pt>
                <c:pt idx="11">
                  <c:v>40466</c:v>
                </c:pt>
                <c:pt idx="12">
                  <c:v>38119</c:v>
                </c:pt>
                <c:pt idx="13">
                  <c:v>36273</c:v>
                </c:pt>
                <c:pt idx="14">
                  <c:v>40634</c:v>
                </c:pt>
                <c:pt idx="15">
                  <c:v>38368</c:v>
                </c:pt>
                <c:pt idx="16">
                  <c:v>38071</c:v>
                </c:pt>
                <c:pt idx="17">
                  <c:v>37702</c:v>
                </c:pt>
                <c:pt idx="18">
                  <c:v>39939</c:v>
                </c:pt>
                <c:pt idx="19">
                  <c:v>38181</c:v>
                </c:pt>
                <c:pt idx="20">
                  <c:v>38872</c:v>
                </c:pt>
                <c:pt idx="21">
                  <c:v>39111</c:v>
                </c:pt>
                <c:pt idx="22">
                  <c:v>37339</c:v>
                </c:pt>
                <c:pt idx="23">
                  <c:v>41167</c:v>
                </c:pt>
                <c:pt idx="24">
                  <c:v>34501</c:v>
                </c:pt>
                <c:pt idx="25">
                  <c:v>34211</c:v>
                </c:pt>
                <c:pt idx="26">
                  <c:v>39911</c:v>
                </c:pt>
                <c:pt idx="27">
                  <c:v>36499</c:v>
                </c:pt>
                <c:pt idx="28">
                  <c:v>36760</c:v>
                </c:pt>
                <c:pt idx="29">
                  <c:v>37972</c:v>
                </c:pt>
                <c:pt idx="30">
                  <c:v>38712</c:v>
                </c:pt>
                <c:pt idx="31">
                  <c:v>37857</c:v>
                </c:pt>
                <c:pt idx="32">
                  <c:v>37724</c:v>
                </c:pt>
                <c:pt idx="33">
                  <c:v>36658</c:v>
                </c:pt>
                <c:pt idx="34">
                  <c:v>37787</c:v>
                </c:pt>
                <c:pt idx="35">
                  <c:v>38808</c:v>
                </c:pt>
                <c:pt idx="36">
                  <c:v>34386</c:v>
                </c:pt>
                <c:pt idx="37">
                  <c:v>33318</c:v>
                </c:pt>
                <c:pt idx="38">
                  <c:v>37380</c:v>
                </c:pt>
                <c:pt idx="39">
                  <c:v>36246</c:v>
                </c:pt>
                <c:pt idx="40">
                  <c:v>39087</c:v>
                </c:pt>
                <c:pt idx="41">
                  <c:v>38152</c:v>
                </c:pt>
                <c:pt idx="42">
                  <c:v>36236</c:v>
                </c:pt>
                <c:pt idx="43">
                  <c:v>38642</c:v>
                </c:pt>
                <c:pt idx="44">
                  <c:v>36374</c:v>
                </c:pt>
              </c:numCache>
            </c:numRef>
          </c:val>
          <c:smooth val="0"/>
          <c:extLst>
            <c:ext xmlns:c16="http://schemas.microsoft.com/office/drawing/2014/chart" uri="{C3380CC4-5D6E-409C-BE32-E72D297353CC}">
              <c16:uniqueId val="{00000006-2917-474D-AC96-8E464DABEA1B}"/>
            </c:ext>
          </c:extLst>
        </c:ser>
        <c:ser>
          <c:idx val="7"/>
          <c:order val="7"/>
          <c:tx>
            <c:strRef>
              <c:f>'month from 2019'!$AD$1:$AD$2</c:f>
              <c:strCache>
                <c:ptCount val="1"/>
                <c:pt idx="0">
                  <c:v>OXYCODONE</c:v>
                </c:pt>
              </c:strCache>
            </c:strRef>
          </c:tx>
          <c:spPr>
            <a:ln w="28575" cap="rnd">
              <a:solidFill>
                <a:schemeClr val="accent2">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2019'!$AD$3:$AD$48</c:f>
              <c:numCache>
                <c:formatCode>General</c:formatCode>
                <c:ptCount val="45"/>
                <c:pt idx="0">
                  <c:v>263630</c:v>
                </c:pt>
                <c:pt idx="1">
                  <c:v>259423</c:v>
                </c:pt>
                <c:pt idx="2">
                  <c:v>276220</c:v>
                </c:pt>
                <c:pt idx="3">
                  <c:v>268563</c:v>
                </c:pt>
                <c:pt idx="4">
                  <c:v>288034</c:v>
                </c:pt>
                <c:pt idx="5">
                  <c:v>258600</c:v>
                </c:pt>
                <c:pt idx="6">
                  <c:v>281076</c:v>
                </c:pt>
                <c:pt idx="7">
                  <c:v>275012</c:v>
                </c:pt>
                <c:pt idx="8">
                  <c:v>258025</c:v>
                </c:pt>
                <c:pt idx="9">
                  <c:v>275543</c:v>
                </c:pt>
                <c:pt idx="10">
                  <c:v>264323</c:v>
                </c:pt>
                <c:pt idx="11">
                  <c:v>271091</c:v>
                </c:pt>
                <c:pt idx="12">
                  <c:v>251612</c:v>
                </c:pt>
                <c:pt idx="13">
                  <c:v>247067</c:v>
                </c:pt>
                <c:pt idx="14">
                  <c:v>271049</c:v>
                </c:pt>
                <c:pt idx="15">
                  <c:v>228401</c:v>
                </c:pt>
                <c:pt idx="16">
                  <c:v>247374</c:v>
                </c:pt>
                <c:pt idx="17">
                  <c:v>257829</c:v>
                </c:pt>
                <c:pt idx="18">
                  <c:v>278114</c:v>
                </c:pt>
                <c:pt idx="19">
                  <c:v>259412</c:v>
                </c:pt>
                <c:pt idx="20">
                  <c:v>263075</c:v>
                </c:pt>
                <c:pt idx="21">
                  <c:v>272962</c:v>
                </c:pt>
                <c:pt idx="22">
                  <c:v>264590</c:v>
                </c:pt>
                <c:pt idx="23">
                  <c:v>281748</c:v>
                </c:pt>
                <c:pt idx="24">
                  <c:v>239274</c:v>
                </c:pt>
                <c:pt idx="25">
                  <c:v>242533</c:v>
                </c:pt>
                <c:pt idx="26">
                  <c:v>278673</c:v>
                </c:pt>
                <c:pt idx="27">
                  <c:v>257380</c:v>
                </c:pt>
                <c:pt idx="28">
                  <c:v>264650</c:v>
                </c:pt>
                <c:pt idx="29">
                  <c:v>265095</c:v>
                </c:pt>
                <c:pt idx="30">
                  <c:v>271640</c:v>
                </c:pt>
                <c:pt idx="31">
                  <c:v>270047</c:v>
                </c:pt>
                <c:pt idx="32">
                  <c:v>263668</c:v>
                </c:pt>
                <c:pt idx="33">
                  <c:v>255000</c:v>
                </c:pt>
                <c:pt idx="34">
                  <c:v>257874</c:v>
                </c:pt>
                <c:pt idx="35">
                  <c:v>262657</c:v>
                </c:pt>
                <c:pt idx="36">
                  <c:v>216038</c:v>
                </c:pt>
                <c:pt idx="37">
                  <c:v>223076</c:v>
                </c:pt>
                <c:pt idx="38">
                  <c:v>266423</c:v>
                </c:pt>
                <c:pt idx="39">
                  <c:v>259879</c:v>
                </c:pt>
                <c:pt idx="40">
                  <c:v>279861</c:v>
                </c:pt>
                <c:pt idx="41">
                  <c:v>268270</c:v>
                </c:pt>
                <c:pt idx="42">
                  <c:v>255123</c:v>
                </c:pt>
                <c:pt idx="43">
                  <c:v>269242</c:v>
                </c:pt>
                <c:pt idx="44">
                  <c:v>256985</c:v>
                </c:pt>
              </c:numCache>
            </c:numRef>
          </c:val>
          <c:smooth val="0"/>
          <c:extLst>
            <c:ext xmlns:c16="http://schemas.microsoft.com/office/drawing/2014/chart" uri="{C3380CC4-5D6E-409C-BE32-E72D297353CC}">
              <c16:uniqueId val="{00000007-2917-474D-AC96-8E464DABEA1B}"/>
            </c:ext>
          </c:extLst>
        </c:ser>
        <c:ser>
          <c:idx val="8"/>
          <c:order val="8"/>
          <c:tx>
            <c:strRef>
              <c:f>'month from 2019'!$AE$1:$AE$2</c:f>
              <c:strCache>
                <c:ptCount val="1"/>
                <c:pt idx="0">
                  <c:v>OXYCODONE + NALOXONE</c:v>
                </c:pt>
              </c:strCache>
            </c:strRef>
          </c:tx>
          <c:spPr>
            <a:ln w="28575" cap="rnd">
              <a:solidFill>
                <a:schemeClr val="accent3">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2019'!$AE$3:$AE$48</c:f>
              <c:numCache>
                <c:formatCode>General</c:formatCode>
                <c:ptCount val="45"/>
                <c:pt idx="0">
                  <c:v>172959</c:v>
                </c:pt>
                <c:pt idx="1">
                  <c:v>165607</c:v>
                </c:pt>
                <c:pt idx="2">
                  <c:v>175881</c:v>
                </c:pt>
                <c:pt idx="3">
                  <c:v>172872</c:v>
                </c:pt>
                <c:pt idx="4">
                  <c:v>184586</c:v>
                </c:pt>
                <c:pt idx="5">
                  <c:v>163311</c:v>
                </c:pt>
                <c:pt idx="6">
                  <c:v>179720</c:v>
                </c:pt>
                <c:pt idx="7">
                  <c:v>174530</c:v>
                </c:pt>
                <c:pt idx="8">
                  <c:v>164324</c:v>
                </c:pt>
                <c:pt idx="9">
                  <c:v>177612</c:v>
                </c:pt>
                <c:pt idx="10">
                  <c:v>165450</c:v>
                </c:pt>
                <c:pt idx="11">
                  <c:v>174307</c:v>
                </c:pt>
                <c:pt idx="12">
                  <c:v>161964</c:v>
                </c:pt>
                <c:pt idx="13">
                  <c:v>155695</c:v>
                </c:pt>
                <c:pt idx="14">
                  <c:v>172829</c:v>
                </c:pt>
                <c:pt idx="15">
                  <c:v>156894</c:v>
                </c:pt>
                <c:pt idx="16">
                  <c:v>160043</c:v>
                </c:pt>
                <c:pt idx="17">
                  <c:v>146661</c:v>
                </c:pt>
                <c:pt idx="18">
                  <c:v>161650</c:v>
                </c:pt>
                <c:pt idx="19">
                  <c:v>152620</c:v>
                </c:pt>
                <c:pt idx="20">
                  <c:v>156799</c:v>
                </c:pt>
                <c:pt idx="21">
                  <c:v>157451</c:v>
                </c:pt>
                <c:pt idx="22">
                  <c:v>151034</c:v>
                </c:pt>
                <c:pt idx="23">
                  <c:v>166985</c:v>
                </c:pt>
                <c:pt idx="24">
                  <c:v>140547</c:v>
                </c:pt>
                <c:pt idx="25">
                  <c:v>141102</c:v>
                </c:pt>
                <c:pt idx="26">
                  <c:v>162114</c:v>
                </c:pt>
                <c:pt idx="27">
                  <c:v>147323</c:v>
                </c:pt>
                <c:pt idx="28">
                  <c:v>148026</c:v>
                </c:pt>
                <c:pt idx="29">
                  <c:v>151761</c:v>
                </c:pt>
                <c:pt idx="30">
                  <c:v>153006</c:v>
                </c:pt>
                <c:pt idx="31">
                  <c:v>152198</c:v>
                </c:pt>
                <c:pt idx="32">
                  <c:v>150411</c:v>
                </c:pt>
                <c:pt idx="33">
                  <c:v>145977</c:v>
                </c:pt>
                <c:pt idx="34">
                  <c:v>149779</c:v>
                </c:pt>
                <c:pt idx="35">
                  <c:v>156376</c:v>
                </c:pt>
                <c:pt idx="36">
                  <c:v>132934</c:v>
                </c:pt>
                <c:pt idx="37">
                  <c:v>131477</c:v>
                </c:pt>
                <c:pt idx="38">
                  <c:v>135502</c:v>
                </c:pt>
                <c:pt idx="39">
                  <c:v>94371</c:v>
                </c:pt>
                <c:pt idx="40">
                  <c:v>87904</c:v>
                </c:pt>
                <c:pt idx="41">
                  <c:v>95472</c:v>
                </c:pt>
                <c:pt idx="42">
                  <c:v>99592</c:v>
                </c:pt>
                <c:pt idx="43">
                  <c:v>110773</c:v>
                </c:pt>
                <c:pt idx="44">
                  <c:v>109275</c:v>
                </c:pt>
              </c:numCache>
            </c:numRef>
          </c:val>
          <c:smooth val="0"/>
          <c:extLst>
            <c:ext xmlns:c16="http://schemas.microsoft.com/office/drawing/2014/chart" uri="{C3380CC4-5D6E-409C-BE32-E72D297353CC}">
              <c16:uniqueId val="{00000008-2917-474D-AC96-8E464DABEA1B}"/>
            </c:ext>
          </c:extLst>
        </c:ser>
        <c:ser>
          <c:idx val="9"/>
          <c:order val="9"/>
          <c:tx>
            <c:strRef>
              <c:f>'month from 2019'!$AF$1:$AF$2</c:f>
              <c:strCache>
                <c:ptCount val="1"/>
                <c:pt idx="0">
                  <c:v>PARACETAMOL + CODEINE</c:v>
                </c:pt>
              </c:strCache>
            </c:strRef>
          </c:tx>
          <c:spPr>
            <a:ln w="28575" cap="rnd">
              <a:solidFill>
                <a:schemeClr val="accent4">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2019'!$AF$3:$AF$48</c:f>
              <c:numCache>
                <c:formatCode>General</c:formatCode>
                <c:ptCount val="45"/>
                <c:pt idx="0">
                  <c:v>306336</c:v>
                </c:pt>
                <c:pt idx="1">
                  <c:v>303289</c:v>
                </c:pt>
                <c:pt idx="2">
                  <c:v>326942</c:v>
                </c:pt>
                <c:pt idx="3">
                  <c:v>318242</c:v>
                </c:pt>
                <c:pt idx="4">
                  <c:v>347695</c:v>
                </c:pt>
                <c:pt idx="5">
                  <c:v>312313</c:v>
                </c:pt>
                <c:pt idx="6">
                  <c:v>344788</c:v>
                </c:pt>
                <c:pt idx="7">
                  <c:v>340832</c:v>
                </c:pt>
                <c:pt idx="8">
                  <c:v>316883</c:v>
                </c:pt>
                <c:pt idx="9">
                  <c:v>334994</c:v>
                </c:pt>
                <c:pt idx="10">
                  <c:v>317619</c:v>
                </c:pt>
                <c:pt idx="11">
                  <c:v>322120</c:v>
                </c:pt>
                <c:pt idx="12">
                  <c:v>292735</c:v>
                </c:pt>
                <c:pt idx="13">
                  <c:v>293144</c:v>
                </c:pt>
                <c:pt idx="14">
                  <c:v>337355</c:v>
                </c:pt>
                <c:pt idx="15">
                  <c:v>281914</c:v>
                </c:pt>
                <c:pt idx="16">
                  <c:v>302131</c:v>
                </c:pt>
                <c:pt idx="17">
                  <c:v>303183</c:v>
                </c:pt>
                <c:pt idx="18">
                  <c:v>321892</c:v>
                </c:pt>
                <c:pt idx="19">
                  <c:v>303253</c:v>
                </c:pt>
                <c:pt idx="20">
                  <c:v>303180</c:v>
                </c:pt>
                <c:pt idx="21">
                  <c:v>305482</c:v>
                </c:pt>
                <c:pt idx="22">
                  <c:v>291659</c:v>
                </c:pt>
                <c:pt idx="23">
                  <c:v>303500</c:v>
                </c:pt>
                <c:pt idx="24">
                  <c:v>261262</c:v>
                </c:pt>
                <c:pt idx="25">
                  <c:v>265676</c:v>
                </c:pt>
                <c:pt idx="26">
                  <c:v>302177</c:v>
                </c:pt>
                <c:pt idx="27">
                  <c:v>279737</c:v>
                </c:pt>
                <c:pt idx="28">
                  <c:v>288620</c:v>
                </c:pt>
                <c:pt idx="29">
                  <c:v>286073</c:v>
                </c:pt>
                <c:pt idx="30">
                  <c:v>293184</c:v>
                </c:pt>
                <c:pt idx="31">
                  <c:v>293128</c:v>
                </c:pt>
                <c:pt idx="32">
                  <c:v>285637</c:v>
                </c:pt>
                <c:pt idx="33">
                  <c:v>279347</c:v>
                </c:pt>
                <c:pt idx="34">
                  <c:v>281064</c:v>
                </c:pt>
                <c:pt idx="35">
                  <c:v>278792</c:v>
                </c:pt>
                <c:pt idx="36">
                  <c:v>242739</c:v>
                </c:pt>
                <c:pt idx="37">
                  <c:v>246486</c:v>
                </c:pt>
                <c:pt idx="38">
                  <c:v>282017</c:v>
                </c:pt>
                <c:pt idx="39">
                  <c:v>253127</c:v>
                </c:pt>
                <c:pt idx="40">
                  <c:v>277619</c:v>
                </c:pt>
                <c:pt idx="41">
                  <c:v>271025</c:v>
                </c:pt>
                <c:pt idx="42">
                  <c:v>270320</c:v>
                </c:pt>
                <c:pt idx="43">
                  <c:v>285820</c:v>
                </c:pt>
                <c:pt idx="44">
                  <c:v>268268</c:v>
                </c:pt>
              </c:numCache>
            </c:numRef>
          </c:val>
          <c:smooth val="0"/>
          <c:extLst>
            <c:ext xmlns:c16="http://schemas.microsoft.com/office/drawing/2014/chart" uri="{C3380CC4-5D6E-409C-BE32-E72D297353CC}">
              <c16:uniqueId val="{00000009-2917-474D-AC96-8E464DABEA1B}"/>
            </c:ext>
          </c:extLst>
        </c:ser>
        <c:ser>
          <c:idx val="10"/>
          <c:order val="10"/>
          <c:tx>
            <c:strRef>
              <c:f>'month from 2019'!$AG$1:$AG$2</c:f>
              <c:strCache>
                <c:ptCount val="1"/>
                <c:pt idx="0">
                  <c:v>PREGABALIN</c:v>
                </c:pt>
              </c:strCache>
            </c:strRef>
          </c:tx>
          <c:spPr>
            <a:ln w="28575" cap="rnd">
              <a:solidFill>
                <a:schemeClr val="accent5">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2019'!$AG$3:$AG$48</c:f>
              <c:numCache>
                <c:formatCode>General</c:formatCode>
                <c:ptCount val="45"/>
                <c:pt idx="0">
                  <c:v>299406</c:v>
                </c:pt>
                <c:pt idx="1">
                  <c:v>298870</c:v>
                </c:pt>
                <c:pt idx="2">
                  <c:v>326366</c:v>
                </c:pt>
                <c:pt idx="3">
                  <c:v>322319</c:v>
                </c:pt>
                <c:pt idx="4">
                  <c:v>348176</c:v>
                </c:pt>
                <c:pt idx="5">
                  <c:v>316849</c:v>
                </c:pt>
                <c:pt idx="6">
                  <c:v>346410</c:v>
                </c:pt>
                <c:pt idx="7">
                  <c:v>343722</c:v>
                </c:pt>
                <c:pt idx="8">
                  <c:v>333037</c:v>
                </c:pt>
                <c:pt idx="9">
                  <c:v>354765</c:v>
                </c:pt>
                <c:pt idx="10">
                  <c:v>345252</c:v>
                </c:pt>
                <c:pt idx="11">
                  <c:v>397160</c:v>
                </c:pt>
                <c:pt idx="12">
                  <c:v>298141</c:v>
                </c:pt>
                <c:pt idx="13">
                  <c:v>303083</c:v>
                </c:pt>
                <c:pt idx="14">
                  <c:v>362156</c:v>
                </c:pt>
                <c:pt idx="15">
                  <c:v>308487</c:v>
                </c:pt>
                <c:pt idx="16">
                  <c:v>321374</c:v>
                </c:pt>
                <c:pt idx="17">
                  <c:v>331930</c:v>
                </c:pt>
                <c:pt idx="18">
                  <c:v>356244</c:v>
                </c:pt>
                <c:pt idx="19">
                  <c:v>343538</c:v>
                </c:pt>
                <c:pt idx="20">
                  <c:v>352008</c:v>
                </c:pt>
                <c:pt idx="21">
                  <c:v>357724</c:v>
                </c:pt>
                <c:pt idx="22">
                  <c:v>350645</c:v>
                </c:pt>
                <c:pt idx="23">
                  <c:v>413209</c:v>
                </c:pt>
                <c:pt idx="24">
                  <c:v>293450</c:v>
                </c:pt>
                <c:pt idx="25">
                  <c:v>303956</c:v>
                </c:pt>
                <c:pt idx="26">
                  <c:v>351402</c:v>
                </c:pt>
                <c:pt idx="27">
                  <c:v>324149</c:v>
                </c:pt>
                <c:pt idx="28">
                  <c:v>334482</c:v>
                </c:pt>
                <c:pt idx="29">
                  <c:v>340882</c:v>
                </c:pt>
                <c:pt idx="30">
                  <c:v>353601</c:v>
                </c:pt>
                <c:pt idx="31">
                  <c:v>354826</c:v>
                </c:pt>
                <c:pt idx="32">
                  <c:v>350343</c:v>
                </c:pt>
                <c:pt idx="33">
                  <c:v>341076</c:v>
                </c:pt>
                <c:pt idx="34">
                  <c:v>351051</c:v>
                </c:pt>
                <c:pt idx="35">
                  <c:v>391402</c:v>
                </c:pt>
                <c:pt idx="36">
                  <c:v>288596</c:v>
                </c:pt>
                <c:pt idx="37">
                  <c:v>294964</c:v>
                </c:pt>
                <c:pt idx="38">
                  <c:v>337515</c:v>
                </c:pt>
                <c:pt idx="39">
                  <c:v>315448</c:v>
                </c:pt>
                <c:pt idx="40">
                  <c:v>333602</c:v>
                </c:pt>
                <c:pt idx="41">
                  <c:v>322554</c:v>
                </c:pt>
                <c:pt idx="42">
                  <c:v>324773</c:v>
                </c:pt>
                <c:pt idx="43">
                  <c:v>343325</c:v>
                </c:pt>
                <c:pt idx="44">
                  <c:v>331169</c:v>
                </c:pt>
              </c:numCache>
            </c:numRef>
          </c:val>
          <c:smooth val="0"/>
          <c:extLst>
            <c:ext xmlns:c16="http://schemas.microsoft.com/office/drawing/2014/chart" uri="{C3380CC4-5D6E-409C-BE32-E72D297353CC}">
              <c16:uniqueId val="{0000000A-2917-474D-AC96-8E464DABEA1B}"/>
            </c:ext>
          </c:extLst>
        </c:ser>
        <c:ser>
          <c:idx val="11"/>
          <c:order val="11"/>
          <c:tx>
            <c:strRef>
              <c:f>'month from 2019'!$AH$1:$AH$2</c:f>
              <c:strCache>
                <c:ptCount val="1"/>
                <c:pt idx="0">
                  <c:v>TAPENTADOL</c:v>
                </c:pt>
              </c:strCache>
            </c:strRef>
          </c:tx>
          <c:spPr>
            <a:ln w="28575" cap="rnd">
              <a:solidFill>
                <a:schemeClr val="accent6">
                  <a:lumMod val="6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2019'!$AH$3:$AH$48</c:f>
              <c:numCache>
                <c:formatCode>General</c:formatCode>
                <c:ptCount val="45"/>
                <c:pt idx="0">
                  <c:v>71420</c:v>
                </c:pt>
                <c:pt idx="1">
                  <c:v>71617</c:v>
                </c:pt>
                <c:pt idx="2">
                  <c:v>78046</c:v>
                </c:pt>
                <c:pt idx="3">
                  <c:v>77175</c:v>
                </c:pt>
                <c:pt idx="4">
                  <c:v>85591</c:v>
                </c:pt>
                <c:pt idx="5">
                  <c:v>76603</c:v>
                </c:pt>
                <c:pt idx="6">
                  <c:v>85739</c:v>
                </c:pt>
                <c:pt idx="7">
                  <c:v>86965</c:v>
                </c:pt>
                <c:pt idx="8">
                  <c:v>82739</c:v>
                </c:pt>
                <c:pt idx="9">
                  <c:v>91432</c:v>
                </c:pt>
                <c:pt idx="10">
                  <c:v>89529</c:v>
                </c:pt>
                <c:pt idx="11">
                  <c:v>93970</c:v>
                </c:pt>
                <c:pt idx="12">
                  <c:v>85994</c:v>
                </c:pt>
                <c:pt idx="13">
                  <c:v>86933</c:v>
                </c:pt>
                <c:pt idx="14">
                  <c:v>97628</c:v>
                </c:pt>
                <c:pt idx="15">
                  <c:v>86157</c:v>
                </c:pt>
                <c:pt idx="16">
                  <c:v>91053</c:v>
                </c:pt>
                <c:pt idx="17">
                  <c:v>81029</c:v>
                </c:pt>
                <c:pt idx="18">
                  <c:v>91509</c:v>
                </c:pt>
                <c:pt idx="19">
                  <c:v>88506</c:v>
                </c:pt>
                <c:pt idx="20">
                  <c:v>92572</c:v>
                </c:pt>
                <c:pt idx="21">
                  <c:v>93816</c:v>
                </c:pt>
                <c:pt idx="22">
                  <c:v>91798</c:v>
                </c:pt>
                <c:pt idx="23">
                  <c:v>102262</c:v>
                </c:pt>
                <c:pt idx="24">
                  <c:v>85250</c:v>
                </c:pt>
                <c:pt idx="25">
                  <c:v>87233</c:v>
                </c:pt>
                <c:pt idx="26">
                  <c:v>101277</c:v>
                </c:pt>
                <c:pt idx="27">
                  <c:v>93378</c:v>
                </c:pt>
                <c:pt idx="28">
                  <c:v>95278</c:v>
                </c:pt>
                <c:pt idx="29">
                  <c:v>98205</c:v>
                </c:pt>
                <c:pt idx="30">
                  <c:v>100609</c:v>
                </c:pt>
                <c:pt idx="31">
                  <c:v>100925</c:v>
                </c:pt>
                <c:pt idx="32">
                  <c:v>100841</c:v>
                </c:pt>
                <c:pt idx="33">
                  <c:v>99230</c:v>
                </c:pt>
                <c:pt idx="34">
                  <c:v>102406</c:v>
                </c:pt>
                <c:pt idx="35">
                  <c:v>108674</c:v>
                </c:pt>
                <c:pt idx="36">
                  <c:v>91638</c:v>
                </c:pt>
                <c:pt idx="37">
                  <c:v>92229</c:v>
                </c:pt>
                <c:pt idx="38">
                  <c:v>108153</c:v>
                </c:pt>
                <c:pt idx="39">
                  <c:v>106560</c:v>
                </c:pt>
                <c:pt idx="40">
                  <c:v>115121</c:v>
                </c:pt>
                <c:pt idx="41">
                  <c:v>112959</c:v>
                </c:pt>
                <c:pt idx="42">
                  <c:v>109107</c:v>
                </c:pt>
                <c:pt idx="43">
                  <c:v>116541</c:v>
                </c:pt>
                <c:pt idx="44">
                  <c:v>111968</c:v>
                </c:pt>
              </c:numCache>
            </c:numRef>
          </c:val>
          <c:smooth val="0"/>
          <c:extLst>
            <c:ext xmlns:c16="http://schemas.microsoft.com/office/drawing/2014/chart" uri="{C3380CC4-5D6E-409C-BE32-E72D297353CC}">
              <c16:uniqueId val="{0000000B-2917-474D-AC96-8E464DABEA1B}"/>
            </c:ext>
          </c:extLst>
        </c:ser>
        <c:ser>
          <c:idx val="12"/>
          <c:order val="12"/>
          <c:tx>
            <c:strRef>
              <c:f>'month from 2019'!$AI$1:$AI$2</c:f>
              <c:strCache>
                <c:ptCount val="1"/>
                <c:pt idx="0">
                  <c:v>TRAMADOL</c:v>
                </c:pt>
              </c:strCache>
            </c:strRef>
          </c:tx>
          <c:spPr>
            <a:ln w="28575" cap="rnd">
              <a:solidFill>
                <a:schemeClr val="accent1">
                  <a:lumMod val="80000"/>
                  <a:lumOff val="20000"/>
                </a:schemeClr>
              </a:solidFill>
              <a:round/>
            </a:ln>
            <a:effectLst/>
          </c:spPr>
          <c:marker>
            <c:symbol val="none"/>
          </c:marker>
          <c:cat>
            <c:strRef>
              <c:f>'month from 2019'!$V$3:$V$48</c:f>
              <c:strCache>
                <c:ptCount val="45"/>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pt idx="41">
                  <c:v>202206</c:v>
                </c:pt>
                <c:pt idx="42">
                  <c:v>202207</c:v>
                </c:pt>
                <c:pt idx="43">
                  <c:v>202208</c:v>
                </c:pt>
                <c:pt idx="44">
                  <c:v>202209</c:v>
                </c:pt>
              </c:strCache>
            </c:strRef>
          </c:cat>
          <c:val>
            <c:numRef>
              <c:f>'month from 2019'!$AI$3:$AI$48</c:f>
              <c:numCache>
                <c:formatCode>General</c:formatCode>
                <c:ptCount val="45"/>
                <c:pt idx="0">
                  <c:v>203499</c:v>
                </c:pt>
                <c:pt idx="1">
                  <c:v>200028</c:v>
                </c:pt>
                <c:pt idx="2">
                  <c:v>217599</c:v>
                </c:pt>
                <c:pt idx="3">
                  <c:v>211985</c:v>
                </c:pt>
                <c:pt idx="4">
                  <c:v>228281</c:v>
                </c:pt>
                <c:pt idx="5">
                  <c:v>205095</c:v>
                </c:pt>
                <c:pt idx="6">
                  <c:v>222246</c:v>
                </c:pt>
                <c:pt idx="7">
                  <c:v>220357</c:v>
                </c:pt>
                <c:pt idx="8">
                  <c:v>207800</c:v>
                </c:pt>
                <c:pt idx="9">
                  <c:v>223641</c:v>
                </c:pt>
                <c:pt idx="10">
                  <c:v>214662</c:v>
                </c:pt>
                <c:pt idx="11">
                  <c:v>231029</c:v>
                </c:pt>
                <c:pt idx="12">
                  <c:v>195486</c:v>
                </c:pt>
                <c:pt idx="13">
                  <c:v>196292</c:v>
                </c:pt>
                <c:pt idx="14">
                  <c:v>226608</c:v>
                </c:pt>
                <c:pt idx="15">
                  <c:v>192505</c:v>
                </c:pt>
                <c:pt idx="16">
                  <c:v>204177</c:v>
                </c:pt>
                <c:pt idx="17">
                  <c:v>158467</c:v>
                </c:pt>
                <c:pt idx="18">
                  <c:v>171670</c:v>
                </c:pt>
                <c:pt idx="19">
                  <c:v>160908</c:v>
                </c:pt>
                <c:pt idx="20">
                  <c:v>160896</c:v>
                </c:pt>
                <c:pt idx="21">
                  <c:v>162433</c:v>
                </c:pt>
                <c:pt idx="22">
                  <c:v>154845</c:v>
                </c:pt>
                <c:pt idx="23">
                  <c:v>167606</c:v>
                </c:pt>
                <c:pt idx="24">
                  <c:v>139516</c:v>
                </c:pt>
                <c:pt idx="25">
                  <c:v>141186</c:v>
                </c:pt>
                <c:pt idx="26">
                  <c:v>159260</c:v>
                </c:pt>
                <c:pt idx="27">
                  <c:v>145211</c:v>
                </c:pt>
                <c:pt idx="28">
                  <c:v>148788</c:v>
                </c:pt>
                <c:pt idx="29">
                  <c:v>147405</c:v>
                </c:pt>
                <c:pt idx="30">
                  <c:v>150864</c:v>
                </c:pt>
                <c:pt idx="31">
                  <c:v>149535</c:v>
                </c:pt>
                <c:pt idx="32">
                  <c:v>146446</c:v>
                </c:pt>
                <c:pt idx="33">
                  <c:v>142873</c:v>
                </c:pt>
                <c:pt idx="34">
                  <c:v>144066</c:v>
                </c:pt>
                <c:pt idx="35">
                  <c:v>148933</c:v>
                </c:pt>
                <c:pt idx="36">
                  <c:v>125102</c:v>
                </c:pt>
                <c:pt idx="37">
                  <c:v>126065</c:v>
                </c:pt>
                <c:pt idx="38">
                  <c:v>143023</c:v>
                </c:pt>
                <c:pt idx="39">
                  <c:v>130315</c:v>
                </c:pt>
                <c:pt idx="40">
                  <c:v>138069</c:v>
                </c:pt>
                <c:pt idx="41">
                  <c:v>134425</c:v>
                </c:pt>
                <c:pt idx="42">
                  <c:v>131288</c:v>
                </c:pt>
                <c:pt idx="43">
                  <c:v>139351</c:v>
                </c:pt>
                <c:pt idx="44">
                  <c:v>132061</c:v>
                </c:pt>
              </c:numCache>
            </c:numRef>
          </c:val>
          <c:smooth val="0"/>
          <c:extLst>
            <c:ext xmlns:c16="http://schemas.microsoft.com/office/drawing/2014/chart" uri="{C3380CC4-5D6E-409C-BE32-E72D297353CC}">
              <c16:uniqueId val="{0000000C-2917-474D-AC96-8E464DABEA1B}"/>
            </c:ext>
          </c:extLst>
        </c:ser>
        <c:dLbls>
          <c:showLegendKey val="0"/>
          <c:showVal val="0"/>
          <c:showCatName val="0"/>
          <c:showSerName val="0"/>
          <c:showPercent val="0"/>
          <c:showBubbleSize val="0"/>
        </c:dLbls>
        <c:smooth val="0"/>
        <c:axId val="749398768"/>
        <c:axId val="749399752"/>
      </c:lineChart>
      <c:catAx>
        <c:axId val="749398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399752"/>
        <c:crosses val="autoZero"/>
        <c:auto val="1"/>
        <c:lblAlgn val="ctr"/>
        <c:lblOffset val="100"/>
        <c:noMultiLvlLbl val="0"/>
      </c:catAx>
      <c:valAx>
        <c:axId val="749399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39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2.xlsx]Sheet5!PivotTable2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Sheet5!$W$1:$W$2</c:f>
              <c:strCache>
                <c:ptCount val="1"/>
                <c:pt idx="0">
                  <c:v>Non-Opioids</c:v>
                </c:pt>
              </c:strCache>
            </c:strRef>
          </c:tx>
          <c:spPr>
            <a:solidFill>
              <a:schemeClr val="accent1"/>
            </a:solidFill>
            <a:ln>
              <a:noFill/>
            </a:ln>
            <a:effectLst/>
          </c:spPr>
          <c:cat>
            <c:strRef>
              <c:f>Sheet5!$V$3:$V$30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Sheet5!$W$3:$W$30</c:f>
              <c:numCache>
                <c:formatCode>General</c:formatCode>
                <c:ptCount val="27"/>
                <c:pt idx="0">
                  <c:v>768368</c:v>
                </c:pt>
                <c:pt idx="1">
                  <c:v>875223</c:v>
                </c:pt>
                <c:pt idx="2">
                  <c:v>943019</c:v>
                </c:pt>
                <c:pt idx="3">
                  <c:v>1062939</c:v>
                </c:pt>
                <c:pt idx="4">
                  <c:v>892881</c:v>
                </c:pt>
                <c:pt idx="5">
                  <c:v>961389</c:v>
                </c:pt>
                <c:pt idx="6">
                  <c:v>1001630</c:v>
                </c:pt>
                <c:pt idx="7">
                  <c:v>1099003</c:v>
                </c:pt>
                <c:pt idx="8">
                  <c:v>936386</c:v>
                </c:pt>
                <c:pt idx="9">
                  <c:v>1018751</c:v>
                </c:pt>
                <c:pt idx="10">
                  <c:v>1051328</c:v>
                </c:pt>
                <c:pt idx="11">
                  <c:v>1138372</c:v>
                </c:pt>
                <c:pt idx="12">
                  <c:v>925532</c:v>
                </c:pt>
                <c:pt idx="13">
                  <c:v>988179</c:v>
                </c:pt>
                <c:pt idx="14">
                  <c:v>1024049</c:v>
                </c:pt>
                <c:pt idx="15">
                  <c:v>1098101</c:v>
                </c:pt>
                <c:pt idx="16">
                  <c:v>964381</c:v>
                </c:pt>
                <c:pt idx="17">
                  <c:v>962696</c:v>
                </c:pt>
                <c:pt idx="18">
                  <c:v>1052796</c:v>
                </c:pt>
                <c:pt idx="19">
                  <c:v>1122848</c:v>
                </c:pt>
                <c:pt idx="20">
                  <c:v>949855</c:v>
                </c:pt>
                <c:pt idx="21">
                  <c:v>1000461</c:v>
                </c:pt>
                <c:pt idx="22">
                  <c:v>1059701</c:v>
                </c:pt>
                <c:pt idx="23">
                  <c:v>1084481</c:v>
                </c:pt>
                <c:pt idx="24">
                  <c:v>921892</c:v>
                </c:pt>
                <c:pt idx="25">
                  <c:v>972324</c:v>
                </c:pt>
                <c:pt idx="26">
                  <c:v>999987</c:v>
                </c:pt>
              </c:numCache>
            </c:numRef>
          </c:val>
          <c:extLst>
            <c:ext xmlns:c16="http://schemas.microsoft.com/office/drawing/2014/chart" uri="{C3380CC4-5D6E-409C-BE32-E72D297353CC}">
              <c16:uniqueId val="{00000000-05CB-4F8F-8655-96319E5AB10F}"/>
            </c:ext>
          </c:extLst>
        </c:ser>
        <c:ser>
          <c:idx val="1"/>
          <c:order val="1"/>
          <c:tx>
            <c:strRef>
              <c:f>Sheet5!$X$1:$X$2</c:f>
              <c:strCache>
                <c:ptCount val="1"/>
                <c:pt idx="0">
                  <c:v>Opioids</c:v>
                </c:pt>
              </c:strCache>
            </c:strRef>
          </c:tx>
          <c:spPr>
            <a:solidFill>
              <a:schemeClr val="accent2"/>
            </a:solidFill>
            <a:ln>
              <a:noFill/>
            </a:ln>
            <a:effectLst/>
          </c:spPr>
          <c:cat>
            <c:strRef>
              <c:f>Sheet5!$V$3:$V$30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Sheet5!$X$3:$X$30</c:f>
              <c:numCache>
                <c:formatCode>General</c:formatCode>
                <c:ptCount val="27"/>
                <c:pt idx="0">
                  <c:v>3592864</c:v>
                </c:pt>
                <c:pt idx="1">
                  <c:v>3812226</c:v>
                </c:pt>
                <c:pt idx="2">
                  <c:v>3894037</c:v>
                </c:pt>
                <c:pt idx="3">
                  <c:v>3969225</c:v>
                </c:pt>
                <c:pt idx="4">
                  <c:v>3701205</c:v>
                </c:pt>
                <c:pt idx="5">
                  <c:v>3858725</c:v>
                </c:pt>
                <c:pt idx="6">
                  <c:v>3902607</c:v>
                </c:pt>
                <c:pt idx="7">
                  <c:v>3937720</c:v>
                </c:pt>
                <c:pt idx="8">
                  <c:v>3816507</c:v>
                </c:pt>
                <c:pt idx="9">
                  <c:v>3982695</c:v>
                </c:pt>
                <c:pt idx="10">
                  <c:v>3973645</c:v>
                </c:pt>
                <c:pt idx="11">
                  <c:v>4055189</c:v>
                </c:pt>
                <c:pt idx="12">
                  <c:v>3714436</c:v>
                </c:pt>
                <c:pt idx="13">
                  <c:v>3829526</c:v>
                </c:pt>
                <c:pt idx="14">
                  <c:v>3872035</c:v>
                </c:pt>
                <c:pt idx="15">
                  <c:v>3878099</c:v>
                </c:pt>
                <c:pt idx="16">
                  <c:v>3674908</c:v>
                </c:pt>
                <c:pt idx="17">
                  <c:v>3486452</c:v>
                </c:pt>
                <c:pt idx="18">
                  <c:v>3564700</c:v>
                </c:pt>
                <c:pt idx="19">
                  <c:v>3575070</c:v>
                </c:pt>
                <c:pt idx="20">
                  <c:v>3311987</c:v>
                </c:pt>
                <c:pt idx="21">
                  <c:v>3382023</c:v>
                </c:pt>
                <c:pt idx="22">
                  <c:v>3456481</c:v>
                </c:pt>
                <c:pt idx="23">
                  <c:v>3387410</c:v>
                </c:pt>
                <c:pt idx="24">
                  <c:v>3093752</c:v>
                </c:pt>
                <c:pt idx="25">
                  <c:v>3183730</c:v>
                </c:pt>
                <c:pt idx="26">
                  <c:v>3214214</c:v>
                </c:pt>
              </c:numCache>
            </c:numRef>
          </c:val>
          <c:extLst>
            <c:ext xmlns:c16="http://schemas.microsoft.com/office/drawing/2014/chart" uri="{C3380CC4-5D6E-409C-BE32-E72D297353CC}">
              <c16:uniqueId val="{00000001-05CB-4F8F-8655-96319E5AB10F}"/>
            </c:ext>
          </c:extLst>
        </c:ser>
        <c:dLbls>
          <c:showLegendKey val="0"/>
          <c:showVal val="0"/>
          <c:showCatName val="0"/>
          <c:showSerName val="0"/>
          <c:showPercent val="0"/>
          <c:showBubbleSize val="0"/>
        </c:dLbls>
        <c:axId val="802581768"/>
        <c:axId val="802580128"/>
      </c:areaChart>
      <c:catAx>
        <c:axId val="802581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580128"/>
        <c:crosses val="autoZero"/>
        <c:auto val="1"/>
        <c:lblAlgn val="ctr"/>
        <c:lblOffset val="100"/>
        <c:noMultiLvlLbl val="0"/>
      </c:catAx>
      <c:valAx>
        <c:axId val="802580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581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2.xlsx]pall type scripts!PivotTable1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'pall type scripts'!$W$1:$W$3</c:f>
              <c:strCache>
                <c:ptCount val="1"/>
                <c:pt idx="0">
                  <c:v>Non-Opioids - General</c:v>
                </c:pt>
              </c:strCache>
            </c:strRef>
          </c:tx>
          <c:spPr>
            <a:ln w="28575" cap="rnd">
              <a:solidFill>
                <a:schemeClr val="accent1"/>
              </a:solidFill>
              <a:round/>
            </a:ln>
            <a:effectLst/>
          </c:spPr>
          <c:marker>
            <c:symbol val="none"/>
          </c:marker>
          <c:cat>
            <c:strRef>
              <c:f>'pall type scripts'!$V$4:$V$31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scripts'!$W$4:$W$31</c:f>
              <c:numCache>
                <c:formatCode>General</c:formatCode>
                <c:ptCount val="27"/>
                <c:pt idx="0">
                  <c:v>768368</c:v>
                </c:pt>
                <c:pt idx="1">
                  <c:v>875223</c:v>
                </c:pt>
                <c:pt idx="2">
                  <c:v>943019</c:v>
                </c:pt>
                <c:pt idx="3">
                  <c:v>1062939</c:v>
                </c:pt>
                <c:pt idx="4">
                  <c:v>892881</c:v>
                </c:pt>
                <c:pt idx="5">
                  <c:v>961389</c:v>
                </c:pt>
                <c:pt idx="6">
                  <c:v>1001630</c:v>
                </c:pt>
                <c:pt idx="7">
                  <c:v>1099003</c:v>
                </c:pt>
                <c:pt idx="8">
                  <c:v>936386</c:v>
                </c:pt>
                <c:pt idx="9">
                  <c:v>1018751</c:v>
                </c:pt>
                <c:pt idx="10">
                  <c:v>1051328</c:v>
                </c:pt>
                <c:pt idx="11">
                  <c:v>1138372</c:v>
                </c:pt>
                <c:pt idx="12">
                  <c:v>925532</c:v>
                </c:pt>
                <c:pt idx="13">
                  <c:v>988179</c:v>
                </c:pt>
                <c:pt idx="14">
                  <c:v>1024049</c:v>
                </c:pt>
                <c:pt idx="15">
                  <c:v>1098101</c:v>
                </c:pt>
                <c:pt idx="16">
                  <c:v>964381</c:v>
                </c:pt>
                <c:pt idx="17">
                  <c:v>962696</c:v>
                </c:pt>
                <c:pt idx="18">
                  <c:v>1052796</c:v>
                </c:pt>
                <c:pt idx="19">
                  <c:v>1122848</c:v>
                </c:pt>
                <c:pt idx="20">
                  <c:v>949855</c:v>
                </c:pt>
                <c:pt idx="21">
                  <c:v>1000461</c:v>
                </c:pt>
                <c:pt idx="22">
                  <c:v>1059701</c:v>
                </c:pt>
                <c:pt idx="23">
                  <c:v>1084481</c:v>
                </c:pt>
                <c:pt idx="24">
                  <c:v>921892</c:v>
                </c:pt>
                <c:pt idx="25">
                  <c:v>972324</c:v>
                </c:pt>
                <c:pt idx="26">
                  <c:v>999987</c:v>
                </c:pt>
              </c:numCache>
            </c:numRef>
          </c:val>
          <c:smooth val="0"/>
          <c:extLst>
            <c:ext xmlns:c16="http://schemas.microsoft.com/office/drawing/2014/chart" uri="{C3380CC4-5D6E-409C-BE32-E72D297353CC}">
              <c16:uniqueId val="{00000000-BF77-42CC-9353-A082B68F8D41}"/>
            </c:ext>
          </c:extLst>
        </c:ser>
        <c:ser>
          <c:idx val="1"/>
          <c:order val="1"/>
          <c:tx>
            <c:strRef>
              <c:f>'pall type scripts'!$Y$1:$Y$3</c:f>
              <c:strCache>
                <c:ptCount val="1"/>
                <c:pt idx="0">
                  <c:v>Opioids - General</c:v>
                </c:pt>
              </c:strCache>
            </c:strRef>
          </c:tx>
          <c:spPr>
            <a:ln w="28575" cap="rnd">
              <a:solidFill>
                <a:schemeClr val="accent2"/>
              </a:solidFill>
              <a:round/>
            </a:ln>
            <a:effectLst/>
          </c:spPr>
          <c:marker>
            <c:symbol val="none"/>
          </c:marker>
          <c:cat>
            <c:strRef>
              <c:f>'pall type scripts'!$V$4:$V$31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scripts'!$Y$4:$Y$31</c:f>
              <c:numCache>
                <c:formatCode>General</c:formatCode>
                <c:ptCount val="27"/>
                <c:pt idx="0">
                  <c:v>3591464</c:v>
                </c:pt>
                <c:pt idx="1">
                  <c:v>3810386</c:v>
                </c:pt>
                <c:pt idx="2">
                  <c:v>3891951</c:v>
                </c:pt>
                <c:pt idx="3">
                  <c:v>3960889</c:v>
                </c:pt>
                <c:pt idx="4">
                  <c:v>3678896</c:v>
                </c:pt>
                <c:pt idx="5">
                  <c:v>3832027</c:v>
                </c:pt>
                <c:pt idx="6">
                  <c:v>3873838</c:v>
                </c:pt>
                <c:pt idx="7">
                  <c:v>3907273</c:v>
                </c:pt>
                <c:pt idx="8">
                  <c:v>3789426</c:v>
                </c:pt>
                <c:pt idx="9">
                  <c:v>3954240</c:v>
                </c:pt>
                <c:pt idx="10">
                  <c:v>3943945</c:v>
                </c:pt>
                <c:pt idx="11">
                  <c:v>4024405</c:v>
                </c:pt>
                <c:pt idx="12">
                  <c:v>3687271</c:v>
                </c:pt>
                <c:pt idx="13">
                  <c:v>3801133</c:v>
                </c:pt>
                <c:pt idx="14">
                  <c:v>3842862</c:v>
                </c:pt>
                <c:pt idx="15">
                  <c:v>3847251</c:v>
                </c:pt>
                <c:pt idx="16">
                  <c:v>3647931</c:v>
                </c:pt>
                <c:pt idx="17">
                  <c:v>3456793</c:v>
                </c:pt>
                <c:pt idx="18">
                  <c:v>3533447</c:v>
                </c:pt>
                <c:pt idx="19">
                  <c:v>3544634</c:v>
                </c:pt>
                <c:pt idx="20">
                  <c:v>3285438</c:v>
                </c:pt>
                <c:pt idx="21">
                  <c:v>3338750</c:v>
                </c:pt>
                <c:pt idx="22">
                  <c:v>3368217</c:v>
                </c:pt>
                <c:pt idx="23">
                  <c:v>3290527</c:v>
                </c:pt>
                <c:pt idx="24">
                  <c:v>3003183</c:v>
                </c:pt>
                <c:pt idx="25">
                  <c:v>3087399</c:v>
                </c:pt>
                <c:pt idx="26">
                  <c:v>3110152</c:v>
                </c:pt>
              </c:numCache>
            </c:numRef>
          </c:val>
          <c:smooth val="0"/>
          <c:extLst>
            <c:ext xmlns:c16="http://schemas.microsoft.com/office/drawing/2014/chart" uri="{C3380CC4-5D6E-409C-BE32-E72D297353CC}">
              <c16:uniqueId val="{00000001-BF77-42CC-9353-A082B68F8D41}"/>
            </c:ext>
          </c:extLst>
        </c:ser>
        <c:ser>
          <c:idx val="2"/>
          <c:order val="2"/>
          <c:tx>
            <c:strRef>
              <c:f>'pall type scripts'!$Z$1:$Z$3</c:f>
              <c:strCache>
                <c:ptCount val="1"/>
                <c:pt idx="0">
                  <c:v>Opioids - Palliative</c:v>
                </c:pt>
              </c:strCache>
            </c:strRef>
          </c:tx>
          <c:spPr>
            <a:ln w="28575" cap="rnd">
              <a:solidFill>
                <a:schemeClr val="accent3"/>
              </a:solidFill>
              <a:round/>
            </a:ln>
            <a:effectLst/>
          </c:spPr>
          <c:marker>
            <c:symbol val="none"/>
          </c:marker>
          <c:cat>
            <c:strRef>
              <c:f>'pall type scripts'!$V$4:$V$31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scripts'!$Z$4:$Z$31</c:f>
              <c:numCache>
                <c:formatCode>General</c:formatCode>
                <c:ptCount val="27"/>
                <c:pt idx="0">
                  <c:v>1400</c:v>
                </c:pt>
                <c:pt idx="1">
                  <c:v>1840</c:v>
                </c:pt>
                <c:pt idx="2">
                  <c:v>2086</c:v>
                </c:pt>
                <c:pt idx="3">
                  <c:v>8336</c:v>
                </c:pt>
                <c:pt idx="4">
                  <c:v>22309</c:v>
                </c:pt>
                <c:pt idx="5">
                  <c:v>26698</c:v>
                </c:pt>
                <c:pt idx="6">
                  <c:v>28769</c:v>
                </c:pt>
                <c:pt idx="7">
                  <c:v>30447</c:v>
                </c:pt>
                <c:pt idx="8">
                  <c:v>27081</c:v>
                </c:pt>
                <c:pt idx="9">
                  <c:v>28455</c:v>
                </c:pt>
                <c:pt idx="10">
                  <c:v>29700</c:v>
                </c:pt>
                <c:pt idx="11">
                  <c:v>30784</c:v>
                </c:pt>
                <c:pt idx="12">
                  <c:v>27165</c:v>
                </c:pt>
                <c:pt idx="13">
                  <c:v>28393</c:v>
                </c:pt>
                <c:pt idx="14">
                  <c:v>29173</c:v>
                </c:pt>
                <c:pt idx="15">
                  <c:v>30848</c:v>
                </c:pt>
                <c:pt idx="16">
                  <c:v>26977</c:v>
                </c:pt>
                <c:pt idx="17">
                  <c:v>29659</c:v>
                </c:pt>
                <c:pt idx="18">
                  <c:v>31253</c:v>
                </c:pt>
                <c:pt idx="19">
                  <c:v>30436</c:v>
                </c:pt>
                <c:pt idx="20">
                  <c:v>26549</c:v>
                </c:pt>
                <c:pt idx="21">
                  <c:v>43273</c:v>
                </c:pt>
                <c:pt idx="22">
                  <c:v>88264</c:v>
                </c:pt>
                <c:pt idx="23">
                  <c:v>96883</c:v>
                </c:pt>
                <c:pt idx="24">
                  <c:v>90569</c:v>
                </c:pt>
                <c:pt idx="25">
                  <c:v>96331</c:v>
                </c:pt>
                <c:pt idx="26">
                  <c:v>104062</c:v>
                </c:pt>
              </c:numCache>
            </c:numRef>
          </c:val>
          <c:smooth val="0"/>
          <c:extLst>
            <c:ext xmlns:c16="http://schemas.microsoft.com/office/drawing/2014/chart" uri="{C3380CC4-5D6E-409C-BE32-E72D297353CC}">
              <c16:uniqueId val="{00000002-BF77-42CC-9353-A082B68F8D41}"/>
            </c:ext>
          </c:extLst>
        </c:ser>
        <c:dLbls>
          <c:showLegendKey val="0"/>
          <c:showVal val="0"/>
          <c:showCatName val="0"/>
          <c:showSerName val="0"/>
          <c:showPercent val="0"/>
          <c:showBubbleSize val="0"/>
        </c:dLbls>
        <c:smooth val="0"/>
        <c:axId val="804872168"/>
        <c:axId val="804866920"/>
      </c:lineChart>
      <c:catAx>
        <c:axId val="804872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866920"/>
        <c:crosses val="autoZero"/>
        <c:auto val="1"/>
        <c:lblAlgn val="ctr"/>
        <c:lblOffset val="100"/>
        <c:noMultiLvlLbl val="0"/>
      </c:catAx>
      <c:valAx>
        <c:axId val="804866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872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2.xlsx]pall type pats!PivotTable2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'pall type pats'!$W$1:$W$3</c:f>
              <c:strCache>
                <c:ptCount val="1"/>
                <c:pt idx="0">
                  <c:v>Non-Opioids - General</c:v>
                </c:pt>
              </c:strCache>
            </c:strRef>
          </c:tx>
          <c:spPr>
            <a:ln w="28575" cap="rnd">
              <a:solidFill>
                <a:schemeClr val="accent1"/>
              </a:solidFill>
              <a:round/>
            </a:ln>
            <a:effectLst/>
          </c:spPr>
          <c:marker>
            <c:symbol val="none"/>
          </c:marker>
          <c:cat>
            <c:strRef>
              <c:f>'pall type pats'!$V$4:$V$31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pats'!$W$4:$W$31</c:f>
              <c:numCache>
                <c:formatCode>General</c:formatCode>
                <c:ptCount val="27"/>
                <c:pt idx="0">
                  <c:v>767764</c:v>
                </c:pt>
                <c:pt idx="1">
                  <c:v>874035</c:v>
                </c:pt>
                <c:pt idx="2">
                  <c:v>941177</c:v>
                </c:pt>
                <c:pt idx="3">
                  <c:v>1059302</c:v>
                </c:pt>
                <c:pt idx="4">
                  <c:v>882726</c:v>
                </c:pt>
                <c:pt idx="5">
                  <c:v>943594</c:v>
                </c:pt>
                <c:pt idx="6">
                  <c:v>978067</c:v>
                </c:pt>
                <c:pt idx="7">
                  <c:v>1067665</c:v>
                </c:pt>
                <c:pt idx="8">
                  <c:v>909103</c:v>
                </c:pt>
                <c:pt idx="9">
                  <c:v>985811</c:v>
                </c:pt>
                <c:pt idx="10">
                  <c:v>1014558</c:v>
                </c:pt>
                <c:pt idx="11">
                  <c:v>1094351</c:v>
                </c:pt>
                <c:pt idx="12">
                  <c:v>890312</c:v>
                </c:pt>
                <c:pt idx="13">
                  <c:v>948198</c:v>
                </c:pt>
                <c:pt idx="14">
                  <c:v>980749</c:v>
                </c:pt>
                <c:pt idx="15">
                  <c:v>1048640</c:v>
                </c:pt>
                <c:pt idx="16">
                  <c:v>922592</c:v>
                </c:pt>
                <c:pt idx="17">
                  <c:v>918496</c:v>
                </c:pt>
                <c:pt idx="18">
                  <c:v>1003034</c:v>
                </c:pt>
                <c:pt idx="19">
                  <c:v>1067221</c:v>
                </c:pt>
                <c:pt idx="20">
                  <c:v>904440</c:v>
                </c:pt>
                <c:pt idx="21">
                  <c:v>948742</c:v>
                </c:pt>
                <c:pt idx="22">
                  <c:v>983958</c:v>
                </c:pt>
                <c:pt idx="23">
                  <c:v>991546</c:v>
                </c:pt>
                <c:pt idx="24">
                  <c:v>837731</c:v>
                </c:pt>
                <c:pt idx="25">
                  <c:v>875601</c:v>
                </c:pt>
                <c:pt idx="26">
                  <c:v>894035</c:v>
                </c:pt>
              </c:numCache>
            </c:numRef>
          </c:val>
          <c:smooth val="0"/>
          <c:extLst>
            <c:ext xmlns:c16="http://schemas.microsoft.com/office/drawing/2014/chart" uri="{C3380CC4-5D6E-409C-BE32-E72D297353CC}">
              <c16:uniqueId val="{00000000-6600-4583-B5B8-2630D6152196}"/>
            </c:ext>
          </c:extLst>
        </c:ser>
        <c:ser>
          <c:idx val="1"/>
          <c:order val="1"/>
          <c:tx>
            <c:strRef>
              <c:f>'pall type pats'!$X$1:$X$3</c:f>
              <c:strCache>
                <c:ptCount val="1"/>
                <c:pt idx="0">
                  <c:v>Non-Opioids - Palliative</c:v>
                </c:pt>
              </c:strCache>
            </c:strRef>
          </c:tx>
          <c:spPr>
            <a:ln w="28575" cap="rnd">
              <a:solidFill>
                <a:schemeClr val="accent2"/>
              </a:solidFill>
              <a:round/>
            </a:ln>
            <a:effectLst/>
          </c:spPr>
          <c:marker>
            <c:symbol val="none"/>
          </c:marker>
          <c:cat>
            <c:strRef>
              <c:f>'pall type pats'!$V$4:$V$31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pats'!$X$4:$X$31</c:f>
              <c:numCache>
                <c:formatCode>General</c:formatCode>
                <c:ptCount val="27"/>
                <c:pt idx="0">
                  <c:v>604</c:v>
                </c:pt>
                <c:pt idx="1">
                  <c:v>1188</c:v>
                </c:pt>
                <c:pt idx="2">
                  <c:v>1842</c:v>
                </c:pt>
                <c:pt idx="3">
                  <c:v>3637</c:v>
                </c:pt>
                <c:pt idx="4">
                  <c:v>10155</c:v>
                </c:pt>
                <c:pt idx="5">
                  <c:v>17795</c:v>
                </c:pt>
                <c:pt idx="6">
                  <c:v>23563</c:v>
                </c:pt>
                <c:pt idx="7">
                  <c:v>31338</c:v>
                </c:pt>
                <c:pt idx="8">
                  <c:v>27283</c:v>
                </c:pt>
                <c:pt idx="9">
                  <c:v>32940</c:v>
                </c:pt>
                <c:pt idx="10">
                  <c:v>36770</c:v>
                </c:pt>
                <c:pt idx="11">
                  <c:v>44021</c:v>
                </c:pt>
                <c:pt idx="12">
                  <c:v>35220</c:v>
                </c:pt>
                <c:pt idx="13">
                  <c:v>39981</c:v>
                </c:pt>
                <c:pt idx="14">
                  <c:v>43300</c:v>
                </c:pt>
                <c:pt idx="15">
                  <c:v>49461</c:v>
                </c:pt>
                <c:pt idx="16">
                  <c:v>41789</c:v>
                </c:pt>
                <c:pt idx="17">
                  <c:v>44200</c:v>
                </c:pt>
                <c:pt idx="18">
                  <c:v>49762</c:v>
                </c:pt>
                <c:pt idx="19">
                  <c:v>55627</c:v>
                </c:pt>
                <c:pt idx="20">
                  <c:v>45415</c:v>
                </c:pt>
                <c:pt idx="21">
                  <c:v>51719</c:v>
                </c:pt>
                <c:pt idx="22">
                  <c:v>75743</c:v>
                </c:pt>
                <c:pt idx="23">
                  <c:v>92935</c:v>
                </c:pt>
                <c:pt idx="24">
                  <c:v>84161</c:v>
                </c:pt>
                <c:pt idx="25">
                  <c:v>96723</c:v>
                </c:pt>
                <c:pt idx="26">
                  <c:v>105952</c:v>
                </c:pt>
              </c:numCache>
            </c:numRef>
          </c:val>
          <c:smooth val="0"/>
          <c:extLst>
            <c:ext xmlns:c16="http://schemas.microsoft.com/office/drawing/2014/chart" uri="{C3380CC4-5D6E-409C-BE32-E72D297353CC}">
              <c16:uniqueId val="{00000001-6600-4583-B5B8-2630D6152196}"/>
            </c:ext>
          </c:extLst>
        </c:ser>
        <c:ser>
          <c:idx val="2"/>
          <c:order val="2"/>
          <c:tx>
            <c:strRef>
              <c:f>'pall type pats'!$Z$1:$Z$3</c:f>
              <c:strCache>
                <c:ptCount val="1"/>
                <c:pt idx="0">
                  <c:v>Opioids - General</c:v>
                </c:pt>
              </c:strCache>
            </c:strRef>
          </c:tx>
          <c:spPr>
            <a:ln w="28575" cap="rnd">
              <a:solidFill>
                <a:schemeClr val="accent3"/>
              </a:solidFill>
              <a:round/>
            </a:ln>
            <a:effectLst/>
          </c:spPr>
          <c:marker>
            <c:symbol val="none"/>
          </c:marker>
          <c:cat>
            <c:strRef>
              <c:f>'pall type pats'!$V$4:$V$31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pats'!$Z$4:$Z$31</c:f>
              <c:numCache>
                <c:formatCode>General</c:formatCode>
                <c:ptCount val="27"/>
                <c:pt idx="0">
                  <c:v>3588524</c:v>
                </c:pt>
                <c:pt idx="1">
                  <c:v>3804709</c:v>
                </c:pt>
                <c:pt idx="2">
                  <c:v>3883828</c:v>
                </c:pt>
                <c:pt idx="3">
                  <c:v>3948694</c:v>
                </c:pt>
                <c:pt idx="4">
                  <c:v>3632138</c:v>
                </c:pt>
                <c:pt idx="5">
                  <c:v>3750816</c:v>
                </c:pt>
                <c:pt idx="6">
                  <c:v>3766899</c:v>
                </c:pt>
                <c:pt idx="7">
                  <c:v>3775111</c:v>
                </c:pt>
                <c:pt idx="8">
                  <c:v>3646424</c:v>
                </c:pt>
                <c:pt idx="9">
                  <c:v>3797635</c:v>
                </c:pt>
                <c:pt idx="10">
                  <c:v>3777378</c:v>
                </c:pt>
                <c:pt idx="11">
                  <c:v>3839062</c:v>
                </c:pt>
                <c:pt idx="12">
                  <c:v>3506611</c:v>
                </c:pt>
                <c:pt idx="13">
                  <c:v>3609213</c:v>
                </c:pt>
                <c:pt idx="14">
                  <c:v>3642738</c:v>
                </c:pt>
                <c:pt idx="15">
                  <c:v>3634177</c:v>
                </c:pt>
                <c:pt idx="16">
                  <c:v>3435705</c:v>
                </c:pt>
                <c:pt idx="17">
                  <c:v>3246623</c:v>
                </c:pt>
                <c:pt idx="18">
                  <c:v>3307192</c:v>
                </c:pt>
                <c:pt idx="19">
                  <c:v>3305587</c:v>
                </c:pt>
                <c:pt idx="20">
                  <c:v>3058630</c:v>
                </c:pt>
                <c:pt idx="21">
                  <c:v>3101506</c:v>
                </c:pt>
                <c:pt idx="22">
                  <c:v>3043640</c:v>
                </c:pt>
                <c:pt idx="23">
                  <c:v>2895728</c:v>
                </c:pt>
                <c:pt idx="24">
                  <c:v>2594565</c:v>
                </c:pt>
                <c:pt idx="25">
                  <c:v>2635942</c:v>
                </c:pt>
                <c:pt idx="26">
                  <c:v>2634823</c:v>
                </c:pt>
              </c:numCache>
            </c:numRef>
          </c:val>
          <c:smooth val="0"/>
          <c:extLst>
            <c:ext xmlns:c16="http://schemas.microsoft.com/office/drawing/2014/chart" uri="{C3380CC4-5D6E-409C-BE32-E72D297353CC}">
              <c16:uniqueId val="{00000002-6600-4583-B5B8-2630D6152196}"/>
            </c:ext>
          </c:extLst>
        </c:ser>
        <c:ser>
          <c:idx val="3"/>
          <c:order val="3"/>
          <c:tx>
            <c:strRef>
              <c:f>'pall type pats'!$AA$1:$AA$3</c:f>
              <c:strCache>
                <c:ptCount val="1"/>
                <c:pt idx="0">
                  <c:v>Opioids - Palliative</c:v>
                </c:pt>
              </c:strCache>
            </c:strRef>
          </c:tx>
          <c:spPr>
            <a:ln w="28575" cap="rnd">
              <a:solidFill>
                <a:schemeClr val="accent4"/>
              </a:solidFill>
              <a:round/>
            </a:ln>
            <a:effectLst/>
          </c:spPr>
          <c:marker>
            <c:symbol val="none"/>
          </c:marker>
          <c:cat>
            <c:strRef>
              <c:f>'pall type pats'!$V$4:$V$31</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'pall type pats'!$AA$4:$AA$31</c:f>
              <c:numCache>
                <c:formatCode>General</c:formatCode>
                <c:ptCount val="27"/>
                <c:pt idx="0">
                  <c:v>4340</c:v>
                </c:pt>
                <c:pt idx="1">
                  <c:v>7517</c:v>
                </c:pt>
                <c:pt idx="2">
                  <c:v>10209</c:v>
                </c:pt>
                <c:pt idx="3">
                  <c:v>20531</c:v>
                </c:pt>
                <c:pt idx="4">
                  <c:v>69067</c:v>
                </c:pt>
                <c:pt idx="5">
                  <c:v>107909</c:v>
                </c:pt>
                <c:pt idx="6">
                  <c:v>135708</c:v>
                </c:pt>
                <c:pt idx="7">
                  <c:v>162609</c:v>
                </c:pt>
                <c:pt idx="8">
                  <c:v>170083</c:v>
                </c:pt>
                <c:pt idx="9">
                  <c:v>185060</c:v>
                </c:pt>
                <c:pt idx="10">
                  <c:v>196267</c:v>
                </c:pt>
                <c:pt idx="11">
                  <c:v>216127</c:v>
                </c:pt>
                <c:pt idx="12">
                  <c:v>207825</c:v>
                </c:pt>
                <c:pt idx="13">
                  <c:v>220313</c:v>
                </c:pt>
                <c:pt idx="14">
                  <c:v>229297</c:v>
                </c:pt>
                <c:pt idx="15">
                  <c:v>243922</c:v>
                </c:pt>
                <c:pt idx="16">
                  <c:v>239203</c:v>
                </c:pt>
                <c:pt idx="17">
                  <c:v>239829</c:v>
                </c:pt>
                <c:pt idx="18">
                  <c:v>257508</c:v>
                </c:pt>
                <c:pt idx="19">
                  <c:v>269483</c:v>
                </c:pt>
                <c:pt idx="20">
                  <c:v>253357</c:v>
                </c:pt>
                <c:pt idx="21">
                  <c:v>280517</c:v>
                </c:pt>
                <c:pt idx="22">
                  <c:v>412841</c:v>
                </c:pt>
                <c:pt idx="23">
                  <c:v>491682</c:v>
                </c:pt>
                <c:pt idx="24">
                  <c:v>499187</c:v>
                </c:pt>
                <c:pt idx="25">
                  <c:v>547788</c:v>
                </c:pt>
                <c:pt idx="26">
                  <c:v>579391</c:v>
                </c:pt>
              </c:numCache>
            </c:numRef>
          </c:val>
          <c:smooth val="0"/>
          <c:extLst>
            <c:ext xmlns:c16="http://schemas.microsoft.com/office/drawing/2014/chart" uri="{C3380CC4-5D6E-409C-BE32-E72D297353CC}">
              <c16:uniqueId val="{00000003-6600-4583-B5B8-2630D6152196}"/>
            </c:ext>
          </c:extLst>
        </c:ser>
        <c:dLbls>
          <c:showLegendKey val="0"/>
          <c:showVal val="0"/>
          <c:showCatName val="0"/>
          <c:showSerName val="0"/>
          <c:showPercent val="0"/>
          <c:showBubbleSize val="0"/>
        </c:dLbls>
        <c:smooth val="0"/>
        <c:axId val="808012648"/>
        <c:axId val="808014616"/>
      </c:lineChart>
      <c:catAx>
        <c:axId val="808012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014616"/>
        <c:crosses val="autoZero"/>
        <c:auto val="1"/>
        <c:lblAlgn val="ctr"/>
        <c:lblOffset val="100"/>
        <c:noMultiLvlLbl val="0"/>
      </c:catAx>
      <c:valAx>
        <c:axId val="808014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012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2.xlsx]age pall care!PivotTable1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pall care'!$W$3:$W$4</c:f>
              <c:strCache>
                <c:ptCount val="1"/>
                <c:pt idx="0">
                  <c:v>Female</c:v>
                </c:pt>
              </c:strCache>
            </c:strRef>
          </c:tx>
          <c:spPr>
            <a:solidFill>
              <a:schemeClr val="accent1"/>
            </a:solidFill>
            <a:ln>
              <a:noFill/>
            </a:ln>
            <a:effectLst/>
          </c:spPr>
          <c:invertIfNegative val="0"/>
          <c:cat>
            <c:strRef>
              <c:f>'age pall care'!$V$5:$V$26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pall care'!$W$5:$W$26</c:f>
              <c:numCache>
                <c:formatCode>General</c:formatCode>
                <c:ptCount val="21"/>
                <c:pt idx="0">
                  <c:v>1154</c:v>
                </c:pt>
                <c:pt idx="1">
                  <c:v>1675</c:v>
                </c:pt>
                <c:pt idx="2">
                  <c:v>7883</c:v>
                </c:pt>
                <c:pt idx="3">
                  <c:v>42106</c:v>
                </c:pt>
                <c:pt idx="4">
                  <c:v>84070</c:v>
                </c:pt>
                <c:pt idx="5">
                  <c:v>106798</c:v>
                </c:pt>
                <c:pt idx="6">
                  <c:v>129514</c:v>
                </c:pt>
                <c:pt idx="7">
                  <c:v>131280</c:v>
                </c:pt>
                <c:pt idx="8">
                  <c:v>118279</c:v>
                </c:pt>
                <c:pt idx="9">
                  <c:v>128194</c:v>
                </c:pt>
                <c:pt idx="10">
                  <c:v>136881</c:v>
                </c:pt>
                <c:pt idx="11">
                  <c:v>135276</c:v>
                </c:pt>
                <c:pt idx="12">
                  <c:v>137382</c:v>
                </c:pt>
                <c:pt idx="13">
                  <c:v>132383</c:v>
                </c:pt>
                <c:pt idx="14">
                  <c:v>132200</c:v>
                </c:pt>
                <c:pt idx="15">
                  <c:v>112368</c:v>
                </c:pt>
                <c:pt idx="16">
                  <c:v>92237</c:v>
                </c:pt>
                <c:pt idx="17">
                  <c:v>68930</c:v>
                </c:pt>
                <c:pt idx="18">
                  <c:v>44792</c:v>
                </c:pt>
                <c:pt idx="19">
                  <c:v>17018</c:v>
                </c:pt>
                <c:pt idx="20">
                  <c:v>2945</c:v>
                </c:pt>
              </c:numCache>
            </c:numRef>
          </c:val>
          <c:extLst>
            <c:ext xmlns:c16="http://schemas.microsoft.com/office/drawing/2014/chart" uri="{C3380CC4-5D6E-409C-BE32-E72D297353CC}">
              <c16:uniqueId val="{00000000-B533-4E60-A08A-2162ECF02FB2}"/>
            </c:ext>
          </c:extLst>
        </c:ser>
        <c:ser>
          <c:idx val="1"/>
          <c:order val="1"/>
          <c:tx>
            <c:strRef>
              <c:f>'age pall care'!$X$3:$X$4</c:f>
              <c:strCache>
                <c:ptCount val="1"/>
                <c:pt idx="0">
                  <c:v>Male</c:v>
                </c:pt>
              </c:strCache>
            </c:strRef>
          </c:tx>
          <c:spPr>
            <a:solidFill>
              <a:schemeClr val="accent2"/>
            </a:solidFill>
            <a:ln>
              <a:noFill/>
            </a:ln>
            <a:effectLst/>
          </c:spPr>
          <c:invertIfNegative val="0"/>
          <c:cat>
            <c:strRef>
              <c:f>'age pall care'!$V$5:$V$26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pall care'!$X$5:$X$26</c:f>
              <c:numCache>
                <c:formatCode>General</c:formatCode>
                <c:ptCount val="21"/>
                <c:pt idx="0">
                  <c:v>1921</c:v>
                </c:pt>
                <c:pt idx="1">
                  <c:v>2554</c:v>
                </c:pt>
                <c:pt idx="2">
                  <c:v>8373</c:v>
                </c:pt>
                <c:pt idx="3">
                  <c:v>35212</c:v>
                </c:pt>
                <c:pt idx="4">
                  <c:v>58297</c:v>
                </c:pt>
                <c:pt idx="5">
                  <c:v>71677</c:v>
                </c:pt>
                <c:pt idx="6">
                  <c:v>85567</c:v>
                </c:pt>
                <c:pt idx="7">
                  <c:v>97853</c:v>
                </c:pt>
                <c:pt idx="8">
                  <c:v>101123</c:v>
                </c:pt>
                <c:pt idx="9">
                  <c:v>112175</c:v>
                </c:pt>
                <c:pt idx="10">
                  <c:v>120705</c:v>
                </c:pt>
                <c:pt idx="11">
                  <c:v>125637</c:v>
                </c:pt>
                <c:pt idx="12">
                  <c:v>129141</c:v>
                </c:pt>
                <c:pt idx="13">
                  <c:v>121769</c:v>
                </c:pt>
                <c:pt idx="14">
                  <c:v>118699</c:v>
                </c:pt>
                <c:pt idx="15">
                  <c:v>93795</c:v>
                </c:pt>
                <c:pt idx="16">
                  <c:v>67054</c:v>
                </c:pt>
                <c:pt idx="17">
                  <c:v>41691</c:v>
                </c:pt>
                <c:pt idx="18">
                  <c:v>21063</c:v>
                </c:pt>
                <c:pt idx="19">
                  <c:v>5525</c:v>
                </c:pt>
                <c:pt idx="20">
                  <c:v>639</c:v>
                </c:pt>
              </c:numCache>
            </c:numRef>
          </c:val>
          <c:extLst>
            <c:ext xmlns:c16="http://schemas.microsoft.com/office/drawing/2014/chart" uri="{C3380CC4-5D6E-409C-BE32-E72D297353CC}">
              <c16:uniqueId val="{00000001-B533-4E60-A08A-2162ECF02FB2}"/>
            </c:ext>
          </c:extLst>
        </c:ser>
        <c:dLbls>
          <c:showLegendKey val="0"/>
          <c:showVal val="0"/>
          <c:showCatName val="0"/>
          <c:showSerName val="0"/>
          <c:showPercent val="0"/>
          <c:showBubbleSize val="0"/>
        </c:dLbls>
        <c:gapWidth val="219"/>
        <c:overlap val="-27"/>
        <c:axId val="846236920"/>
        <c:axId val="821171688"/>
      </c:barChart>
      <c:catAx>
        <c:axId val="846236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171688"/>
        <c:crosses val="autoZero"/>
        <c:auto val="1"/>
        <c:lblAlgn val="ctr"/>
        <c:lblOffset val="100"/>
        <c:noMultiLvlLbl val="0"/>
      </c:catAx>
      <c:valAx>
        <c:axId val="821171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23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2.xlsx]age pall care!PivotTable1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pall care'!$W$3:$W$4</c:f>
              <c:strCache>
                <c:ptCount val="1"/>
                <c:pt idx="0">
                  <c:v>Female</c:v>
                </c:pt>
              </c:strCache>
            </c:strRef>
          </c:tx>
          <c:spPr>
            <a:solidFill>
              <a:schemeClr val="accent1"/>
            </a:solidFill>
            <a:ln>
              <a:noFill/>
            </a:ln>
            <a:effectLst/>
          </c:spPr>
          <c:invertIfNegative val="0"/>
          <c:cat>
            <c:strRef>
              <c:f>'age pall care'!$V$5:$V$26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pall care'!$W$5:$W$26</c:f>
              <c:numCache>
                <c:formatCode>General</c:formatCode>
                <c:ptCount val="21"/>
                <c:pt idx="0">
                  <c:v>9</c:v>
                </c:pt>
                <c:pt idx="1">
                  <c:v>9</c:v>
                </c:pt>
                <c:pt idx="2">
                  <c:v>15</c:v>
                </c:pt>
                <c:pt idx="3">
                  <c:v>51</c:v>
                </c:pt>
                <c:pt idx="4">
                  <c:v>200</c:v>
                </c:pt>
                <c:pt idx="5">
                  <c:v>462</c:v>
                </c:pt>
                <c:pt idx="6">
                  <c:v>850</c:v>
                </c:pt>
                <c:pt idx="7">
                  <c:v>1376</c:v>
                </c:pt>
                <c:pt idx="8">
                  <c:v>1894</c:v>
                </c:pt>
                <c:pt idx="9">
                  <c:v>2998</c:v>
                </c:pt>
                <c:pt idx="10">
                  <c:v>4095</c:v>
                </c:pt>
                <c:pt idx="11">
                  <c:v>4941</c:v>
                </c:pt>
                <c:pt idx="12">
                  <c:v>5972</c:v>
                </c:pt>
                <c:pt idx="13">
                  <c:v>6876</c:v>
                </c:pt>
                <c:pt idx="14">
                  <c:v>8273</c:v>
                </c:pt>
                <c:pt idx="15">
                  <c:v>9477</c:v>
                </c:pt>
                <c:pt idx="16">
                  <c:v>10251</c:v>
                </c:pt>
                <c:pt idx="17">
                  <c:v>9988</c:v>
                </c:pt>
                <c:pt idx="18">
                  <c:v>7461</c:v>
                </c:pt>
                <c:pt idx="19">
                  <c:v>2911</c:v>
                </c:pt>
                <c:pt idx="20">
                  <c:v>542</c:v>
                </c:pt>
              </c:numCache>
            </c:numRef>
          </c:val>
          <c:extLst>
            <c:ext xmlns:c16="http://schemas.microsoft.com/office/drawing/2014/chart" uri="{C3380CC4-5D6E-409C-BE32-E72D297353CC}">
              <c16:uniqueId val="{00000000-E2FE-4640-AD9F-7B93E51FDF3B}"/>
            </c:ext>
          </c:extLst>
        </c:ser>
        <c:ser>
          <c:idx val="1"/>
          <c:order val="1"/>
          <c:tx>
            <c:strRef>
              <c:f>'age pall care'!$X$3:$X$4</c:f>
              <c:strCache>
                <c:ptCount val="1"/>
                <c:pt idx="0">
                  <c:v>Male</c:v>
                </c:pt>
              </c:strCache>
            </c:strRef>
          </c:tx>
          <c:spPr>
            <a:solidFill>
              <a:schemeClr val="accent2"/>
            </a:solidFill>
            <a:ln>
              <a:noFill/>
            </a:ln>
            <a:effectLst/>
          </c:spPr>
          <c:invertIfNegative val="0"/>
          <c:cat>
            <c:strRef>
              <c:f>'age pall care'!$V$5:$V$26</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'age pall care'!$X$5:$X$26</c:f>
              <c:numCache>
                <c:formatCode>General</c:formatCode>
                <c:ptCount val="21"/>
                <c:pt idx="0">
                  <c:v>13</c:v>
                </c:pt>
                <c:pt idx="1">
                  <c:v>15</c:v>
                </c:pt>
                <c:pt idx="2">
                  <c:v>25</c:v>
                </c:pt>
                <c:pt idx="3">
                  <c:v>54</c:v>
                </c:pt>
                <c:pt idx="4">
                  <c:v>110</c:v>
                </c:pt>
                <c:pt idx="5">
                  <c:v>301</c:v>
                </c:pt>
                <c:pt idx="6">
                  <c:v>606</c:v>
                </c:pt>
                <c:pt idx="7">
                  <c:v>970</c:v>
                </c:pt>
                <c:pt idx="8">
                  <c:v>1529</c:v>
                </c:pt>
                <c:pt idx="9">
                  <c:v>2153</c:v>
                </c:pt>
                <c:pt idx="10">
                  <c:v>3030</c:v>
                </c:pt>
                <c:pt idx="11">
                  <c:v>3864</c:v>
                </c:pt>
                <c:pt idx="12">
                  <c:v>5056</c:v>
                </c:pt>
                <c:pt idx="13">
                  <c:v>5253</c:v>
                </c:pt>
                <c:pt idx="14">
                  <c:v>5967</c:v>
                </c:pt>
                <c:pt idx="15">
                  <c:v>5736</c:v>
                </c:pt>
                <c:pt idx="16">
                  <c:v>5312</c:v>
                </c:pt>
                <c:pt idx="17">
                  <c:v>4198</c:v>
                </c:pt>
                <c:pt idx="18">
                  <c:v>2574</c:v>
                </c:pt>
                <c:pt idx="19">
                  <c:v>678</c:v>
                </c:pt>
                <c:pt idx="20">
                  <c:v>85</c:v>
                </c:pt>
              </c:numCache>
            </c:numRef>
          </c:val>
          <c:extLst>
            <c:ext xmlns:c16="http://schemas.microsoft.com/office/drawing/2014/chart" uri="{C3380CC4-5D6E-409C-BE32-E72D297353CC}">
              <c16:uniqueId val="{00000001-E2FE-4640-AD9F-7B93E51FDF3B}"/>
            </c:ext>
          </c:extLst>
        </c:ser>
        <c:dLbls>
          <c:showLegendKey val="0"/>
          <c:showVal val="0"/>
          <c:showCatName val="0"/>
          <c:showSerName val="0"/>
          <c:showPercent val="0"/>
          <c:showBubbleSize val="0"/>
        </c:dLbls>
        <c:gapWidth val="219"/>
        <c:overlap val="-27"/>
        <c:axId val="846236920"/>
        <c:axId val="821171688"/>
      </c:barChart>
      <c:catAx>
        <c:axId val="846236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171688"/>
        <c:crosses val="autoZero"/>
        <c:auto val="1"/>
        <c:lblAlgn val="ctr"/>
        <c:lblOffset val="100"/>
        <c:noMultiLvlLbl val="0"/>
      </c:catAx>
      <c:valAx>
        <c:axId val="821171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treated palliative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23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[D1454 - Impact of opioid regulatory reforms 2.xlsx]Sheet10!PivotTable1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Sheet10!$R$1:$R$2</c:f>
              <c:strCache>
                <c:ptCount val="1"/>
                <c:pt idx="0">
                  <c:v>Other</c:v>
                </c:pt>
              </c:strCache>
            </c:strRef>
          </c:tx>
          <c:spPr>
            <a:ln w="28575" cap="rnd">
              <a:solidFill>
                <a:schemeClr val="accent1"/>
              </a:solidFill>
              <a:round/>
            </a:ln>
            <a:effectLst/>
          </c:spPr>
          <c:marker>
            <c:symbol val="none"/>
          </c:marker>
          <c:cat>
            <c:strRef>
              <c:f>Sheet10!$Q$3:$Q$30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Sheet10!$R$3:$R$30</c:f>
              <c:numCache>
                <c:formatCode>General</c:formatCode>
                <c:ptCount val="27"/>
                <c:pt idx="0">
                  <c:v>4361232</c:v>
                </c:pt>
                <c:pt idx="1">
                  <c:v>4687449</c:v>
                </c:pt>
                <c:pt idx="2">
                  <c:v>4837056</c:v>
                </c:pt>
                <c:pt idx="3">
                  <c:v>5032164</c:v>
                </c:pt>
                <c:pt idx="4">
                  <c:v>4594086</c:v>
                </c:pt>
                <c:pt idx="5">
                  <c:v>4820114</c:v>
                </c:pt>
                <c:pt idx="6">
                  <c:v>4904237</c:v>
                </c:pt>
                <c:pt idx="7">
                  <c:v>5036723</c:v>
                </c:pt>
                <c:pt idx="8">
                  <c:v>4752893</c:v>
                </c:pt>
                <c:pt idx="9">
                  <c:v>5001446</c:v>
                </c:pt>
                <c:pt idx="10">
                  <c:v>5024973</c:v>
                </c:pt>
                <c:pt idx="11">
                  <c:v>5193561</c:v>
                </c:pt>
                <c:pt idx="12">
                  <c:v>4639968</c:v>
                </c:pt>
                <c:pt idx="13">
                  <c:v>4817705</c:v>
                </c:pt>
                <c:pt idx="14">
                  <c:v>4896084</c:v>
                </c:pt>
                <c:pt idx="15">
                  <c:v>4976200</c:v>
                </c:pt>
                <c:pt idx="16">
                  <c:v>4639289</c:v>
                </c:pt>
                <c:pt idx="17">
                  <c:v>4402357</c:v>
                </c:pt>
                <c:pt idx="18">
                  <c:v>4463693</c:v>
                </c:pt>
                <c:pt idx="19">
                  <c:v>4540173</c:v>
                </c:pt>
                <c:pt idx="20">
                  <c:v>4103761</c:v>
                </c:pt>
                <c:pt idx="21">
                  <c:v>4215495</c:v>
                </c:pt>
                <c:pt idx="22">
                  <c:v>4347722</c:v>
                </c:pt>
                <c:pt idx="23">
                  <c:v>4315870</c:v>
                </c:pt>
                <c:pt idx="24">
                  <c:v>3873897</c:v>
                </c:pt>
                <c:pt idx="25">
                  <c:v>4003226</c:v>
                </c:pt>
                <c:pt idx="26">
                  <c:v>4056707</c:v>
                </c:pt>
              </c:numCache>
            </c:numRef>
          </c:val>
          <c:smooth val="0"/>
          <c:extLst>
            <c:ext xmlns:c16="http://schemas.microsoft.com/office/drawing/2014/chart" uri="{C3380CC4-5D6E-409C-BE32-E72D297353CC}">
              <c16:uniqueId val="{00000000-EDDE-4F7A-A7BE-6293EB1C9E7A}"/>
            </c:ext>
          </c:extLst>
        </c:ser>
        <c:ser>
          <c:idx val="1"/>
          <c:order val="1"/>
          <c:tx>
            <c:strRef>
              <c:f>Sheet10!$S$1:$S$2</c:f>
              <c:strCache>
                <c:ptCount val="1"/>
                <c:pt idx="0">
                  <c:v>Reduced pack size</c:v>
                </c:pt>
              </c:strCache>
            </c:strRef>
          </c:tx>
          <c:spPr>
            <a:ln w="28575" cap="rnd">
              <a:solidFill>
                <a:schemeClr val="accent2"/>
              </a:solidFill>
              <a:round/>
            </a:ln>
            <a:effectLst/>
          </c:spPr>
          <c:marker>
            <c:symbol val="none"/>
          </c:marker>
          <c:cat>
            <c:strRef>
              <c:f>Sheet10!$Q$3:$Q$30</c:f>
              <c:strCache>
                <c:ptCount val="27"/>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pt idx="23">
                  <c:v>2021Q4</c:v>
                </c:pt>
                <c:pt idx="24">
                  <c:v>2022Q1</c:v>
                </c:pt>
                <c:pt idx="25">
                  <c:v>2022Q2</c:v>
                </c:pt>
                <c:pt idx="26">
                  <c:v>2022Q3</c:v>
                </c:pt>
              </c:strCache>
            </c:strRef>
          </c:cat>
          <c:val>
            <c:numRef>
              <c:f>Sheet10!$S$3:$S$30</c:f>
              <c:numCache>
                <c:formatCode>General</c:formatCode>
                <c:ptCount val="27"/>
                <c:pt idx="17">
                  <c:v>46791</c:v>
                </c:pt>
                <c:pt idx="18">
                  <c:v>153803</c:v>
                </c:pt>
                <c:pt idx="19">
                  <c:v>157745</c:v>
                </c:pt>
                <c:pt idx="20">
                  <c:v>158081</c:v>
                </c:pt>
                <c:pt idx="21">
                  <c:v>166989</c:v>
                </c:pt>
                <c:pt idx="22">
                  <c:v>168460</c:v>
                </c:pt>
                <c:pt idx="23">
                  <c:v>156021</c:v>
                </c:pt>
                <c:pt idx="24">
                  <c:v>141747</c:v>
                </c:pt>
                <c:pt idx="25">
                  <c:v>152828</c:v>
                </c:pt>
                <c:pt idx="26">
                  <c:v>157494</c:v>
                </c:pt>
              </c:numCache>
            </c:numRef>
          </c:val>
          <c:smooth val="0"/>
          <c:extLst>
            <c:ext xmlns:c16="http://schemas.microsoft.com/office/drawing/2014/chart" uri="{C3380CC4-5D6E-409C-BE32-E72D297353CC}">
              <c16:uniqueId val="{00000001-EDDE-4F7A-A7BE-6293EB1C9E7A}"/>
            </c:ext>
          </c:extLst>
        </c:ser>
        <c:dLbls>
          <c:showLegendKey val="0"/>
          <c:showVal val="0"/>
          <c:showCatName val="0"/>
          <c:showSerName val="0"/>
          <c:showPercent val="0"/>
          <c:showBubbleSize val="0"/>
        </c:dLbls>
        <c:smooth val="0"/>
        <c:axId val="888793064"/>
        <c:axId val="888794048"/>
      </c:lineChart>
      <c:catAx>
        <c:axId val="888793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794048"/>
        <c:crosses val="autoZero"/>
        <c:auto val="1"/>
        <c:lblAlgn val="ctr"/>
        <c:lblOffset val="100"/>
        <c:noMultiLvlLbl val="0"/>
      </c:catAx>
      <c:valAx>
        <c:axId val="88879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793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11632</Words>
  <Characters>66303</Characters>
  <Application>Microsoft Office Word</Application>
  <DocSecurity>0</DocSecurity>
  <Lines>552</Lines>
  <Paragraphs>155</Paragraphs>
  <ScaleCrop>false</ScaleCrop>
  <Company/>
  <LinksUpToDate>false</LinksUpToDate>
  <CharactersWithSpaces>77780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2023-11-12T23:32:00Z</dcterms:created>
  <dcterms:modified xsi:type="dcterms:W3CDTF">2023-11-12T23:32:00Z</dcterms:modified>
</cp:coreProperties>
</file>