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DFCD5" w14:textId="091BEC8D" w:rsidR="000F7218" w:rsidRDefault="008C5AA7" w:rsidP="000F7218">
      <w:pPr>
        <w:pStyle w:val="Title"/>
      </w:pPr>
      <w:bookmarkStart w:id="0" w:name="_Hlk109635836"/>
      <w:bookmarkStart w:id="1" w:name="_Hlk109636937"/>
      <w:bookmarkStart w:id="2" w:name="_Hlk112323500"/>
      <w:r>
        <w:t>A</w:t>
      </w:r>
      <w:r w:rsidRPr="008C5AA7">
        <w:t>tezolizumab</w:t>
      </w:r>
      <w:bookmarkEnd w:id="0"/>
      <w:r w:rsidR="000F7218">
        <w:t xml:space="preserve"> for</w:t>
      </w:r>
      <w:r w:rsidR="00F52E67">
        <w:t xml:space="preserve"> </w:t>
      </w:r>
      <w:r w:rsidR="00F83F5B">
        <w:t>extensive</w:t>
      </w:r>
      <w:r w:rsidR="00403C32">
        <w:t>-</w:t>
      </w:r>
      <w:r w:rsidR="00F83F5B">
        <w:t xml:space="preserve">stage </w:t>
      </w:r>
      <w:r w:rsidR="00F52E67" w:rsidRPr="00F52E67">
        <w:t>small cell lung cancer</w:t>
      </w:r>
      <w:bookmarkEnd w:id="1"/>
      <w:r w:rsidR="000F7218">
        <w:t>: analysis of</w:t>
      </w:r>
      <w:r w:rsidR="00D362F4">
        <w:t xml:space="preserve"> predicted versus actual</w:t>
      </w:r>
      <w:r w:rsidR="000F7218">
        <w:t xml:space="preserve"> utilisation</w:t>
      </w:r>
    </w:p>
    <w:bookmarkEnd w:id="2"/>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236383E8" w:rsidR="009053D3" w:rsidRPr="00F73113" w:rsidRDefault="008C5AA7" w:rsidP="00F73113">
      <w:pPr>
        <w:pStyle w:val="Meetingdate"/>
      </w:pPr>
      <w:r>
        <w:t>September 2022</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F9CFB49" w14:textId="13AFE368" w:rsidR="00D50E32" w:rsidRDefault="00D50E32" w:rsidP="00CF5E22">
      <w:pPr>
        <w:pStyle w:val="Heading3"/>
        <w:rPr>
          <w:b w:val="0"/>
          <w:i w:val="0"/>
          <w:szCs w:val="24"/>
        </w:rPr>
      </w:pPr>
      <w:r w:rsidRPr="00D50E32">
        <w:rPr>
          <w:b w:val="0"/>
          <w:i w:val="0"/>
          <w:szCs w:val="24"/>
        </w:rPr>
        <w:t xml:space="preserve">To compare the predicted and actual utilisation of </w:t>
      </w:r>
      <w:r w:rsidR="006E6087">
        <w:rPr>
          <w:b w:val="0"/>
          <w:bCs/>
          <w:i w:val="0"/>
          <w:iCs/>
        </w:rPr>
        <w:t>a</w:t>
      </w:r>
      <w:r w:rsidR="006E6087" w:rsidRPr="00D50E32">
        <w:rPr>
          <w:b w:val="0"/>
          <w:bCs/>
          <w:i w:val="0"/>
          <w:iCs/>
        </w:rPr>
        <w:t>tezolizumab</w:t>
      </w:r>
      <w:r w:rsidR="006E6087" w:rsidRPr="00D50E32">
        <w:rPr>
          <w:b w:val="0"/>
          <w:bCs/>
          <w:i w:val="0"/>
          <w:iCs/>
          <w:szCs w:val="24"/>
        </w:rPr>
        <w:t xml:space="preserve"> </w:t>
      </w:r>
      <w:r w:rsidRPr="00D50E32">
        <w:rPr>
          <w:b w:val="0"/>
          <w:bCs/>
          <w:i w:val="0"/>
          <w:iCs/>
        </w:rPr>
        <w:t xml:space="preserve">for </w:t>
      </w:r>
      <w:r w:rsidR="00F83F5B">
        <w:rPr>
          <w:b w:val="0"/>
          <w:bCs/>
          <w:i w:val="0"/>
          <w:iCs/>
        </w:rPr>
        <w:t>extensive</w:t>
      </w:r>
      <w:r w:rsidR="00403C32">
        <w:rPr>
          <w:b w:val="0"/>
          <w:bCs/>
          <w:i w:val="0"/>
          <w:iCs/>
        </w:rPr>
        <w:t>-</w:t>
      </w:r>
      <w:r w:rsidR="00F83F5B">
        <w:rPr>
          <w:b w:val="0"/>
          <w:bCs/>
          <w:i w:val="0"/>
          <w:iCs/>
        </w:rPr>
        <w:t>stage</w:t>
      </w:r>
      <w:r w:rsidR="005611C2">
        <w:rPr>
          <w:b w:val="0"/>
          <w:bCs/>
          <w:i w:val="0"/>
          <w:iCs/>
        </w:rPr>
        <w:t xml:space="preserve"> </w:t>
      </w:r>
      <w:r w:rsidRPr="00D50E32">
        <w:rPr>
          <w:b w:val="0"/>
          <w:bCs/>
          <w:i w:val="0"/>
          <w:iCs/>
        </w:rPr>
        <w:t>small cell lung cancer</w:t>
      </w:r>
      <w:r w:rsidR="005F35E5">
        <w:rPr>
          <w:b w:val="0"/>
          <w:bCs/>
          <w:i w:val="0"/>
          <w:iCs/>
        </w:rPr>
        <w:t xml:space="preserve"> </w:t>
      </w:r>
      <w:r w:rsidR="005F35E5" w:rsidRPr="007841E3">
        <w:rPr>
          <w:b w:val="0"/>
          <w:bCs/>
          <w:i w:val="0"/>
          <w:iCs/>
        </w:rPr>
        <w:t>(ES-SCLC)</w:t>
      </w:r>
      <w:r w:rsidRPr="00D50E32">
        <w:rPr>
          <w:b w:val="0"/>
          <w:bCs/>
          <w:i w:val="0"/>
          <w:iCs/>
          <w:szCs w:val="24"/>
        </w:rPr>
        <w:t xml:space="preserve"> </w:t>
      </w:r>
      <w:r>
        <w:rPr>
          <w:b w:val="0"/>
          <w:bCs/>
          <w:i w:val="0"/>
          <w:iCs/>
          <w:szCs w:val="24"/>
        </w:rPr>
        <w:t>since its listing on the</w:t>
      </w:r>
      <w:r w:rsidRPr="00D50E32">
        <w:rPr>
          <w:b w:val="0"/>
          <w:i w:val="0"/>
          <w:szCs w:val="24"/>
        </w:rPr>
        <w:t xml:space="preserve"> Pharmaceutical Benefits Scheme (PBS). </w:t>
      </w:r>
    </w:p>
    <w:p w14:paraId="03538E7F" w14:textId="44EAD292"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6C839FF8" w14:textId="3DD908DD" w:rsidR="00A83AC3" w:rsidRPr="00A83AC3" w:rsidRDefault="00F52E67" w:rsidP="00A83AC3">
      <w:r w:rsidRPr="00F52E67">
        <w:t>Atezolizumab</w:t>
      </w:r>
      <w:r w:rsidR="00A83AC3" w:rsidRPr="00077C42">
        <w:t xml:space="preserve"> was first listed </w:t>
      </w:r>
      <w:r w:rsidR="00AF6D59">
        <w:t xml:space="preserve">for </w:t>
      </w:r>
      <w:r w:rsidR="00813B01" w:rsidRPr="00813B01">
        <w:t>ES-SCLC</w:t>
      </w:r>
      <w:r w:rsidR="00813B01" w:rsidRPr="00077C42">
        <w:t xml:space="preserve"> </w:t>
      </w:r>
      <w:r w:rsidR="00A83AC3" w:rsidRPr="00077C42">
        <w:t>on the PBS</w:t>
      </w:r>
      <w:r w:rsidR="00BC4112" w:rsidRPr="00BC4112">
        <w:t xml:space="preserve"> on 1 </w:t>
      </w:r>
      <w:r w:rsidR="007366D7">
        <w:t>March 2020</w:t>
      </w:r>
      <w:r w:rsidR="00BC4112" w:rsidRPr="00BC4112">
        <w:t xml:space="preserve">. </w:t>
      </w:r>
      <w:r w:rsidR="00BC4112">
        <w:t xml:space="preserve">On </w:t>
      </w:r>
      <w:r w:rsidR="005611C2">
        <w:t xml:space="preserve">1 </w:t>
      </w:r>
      <w:r w:rsidR="007366D7">
        <w:t xml:space="preserve">July </w:t>
      </w:r>
      <w:r w:rsidR="005611C2">
        <w:t>2020</w:t>
      </w:r>
      <w:r w:rsidR="00D362F4">
        <w:t xml:space="preserve"> </w:t>
      </w:r>
      <w:r w:rsidR="00BC4112">
        <w:t xml:space="preserve">the listing was extended to include </w:t>
      </w:r>
      <w:r w:rsidR="00AF6D59">
        <w:t>an</w:t>
      </w:r>
      <w:r w:rsidR="00BC4112">
        <w:t xml:space="preserve"> additional</w:t>
      </w:r>
      <w:r w:rsidR="00AF6D59">
        <w:t xml:space="preserve"> flat</w:t>
      </w:r>
      <w:r w:rsidR="00BC4112">
        <w:t xml:space="preserve"> dos</w:t>
      </w:r>
      <w:r w:rsidR="00AF6D59">
        <w:t>ing</w:t>
      </w:r>
      <w:r w:rsidR="00BC4112">
        <w:t xml:space="preserve"> regime</w:t>
      </w:r>
      <w:r w:rsidR="00AF6D59">
        <w:t>n</w:t>
      </w:r>
      <w:r w:rsidR="00BC4112">
        <w:t xml:space="preserve"> of</w:t>
      </w:r>
      <w:r w:rsidR="00BC4112" w:rsidRPr="00BC4112">
        <w:t xml:space="preserve"> 1680 mg every four weeks (Q4W)</w:t>
      </w:r>
      <w:r w:rsidR="00FD6082">
        <w:t xml:space="preserve"> using a new 840</w:t>
      </w:r>
      <w:r w:rsidR="007C096E">
        <w:t xml:space="preserve"> </w:t>
      </w:r>
      <w:r w:rsidR="00FD6082">
        <w:t>mg in 14mL formulation.</w:t>
      </w:r>
    </w:p>
    <w:p w14:paraId="526743BB" w14:textId="77777777" w:rsidR="005C6661" w:rsidRDefault="005C6661" w:rsidP="00CF5E22">
      <w:pPr>
        <w:pStyle w:val="Heading3"/>
      </w:pPr>
      <w:r>
        <w:t>Data Source / methodology</w:t>
      </w:r>
    </w:p>
    <w:p w14:paraId="2B3B6E1E" w14:textId="7B356B53" w:rsidR="00033E5D" w:rsidRDefault="00AF6D59" w:rsidP="00242F00">
      <w:r w:rsidRPr="00AF6D59">
        <w:t>Data extracted from the PBS database maintained by Department of Health</w:t>
      </w:r>
      <w:r>
        <w:t xml:space="preserve"> and Aged Care</w:t>
      </w:r>
      <w:r w:rsidRPr="00AF6D59">
        <w:t xml:space="preserve">, processed by Services Australia were used for </w:t>
      </w:r>
      <w:r w:rsidR="008A7E85">
        <w:t xml:space="preserve">the </w:t>
      </w:r>
      <w:r w:rsidRPr="00AF6D59">
        <w:t>analyses</w:t>
      </w:r>
      <w:r w:rsidR="00972DD6">
        <w:t>.</w:t>
      </w:r>
      <w:r w:rsidRPr="00AF6D59" w:rsidDel="00AF6D59">
        <w:t xml:space="preserve"> </w:t>
      </w:r>
    </w:p>
    <w:p w14:paraId="7599E7C1" w14:textId="2D3D7EEF" w:rsidR="005C6661" w:rsidRDefault="005C6661" w:rsidP="00CF5E22">
      <w:pPr>
        <w:pStyle w:val="Heading3"/>
      </w:pPr>
      <w:r>
        <w:t>Key Findings</w:t>
      </w:r>
    </w:p>
    <w:p w14:paraId="535D7173" w14:textId="1F0ED60F" w:rsidR="004F2048" w:rsidRDefault="004F2048" w:rsidP="004F2048">
      <w:pPr>
        <w:pStyle w:val="ListParagraph"/>
        <w:numPr>
          <w:ilvl w:val="0"/>
          <w:numId w:val="37"/>
        </w:numPr>
      </w:pPr>
      <w:r>
        <w:t xml:space="preserve">The number of patients </w:t>
      </w:r>
      <w:r w:rsidR="00EC27D8">
        <w:t xml:space="preserve">using atezolizumab </w:t>
      </w:r>
      <w:r>
        <w:t xml:space="preserve">has been </w:t>
      </w:r>
      <w:r w:rsidR="009C5D52">
        <w:t>more</w:t>
      </w:r>
      <w:r>
        <w:t xml:space="preserve"> than predicted, but the number of scripts and benefits paid is </w:t>
      </w:r>
      <w:r w:rsidR="009C5D52">
        <w:t>lower</w:t>
      </w:r>
      <w:r>
        <w:t xml:space="preserve"> than anticipated. </w:t>
      </w:r>
    </w:p>
    <w:p w14:paraId="0DC9F0CD" w14:textId="2E8EDBBF" w:rsidR="00EC27D8" w:rsidRDefault="00EC27D8" w:rsidP="004F2048">
      <w:pPr>
        <w:pStyle w:val="ListParagraph"/>
        <w:numPr>
          <w:ilvl w:val="0"/>
          <w:numId w:val="37"/>
        </w:numPr>
      </w:pPr>
      <w:r>
        <w:t xml:space="preserve">In the first year of listing there were </w:t>
      </w:r>
      <w:r w:rsidR="00262423">
        <w:t>961 prevalent patients</w:t>
      </w:r>
      <w:r w:rsidR="00972DD6">
        <w:t xml:space="preserve"> supplied atezolizumab</w:t>
      </w:r>
      <w:r w:rsidR="00262423">
        <w:t xml:space="preserve"> and in the second year of listing there were 1</w:t>
      </w:r>
      <w:r w:rsidR="007C096E">
        <w:t>,</w:t>
      </w:r>
      <w:r w:rsidR="00262423">
        <w:t>209.</w:t>
      </w:r>
    </w:p>
    <w:p w14:paraId="42D63127" w14:textId="296DF10C" w:rsidR="004F2048" w:rsidRDefault="004F2048" w:rsidP="004F2048">
      <w:pPr>
        <w:pStyle w:val="ListParagraph"/>
        <w:numPr>
          <w:ilvl w:val="0"/>
          <w:numId w:val="37"/>
        </w:numPr>
      </w:pPr>
      <w:r>
        <w:t>The estimated number of grandfathered patients (n=</w:t>
      </w:r>
      <w:r w:rsidR="00DB57C5" w:rsidRPr="00DB57C5">
        <w:rPr>
          <w:color w:val="000000"/>
          <w:shd w:val="solid" w:color="000000" w:fill="000000"/>
          <w14:textFill>
            <w14:solidFill>
              <w14:srgbClr w14:val="000000">
                <w14:alpha w14:val="100000"/>
              </w14:srgbClr>
            </w14:solidFill>
          </w14:textFill>
        </w:rPr>
        <w:t>|</w:t>
      </w:r>
      <w:r>
        <w:t>) was uncertain as the patient access program had not commenced at the time of the submission</w:t>
      </w:r>
      <w:r w:rsidR="00262423">
        <w:t>.</w:t>
      </w:r>
      <w:r w:rsidR="00FD5FDC">
        <w:t xml:space="preserve"> </w:t>
      </w:r>
      <w:r>
        <w:t>The actual count of grandfathered patients in Year 1 was 113</w:t>
      </w:r>
      <w:r w:rsidR="00262423">
        <w:t>.</w:t>
      </w:r>
      <w:r>
        <w:t xml:space="preserve"> The </w:t>
      </w:r>
      <w:r w:rsidR="009C5D52">
        <w:t>underestimation</w:t>
      </w:r>
      <w:r>
        <w:t xml:space="preserve"> may also have contributed to </w:t>
      </w:r>
      <w:r w:rsidR="009C5D52">
        <w:t>more</w:t>
      </w:r>
      <w:r>
        <w:t xml:space="preserve"> patients being supplied treatment in Year 2.</w:t>
      </w:r>
    </w:p>
    <w:p w14:paraId="412B97F8" w14:textId="2F477AB5" w:rsidR="00884F20" w:rsidRDefault="00884F20" w:rsidP="00884F20">
      <w:pPr>
        <w:pStyle w:val="ListParagraph"/>
        <w:numPr>
          <w:ilvl w:val="0"/>
          <w:numId w:val="37"/>
        </w:numPr>
        <w:spacing w:before="240"/>
      </w:pPr>
      <w:r>
        <w:t xml:space="preserve">The mean time on treatment with breaks </w:t>
      </w:r>
      <w:r w:rsidR="000D2A66">
        <w:t xml:space="preserve">in supply </w:t>
      </w:r>
      <w:r>
        <w:t xml:space="preserve">was 170 days. This </w:t>
      </w:r>
      <w:r w:rsidR="00806C5F">
        <w:t>wa</w:t>
      </w:r>
      <w:r>
        <w:t xml:space="preserve">s less than the sponsor’s estimate of a treatment duration of </w:t>
      </w:r>
      <w:r w:rsidR="00DB57C5" w:rsidRPr="00DB57C5">
        <w:rPr>
          <w:color w:val="000000"/>
          <w:shd w:val="solid" w:color="000000" w:fill="000000"/>
          <w14:textFill>
            <w14:solidFill>
              <w14:srgbClr w14:val="000000">
                <w14:alpha w14:val="100000"/>
              </w14:srgbClr>
            </w14:solidFill>
          </w14:textFill>
        </w:rPr>
        <w:t>|</w:t>
      </w:r>
      <w:r w:rsidR="00DB57C5">
        <w:t xml:space="preserve"> </w:t>
      </w:r>
      <w:r>
        <w:t xml:space="preserve">days based on the IMpower133 trial. The mean time on treatment without breaks was 188 days, which is </w:t>
      </w:r>
      <w:r w:rsidR="009C5D52">
        <w:t>close</w:t>
      </w:r>
      <w:r>
        <w:t xml:space="preserve"> to the sponsor’s estimate of </w:t>
      </w:r>
      <w:r w:rsidR="00DB57C5" w:rsidRPr="00DB57C5">
        <w:rPr>
          <w:color w:val="000000"/>
          <w:shd w:val="solid" w:color="000000" w:fill="000000"/>
          <w14:textFill>
            <w14:solidFill>
              <w14:srgbClr w14:val="000000">
                <w14:alpha w14:val="100000"/>
              </w14:srgbClr>
            </w14:solidFill>
          </w14:textFill>
        </w:rPr>
        <w:t>|</w:t>
      </w:r>
      <w:r w:rsidR="00DB57C5">
        <w:t xml:space="preserve"> </w:t>
      </w:r>
      <w:r>
        <w:t>days.</w:t>
      </w:r>
    </w:p>
    <w:p w14:paraId="70AB2148" w14:textId="6B791473" w:rsidR="00DD401D" w:rsidRDefault="004F2048" w:rsidP="00C51645">
      <w:pPr>
        <w:pStyle w:val="ListParagraph"/>
        <w:numPr>
          <w:ilvl w:val="0"/>
          <w:numId w:val="37"/>
        </w:numPr>
      </w:pPr>
      <w:r>
        <w:t>The PBAC noted in the March 2020 submission that there was uncertainty around the estimated 100% uptake of the 1680 mg</w:t>
      </w:r>
      <w:r w:rsidR="00FF6C58">
        <w:t xml:space="preserve"> four weekly (</w:t>
      </w:r>
      <w:r>
        <w:t>Q4W</w:t>
      </w:r>
      <w:r w:rsidR="00FF6C58">
        <w:t>)</w:t>
      </w:r>
      <w:r>
        <w:t xml:space="preserve"> dosing regimen for continuing treatment. However, it was considered likely that most patients would </w:t>
      </w:r>
      <w:r>
        <w:lastRenderedPageBreak/>
        <w:t xml:space="preserve">be prescribed this new dosing regimen once it became available. This review demonstrates that most patients were still being prescribed the </w:t>
      </w:r>
      <w:r w:rsidR="00FF6C58">
        <w:t>three weekly regimen (Q3W).</w:t>
      </w:r>
    </w:p>
    <w:p w14:paraId="5B262047" w14:textId="2373267A" w:rsidR="00E677DD" w:rsidRPr="00CF5E22" w:rsidRDefault="00E677DD" w:rsidP="00CF5E22">
      <w:pPr>
        <w:pStyle w:val="Heading1"/>
      </w:pPr>
      <w:r w:rsidRPr="00CF5E22">
        <w:t xml:space="preserve">Purpose of </w:t>
      </w:r>
      <w:r w:rsidR="00D151EB" w:rsidRPr="00CF5E22">
        <w:t>analysis</w:t>
      </w:r>
    </w:p>
    <w:p w14:paraId="27E4ECEB" w14:textId="64FDEC58" w:rsidR="001F2C83" w:rsidRPr="00151B1C" w:rsidRDefault="00D50E32" w:rsidP="00FA6DFC">
      <w:pPr>
        <w:rPr>
          <w:b/>
          <w:i/>
        </w:rPr>
      </w:pPr>
      <w:r w:rsidRPr="00D50E32">
        <w:t xml:space="preserve">To compare the predicted and actual utilisation of </w:t>
      </w:r>
      <w:r w:rsidR="006E6087">
        <w:rPr>
          <w:bCs/>
          <w:iCs/>
        </w:rPr>
        <w:t>a</w:t>
      </w:r>
      <w:r w:rsidR="006E6087" w:rsidRPr="00D50E32">
        <w:rPr>
          <w:bCs/>
          <w:iCs/>
        </w:rPr>
        <w:t xml:space="preserve">tezolizumab </w:t>
      </w:r>
      <w:r w:rsidRPr="00D50E32">
        <w:rPr>
          <w:bCs/>
          <w:iCs/>
        </w:rPr>
        <w:t xml:space="preserve">for </w:t>
      </w:r>
      <w:r w:rsidR="00EB7E94" w:rsidRPr="00330AEC">
        <w:rPr>
          <w:bCs/>
          <w:iCs/>
        </w:rPr>
        <w:t xml:space="preserve">ES-SCLC </w:t>
      </w:r>
      <w:r>
        <w:rPr>
          <w:bCs/>
          <w:iCs/>
        </w:rPr>
        <w:t>since its listing on the</w:t>
      </w:r>
      <w:r w:rsidRPr="00D50E32">
        <w:t xml:space="preserve"> PBS. </w:t>
      </w:r>
    </w:p>
    <w:p w14:paraId="0A7F0B57" w14:textId="78500F40"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1004D4DB" w14:textId="5B2E38AC" w:rsidR="00C9640B" w:rsidRDefault="00AA18F0" w:rsidP="007C096E">
      <w:pPr>
        <w:rPr>
          <w:b/>
        </w:rPr>
      </w:pPr>
      <w:r w:rsidRPr="00AA18F0">
        <w:t xml:space="preserve">There are two main types of lung </w:t>
      </w:r>
      <w:r w:rsidR="00317218" w:rsidRPr="00AA18F0">
        <w:t>cancer:</w:t>
      </w:r>
      <w:r w:rsidRPr="00AA18F0">
        <w:t xml:space="preserve"> </w:t>
      </w:r>
      <w:r w:rsidR="00AB397B">
        <w:t>n</w:t>
      </w:r>
      <w:r w:rsidRPr="00AA18F0">
        <w:t>on-small cell lung cancer (NSCLC) and small cell lung cancer</w:t>
      </w:r>
      <w:r w:rsidR="005611C2">
        <w:t xml:space="preserve"> (SCLC)</w:t>
      </w:r>
      <w:r w:rsidRPr="00AA18F0">
        <w:t xml:space="preserve">. </w:t>
      </w:r>
    </w:p>
    <w:p w14:paraId="6CB770BA" w14:textId="250D7316" w:rsidR="00AA18F0" w:rsidRPr="00AA18F0" w:rsidRDefault="00AA18F0" w:rsidP="007C096E">
      <w:r w:rsidRPr="00AA18F0">
        <w:t xml:space="preserve">NSCLC contributes to around 80-85% of all lung cancers. The main subtypes of </w:t>
      </w:r>
      <w:r w:rsidR="006E6087">
        <w:t>NSCLC</w:t>
      </w:r>
      <w:r w:rsidR="006E6087" w:rsidRPr="00AA18F0">
        <w:t xml:space="preserve"> </w:t>
      </w:r>
      <w:r w:rsidRPr="00AA18F0">
        <w:t>include adenocarcinoma, squamous cell carcinoma and large cell carcinoma. These lung cancers differ in the type of lung cells</w:t>
      </w:r>
      <w:r w:rsidR="006E6087">
        <w:t xml:space="preserve"> affected</w:t>
      </w:r>
      <w:r w:rsidRPr="00AA18F0">
        <w:t xml:space="preserve"> however are grouped together because their prognosis and response to treatment is comparable</w:t>
      </w:r>
      <w:r w:rsidR="006E6087">
        <w:t>.</w:t>
      </w:r>
      <w:r w:rsidRPr="00AA18F0">
        <w:rPr>
          <w:rStyle w:val="FootnoteReference"/>
          <w:bCs/>
          <w:szCs w:val="22"/>
        </w:rPr>
        <w:footnoteReference w:id="1"/>
      </w:r>
      <w:r w:rsidRPr="00AA18F0">
        <w:t xml:space="preserve"> </w:t>
      </w:r>
    </w:p>
    <w:p w14:paraId="1072641A" w14:textId="3BA4BFA4" w:rsidR="00C9640B" w:rsidRDefault="00C9640B" w:rsidP="007C096E">
      <w:pPr>
        <w:rPr>
          <w:b/>
        </w:rPr>
      </w:pPr>
      <w:r>
        <w:t>SCLC</w:t>
      </w:r>
      <w:r w:rsidR="00C34CC0">
        <w:t xml:space="preserve"> is less common than NSCLC</w:t>
      </w:r>
      <w:r w:rsidR="00621280">
        <w:t>, representing around 12% of new lung cancer cases</w:t>
      </w:r>
      <w:r w:rsidR="00621280">
        <w:rPr>
          <w:rStyle w:val="FootnoteReference"/>
          <w:bCs/>
          <w:szCs w:val="22"/>
        </w:rPr>
        <w:footnoteReference w:id="2"/>
      </w:r>
      <w:r w:rsidR="00621280">
        <w:t>,</w:t>
      </w:r>
      <w:r w:rsidR="00C34CC0">
        <w:t xml:space="preserve"> however is known to be more aggressive in nature. It</w:t>
      </w:r>
      <w:r w:rsidR="00AA18F0" w:rsidRPr="00AA18F0">
        <w:t xml:space="preserve"> generally </w:t>
      </w:r>
      <w:r w:rsidR="00C34CC0">
        <w:t xml:space="preserve">forms </w:t>
      </w:r>
      <w:r w:rsidR="00A7154A">
        <w:t>in the</w:t>
      </w:r>
      <w:r w:rsidR="00AA18F0" w:rsidRPr="00AA18F0">
        <w:t xml:space="preserve"> lung cells that would secrete mucus like substances. The</w:t>
      </w:r>
      <w:r w:rsidR="00C34CC0">
        <w:t xml:space="preserve"> cancer cells</w:t>
      </w:r>
      <w:r w:rsidR="00AA18F0" w:rsidRPr="00AA18F0">
        <w:t xml:space="preserve"> are usually found in the </w:t>
      </w:r>
      <w:r w:rsidR="00C34CC0">
        <w:t>periphery</w:t>
      </w:r>
      <w:r w:rsidR="00C34CC0" w:rsidRPr="00AA18F0">
        <w:t xml:space="preserve"> </w:t>
      </w:r>
      <w:r w:rsidR="00AA18F0" w:rsidRPr="00AA18F0">
        <w:t>of the lun</w:t>
      </w:r>
      <w:r w:rsidR="00A7154A">
        <w:t xml:space="preserve">g </w:t>
      </w:r>
      <w:r w:rsidR="00C34CC0">
        <w:t xml:space="preserve">and can grow quickly </w:t>
      </w:r>
      <w:r w:rsidR="00D362F4">
        <w:t xml:space="preserve">and rapidly spread </w:t>
      </w:r>
      <w:r w:rsidR="00C34CC0">
        <w:t>to other parts of the body</w:t>
      </w:r>
      <w:r w:rsidR="00AA18F0" w:rsidRPr="00AA18F0">
        <w:t xml:space="preserve">. </w:t>
      </w:r>
      <w:r w:rsidR="008A5875" w:rsidRPr="008A5875">
        <w:t xml:space="preserve">Patients with SCLC are </w:t>
      </w:r>
      <w:r w:rsidR="008A5875">
        <w:t>generally classified as having</w:t>
      </w:r>
      <w:r w:rsidR="008A5875" w:rsidRPr="008A5875">
        <w:t xml:space="preserve"> limited-stage (LS) or extensive-stage (ES) SCLC. The disease is ES if the cancer is metastatic </w:t>
      </w:r>
      <w:r w:rsidR="008A5875">
        <w:t>or if it</w:t>
      </w:r>
      <w:r w:rsidR="008A5875" w:rsidRPr="008A5875">
        <w:t xml:space="preserve"> has spread beyond an area that can be treated with a single beam of external radiation.</w:t>
      </w:r>
    </w:p>
    <w:p w14:paraId="3D9A4F1A" w14:textId="043E78F6" w:rsidR="00A7154A" w:rsidRDefault="00C34CC0" w:rsidP="007C096E">
      <w:pPr>
        <w:rPr>
          <w:b/>
        </w:rPr>
      </w:pPr>
      <w:r>
        <w:t xml:space="preserve">Smoking is a significant </w:t>
      </w:r>
      <w:r w:rsidR="00A7154A">
        <w:t>high</w:t>
      </w:r>
      <w:r w:rsidR="00BA3189">
        <w:t xml:space="preserve"> </w:t>
      </w:r>
      <w:r w:rsidR="00A7154A">
        <w:t>risk</w:t>
      </w:r>
      <w:r>
        <w:t xml:space="preserve"> factor for people developing lung cancer</w:t>
      </w:r>
      <w:r w:rsidR="00A7154A">
        <w:t>.</w:t>
      </w:r>
    </w:p>
    <w:p w14:paraId="0183A567" w14:textId="743F5B31" w:rsidR="007247B9" w:rsidRDefault="007247B9" w:rsidP="00CF5E22">
      <w:pPr>
        <w:pStyle w:val="Heading2"/>
      </w:pPr>
      <w:r>
        <w:t>Pharmacology</w:t>
      </w:r>
    </w:p>
    <w:p w14:paraId="740C85BB" w14:textId="0D855E3A" w:rsidR="008B2FFC" w:rsidRPr="00AC0B79" w:rsidRDefault="00AC0B79" w:rsidP="007C096E">
      <w:pPr>
        <w:rPr>
          <w:b/>
        </w:rPr>
      </w:pPr>
      <w:r w:rsidRPr="00AC0B79">
        <w:t>Atezolizumab is a</w:t>
      </w:r>
      <w:r w:rsidR="00A5732B">
        <w:t xml:space="preserve"> human formulated </w:t>
      </w:r>
      <w:r w:rsidRPr="00AC0B79">
        <w:t xml:space="preserve">immunoglobulin G1 (IgG1) monoclonal antibody that directly binds to </w:t>
      </w:r>
      <w:r w:rsidR="00386C23">
        <w:t>programmed death-ligand 1 (</w:t>
      </w:r>
      <w:r w:rsidRPr="00AC0B79">
        <w:t>PD-L1</w:t>
      </w:r>
      <w:r w:rsidR="00386C23">
        <w:t>) protein</w:t>
      </w:r>
      <w:r w:rsidRPr="00AC0B79">
        <w:t xml:space="preserve"> </w:t>
      </w:r>
      <w:r w:rsidR="00A5732B">
        <w:t>to</w:t>
      </w:r>
      <w:r w:rsidRPr="00AC0B79">
        <w:t xml:space="preserve"> block interactions with the PD-1 and B7.1 receptors, releasing PD-L1/PD-1 pathway-mediated inhibition of the immune response, including reactivating the anti-tumour immune response. Atezolizumab </w:t>
      </w:r>
      <w:r w:rsidR="00A5732B">
        <w:t xml:space="preserve">has been shown in </w:t>
      </w:r>
      <w:r w:rsidRPr="00AC0B79">
        <w:t>mouse tumour models</w:t>
      </w:r>
      <w:r w:rsidR="00A5732B">
        <w:t xml:space="preserve"> to </w:t>
      </w:r>
      <w:r w:rsidRPr="00AC0B79">
        <w:t>block PD-L1 activity result</w:t>
      </w:r>
      <w:r w:rsidR="00A5732B">
        <w:t xml:space="preserve">ing </w:t>
      </w:r>
      <w:r w:rsidRPr="00AC0B79">
        <w:t>in decreased tumour growth</w:t>
      </w:r>
      <w:r w:rsidR="00EE3E3A">
        <w:t>.</w:t>
      </w:r>
      <w:r>
        <w:rPr>
          <w:rStyle w:val="FootnoteReference"/>
          <w:bCs/>
          <w:szCs w:val="22"/>
        </w:rPr>
        <w:footnoteReference w:id="3"/>
      </w:r>
    </w:p>
    <w:p w14:paraId="6AC18C88" w14:textId="7C235F50" w:rsidR="001420B3" w:rsidRPr="005E22C2" w:rsidRDefault="00A52918" w:rsidP="00CF5E22">
      <w:pPr>
        <w:pStyle w:val="Heading2"/>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35860FD" w14:textId="597C999E" w:rsidR="002E1B27" w:rsidRDefault="007C4BC8" w:rsidP="003C31A6">
      <w:r>
        <w:t>Atezolizumab</w:t>
      </w:r>
      <w:r w:rsidR="00A83AC3">
        <w:t xml:space="preserve"> is </w:t>
      </w:r>
      <w:r w:rsidR="002E1B27">
        <w:t>TGA approved for:</w:t>
      </w:r>
    </w:p>
    <w:p w14:paraId="344D7220" w14:textId="2BC47781" w:rsidR="003C31A6" w:rsidRDefault="003C31A6" w:rsidP="007C4BC8">
      <w:pPr>
        <w:pStyle w:val="ListParagraph"/>
        <w:numPr>
          <w:ilvl w:val="0"/>
          <w:numId w:val="12"/>
        </w:numPr>
      </w:pPr>
      <w:r w:rsidRPr="003C31A6">
        <w:t xml:space="preserve">Early-stage </w:t>
      </w:r>
      <w:r w:rsidR="00C9640B">
        <w:t>NSCLC</w:t>
      </w:r>
    </w:p>
    <w:p w14:paraId="3CC9730F" w14:textId="2B296283" w:rsidR="003C31A6" w:rsidRDefault="003C31A6" w:rsidP="007C4BC8">
      <w:pPr>
        <w:pStyle w:val="ListParagraph"/>
        <w:numPr>
          <w:ilvl w:val="0"/>
          <w:numId w:val="12"/>
        </w:numPr>
      </w:pPr>
      <w:r w:rsidRPr="003C31A6">
        <w:t xml:space="preserve">Metastatic </w:t>
      </w:r>
      <w:r w:rsidR="00C9640B">
        <w:t>NSCLC</w:t>
      </w:r>
      <w:r w:rsidRPr="003C31A6" w:rsidDel="002E1B27">
        <w:t xml:space="preserve"> </w:t>
      </w:r>
    </w:p>
    <w:p w14:paraId="6A73695F" w14:textId="5346B9B3" w:rsidR="003C31A6" w:rsidRDefault="00AF6D59" w:rsidP="007C4BC8">
      <w:pPr>
        <w:pStyle w:val="ListParagraph"/>
        <w:numPr>
          <w:ilvl w:val="0"/>
          <w:numId w:val="12"/>
        </w:numPr>
      </w:pPr>
      <w:r>
        <w:t>SCLC</w:t>
      </w:r>
    </w:p>
    <w:p w14:paraId="493F9884" w14:textId="77777777" w:rsidR="003C31A6" w:rsidRDefault="003C31A6" w:rsidP="007C4BC8">
      <w:pPr>
        <w:pStyle w:val="ListParagraph"/>
        <w:numPr>
          <w:ilvl w:val="0"/>
          <w:numId w:val="12"/>
        </w:numPr>
      </w:pPr>
      <w:r>
        <w:t>Urothelial carcinoma</w:t>
      </w:r>
      <w:r w:rsidDel="002E1B27">
        <w:t xml:space="preserve"> </w:t>
      </w:r>
    </w:p>
    <w:p w14:paraId="53B7DC4A" w14:textId="77777777" w:rsidR="003C31A6" w:rsidRDefault="003C31A6" w:rsidP="007C4BC8">
      <w:pPr>
        <w:pStyle w:val="ListParagraph"/>
        <w:numPr>
          <w:ilvl w:val="0"/>
          <w:numId w:val="12"/>
        </w:numPr>
      </w:pPr>
      <w:r>
        <w:t>Triple-negative breast cancer</w:t>
      </w:r>
      <w:r w:rsidDel="002E1B27">
        <w:t xml:space="preserve"> </w:t>
      </w:r>
    </w:p>
    <w:p w14:paraId="3473CC97" w14:textId="77777777" w:rsidR="003C31A6" w:rsidRDefault="003C31A6" w:rsidP="007C4BC8">
      <w:pPr>
        <w:pStyle w:val="ListParagraph"/>
        <w:numPr>
          <w:ilvl w:val="0"/>
          <w:numId w:val="12"/>
        </w:numPr>
      </w:pPr>
      <w:r>
        <w:t>Hepatocellular carcinoma</w:t>
      </w:r>
      <w:r w:rsidDel="002E1B27">
        <w:t xml:space="preserve"> </w:t>
      </w:r>
    </w:p>
    <w:p w14:paraId="03AD660D" w14:textId="4125F01A" w:rsidR="00151B1C" w:rsidRPr="004170E4" w:rsidRDefault="004170E4" w:rsidP="007C4BC8">
      <w:r w:rsidRPr="004170E4">
        <w:t xml:space="preserve">Further information </w:t>
      </w:r>
      <w:r>
        <w:t xml:space="preserve">about atezolizumab’s registered indications </w:t>
      </w:r>
      <w:r w:rsidRPr="004170E4">
        <w:t xml:space="preserve">is available </w:t>
      </w:r>
      <w:r>
        <w:t xml:space="preserve">from the </w:t>
      </w:r>
      <w:hyperlink r:id="rId8" w:history="1">
        <w:r w:rsidRPr="004170E4">
          <w:rPr>
            <w:rStyle w:val="Hyperlink"/>
          </w:rPr>
          <w:t>Australian Register of Therapeutic Goods</w:t>
        </w:r>
      </w:hyperlink>
      <w:r>
        <w:t>.</w:t>
      </w:r>
    </w:p>
    <w:p w14:paraId="15E919C1" w14:textId="26E393E4" w:rsidR="006B709B" w:rsidRPr="00900C67" w:rsidRDefault="006B709B" w:rsidP="007C4BC8">
      <w:pPr>
        <w:rPr>
          <w:b/>
          <w:bCs/>
        </w:rPr>
      </w:pPr>
      <w:r w:rsidRPr="00900C67">
        <w:rPr>
          <w:b/>
          <w:bCs/>
        </w:rPr>
        <w:t>Dosage and administration</w:t>
      </w:r>
    </w:p>
    <w:p w14:paraId="65291A44" w14:textId="7ADD2318" w:rsidR="00A83AC3" w:rsidRPr="00324DAB" w:rsidRDefault="00A83AC3" w:rsidP="00A83AC3">
      <w:pPr>
        <w:pStyle w:val="Tabletitle"/>
      </w:pPr>
      <w:r w:rsidRPr="00324DAB">
        <w:t xml:space="preserve">Table </w:t>
      </w:r>
      <w:r>
        <w:t>1</w:t>
      </w:r>
      <w:r w:rsidRPr="00324DAB">
        <w:t xml:space="preserve">: Dosage and administration of </w:t>
      </w:r>
      <w:r w:rsidR="00C01CE6" w:rsidRPr="00C01CE6">
        <w:t xml:space="preserve">Atezolizumab for </w:t>
      </w:r>
      <w:r w:rsidR="00C9640B" w:rsidRPr="006B36FD">
        <w:rPr>
          <w:iCs/>
        </w:rPr>
        <w:t>ES-SCLC</w:t>
      </w:r>
    </w:p>
    <w:tbl>
      <w:tblPr>
        <w:tblStyle w:val="TableGrid"/>
        <w:tblW w:w="9180" w:type="dxa"/>
        <w:tblLook w:val="04A0" w:firstRow="1" w:lastRow="0" w:firstColumn="1" w:lastColumn="0" w:noHBand="0" w:noVBand="1"/>
      </w:tblPr>
      <w:tblGrid>
        <w:gridCol w:w="1980"/>
        <w:gridCol w:w="2693"/>
        <w:gridCol w:w="4507"/>
      </w:tblGrid>
      <w:tr w:rsidR="00A83AC3" w:rsidRPr="00A35800" w14:paraId="12799AFB" w14:textId="77777777" w:rsidTr="00F52E67">
        <w:trPr>
          <w:tblHeader/>
        </w:trPr>
        <w:tc>
          <w:tcPr>
            <w:tcW w:w="1980" w:type="dxa"/>
            <w:shd w:val="clear" w:color="auto" w:fill="BFBFBF" w:themeFill="background1" w:themeFillShade="BF"/>
          </w:tcPr>
          <w:p w14:paraId="74E19770" w14:textId="77777777" w:rsidR="00A83AC3" w:rsidRPr="00A35800" w:rsidRDefault="00A83AC3" w:rsidP="00F52E67">
            <w:pPr>
              <w:pStyle w:val="Tableheading"/>
              <w:rPr>
                <w:sz w:val="20"/>
                <w:szCs w:val="20"/>
              </w:rPr>
            </w:pPr>
            <w:r w:rsidRPr="00A35800">
              <w:rPr>
                <w:sz w:val="20"/>
                <w:szCs w:val="20"/>
              </w:rPr>
              <w:t>Brand name and sponsor</w:t>
            </w:r>
          </w:p>
        </w:tc>
        <w:tc>
          <w:tcPr>
            <w:tcW w:w="2693" w:type="dxa"/>
            <w:shd w:val="clear" w:color="auto" w:fill="BFBFBF" w:themeFill="background1" w:themeFillShade="BF"/>
          </w:tcPr>
          <w:p w14:paraId="0D7BA3BE" w14:textId="77777777" w:rsidR="00A83AC3" w:rsidRPr="00A35800" w:rsidRDefault="00A83AC3" w:rsidP="00F52E67">
            <w:pPr>
              <w:pStyle w:val="Tableheading"/>
              <w:rPr>
                <w:sz w:val="20"/>
                <w:szCs w:val="20"/>
              </w:rPr>
            </w:pPr>
            <w:r w:rsidRPr="00A35800">
              <w:rPr>
                <w:sz w:val="20"/>
                <w:szCs w:val="20"/>
              </w:rPr>
              <w:t>Product</w:t>
            </w:r>
          </w:p>
        </w:tc>
        <w:tc>
          <w:tcPr>
            <w:tcW w:w="4507" w:type="dxa"/>
            <w:shd w:val="clear" w:color="auto" w:fill="BFBFBF" w:themeFill="background1" w:themeFillShade="BF"/>
          </w:tcPr>
          <w:p w14:paraId="5B4573D5" w14:textId="77777777" w:rsidR="00A83AC3" w:rsidRPr="00A35800" w:rsidRDefault="00A83AC3" w:rsidP="00F52E67">
            <w:pPr>
              <w:pStyle w:val="Tableheading"/>
              <w:rPr>
                <w:sz w:val="20"/>
                <w:szCs w:val="20"/>
              </w:rPr>
            </w:pPr>
            <w:r w:rsidRPr="00A35800">
              <w:rPr>
                <w:sz w:val="20"/>
                <w:szCs w:val="20"/>
              </w:rPr>
              <w:t xml:space="preserve">Dose and frequency of administration </w:t>
            </w:r>
          </w:p>
        </w:tc>
      </w:tr>
      <w:tr w:rsidR="00A83AC3" w:rsidRPr="00A35800" w14:paraId="61C5C9A1" w14:textId="77777777" w:rsidTr="00F52E67">
        <w:tc>
          <w:tcPr>
            <w:tcW w:w="1980" w:type="dxa"/>
          </w:tcPr>
          <w:p w14:paraId="25C0794E" w14:textId="43DD5EAF" w:rsidR="00A83AC3" w:rsidRPr="00A35800" w:rsidRDefault="00922B67" w:rsidP="00F52E67">
            <w:pPr>
              <w:pStyle w:val="Tablewriting"/>
            </w:pPr>
            <w:r w:rsidRPr="00922B67">
              <w:t>Tecentriq</w:t>
            </w:r>
            <w:r>
              <w:t xml:space="preserve">, </w:t>
            </w:r>
            <w:r w:rsidRPr="00922B67">
              <w:t>Roche Products Pty Ltd</w:t>
            </w:r>
          </w:p>
        </w:tc>
        <w:tc>
          <w:tcPr>
            <w:tcW w:w="2693" w:type="dxa"/>
          </w:tcPr>
          <w:p w14:paraId="4B2287BE" w14:textId="77777777" w:rsidR="00C01CE6" w:rsidRDefault="00C01CE6" w:rsidP="00F52E67">
            <w:pPr>
              <w:pStyle w:val="Tablewriting"/>
            </w:pPr>
            <w:r w:rsidRPr="00C01CE6">
              <w:t xml:space="preserve">atezolizumab 1.2 g/20 mL injection, 20 mL vial </w:t>
            </w:r>
          </w:p>
          <w:p w14:paraId="19C00C1D" w14:textId="5FAEACA8" w:rsidR="00A83AC3" w:rsidRPr="00A35800" w:rsidRDefault="00C01CE6" w:rsidP="00F52E67">
            <w:pPr>
              <w:pStyle w:val="Tablewriting"/>
            </w:pPr>
            <w:r w:rsidRPr="00C01CE6">
              <w:t>atezolizumab 840 mg/14 mL injection, 14 mL vial</w:t>
            </w:r>
          </w:p>
        </w:tc>
        <w:tc>
          <w:tcPr>
            <w:tcW w:w="4507" w:type="dxa"/>
          </w:tcPr>
          <w:p w14:paraId="488F22B2" w14:textId="12C6905B" w:rsidR="005611C2" w:rsidRDefault="005611C2" w:rsidP="005611C2">
            <w:pPr>
              <w:pStyle w:val="Tablewriting"/>
            </w:pPr>
            <w:r>
              <w:t xml:space="preserve">During the induction phase, the recommended dose of </w:t>
            </w:r>
            <w:r w:rsidR="00A311F6">
              <w:t>atezolizumab</w:t>
            </w:r>
            <w:r>
              <w:t xml:space="preserve"> is 1200 mg, followed by carboplatin, and then etoposide administered</w:t>
            </w:r>
            <w:r w:rsidRPr="00922B67" w:rsidDel="005611C2">
              <w:t xml:space="preserve"> </w:t>
            </w:r>
            <w:r w:rsidRPr="005611C2">
              <w:t>by IV infusion on day 1. Etoposide is administered by IV infusion on days 2 and 3. This regimen is administered every 3 weeks for 4 cycles.</w:t>
            </w:r>
            <w:r w:rsidRPr="005611C2" w:rsidDel="005611C2">
              <w:t xml:space="preserve"> </w:t>
            </w:r>
          </w:p>
          <w:p w14:paraId="61B3419B" w14:textId="77777777" w:rsidR="00CA36DC" w:rsidRDefault="005611C2" w:rsidP="005611C2">
            <w:pPr>
              <w:pStyle w:val="Tablewriting"/>
            </w:pPr>
            <w:r w:rsidRPr="005611C2">
              <w:t xml:space="preserve">The induction phase is followed by a maintenance phase without chemotherapy in which the recommended dosage of </w:t>
            </w:r>
            <w:r w:rsidR="00F05B1F">
              <w:t xml:space="preserve">atezolizumab </w:t>
            </w:r>
            <w:r w:rsidRPr="005611C2">
              <w:t xml:space="preserve">is either; </w:t>
            </w:r>
          </w:p>
          <w:p w14:paraId="42F760F2" w14:textId="2D6A56E9" w:rsidR="005611C2" w:rsidRDefault="005611C2" w:rsidP="009355DF">
            <w:pPr>
              <w:pStyle w:val="Tablewriting"/>
              <w:numPr>
                <w:ilvl w:val="0"/>
                <w:numId w:val="26"/>
              </w:numPr>
            </w:pPr>
            <w:r>
              <w:t>840 mg every 2 weeks</w:t>
            </w:r>
            <w:r w:rsidR="00CA36DC">
              <w:t>,</w:t>
            </w:r>
            <w:r>
              <w:t xml:space="preserve"> </w:t>
            </w:r>
          </w:p>
          <w:p w14:paraId="274F0E2A" w14:textId="6394ECAD" w:rsidR="005611C2" w:rsidRDefault="005611C2" w:rsidP="009355DF">
            <w:pPr>
              <w:pStyle w:val="Tablewriting"/>
              <w:numPr>
                <w:ilvl w:val="0"/>
                <w:numId w:val="26"/>
              </w:numPr>
            </w:pPr>
            <w:r>
              <w:t>1200 mg every 3 weeks or</w:t>
            </w:r>
          </w:p>
          <w:p w14:paraId="373E0800" w14:textId="6348A65A" w:rsidR="00A83AC3" w:rsidRPr="00A35800" w:rsidRDefault="005611C2" w:rsidP="009355DF">
            <w:pPr>
              <w:pStyle w:val="Tablewriting"/>
              <w:numPr>
                <w:ilvl w:val="0"/>
                <w:numId w:val="26"/>
              </w:numPr>
            </w:pPr>
            <w:r>
              <w:t>1680 mg every 4 weeks</w:t>
            </w:r>
            <w:r w:rsidR="00CA36DC">
              <w:t>.</w:t>
            </w:r>
            <w:r w:rsidRPr="00922B67" w:rsidDel="005611C2">
              <w:t xml:space="preserve"> </w:t>
            </w:r>
          </w:p>
        </w:tc>
      </w:tr>
    </w:tbl>
    <w:p w14:paraId="7BD51953" w14:textId="6DA84DE0" w:rsidR="00A83AC3" w:rsidRPr="00D50934" w:rsidRDefault="00A83AC3" w:rsidP="00A83AC3">
      <w:pPr>
        <w:pStyle w:val="Notes"/>
      </w:pPr>
      <w:r w:rsidRPr="00D50934">
        <w:t>Source: Product Information</w:t>
      </w:r>
    </w:p>
    <w:p w14:paraId="48FBE9A1" w14:textId="3765B2B9" w:rsidR="00151B1C" w:rsidRDefault="00A83AC3" w:rsidP="00151B1C">
      <w:r w:rsidRPr="002F61CA">
        <w:t xml:space="preserve">The current Product Information (PI) and Consumer Medicine Information (CMI) are available from </w:t>
      </w:r>
      <w:hyperlink r:id="rId9" w:history="1">
        <w:r w:rsidRPr="004A33AB">
          <w:rPr>
            <w:rStyle w:val="Hyperlink"/>
          </w:rPr>
          <w:t>the TGA (Product Information)</w:t>
        </w:r>
      </w:hyperlink>
      <w:r w:rsidRPr="004A33AB">
        <w:t xml:space="preserve"> and </w:t>
      </w:r>
      <w:hyperlink r:id="rId10" w:history="1">
        <w:r w:rsidRPr="004A33AB">
          <w:rPr>
            <w:rStyle w:val="Hyperlink"/>
          </w:rPr>
          <w:t>the TGA (Consumer Medicines Information)</w:t>
        </w:r>
      </w:hyperlink>
      <w:r w:rsidRPr="004A33AB">
        <w:t>.</w:t>
      </w:r>
    </w:p>
    <w:p w14:paraId="53863ED8" w14:textId="6025C3ED" w:rsidR="00D87DAD" w:rsidRDefault="00D87DAD">
      <w:pPr>
        <w:spacing w:line="276" w:lineRule="auto"/>
      </w:pPr>
      <w:r>
        <w:br w:type="page"/>
      </w:r>
    </w:p>
    <w:p w14:paraId="27C3642C" w14:textId="35E08804" w:rsidR="00800C07" w:rsidRPr="007247B9" w:rsidDel="00EE2BBB" w:rsidRDefault="00800C07" w:rsidP="00800C07">
      <w:pPr>
        <w:pStyle w:val="Heading2"/>
      </w:pPr>
      <w:r w:rsidRPr="007247B9" w:rsidDel="00EE2BBB">
        <w:lastRenderedPageBreak/>
        <w:t>PBS listing details</w:t>
      </w:r>
      <w:r w:rsidDel="00EE2BBB">
        <w:t xml:space="preserve"> (as at </w:t>
      </w:r>
      <w:r>
        <w:t>1 July 2022</w:t>
      </w:r>
      <w:r w:rsidDel="00EE2BBB">
        <w:t>)</w:t>
      </w:r>
    </w:p>
    <w:p w14:paraId="0D2B2DFC" w14:textId="6781CF44" w:rsidR="00A83AC3" w:rsidRPr="001420B3" w:rsidDel="00EE2BBB" w:rsidRDefault="00A83AC3" w:rsidP="00A83AC3">
      <w:pPr>
        <w:pStyle w:val="Tabletitle"/>
        <w:keepNext/>
      </w:pPr>
      <w:r w:rsidRPr="001420B3" w:rsidDel="00EE2BBB">
        <w:t xml:space="preserve">Table </w:t>
      </w:r>
      <w:r>
        <w:t>2</w:t>
      </w:r>
      <w:r w:rsidRPr="001420B3" w:rsidDel="00EE2BBB">
        <w:t xml:space="preserve">: </w:t>
      </w:r>
      <w:r w:rsidDel="00EE2BBB">
        <w:t xml:space="preserve">PBS listing of </w:t>
      </w:r>
      <w:r w:rsidR="00F142E3">
        <w:t>a</w:t>
      </w:r>
      <w:r w:rsidR="00C01CE6" w:rsidRPr="00C01CE6">
        <w:t xml:space="preserve">tezolizumab </w:t>
      </w:r>
      <w:r w:rsidR="006A790D" w:rsidRPr="00C01CE6">
        <w:t xml:space="preserve">for </w:t>
      </w:r>
      <w:r w:rsidR="006A790D">
        <w:t>ES</w:t>
      </w:r>
      <w:r w:rsidR="00AF6D59">
        <w:t>-</w:t>
      </w:r>
      <w:r w:rsidR="00C9640B">
        <w:t>SCLC</w:t>
      </w:r>
    </w:p>
    <w:tbl>
      <w:tblPr>
        <w:tblStyle w:val="TableGrid"/>
        <w:tblW w:w="8784" w:type="dxa"/>
        <w:tblLayout w:type="fixed"/>
        <w:tblLook w:val="04A0" w:firstRow="1" w:lastRow="0" w:firstColumn="1" w:lastColumn="0" w:noHBand="0" w:noVBand="1"/>
      </w:tblPr>
      <w:tblGrid>
        <w:gridCol w:w="994"/>
        <w:gridCol w:w="2970"/>
        <w:gridCol w:w="1276"/>
        <w:gridCol w:w="719"/>
        <w:gridCol w:w="1183"/>
        <w:gridCol w:w="1642"/>
      </w:tblGrid>
      <w:tr w:rsidR="00A83AC3" w:rsidRPr="00A35800" w:rsidDel="00EE2BBB" w14:paraId="4A7EDD42" w14:textId="77777777" w:rsidTr="00A91A00">
        <w:trPr>
          <w:trHeight w:val="644"/>
          <w:tblHeader/>
        </w:trPr>
        <w:tc>
          <w:tcPr>
            <w:tcW w:w="994" w:type="dxa"/>
            <w:shd w:val="clear" w:color="auto" w:fill="BFBFBF" w:themeFill="background1" w:themeFillShade="BF"/>
          </w:tcPr>
          <w:p w14:paraId="4C8FC29C" w14:textId="77777777" w:rsidR="00A83AC3" w:rsidRPr="00A35800" w:rsidDel="00EE2BBB" w:rsidRDefault="00A83AC3" w:rsidP="00F52E67">
            <w:pPr>
              <w:pStyle w:val="Tableheading"/>
              <w:rPr>
                <w:sz w:val="20"/>
                <w:szCs w:val="20"/>
              </w:rPr>
            </w:pPr>
            <w:bookmarkStart w:id="3" w:name="_Hlk112852064"/>
            <w:r w:rsidRPr="00A35800" w:rsidDel="00EE2BBB">
              <w:rPr>
                <w:sz w:val="20"/>
                <w:szCs w:val="20"/>
              </w:rPr>
              <w:t>Item</w:t>
            </w:r>
          </w:p>
        </w:tc>
        <w:tc>
          <w:tcPr>
            <w:tcW w:w="2970" w:type="dxa"/>
            <w:shd w:val="clear" w:color="auto" w:fill="BFBFBF" w:themeFill="background1" w:themeFillShade="BF"/>
          </w:tcPr>
          <w:p w14:paraId="4229BF00" w14:textId="77777777" w:rsidR="00A83AC3" w:rsidRPr="00A35800" w:rsidDel="00EE2BBB" w:rsidRDefault="00A83AC3" w:rsidP="00F52E67">
            <w:pPr>
              <w:pStyle w:val="Tableheading"/>
              <w:rPr>
                <w:sz w:val="20"/>
                <w:szCs w:val="20"/>
              </w:rPr>
            </w:pPr>
            <w:r w:rsidRPr="00A35800" w:rsidDel="00EE2BBB">
              <w:rPr>
                <w:sz w:val="20"/>
                <w:szCs w:val="20"/>
              </w:rPr>
              <w:t>Name, form &amp; strength, pack size</w:t>
            </w:r>
          </w:p>
        </w:tc>
        <w:tc>
          <w:tcPr>
            <w:tcW w:w="1276" w:type="dxa"/>
            <w:shd w:val="clear" w:color="auto" w:fill="BFBFBF" w:themeFill="background1" w:themeFillShade="BF"/>
          </w:tcPr>
          <w:p w14:paraId="56914528" w14:textId="7E160D5F" w:rsidR="00A83AC3" w:rsidRPr="00A35800" w:rsidDel="00EE2BBB" w:rsidRDefault="00A83AC3" w:rsidP="00F52E67">
            <w:pPr>
              <w:pStyle w:val="Tableheading"/>
              <w:rPr>
                <w:sz w:val="20"/>
                <w:szCs w:val="20"/>
              </w:rPr>
            </w:pPr>
            <w:r w:rsidRPr="00A35800" w:rsidDel="00EE2BBB">
              <w:rPr>
                <w:sz w:val="20"/>
                <w:szCs w:val="20"/>
              </w:rPr>
              <w:t xml:space="preserve">Max. </w:t>
            </w:r>
            <w:r w:rsidR="00A91A00">
              <w:rPr>
                <w:sz w:val="20"/>
                <w:szCs w:val="20"/>
              </w:rPr>
              <w:t>amt</w:t>
            </w:r>
            <w:r w:rsidRPr="00A35800" w:rsidDel="00EE2BBB">
              <w:rPr>
                <w:sz w:val="20"/>
                <w:szCs w:val="20"/>
              </w:rPr>
              <w:t xml:space="preserve">. </w:t>
            </w:r>
          </w:p>
        </w:tc>
        <w:tc>
          <w:tcPr>
            <w:tcW w:w="719" w:type="dxa"/>
            <w:shd w:val="clear" w:color="auto" w:fill="BFBFBF" w:themeFill="background1" w:themeFillShade="BF"/>
          </w:tcPr>
          <w:p w14:paraId="1E16E76D" w14:textId="77777777" w:rsidR="00A83AC3" w:rsidRPr="00A35800" w:rsidDel="00EE2BBB" w:rsidRDefault="00A83AC3" w:rsidP="00F52E67">
            <w:pPr>
              <w:pStyle w:val="Tableheading"/>
              <w:rPr>
                <w:sz w:val="20"/>
                <w:szCs w:val="20"/>
              </w:rPr>
            </w:pPr>
            <w:r w:rsidRPr="00A35800" w:rsidDel="00EE2BBB">
              <w:rPr>
                <w:sz w:val="20"/>
                <w:szCs w:val="20"/>
              </w:rPr>
              <w:t xml:space="preserve">Rpts </w:t>
            </w:r>
          </w:p>
        </w:tc>
        <w:tc>
          <w:tcPr>
            <w:tcW w:w="1183" w:type="dxa"/>
            <w:shd w:val="clear" w:color="auto" w:fill="BFBFBF" w:themeFill="background1" w:themeFillShade="BF"/>
          </w:tcPr>
          <w:p w14:paraId="6FB8F68B" w14:textId="2712EE28" w:rsidR="00A83AC3" w:rsidRPr="00A35800" w:rsidDel="00EE2BBB" w:rsidRDefault="00A83AC3" w:rsidP="00F52E67">
            <w:pPr>
              <w:pStyle w:val="Tableheading"/>
              <w:rPr>
                <w:sz w:val="20"/>
                <w:szCs w:val="20"/>
              </w:rPr>
            </w:pPr>
            <w:r w:rsidRPr="00A35800" w:rsidDel="00EE2BBB">
              <w:rPr>
                <w:sz w:val="20"/>
                <w:szCs w:val="20"/>
              </w:rPr>
              <w:t>DPM</w:t>
            </w:r>
            <w:r w:rsidR="00937147">
              <w:rPr>
                <w:sz w:val="20"/>
                <w:szCs w:val="20"/>
              </w:rPr>
              <w:t>A</w:t>
            </w:r>
          </w:p>
        </w:tc>
        <w:tc>
          <w:tcPr>
            <w:tcW w:w="1642" w:type="dxa"/>
            <w:shd w:val="clear" w:color="auto" w:fill="BFBFBF" w:themeFill="background1" w:themeFillShade="BF"/>
          </w:tcPr>
          <w:p w14:paraId="25D72A4F" w14:textId="77777777" w:rsidR="00A83AC3" w:rsidRPr="00A35800" w:rsidDel="00EE2BBB" w:rsidRDefault="00A83AC3" w:rsidP="00F52E67">
            <w:pPr>
              <w:pStyle w:val="Tableheading"/>
              <w:rPr>
                <w:sz w:val="20"/>
                <w:szCs w:val="20"/>
              </w:rPr>
            </w:pPr>
            <w:r w:rsidRPr="00A35800" w:rsidDel="00EE2BBB">
              <w:rPr>
                <w:sz w:val="20"/>
                <w:szCs w:val="20"/>
              </w:rPr>
              <w:t>Brand name and manufacturer</w:t>
            </w:r>
          </w:p>
        </w:tc>
      </w:tr>
      <w:tr w:rsidR="00D21611" w:rsidRPr="00A35800" w:rsidDel="00EE2BBB" w14:paraId="436FA9EF" w14:textId="77777777" w:rsidTr="00A91A00">
        <w:trPr>
          <w:trHeight w:val="202"/>
          <w:tblHeader/>
        </w:trPr>
        <w:tc>
          <w:tcPr>
            <w:tcW w:w="994" w:type="dxa"/>
            <w:shd w:val="clear" w:color="auto" w:fill="auto"/>
          </w:tcPr>
          <w:p w14:paraId="7FFB0E88" w14:textId="51D49A63" w:rsidR="00D21611" w:rsidRPr="00A35800" w:rsidDel="00EE2BBB" w:rsidRDefault="00D21611">
            <w:pPr>
              <w:pStyle w:val="Tablewriting"/>
            </w:pPr>
            <w:r w:rsidRPr="00FB0220">
              <w:t>11929W</w:t>
            </w:r>
          </w:p>
        </w:tc>
        <w:tc>
          <w:tcPr>
            <w:tcW w:w="2970" w:type="dxa"/>
            <w:shd w:val="clear" w:color="auto" w:fill="auto"/>
          </w:tcPr>
          <w:p w14:paraId="5D696447" w14:textId="6823B144" w:rsidR="00D21611" w:rsidRPr="00A35800" w:rsidDel="00EE2BBB" w:rsidRDefault="00D21611" w:rsidP="00937147">
            <w:pPr>
              <w:pStyle w:val="Tablewriting"/>
            </w:pPr>
            <w:r>
              <w:t>atezolizumab 1.2 g/20 mL injection, 20 mL vial</w:t>
            </w:r>
          </w:p>
        </w:tc>
        <w:tc>
          <w:tcPr>
            <w:tcW w:w="1276" w:type="dxa"/>
            <w:shd w:val="clear" w:color="auto" w:fill="auto"/>
          </w:tcPr>
          <w:p w14:paraId="2F38CEC9" w14:textId="269AB979" w:rsidR="00D21611" w:rsidRPr="00A35800" w:rsidDel="00EE2BBB" w:rsidRDefault="00D21611" w:rsidP="00F52E67">
            <w:pPr>
              <w:pStyle w:val="Tablewriting"/>
            </w:pPr>
            <w:r>
              <w:t>1200</w:t>
            </w:r>
            <w:r w:rsidR="007C096E">
              <w:t xml:space="preserve"> </w:t>
            </w:r>
            <w:r>
              <w:t>mg</w:t>
            </w:r>
          </w:p>
        </w:tc>
        <w:tc>
          <w:tcPr>
            <w:tcW w:w="719" w:type="dxa"/>
            <w:shd w:val="clear" w:color="auto" w:fill="auto"/>
          </w:tcPr>
          <w:p w14:paraId="3161CA70" w14:textId="1957FFA6" w:rsidR="00D21611" w:rsidRPr="00A35800" w:rsidDel="00EE2BBB" w:rsidRDefault="00D21611" w:rsidP="00F7252A">
            <w:pPr>
              <w:pStyle w:val="Tablewriting"/>
            </w:pPr>
            <w:r>
              <w:t>4</w:t>
            </w:r>
          </w:p>
        </w:tc>
        <w:tc>
          <w:tcPr>
            <w:tcW w:w="1183" w:type="dxa"/>
            <w:shd w:val="clear" w:color="auto" w:fill="auto"/>
          </w:tcPr>
          <w:p w14:paraId="0FA0073A" w14:textId="0123E148" w:rsidR="00D21611" w:rsidRPr="00A35800" w:rsidDel="00EE2BBB" w:rsidRDefault="00D21611" w:rsidP="00F52E67">
            <w:pPr>
              <w:pStyle w:val="Tablewriting"/>
            </w:pPr>
            <w:r w:rsidRPr="00937147">
              <w:t>$7189.56</w:t>
            </w:r>
          </w:p>
        </w:tc>
        <w:tc>
          <w:tcPr>
            <w:tcW w:w="1642" w:type="dxa"/>
            <w:vMerge w:val="restart"/>
            <w:shd w:val="clear" w:color="auto" w:fill="auto"/>
          </w:tcPr>
          <w:p w14:paraId="04FC90AC" w14:textId="579B21A1" w:rsidR="00A91A00" w:rsidRDefault="00A91A00" w:rsidP="00F52E67">
            <w:pPr>
              <w:pStyle w:val="Tablewriting"/>
            </w:pPr>
            <w:r>
              <w:t>Tecentriq®</w:t>
            </w:r>
          </w:p>
          <w:p w14:paraId="0941FC10" w14:textId="2643756D" w:rsidR="00D21611" w:rsidRPr="00A35800" w:rsidDel="00EE2BBB" w:rsidRDefault="00D21611" w:rsidP="00F52E67">
            <w:pPr>
              <w:pStyle w:val="Tablewriting"/>
            </w:pPr>
            <w:r w:rsidRPr="00937147">
              <w:t>Roche Products Pty Ltd</w:t>
            </w:r>
          </w:p>
        </w:tc>
      </w:tr>
      <w:tr w:rsidR="00D21611" w:rsidRPr="00A35800" w:rsidDel="00EE2BBB" w14:paraId="63E3C8BF" w14:textId="77777777" w:rsidTr="00A91A00">
        <w:trPr>
          <w:trHeight w:val="512"/>
          <w:tblHeader/>
        </w:trPr>
        <w:tc>
          <w:tcPr>
            <w:tcW w:w="994" w:type="dxa"/>
            <w:shd w:val="clear" w:color="auto" w:fill="auto"/>
          </w:tcPr>
          <w:p w14:paraId="3CD1DE24" w14:textId="77777777" w:rsidR="00D21611" w:rsidRDefault="00D21611" w:rsidP="007653CC">
            <w:pPr>
              <w:pStyle w:val="Tablewriting"/>
            </w:pPr>
            <w:r w:rsidRPr="00FB0220">
              <w:t>11928T</w:t>
            </w:r>
          </w:p>
          <w:p w14:paraId="5DF4AF4C" w14:textId="213F0884" w:rsidR="00D21611" w:rsidRPr="00A35800" w:rsidDel="00EE2BBB" w:rsidRDefault="00D21611" w:rsidP="007653CC">
            <w:pPr>
              <w:pStyle w:val="Tablewriting"/>
            </w:pPr>
          </w:p>
        </w:tc>
        <w:tc>
          <w:tcPr>
            <w:tcW w:w="2970" w:type="dxa"/>
            <w:shd w:val="clear" w:color="auto" w:fill="auto"/>
          </w:tcPr>
          <w:p w14:paraId="0EF5E92E" w14:textId="0DB19E83" w:rsidR="00D21611" w:rsidRPr="00A35800" w:rsidDel="00EE2BBB" w:rsidRDefault="00D21611" w:rsidP="00937147">
            <w:pPr>
              <w:pStyle w:val="Tablewriting"/>
            </w:pPr>
            <w:r>
              <w:t>atezolizumab 1.2 g/20 mL injection, 20 mL vial</w:t>
            </w:r>
          </w:p>
        </w:tc>
        <w:tc>
          <w:tcPr>
            <w:tcW w:w="1276" w:type="dxa"/>
            <w:shd w:val="clear" w:color="auto" w:fill="auto"/>
          </w:tcPr>
          <w:p w14:paraId="0AFF49C7" w14:textId="18CA0B2F" w:rsidR="00D21611" w:rsidRPr="00A35800" w:rsidDel="00EE2BBB" w:rsidRDefault="00D21611" w:rsidP="00F52E67">
            <w:pPr>
              <w:pStyle w:val="Tablewriting"/>
            </w:pPr>
            <w:r>
              <w:t>1200</w:t>
            </w:r>
            <w:r w:rsidR="007C096E">
              <w:t xml:space="preserve"> </w:t>
            </w:r>
            <w:r>
              <w:t>mg</w:t>
            </w:r>
          </w:p>
        </w:tc>
        <w:tc>
          <w:tcPr>
            <w:tcW w:w="719" w:type="dxa"/>
            <w:shd w:val="clear" w:color="auto" w:fill="auto"/>
          </w:tcPr>
          <w:p w14:paraId="1BA16DA7" w14:textId="77777777" w:rsidR="00D21611" w:rsidRDefault="00D21611" w:rsidP="00F7252A">
            <w:pPr>
              <w:pStyle w:val="Tablewriting"/>
            </w:pPr>
            <w:r>
              <w:t>4</w:t>
            </w:r>
          </w:p>
          <w:p w14:paraId="7EBE1661" w14:textId="1880A2A0" w:rsidR="00D21611" w:rsidRPr="00A35800" w:rsidDel="00EE2BBB" w:rsidRDefault="00D21611">
            <w:pPr>
              <w:pStyle w:val="Tablewriting"/>
            </w:pPr>
          </w:p>
        </w:tc>
        <w:tc>
          <w:tcPr>
            <w:tcW w:w="1183" w:type="dxa"/>
            <w:shd w:val="clear" w:color="auto" w:fill="auto"/>
          </w:tcPr>
          <w:p w14:paraId="5D6D8531" w14:textId="18B56CA0" w:rsidR="00D21611" w:rsidRPr="00A35800" w:rsidDel="00EE2BBB" w:rsidRDefault="00D21611" w:rsidP="00F52E67">
            <w:pPr>
              <w:pStyle w:val="Tablewriting"/>
            </w:pPr>
            <w:r w:rsidRPr="00937147">
              <w:t>$7330.62</w:t>
            </w:r>
          </w:p>
        </w:tc>
        <w:tc>
          <w:tcPr>
            <w:tcW w:w="1642" w:type="dxa"/>
            <w:vMerge/>
            <w:shd w:val="clear" w:color="auto" w:fill="auto"/>
          </w:tcPr>
          <w:p w14:paraId="4D9B8FAD" w14:textId="77777777" w:rsidR="00D21611" w:rsidRPr="00A35800" w:rsidDel="00EE2BBB" w:rsidRDefault="00D21611" w:rsidP="00F52E67">
            <w:pPr>
              <w:pStyle w:val="Tablewriting"/>
            </w:pPr>
          </w:p>
        </w:tc>
      </w:tr>
      <w:tr w:rsidR="00D21611" w:rsidRPr="00A35800" w:rsidDel="00EE2BBB" w14:paraId="7DFFAA13" w14:textId="77777777" w:rsidTr="00A91A00">
        <w:trPr>
          <w:trHeight w:val="512"/>
          <w:tblHeader/>
        </w:trPr>
        <w:tc>
          <w:tcPr>
            <w:tcW w:w="994" w:type="dxa"/>
            <w:shd w:val="clear" w:color="auto" w:fill="auto"/>
          </w:tcPr>
          <w:p w14:paraId="4186DAC3" w14:textId="77777777" w:rsidR="00D21611" w:rsidRDefault="00D21611" w:rsidP="00D21611">
            <w:pPr>
              <w:pStyle w:val="Tablewriting"/>
            </w:pPr>
            <w:r w:rsidRPr="00E61096">
              <w:t>12078Q</w:t>
            </w:r>
          </w:p>
          <w:p w14:paraId="565E3A92" w14:textId="70A7EB23" w:rsidR="00D21611" w:rsidRPr="00EC7DD9" w:rsidRDefault="00D21611" w:rsidP="00D21611">
            <w:pPr>
              <w:pStyle w:val="Tablewriting"/>
            </w:pPr>
          </w:p>
        </w:tc>
        <w:tc>
          <w:tcPr>
            <w:tcW w:w="2970" w:type="dxa"/>
            <w:shd w:val="clear" w:color="auto" w:fill="auto"/>
          </w:tcPr>
          <w:p w14:paraId="77F9DBA3" w14:textId="07AC7FA9" w:rsidR="00D21611" w:rsidRDefault="00D21611" w:rsidP="00D21611">
            <w:pPr>
              <w:pStyle w:val="Tablewriting"/>
            </w:pPr>
            <w:r>
              <w:t>atezolizumab 840 mg/14 mL injection, 14 mL vial</w:t>
            </w:r>
          </w:p>
        </w:tc>
        <w:tc>
          <w:tcPr>
            <w:tcW w:w="1276" w:type="dxa"/>
            <w:shd w:val="clear" w:color="auto" w:fill="auto"/>
          </w:tcPr>
          <w:p w14:paraId="476BEBEF" w14:textId="38BBD3EF" w:rsidR="00D21611" w:rsidRDefault="00D21611" w:rsidP="00D21611">
            <w:pPr>
              <w:pStyle w:val="Tablewriting"/>
            </w:pPr>
            <w:r>
              <w:t>1680</w:t>
            </w:r>
            <w:r w:rsidR="007C096E">
              <w:t xml:space="preserve">  </w:t>
            </w:r>
            <w:r>
              <w:t>mg</w:t>
            </w:r>
          </w:p>
        </w:tc>
        <w:tc>
          <w:tcPr>
            <w:tcW w:w="719" w:type="dxa"/>
            <w:shd w:val="clear" w:color="auto" w:fill="auto"/>
          </w:tcPr>
          <w:p w14:paraId="5015FF66" w14:textId="77777777" w:rsidR="00D21611" w:rsidRDefault="00D21611" w:rsidP="00CA36DC">
            <w:pPr>
              <w:pStyle w:val="Tablewriting"/>
            </w:pPr>
            <w:r>
              <w:t>3</w:t>
            </w:r>
          </w:p>
          <w:p w14:paraId="12470313" w14:textId="59912C63" w:rsidR="00D21611" w:rsidRDefault="00D21611" w:rsidP="00F7252A">
            <w:pPr>
              <w:pStyle w:val="Tablewriting"/>
            </w:pPr>
          </w:p>
        </w:tc>
        <w:tc>
          <w:tcPr>
            <w:tcW w:w="1183" w:type="dxa"/>
            <w:shd w:val="clear" w:color="auto" w:fill="auto"/>
          </w:tcPr>
          <w:p w14:paraId="494D9BCF" w14:textId="5B3963D6" w:rsidR="00D21611" w:rsidRPr="00EC7DD9" w:rsidRDefault="00D21611" w:rsidP="00D21611">
            <w:pPr>
              <w:pStyle w:val="Tablewriting"/>
            </w:pPr>
            <w:r w:rsidRPr="00111605">
              <w:t>$10030.55</w:t>
            </w:r>
          </w:p>
        </w:tc>
        <w:tc>
          <w:tcPr>
            <w:tcW w:w="1642" w:type="dxa"/>
            <w:vMerge/>
            <w:shd w:val="clear" w:color="auto" w:fill="auto"/>
          </w:tcPr>
          <w:p w14:paraId="415F3EF9" w14:textId="77777777" w:rsidR="00D21611" w:rsidRPr="00A35800" w:rsidDel="00EE2BBB" w:rsidRDefault="00D21611" w:rsidP="00D21611">
            <w:pPr>
              <w:pStyle w:val="Tablewriting"/>
            </w:pPr>
          </w:p>
        </w:tc>
      </w:tr>
      <w:tr w:rsidR="00D21611" w:rsidRPr="00A35800" w:rsidDel="00EE2BBB" w14:paraId="652A2BF4" w14:textId="77777777" w:rsidTr="00A91A00">
        <w:trPr>
          <w:trHeight w:val="300"/>
          <w:tblHeader/>
        </w:trPr>
        <w:tc>
          <w:tcPr>
            <w:tcW w:w="994" w:type="dxa"/>
            <w:shd w:val="clear" w:color="auto" w:fill="auto"/>
          </w:tcPr>
          <w:p w14:paraId="2D9E918C" w14:textId="77777777" w:rsidR="00D21611" w:rsidRDefault="00D21611" w:rsidP="00D21611">
            <w:pPr>
              <w:pStyle w:val="Tablewriting"/>
            </w:pPr>
            <w:r w:rsidRPr="00E61096">
              <w:t>12076N</w:t>
            </w:r>
          </w:p>
          <w:p w14:paraId="5D5C1686" w14:textId="41F30263" w:rsidR="00D21611" w:rsidRPr="00EC7DD9" w:rsidRDefault="00D21611" w:rsidP="00D21611">
            <w:pPr>
              <w:pStyle w:val="Tablewriting"/>
            </w:pPr>
          </w:p>
        </w:tc>
        <w:tc>
          <w:tcPr>
            <w:tcW w:w="2970" w:type="dxa"/>
            <w:shd w:val="clear" w:color="auto" w:fill="auto"/>
          </w:tcPr>
          <w:p w14:paraId="30D8FBE1" w14:textId="3E431F9D" w:rsidR="00D21611" w:rsidRDefault="00D21611" w:rsidP="00D21611">
            <w:pPr>
              <w:pStyle w:val="Tablewriting"/>
            </w:pPr>
            <w:r>
              <w:t>atezolizumab 840 mg/14 mL injection, 14 mL vial</w:t>
            </w:r>
          </w:p>
        </w:tc>
        <w:tc>
          <w:tcPr>
            <w:tcW w:w="1276" w:type="dxa"/>
            <w:shd w:val="clear" w:color="auto" w:fill="auto"/>
          </w:tcPr>
          <w:p w14:paraId="0F43C17B" w14:textId="5721E602" w:rsidR="00D21611" w:rsidRDefault="00D21611" w:rsidP="00D21611">
            <w:pPr>
              <w:pStyle w:val="Tablewriting"/>
            </w:pPr>
            <w:r>
              <w:t>1680</w:t>
            </w:r>
            <w:r w:rsidR="007C096E">
              <w:t xml:space="preserve">  </w:t>
            </w:r>
            <w:r>
              <w:t>mg</w:t>
            </w:r>
          </w:p>
        </w:tc>
        <w:tc>
          <w:tcPr>
            <w:tcW w:w="719" w:type="dxa"/>
            <w:shd w:val="clear" w:color="auto" w:fill="auto"/>
          </w:tcPr>
          <w:p w14:paraId="6358D4CC" w14:textId="77777777" w:rsidR="00D21611" w:rsidRDefault="00D21611" w:rsidP="00CA36DC">
            <w:pPr>
              <w:pStyle w:val="Tablewriting"/>
            </w:pPr>
            <w:r>
              <w:t>3</w:t>
            </w:r>
          </w:p>
          <w:p w14:paraId="35623DE3" w14:textId="0A9CB62D" w:rsidR="00D21611" w:rsidRDefault="00D21611" w:rsidP="00F7252A">
            <w:pPr>
              <w:pStyle w:val="Tablewriting"/>
            </w:pPr>
          </w:p>
        </w:tc>
        <w:tc>
          <w:tcPr>
            <w:tcW w:w="1183" w:type="dxa"/>
            <w:shd w:val="clear" w:color="auto" w:fill="auto"/>
          </w:tcPr>
          <w:p w14:paraId="14ECFBC5" w14:textId="6959BE57" w:rsidR="00D21611" w:rsidRPr="00EC7DD9" w:rsidRDefault="00D21611" w:rsidP="00D21611">
            <w:pPr>
              <w:pStyle w:val="Tablewriting"/>
            </w:pPr>
            <w:r w:rsidRPr="00E61096">
              <w:t>$10211.38</w:t>
            </w:r>
            <w:r w:rsidRPr="00E61096">
              <w:tab/>
            </w:r>
          </w:p>
        </w:tc>
        <w:tc>
          <w:tcPr>
            <w:tcW w:w="1642" w:type="dxa"/>
            <w:vMerge/>
            <w:shd w:val="clear" w:color="auto" w:fill="auto"/>
          </w:tcPr>
          <w:p w14:paraId="628360EC" w14:textId="77777777" w:rsidR="00D21611" w:rsidRPr="00A35800" w:rsidDel="00EE2BBB" w:rsidRDefault="00D21611" w:rsidP="00D21611">
            <w:pPr>
              <w:pStyle w:val="Tablewriting"/>
            </w:pPr>
          </w:p>
        </w:tc>
      </w:tr>
    </w:tbl>
    <w:bookmarkEnd w:id="3"/>
    <w:p w14:paraId="0F9C2638" w14:textId="3EDF3D36" w:rsidR="00D21611" w:rsidRDefault="00A83AC3" w:rsidP="003054EF">
      <w:pPr>
        <w:pStyle w:val="Notes"/>
      </w:pPr>
      <w:r w:rsidRPr="00A35800" w:rsidDel="00EE2BBB">
        <w:t xml:space="preserve">Source: </w:t>
      </w:r>
      <w:r w:rsidDel="00EE2BBB">
        <w:t xml:space="preserve">the </w:t>
      </w:r>
      <w:hyperlink r:id="rId11" w:history="1">
        <w:r w:rsidRPr="004A33AB" w:rsidDel="00EE2BBB">
          <w:rPr>
            <w:rStyle w:val="Hyperlink"/>
          </w:rPr>
          <w:t>PBS website</w:t>
        </w:r>
      </w:hyperlink>
      <w:r w:rsidRPr="004A33AB" w:rsidDel="00EE2BBB">
        <w:t xml:space="preserve">.  </w:t>
      </w:r>
      <w:r w:rsidR="007C096E">
        <w:t xml:space="preserve">Note: </w:t>
      </w:r>
      <w:r w:rsidRPr="004A33AB" w:rsidDel="00EE2BBB">
        <w:t>Special</w:t>
      </w:r>
      <w:r w:rsidRPr="0080485E" w:rsidDel="00EE2BBB">
        <w:t xml:space="preserve"> Pricing Arrangemen</w:t>
      </w:r>
      <w:r>
        <w:t>ts apply</w:t>
      </w:r>
      <w:r w:rsidRPr="0080485E" w:rsidDel="00EE2BBB">
        <w:t>.</w:t>
      </w:r>
    </w:p>
    <w:p w14:paraId="2C61A262" w14:textId="173CB944" w:rsidR="00A83AC3" w:rsidDel="00EE2BBB" w:rsidRDefault="00A83AC3" w:rsidP="00A83AC3">
      <w:pPr>
        <w:pStyle w:val="Heading3"/>
      </w:pPr>
      <w:r w:rsidDel="00EE2BBB">
        <w:t>Restriction</w:t>
      </w:r>
    </w:p>
    <w:p w14:paraId="5D0DF4B2" w14:textId="77777777" w:rsidR="005109E1" w:rsidRDefault="005109E1" w:rsidP="005109E1">
      <w:r w:rsidRPr="00AB397B">
        <w:rPr>
          <w:b/>
          <w:bCs/>
        </w:rPr>
        <w:t>Treatment Phase:</w:t>
      </w:r>
      <w:r>
        <w:t xml:space="preserve"> Initial treatment</w:t>
      </w:r>
    </w:p>
    <w:p w14:paraId="7B7138E3" w14:textId="77777777" w:rsidR="005109E1" w:rsidRPr="00AB397B" w:rsidRDefault="005109E1" w:rsidP="005109E1">
      <w:pPr>
        <w:rPr>
          <w:b/>
          <w:bCs/>
        </w:rPr>
      </w:pPr>
      <w:r w:rsidRPr="00AB397B">
        <w:rPr>
          <w:b/>
          <w:bCs/>
        </w:rPr>
        <w:t>Clinical criteria:</w:t>
      </w:r>
    </w:p>
    <w:p w14:paraId="41A04FB4" w14:textId="77777777" w:rsidR="005109E1" w:rsidRDefault="005109E1" w:rsidP="00AB397B">
      <w:pPr>
        <w:pStyle w:val="ListParagraph"/>
        <w:numPr>
          <w:ilvl w:val="0"/>
          <w:numId w:val="38"/>
        </w:numPr>
      </w:pPr>
      <w:r>
        <w:t>The condition must be previously untreated,</w:t>
      </w:r>
    </w:p>
    <w:p w14:paraId="3E1E9451" w14:textId="77777777" w:rsidR="005109E1" w:rsidRDefault="005109E1" w:rsidP="005109E1">
      <w:r>
        <w:t>AND</w:t>
      </w:r>
    </w:p>
    <w:p w14:paraId="362CBECB" w14:textId="77777777" w:rsidR="005109E1" w:rsidRDefault="005109E1" w:rsidP="00AB397B">
      <w:pPr>
        <w:pStyle w:val="ListParagraph"/>
        <w:numPr>
          <w:ilvl w:val="0"/>
          <w:numId w:val="38"/>
        </w:numPr>
      </w:pPr>
      <w:r>
        <w:t>Patient must have a WHO performance status of 0 or 1,</w:t>
      </w:r>
    </w:p>
    <w:p w14:paraId="6DA043A4" w14:textId="77777777" w:rsidR="005109E1" w:rsidRDefault="005109E1" w:rsidP="005109E1">
      <w:r>
        <w:t>AND</w:t>
      </w:r>
    </w:p>
    <w:p w14:paraId="384FD8E0" w14:textId="3CC6DBA6" w:rsidR="005109E1" w:rsidRDefault="005109E1" w:rsidP="00AB397B">
      <w:pPr>
        <w:pStyle w:val="ListParagraph"/>
        <w:numPr>
          <w:ilvl w:val="0"/>
          <w:numId w:val="38"/>
        </w:numPr>
      </w:pPr>
      <w:r>
        <w:t>The treatment must be in combination with etoposide and a platinum-based antineoplastic drug.</w:t>
      </w:r>
    </w:p>
    <w:p w14:paraId="33E53597" w14:textId="77777777" w:rsidR="00AB397B" w:rsidRDefault="00AB397B" w:rsidP="00AB397B">
      <w:pPr>
        <w:pStyle w:val="ListParagraph"/>
      </w:pPr>
    </w:p>
    <w:p w14:paraId="431F0876" w14:textId="77777777" w:rsidR="005109E1" w:rsidRPr="005109E1" w:rsidRDefault="005109E1" w:rsidP="005109E1">
      <w:r w:rsidRPr="00AB397B">
        <w:rPr>
          <w:b/>
          <w:bCs/>
        </w:rPr>
        <w:t>Treatment Phase:</w:t>
      </w:r>
      <w:r w:rsidRPr="005109E1">
        <w:t xml:space="preserve"> Continuing treatment - 3 weekly treatment regimen</w:t>
      </w:r>
    </w:p>
    <w:p w14:paraId="1894767A" w14:textId="77777777" w:rsidR="005109E1" w:rsidRPr="005109E1" w:rsidRDefault="005109E1" w:rsidP="005109E1">
      <w:r w:rsidRPr="005109E1">
        <w:rPr>
          <w:b/>
          <w:bCs/>
        </w:rPr>
        <w:t>Clinical criteria:</w:t>
      </w:r>
    </w:p>
    <w:p w14:paraId="1291F779" w14:textId="77777777" w:rsidR="005109E1" w:rsidRPr="005109E1" w:rsidRDefault="005109E1" w:rsidP="005109E1">
      <w:pPr>
        <w:numPr>
          <w:ilvl w:val="0"/>
          <w:numId w:val="28"/>
        </w:numPr>
      </w:pPr>
      <w:r w:rsidRPr="005109E1">
        <w:t>The treatment must be as monotherapy,</w:t>
      </w:r>
    </w:p>
    <w:p w14:paraId="04CF8592" w14:textId="77777777" w:rsidR="005109E1" w:rsidRPr="001F3383" w:rsidRDefault="005109E1" w:rsidP="005109E1">
      <w:r w:rsidRPr="001F3383">
        <w:t>AND</w:t>
      </w:r>
    </w:p>
    <w:p w14:paraId="2843F6C0" w14:textId="77777777" w:rsidR="005109E1" w:rsidRPr="001F3383" w:rsidRDefault="005109E1" w:rsidP="005109E1">
      <w:pPr>
        <w:numPr>
          <w:ilvl w:val="0"/>
          <w:numId w:val="29"/>
        </w:numPr>
      </w:pPr>
      <w:r w:rsidRPr="001F3383">
        <w:t>Patient must have previously received PBS-subsidised treatment with this drug for this condition,</w:t>
      </w:r>
    </w:p>
    <w:p w14:paraId="525DECE1" w14:textId="77777777" w:rsidR="005109E1" w:rsidRPr="001F3383" w:rsidRDefault="005109E1" w:rsidP="005109E1">
      <w:r w:rsidRPr="001F3383">
        <w:t>AND</w:t>
      </w:r>
    </w:p>
    <w:p w14:paraId="7855585D" w14:textId="77777777" w:rsidR="005109E1" w:rsidRPr="005109E1" w:rsidRDefault="005109E1" w:rsidP="005109E1">
      <w:pPr>
        <w:numPr>
          <w:ilvl w:val="0"/>
          <w:numId w:val="30"/>
        </w:numPr>
      </w:pPr>
      <w:r w:rsidRPr="005109E1">
        <w:t>Patient must not have developed disease progression while being treated with this drug for this condition.</w:t>
      </w:r>
    </w:p>
    <w:p w14:paraId="0E81B74F" w14:textId="77777777" w:rsidR="005109E1" w:rsidRPr="005109E1" w:rsidRDefault="005109E1" w:rsidP="005109E1">
      <w:r w:rsidRPr="00AB397B">
        <w:rPr>
          <w:b/>
          <w:bCs/>
        </w:rPr>
        <w:lastRenderedPageBreak/>
        <w:t>Treatment Phase:</w:t>
      </w:r>
      <w:r w:rsidRPr="005109E1">
        <w:t xml:space="preserve"> Continuing treatment - 4 weekly treatment regimen</w:t>
      </w:r>
    </w:p>
    <w:p w14:paraId="2162028E" w14:textId="77777777" w:rsidR="005109E1" w:rsidRPr="005109E1" w:rsidRDefault="005109E1" w:rsidP="005109E1">
      <w:r w:rsidRPr="005109E1">
        <w:rPr>
          <w:b/>
          <w:bCs/>
        </w:rPr>
        <w:t>Clinical criteria:</w:t>
      </w:r>
    </w:p>
    <w:p w14:paraId="4808C58C" w14:textId="77777777" w:rsidR="005109E1" w:rsidRPr="005109E1" w:rsidRDefault="005109E1" w:rsidP="005109E1">
      <w:pPr>
        <w:numPr>
          <w:ilvl w:val="0"/>
          <w:numId w:val="31"/>
        </w:numPr>
      </w:pPr>
      <w:r w:rsidRPr="005109E1">
        <w:t>The treatment must be as monotherapy,</w:t>
      </w:r>
    </w:p>
    <w:p w14:paraId="138F5C09" w14:textId="77777777" w:rsidR="005109E1" w:rsidRPr="001F3383" w:rsidRDefault="005109E1" w:rsidP="005109E1">
      <w:r w:rsidRPr="001F3383">
        <w:t>AND</w:t>
      </w:r>
    </w:p>
    <w:p w14:paraId="7DCA8661" w14:textId="77777777" w:rsidR="005109E1" w:rsidRPr="001F3383" w:rsidRDefault="005109E1" w:rsidP="005109E1">
      <w:pPr>
        <w:numPr>
          <w:ilvl w:val="0"/>
          <w:numId w:val="32"/>
        </w:numPr>
      </w:pPr>
      <w:r w:rsidRPr="001F3383">
        <w:t>Patient must have previously received PBS-subsidised treatment with this drug for this condition,</w:t>
      </w:r>
    </w:p>
    <w:p w14:paraId="5D923185" w14:textId="77777777" w:rsidR="005109E1" w:rsidRPr="001F3383" w:rsidRDefault="005109E1" w:rsidP="005109E1">
      <w:r w:rsidRPr="001F3383">
        <w:t>AND</w:t>
      </w:r>
    </w:p>
    <w:p w14:paraId="0650E467" w14:textId="5F644D89" w:rsidR="00956750" w:rsidRDefault="005109E1" w:rsidP="00A83AC3">
      <w:r w:rsidRPr="005109E1">
        <w:t>Patient must not have developed disease progression while being treated with this drug for this condition.</w:t>
      </w:r>
    </w:p>
    <w:p w14:paraId="60F6B757" w14:textId="4DA3B9F4" w:rsidR="00A83AC3" w:rsidRPr="006775F1" w:rsidDel="00EE2BBB" w:rsidRDefault="00A83AC3" w:rsidP="00A83AC3">
      <w:r w:rsidRPr="006775F1" w:rsidDel="00EE2BBB">
        <w:t xml:space="preserve">For </w:t>
      </w:r>
      <w:r w:rsidDel="00EE2BBB">
        <w:t xml:space="preserve">details of the current PBS listing </w:t>
      </w:r>
      <w:r>
        <w:t xml:space="preserve">and related notes, </w:t>
      </w:r>
      <w:r w:rsidDel="00EE2BBB">
        <w:t xml:space="preserve">refer to the </w:t>
      </w:r>
      <w:hyperlink r:id="rId12" w:history="1">
        <w:r w:rsidRPr="00D95159" w:rsidDel="00EE2BBB">
          <w:rPr>
            <w:rStyle w:val="Hyperlink"/>
          </w:rPr>
          <w:t>PBS website</w:t>
        </w:r>
      </w:hyperlink>
      <w:r w:rsidRPr="00D95159" w:rsidDel="00EE2BBB">
        <w:rPr>
          <w:rStyle w:val="Hyperlink"/>
        </w:rPr>
        <w:t>.</w:t>
      </w:r>
    </w:p>
    <w:p w14:paraId="509ADFEB" w14:textId="201634E9" w:rsidR="009C35F2" w:rsidRDefault="009C35F2" w:rsidP="00CF5E22">
      <w:pPr>
        <w:pStyle w:val="Heading3"/>
      </w:pPr>
      <w:r w:rsidRPr="00675BB1" w:rsidDel="00EE2BBB">
        <w:t>Date of listing on PBS</w:t>
      </w:r>
    </w:p>
    <w:p w14:paraId="09A25973" w14:textId="3471C395" w:rsidR="007300E4" w:rsidRDefault="001D6CE6" w:rsidP="007C096E">
      <w:r w:rsidRPr="007C096E">
        <w:t>Atezolizumab</w:t>
      </w:r>
      <w:r w:rsidR="00A83AC3" w:rsidRPr="007C096E">
        <w:t xml:space="preserve"> was first listed</w:t>
      </w:r>
      <w:r w:rsidR="00AF6D59" w:rsidRPr="007C096E">
        <w:t xml:space="preserve"> for previously untreated ES-SCLC</w:t>
      </w:r>
      <w:r w:rsidR="00A83AC3" w:rsidRPr="007C096E">
        <w:t xml:space="preserve"> on </w:t>
      </w:r>
      <w:r w:rsidR="00C67BD8" w:rsidRPr="007C096E">
        <w:t xml:space="preserve">1 March 2020. </w:t>
      </w:r>
      <w:bookmarkStart w:id="4" w:name="_Hlk111555921"/>
    </w:p>
    <w:p w14:paraId="0B68F23D" w14:textId="2EC7BAF0" w:rsidR="00AB397B" w:rsidRPr="007C096E" w:rsidRDefault="00AB397B" w:rsidP="00AB397B">
      <w:pPr>
        <w:pStyle w:val="Heading3"/>
      </w:pPr>
      <w:r w:rsidRPr="00675BB1" w:rsidDel="00EE2BBB">
        <w:t>Changes to listing</w:t>
      </w:r>
    </w:p>
    <w:p w14:paraId="399A636A" w14:textId="271D07F8" w:rsidR="007300E4" w:rsidRPr="007C096E" w:rsidRDefault="007300E4" w:rsidP="007C096E">
      <w:r w:rsidRPr="007C096E">
        <w:t>On 1 July 2020 the listing was extended to include an additional flat dosing regimen of 1680 mg every four weeks (Q4W) using a new 840mg in 14mL formulation.</w:t>
      </w:r>
    </w:p>
    <w:p w14:paraId="63888832" w14:textId="6BB329BD" w:rsidR="00A83AC3" w:rsidRPr="007C096E" w:rsidRDefault="00C67BD8" w:rsidP="007C096E">
      <w:r w:rsidRPr="007C096E">
        <w:t xml:space="preserve">Atezolizumab has been </w:t>
      </w:r>
      <w:r w:rsidR="00F44051" w:rsidRPr="007C096E">
        <w:t xml:space="preserve">listed </w:t>
      </w:r>
      <w:r w:rsidRPr="007C096E">
        <w:t xml:space="preserve">on the PBS </w:t>
      </w:r>
      <w:r w:rsidR="00AF6D59" w:rsidRPr="007C096E">
        <w:t>for other indications since</w:t>
      </w:r>
      <w:r w:rsidRPr="007C096E">
        <w:t xml:space="preserve"> 1 June 2018</w:t>
      </w:r>
      <w:r w:rsidR="00F44051" w:rsidRPr="007C096E">
        <w:t xml:space="preserve">, including locally advanced or metastatic non-small cell lung cancer and hepatocellular carcinoma. </w:t>
      </w:r>
    </w:p>
    <w:bookmarkEnd w:id="4"/>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77FD9963" w14:textId="65D4CFEE" w:rsidR="00A83AC3" w:rsidRDefault="00A83AC3" w:rsidP="00A83AC3">
      <w:pPr>
        <w:rPr>
          <w:b/>
          <w:bCs/>
        </w:rPr>
      </w:pPr>
      <w:r w:rsidRPr="00511C7D">
        <w:rPr>
          <w:b/>
          <w:bCs/>
        </w:rPr>
        <w:t xml:space="preserve">PBAC </w:t>
      </w:r>
      <w:r w:rsidR="003F0391" w:rsidRPr="003F0391">
        <w:rPr>
          <w:b/>
          <w:bCs/>
        </w:rPr>
        <w:t>July 2019</w:t>
      </w:r>
    </w:p>
    <w:p w14:paraId="77EE9633" w14:textId="2E5A17C3" w:rsidR="003F0391" w:rsidRDefault="003F0391" w:rsidP="00A83AC3">
      <w:r w:rsidRPr="003F0391">
        <w:t>The first submission</w:t>
      </w:r>
      <w:r w:rsidR="00AF6D59">
        <w:t xml:space="preserve"> was considered</w:t>
      </w:r>
      <w:r w:rsidRPr="003F0391">
        <w:t xml:space="preserve"> </w:t>
      </w:r>
      <w:r>
        <w:t>a</w:t>
      </w:r>
      <w:r w:rsidRPr="003F0391">
        <w:t>t the July 2019 meeting</w:t>
      </w:r>
      <w:r w:rsidR="00AF6D59">
        <w:t xml:space="preserve"> where</w:t>
      </w:r>
      <w:r w:rsidRPr="003F0391">
        <w:t xml:space="preserve"> the PBAC did not recommend the PBS listing of atezolizumab</w:t>
      </w:r>
      <w:r w:rsidR="003F7DFF" w:rsidRPr="003F7DFF">
        <w:rPr>
          <w:rFonts w:ascii="Calibri" w:eastAsia="Times New Roman" w:hAnsi="Calibri" w:cs="Arial"/>
          <w:snapToGrid w:val="0"/>
          <w:lang w:eastAsia="en-US"/>
        </w:rPr>
        <w:t xml:space="preserve"> </w:t>
      </w:r>
      <w:bookmarkStart w:id="5" w:name="_Hlk110850688"/>
      <w:r w:rsidR="006E3BF2">
        <w:rPr>
          <w:rFonts w:ascii="Calibri" w:eastAsia="Times New Roman" w:hAnsi="Calibri" w:cs="Arial"/>
          <w:snapToGrid w:val="0"/>
          <w:lang w:eastAsia="en-US"/>
        </w:rPr>
        <w:t xml:space="preserve">for </w:t>
      </w:r>
      <w:r w:rsidR="003F7DFF">
        <w:rPr>
          <w:rFonts w:ascii="Calibri" w:eastAsia="Times New Roman" w:hAnsi="Calibri" w:cs="Arial"/>
          <w:snapToGrid w:val="0"/>
          <w:lang w:eastAsia="en-US"/>
        </w:rPr>
        <w:t>p</w:t>
      </w:r>
      <w:r w:rsidR="003F7DFF" w:rsidRPr="003F7DFF">
        <w:rPr>
          <w:rFonts w:ascii="Calibri" w:eastAsia="Times New Roman" w:hAnsi="Calibri" w:cs="Arial"/>
          <w:snapToGrid w:val="0"/>
          <w:lang w:eastAsia="en-US"/>
        </w:rPr>
        <w:t xml:space="preserve">reviously untreated </w:t>
      </w:r>
      <w:r w:rsidR="00EB7E94" w:rsidRPr="00FA6BD4">
        <w:t>ES-SCLC</w:t>
      </w:r>
      <w:bookmarkEnd w:id="5"/>
      <w:r w:rsidR="00D67C85">
        <w:t>.</w:t>
      </w:r>
      <w:r w:rsidRPr="003F0391">
        <w:t xml:space="preserve"> The PBAC considered there was uncertainty in the magnitude and durability of the benefit in overall survival (OS) and the impact on patient quality of life was unclear. The PBAC also considered the incremental cost effectiveness ratio (ICER) in this setting was uncertain and unacceptably high at the proposed price</w:t>
      </w:r>
      <w:r w:rsidR="00D67C85">
        <w:t>.</w:t>
      </w:r>
      <w:r w:rsidRPr="003F0391">
        <w:t xml:space="preserve"> </w:t>
      </w:r>
    </w:p>
    <w:p w14:paraId="64AA3C10" w14:textId="4AD51931" w:rsidR="00774C11" w:rsidRPr="00464269" w:rsidRDefault="00774C11" w:rsidP="00774C11">
      <w:r>
        <w:t xml:space="preserve">In </w:t>
      </w:r>
      <w:r w:rsidR="00BC4112">
        <w:t>July 2019</w:t>
      </w:r>
      <w:r>
        <w:t xml:space="preserve">, the PBAC considered the changes to the financial estimates that were proposed by DUSC, and accepted by the pre-PBAC response, were reasonable including reducing the proportion of patients who progress from limited stage (LS)-SCLC to ES-SCLC and who </w:t>
      </w:r>
      <w:r w:rsidRPr="00FA6DFC">
        <w:rPr>
          <w:rFonts w:cstheme="minorHAnsi"/>
        </w:rPr>
        <w:t>have a</w:t>
      </w:r>
      <w:r w:rsidR="00142C00" w:rsidRPr="00FA6DFC">
        <w:rPr>
          <w:rFonts w:cstheme="minorHAnsi"/>
        </w:rPr>
        <w:t>n</w:t>
      </w:r>
      <w:r w:rsidRPr="00FA6DFC">
        <w:rPr>
          <w:rFonts w:cstheme="minorHAnsi"/>
        </w:rPr>
        <w:t xml:space="preserve"> </w:t>
      </w:r>
      <w:r w:rsidR="00E938E6" w:rsidRPr="00FA6DFC">
        <w:rPr>
          <w:rFonts w:cstheme="minorHAnsi"/>
          <w:shd w:val="clear" w:color="auto" w:fill="FFFFFF"/>
        </w:rPr>
        <w:t xml:space="preserve">Eastern Cooperative Oncology Group </w:t>
      </w:r>
      <w:r w:rsidR="00E938E6" w:rsidRPr="00FA6DFC">
        <w:rPr>
          <w:rFonts w:cstheme="minorHAnsi"/>
          <w:color w:val="71777D"/>
          <w:shd w:val="clear" w:color="auto" w:fill="FFFFFF"/>
        </w:rPr>
        <w:t>(</w:t>
      </w:r>
      <w:r w:rsidRPr="00FA6DFC">
        <w:rPr>
          <w:rFonts w:cstheme="minorHAnsi"/>
        </w:rPr>
        <w:t>ECOG</w:t>
      </w:r>
      <w:r w:rsidR="00E938E6" w:rsidRPr="00FA6DFC">
        <w:rPr>
          <w:rFonts w:cstheme="minorHAnsi"/>
        </w:rPr>
        <w:t>) performance</w:t>
      </w:r>
      <w:r w:rsidR="00E938E6">
        <w:t xml:space="preserve"> status of</w:t>
      </w:r>
      <w:r>
        <w:t xml:space="preserve"> 0-1 to 80%; and reducing the estimated uptake rate in incident and prevalent patients to 95% (due to contraindications). The total number of treated patients and scripts were unchanged from those estimated in the previous pre-PBAC response. The financial estimates were only updated for the lower effective price (and updates to dispensing fees).</w:t>
      </w:r>
    </w:p>
    <w:p w14:paraId="6E227F1C" w14:textId="3E1A01DD" w:rsidR="003F0391" w:rsidRPr="003054EF" w:rsidRDefault="00A83AC3" w:rsidP="00A83AC3">
      <w:r w:rsidRPr="00815379">
        <w:lastRenderedPageBreak/>
        <w:t xml:space="preserve">For further details </w:t>
      </w:r>
      <w:r w:rsidRPr="00E965A4">
        <w:t xml:space="preserve">refer to </w:t>
      </w:r>
      <w:r w:rsidRPr="00D9240D">
        <w:t xml:space="preserve">the </w:t>
      </w:r>
      <w:hyperlink r:id="rId13" w:history="1">
        <w:r w:rsidRPr="00E965A4">
          <w:rPr>
            <w:rStyle w:val="Hyperlink"/>
          </w:rPr>
          <w:t>Public Summary Document</w:t>
        </w:r>
      </w:hyperlink>
      <w:r w:rsidRPr="00815379">
        <w:t xml:space="preserve"> from the </w:t>
      </w:r>
      <w:r>
        <w:t xml:space="preserve">July </w:t>
      </w:r>
      <w:r w:rsidR="00AF6D59">
        <w:t>2019</w:t>
      </w:r>
      <w:r w:rsidR="00AF6D59" w:rsidRPr="00815379">
        <w:t xml:space="preserve"> </w:t>
      </w:r>
      <w:r w:rsidRPr="00815379">
        <w:t>PBAC meeting.</w:t>
      </w:r>
    </w:p>
    <w:p w14:paraId="2B2CC8D6" w14:textId="3FCE15DA" w:rsidR="003F0391" w:rsidRDefault="003F0391" w:rsidP="00A83AC3">
      <w:pPr>
        <w:rPr>
          <w:b/>
          <w:bCs/>
        </w:rPr>
      </w:pPr>
      <w:r w:rsidRPr="003F0391">
        <w:rPr>
          <w:b/>
          <w:bCs/>
        </w:rPr>
        <w:t>PBAC November 2019</w:t>
      </w:r>
    </w:p>
    <w:p w14:paraId="602932B2" w14:textId="3FD433D4" w:rsidR="003F0391" w:rsidRDefault="00F3776D" w:rsidP="00A83AC3">
      <w:r>
        <w:t>In November 2019, t</w:t>
      </w:r>
      <w:r w:rsidR="006E3BF2" w:rsidRPr="003F7DFF">
        <w:t xml:space="preserve">he PBAC recommended the listing </w:t>
      </w:r>
      <w:r>
        <w:t xml:space="preserve">of atezolizumab </w:t>
      </w:r>
      <w:r w:rsidR="006E3BF2" w:rsidRPr="003F7DFF">
        <w:t xml:space="preserve">be made available for previously untreated patients with </w:t>
      </w:r>
      <w:r w:rsidR="00EB7E94" w:rsidRPr="009355DF">
        <w:t>ES-SCLC</w:t>
      </w:r>
      <w:r w:rsidR="00EB7E94" w:rsidRPr="00330AEC">
        <w:rPr>
          <w:b/>
          <w:bCs/>
          <w:i/>
          <w:iCs/>
        </w:rPr>
        <w:t xml:space="preserve"> </w:t>
      </w:r>
      <w:r w:rsidR="006E3BF2" w:rsidRPr="003F7DFF">
        <w:t xml:space="preserve">and an ECOG score 0–1. </w:t>
      </w:r>
      <w:r w:rsidR="003F7DFF" w:rsidRPr="003F7DFF">
        <w:t xml:space="preserve">The PBAC recommended the listing </w:t>
      </w:r>
      <w:r w:rsidR="006E3BF2">
        <w:t xml:space="preserve">if used </w:t>
      </w:r>
      <w:r w:rsidR="003F7DFF" w:rsidRPr="003F7DFF">
        <w:t>in combination with platinum-based chemotherapy plus etoposide</w:t>
      </w:r>
      <w:r w:rsidR="007C44CD">
        <w:t xml:space="preserve"> and reflected changes to the financial estimates suggested by DUSC.</w:t>
      </w:r>
      <w:r w:rsidR="006E3BF2">
        <w:t xml:space="preserve"> </w:t>
      </w:r>
    </w:p>
    <w:p w14:paraId="78AD6660" w14:textId="2BDFFDAC" w:rsidR="00F86149" w:rsidRDefault="00F86149" w:rsidP="00A83AC3">
      <w:r w:rsidRPr="00815379">
        <w:t xml:space="preserve">For further details </w:t>
      </w:r>
      <w:r w:rsidRPr="00E965A4">
        <w:t xml:space="preserve">refer to </w:t>
      </w:r>
      <w:r w:rsidRPr="00D9240D">
        <w:t xml:space="preserve">the </w:t>
      </w:r>
      <w:hyperlink r:id="rId14" w:history="1">
        <w:r w:rsidR="000A09D4">
          <w:rPr>
            <w:rStyle w:val="Hyperlink"/>
          </w:rPr>
          <w:t>Public Summary Document</w:t>
        </w:r>
      </w:hyperlink>
      <w:r w:rsidRPr="00815379">
        <w:t xml:space="preserve"> from the </w:t>
      </w:r>
      <w:r>
        <w:t>November 2019</w:t>
      </w:r>
      <w:r w:rsidRPr="00815379">
        <w:t xml:space="preserve"> PBAC meeting.</w:t>
      </w:r>
    </w:p>
    <w:p w14:paraId="41DC3191" w14:textId="3D0956A0" w:rsidR="003F0391" w:rsidRDefault="003F0391" w:rsidP="00A83AC3">
      <w:pPr>
        <w:rPr>
          <w:b/>
          <w:bCs/>
        </w:rPr>
      </w:pPr>
      <w:r>
        <w:rPr>
          <w:b/>
          <w:bCs/>
        </w:rPr>
        <w:t>PBAC March 2020</w:t>
      </w:r>
    </w:p>
    <w:p w14:paraId="72A6C3C4" w14:textId="4B452621" w:rsidR="00D878AC" w:rsidRDefault="00870B27" w:rsidP="00D878AC">
      <w:r>
        <w:t>In March 2020, t</w:t>
      </w:r>
      <w:r w:rsidR="00D878AC">
        <w:t xml:space="preserve">he PBAC recommended extending its November 2019 </w:t>
      </w:r>
      <w:bookmarkStart w:id="6" w:name="_Hlk111555869"/>
      <w:r w:rsidR="00D878AC">
        <w:t>recommendation for the 840 mg in 14 mL injection of atezolizumab and the addition of the 1680 mg</w:t>
      </w:r>
      <w:r w:rsidR="00FD29DF">
        <w:t xml:space="preserve"> every four weeks</w:t>
      </w:r>
      <w:r w:rsidR="00D878AC">
        <w:t xml:space="preserve"> </w:t>
      </w:r>
      <w:r w:rsidR="00FD29DF">
        <w:t>(</w:t>
      </w:r>
      <w:r w:rsidR="00D878AC">
        <w:t>Q4W</w:t>
      </w:r>
      <w:r w:rsidR="00FD29DF">
        <w:t>)</w:t>
      </w:r>
      <w:r w:rsidR="00D878AC">
        <w:t xml:space="preserve"> flat dosing regimen to include the treatment of previously untreated patients with 1L ES-SCLC</w:t>
      </w:r>
      <w:bookmarkEnd w:id="6"/>
      <w:r w:rsidR="00D878AC">
        <w:t xml:space="preserve"> where atezolizumab monotherapy is used for continuing treatment</w:t>
      </w:r>
      <w:r w:rsidR="00266A99">
        <w:t xml:space="preserve"> following the sponsor</w:t>
      </w:r>
      <w:r w:rsidR="00093FDC">
        <w:t>’</w:t>
      </w:r>
      <w:r w:rsidR="00266A99">
        <w:t xml:space="preserve">s </w:t>
      </w:r>
      <w:r w:rsidR="00093FDC">
        <w:t xml:space="preserve">November 2019 </w:t>
      </w:r>
      <w:r w:rsidR="00266A99">
        <w:t>minor submission request</w:t>
      </w:r>
      <w:r w:rsidR="00F05B1F">
        <w:t>.</w:t>
      </w:r>
    </w:p>
    <w:p w14:paraId="02B1300A" w14:textId="0848A466" w:rsidR="00D878AC" w:rsidRDefault="00D878AC" w:rsidP="00D878AC">
      <w:r>
        <w:t xml:space="preserve">The PBAC noted no new clinical evidence was provided to compare the two flat dosing regimens in terms of efficacy and safety. </w:t>
      </w:r>
      <w:r w:rsidR="006A790D">
        <w:t>However,</w:t>
      </w:r>
      <w:r>
        <w:t xml:space="preserve"> </w:t>
      </w:r>
      <w:r w:rsidR="00093FDC">
        <w:t xml:space="preserve">PBAC </w:t>
      </w:r>
      <w:r>
        <w:t xml:space="preserve">previously considered that the 1680 mg Q4W dosing regimen was likely comparable to the 1200 mg </w:t>
      </w:r>
      <w:r w:rsidR="00FD29DF">
        <w:t>every three weeks (</w:t>
      </w:r>
      <w:r>
        <w:t>Q3W</w:t>
      </w:r>
      <w:r w:rsidR="00FD29DF">
        <w:t>)</w:t>
      </w:r>
      <w:r>
        <w:t xml:space="preserve"> dosing regimen based on the same evidence in its November 2019 consideration of the addition of the 1680 mg Q4W dosing regimen for NSCLC indications. In this regard, the PBAC considered that the effectiveness and safety of the 1680 mg Q4W dosing regimen </w:t>
      </w:r>
      <w:r w:rsidR="00093FDC">
        <w:t>wa</w:t>
      </w:r>
      <w:r>
        <w:t>s likely comparable to that of the 1200 mg Q3W dosing regimen for 1L ES-SCLC.</w:t>
      </w:r>
    </w:p>
    <w:p w14:paraId="628CB098" w14:textId="65D785E3" w:rsidR="00D878AC" w:rsidRDefault="00D878AC" w:rsidP="00D878AC">
      <w:r>
        <w:t xml:space="preserve">The PBAC noted that the sponsor had previously agreed to pricing for the 1680 mg Q4W dosing regimen in 1L and 2L NSCLC based on cost-minimisation at the ex-manufacturer level compared to the 1200 mg Q3W dosing </w:t>
      </w:r>
      <w:r w:rsidR="000C1B2E">
        <w:t>regimen and</w:t>
      </w:r>
      <w:r>
        <w:t xml:space="preserve"> considered it would be appropriate to apply consistent methodology for the </w:t>
      </w:r>
      <w:r w:rsidR="006A790D">
        <w:t>first line</w:t>
      </w:r>
      <w:r w:rsidR="00420107">
        <w:t xml:space="preserve"> (</w:t>
      </w:r>
      <w:r>
        <w:t>1L</w:t>
      </w:r>
      <w:r w:rsidR="00420107">
        <w:t>)</w:t>
      </w:r>
      <w:r>
        <w:t xml:space="preserve"> ES-SCLC indication. Further, the PBAC considered that the cost of treatment with the 1680 mg Q4W dosing regimen should not exceed that of the 1200 mg Q3W dosing regimen. </w:t>
      </w:r>
    </w:p>
    <w:p w14:paraId="4A5FA391" w14:textId="623ADC43" w:rsidR="00D878AC" w:rsidRDefault="00D878AC" w:rsidP="00D878AC">
      <w:r>
        <w:t xml:space="preserve">The PBAC noted the uncertainty around the estimated 100% uptake of the 1680 mg Q4W dosing regimen for continuing treatment. </w:t>
      </w:r>
      <w:r w:rsidR="00266A99">
        <w:t>However,</w:t>
      </w:r>
      <w:r>
        <w:t xml:space="preserve"> it was likely that most patients would be prescribed this new dosing regimen once it became available. The PBAC considered that </w:t>
      </w:r>
      <w:r w:rsidR="000C1B2E">
        <w:t>overall,</w:t>
      </w:r>
      <w:r>
        <w:t xml:space="preserve"> the addition of the 1680 mg Q4W dosing regimen for 1L ES-SCLC would likely </w:t>
      </w:r>
      <w:r w:rsidR="008D40EB">
        <w:t xml:space="preserve">be cost neutral </w:t>
      </w:r>
      <w:r>
        <w:t xml:space="preserve">for the Government. </w:t>
      </w:r>
    </w:p>
    <w:p w14:paraId="5212D52E" w14:textId="139C60E6" w:rsidR="00D878AC" w:rsidRDefault="00D878AC" w:rsidP="00D878AC">
      <w:r>
        <w:t>The PBAC considered that 3 repeats for continuing treatment, which would provide 16 weeks of therapy under a Q4W dosing regimen, would be appropriate</w:t>
      </w:r>
      <w:r w:rsidR="00F21654" w:rsidRPr="00F21654">
        <w:t xml:space="preserve"> </w:t>
      </w:r>
      <w:r w:rsidR="00F21654">
        <w:t>and that improved convenience from less frequent dosing would be beneficial for patients, particularly those in rural or remote areas.</w:t>
      </w:r>
    </w:p>
    <w:p w14:paraId="378927F1" w14:textId="2EFCBB5E" w:rsidR="00D878AC" w:rsidRDefault="00D878AC" w:rsidP="00D878AC">
      <w:r>
        <w:t xml:space="preserve">The PBAC considered that additional grandfathering provisions for the 1680 mg Q4W dosing regimen would not be required as any 1L ES-SCLC grandfathered patients could be </w:t>
      </w:r>
      <w:r>
        <w:lastRenderedPageBreak/>
        <w:t xml:space="preserve">prescribed the 1680 mg Q4W dosing regimen under the continuing treatment restriction following PBS subsidised treatment under the existing grandfather restriction for 1L ES-SCLC. </w:t>
      </w:r>
    </w:p>
    <w:p w14:paraId="30ACC0B8" w14:textId="08CF1AB4" w:rsidR="00F86149" w:rsidRDefault="00F86149" w:rsidP="00D878AC">
      <w:r w:rsidRPr="00815379">
        <w:t xml:space="preserve">For further details </w:t>
      </w:r>
      <w:r w:rsidRPr="00E965A4">
        <w:t xml:space="preserve">refer to </w:t>
      </w:r>
      <w:r w:rsidRPr="00D9240D">
        <w:t xml:space="preserve">the </w:t>
      </w:r>
      <w:hyperlink r:id="rId15" w:history="1">
        <w:r w:rsidRPr="00E965A4">
          <w:rPr>
            <w:rStyle w:val="Hyperlink"/>
          </w:rPr>
          <w:t>Public Summary Document</w:t>
        </w:r>
      </w:hyperlink>
      <w:r w:rsidRPr="00815379">
        <w:t xml:space="preserve"> from the </w:t>
      </w:r>
      <w:r>
        <w:t>March 2020</w:t>
      </w:r>
      <w:r w:rsidRPr="00815379">
        <w:t xml:space="preserve"> PBAC meeting.</w:t>
      </w:r>
    </w:p>
    <w:p w14:paraId="7011B4F2" w14:textId="1A0FF518" w:rsidR="00A83AC3" w:rsidRPr="009C5D52" w:rsidRDefault="00ED633B" w:rsidP="009C5D52">
      <w:pPr>
        <w:pStyle w:val="Heading2"/>
      </w:pPr>
      <w:r>
        <w:t>A</w:t>
      </w:r>
      <w:r w:rsidR="000F2F51">
        <w:t xml:space="preserve">pproach </w:t>
      </w:r>
      <w:r>
        <w:t xml:space="preserve">taken to </w:t>
      </w:r>
      <w:r w:rsidR="000F2F51">
        <w:t>estimat</w:t>
      </w:r>
      <w:r>
        <w:t>e</w:t>
      </w:r>
      <w:r w:rsidR="000F2F51">
        <w:t xml:space="preserve"> utilisation</w:t>
      </w:r>
    </w:p>
    <w:p w14:paraId="3710885D" w14:textId="15BECE42" w:rsidR="001A0413" w:rsidRDefault="001A0413" w:rsidP="00142C00">
      <w:r>
        <w:t xml:space="preserve">An </w:t>
      </w:r>
      <w:r w:rsidR="003A5D06" w:rsidRPr="003A5D06">
        <w:t xml:space="preserve">epidemiological approach </w:t>
      </w:r>
      <w:r>
        <w:t xml:space="preserve">was used </w:t>
      </w:r>
      <w:r w:rsidR="003A5D06" w:rsidRPr="003A5D06">
        <w:t>to estimate the financial impact of listing</w:t>
      </w:r>
      <w:r>
        <w:t xml:space="preserve"> based on the following key assumptions accepted by the PBAC:</w:t>
      </w:r>
    </w:p>
    <w:p w14:paraId="0315146B" w14:textId="75241003" w:rsidR="001A0413" w:rsidRDefault="001A0413" w:rsidP="00CE716E">
      <w:pPr>
        <w:pStyle w:val="ListParagraph"/>
        <w:numPr>
          <w:ilvl w:val="0"/>
          <w:numId w:val="35"/>
        </w:numPr>
      </w:pPr>
      <w:r>
        <w:t xml:space="preserve">The number of incident patients was forecast using a linear extrapolation from historical incidence of lung cancer in Australia from 2012-2018 extracted from 2017 Australian Cancer Incidence and Mortality (ACIM) book (2012-2014) and </w:t>
      </w:r>
      <w:r w:rsidR="00BB52E0">
        <w:t>Australian Institute of Health and Welfare (</w:t>
      </w:r>
      <w:r>
        <w:t>AIHW</w:t>
      </w:r>
      <w:r w:rsidR="00BB52E0">
        <w:t>)</w:t>
      </w:r>
      <w:r>
        <w:t>’s Cancer in Australia 2017 report (2017-2018).</w:t>
      </w:r>
    </w:p>
    <w:p w14:paraId="1CEFA40A" w14:textId="3099F14A" w:rsidR="001A0413" w:rsidRDefault="001A0413" w:rsidP="00CE716E">
      <w:pPr>
        <w:pStyle w:val="ListParagraph"/>
        <w:numPr>
          <w:ilvl w:val="0"/>
          <w:numId w:val="35"/>
        </w:numPr>
        <w:rPr>
          <w:rFonts w:cstheme="minorHAnsi"/>
        </w:rPr>
      </w:pPr>
      <w:r w:rsidRPr="00CE716E">
        <w:rPr>
          <w:rFonts w:cstheme="minorHAnsi"/>
        </w:rPr>
        <w:t>11.75% incidence of lung cancers were assumed to be SCLC (AIHW 2011).</w:t>
      </w:r>
    </w:p>
    <w:p w14:paraId="1CCA6898" w14:textId="584412CA" w:rsidR="00DA6BD6" w:rsidRPr="005F0611" w:rsidRDefault="00DA6BD6" w:rsidP="00CE716E">
      <w:pPr>
        <w:pStyle w:val="ListParagraph"/>
        <w:numPr>
          <w:ilvl w:val="0"/>
          <w:numId w:val="35"/>
        </w:numPr>
        <w:rPr>
          <w:rFonts w:cstheme="minorHAnsi"/>
        </w:rPr>
      </w:pPr>
      <w:r>
        <w:rPr>
          <w:rFonts w:cstheme="minorHAnsi"/>
        </w:rPr>
        <w:t>71% of SCLC patients were assumed to have extensive-stage disease</w:t>
      </w:r>
      <w:r w:rsidR="00DC00C5">
        <w:rPr>
          <w:rFonts w:cstheme="minorHAnsi"/>
        </w:rPr>
        <w:t xml:space="preserve"> based on</w:t>
      </w:r>
      <w:r w:rsidR="00BB04EE">
        <w:rPr>
          <w:rFonts w:cstheme="minorHAnsi"/>
        </w:rPr>
        <w:t xml:space="preserve"> an average of </w:t>
      </w:r>
      <w:r w:rsidR="00DC00C5">
        <w:rPr>
          <w:rFonts w:cstheme="minorHAnsi"/>
        </w:rPr>
        <w:t>registry data</w:t>
      </w:r>
      <w:r w:rsidR="00BB04EE">
        <w:rPr>
          <w:rFonts w:cstheme="minorHAnsi"/>
        </w:rPr>
        <w:t xml:space="preserve"> sourced</w:t>
      </w:r>
      <w:r w:rsidR="00DC00C5">
        <w:rPr>
          <w:rFonts w:cstheme="minorHAnsi"/>
        </w:rPr>
        <w:t xml:space="preserve"> </w:t>
      </w:r>
      <w:r w:rsidR="00DC00C5" w:rsidRPr="00FF3D16">
        <w:t>from the Victorian Cancer Registry</w:t>
      </w:r>
      <w:r w:rsidR="00DC00C5">
        <w:t xml:space="preserve"> </w:t>
      </w:r>
      <w:r w:rsidR="00DC00C5">
        <w:fldChar w:fldCharType="begin">
          <w:fldData xml:space="preserve">PEVuZE5vdGU+PENpdGU+PEF1dGhvcj5NaXRjaGVsbDwvQXV0aG9yPjxZZWFyPjIwMTM8L1llYXI+
PFJlY051bT4yMjwvUmVjTnVtPjxEaXNwbGF5VGV4dD4oTWl0Y2hlbGwgMjAxMyk8L0Rpc3BsYXlU
ZXh0PjxyZWNvcmQ+PHJlYy1udW1iZXI+MjI8L3JlYy1udW1iZXI+PGZvcmVpZ24ta2V5cz48a2V5
IGFwcD0iRU4iIGRiLWlkPSJ3cjl2MmVhcjlkYTkwdGUydmFvdmVkeGlkdmY5cHA1Mng5OTkiIHRp
bWVzdGFtcD0iMTUzNjIwMjY0MiI+MjI8L2tleT48L2ZvcmVpZ24ta2V5cz48cmVmLXR5cGUgbmFt
ZT0iSm91cm5hbCBBcnRpY2xlIj4xNzwvcmVmLXR5cGU+PGNvbnRyaWJ1dG9ycz48YXV0aG9ycz48
YXV0aG9yPk1pdGNoZWxsLCBQLiBMLjwvYXV0aG9yPjxhdXRob3I+VGh1cnNmaWVsZCwgVi4gSi48
L2F1dGhvcj48YXV0aG9yPkJhbGwsIEQuIEwuPC9hdXRob3I+PGF1dGhvcj5SaWNoYXJkc29uLCBH
LiBFLjwvYXV0aG9yPjxhdXRob3I+SXJ2aW5nLCBMLiBCLjwvYXV0aG9yPjxhdXRob3I+VG9ybi1C
cm9lcnMsIFkuPC9hdXRob3I+PGF1dGhvcj5HaWxlcywgRy4gRy48L2F1dGhvcj48YXV0aG9yPldy
aWdodCwgRy4gTS48L2F1dGhvcj48L2F1dGhvcnM+PC9jb250cmlidXRvcnM+PGF1dGgtYWRkcmVz
cz5PbGl2aWEgTmV3dG9uLUpvaG4gQ2FuY2VyIGFuZCBXZWxsbmVzcyBDZW50cmUsIEF1c3RpbiBI
ZWFsdGgsIE1lbGJvdXJuZSwgVklDLCBBdXN0cmFsaWEuIHBhdWwubWl0Y2hlbGxAYXVzdGluLm9y
Zy5hdS48L2F1dGgtYWRkcmVzcz48dGl0bGVzPjx0aXRsZT5MdW5nIGNhbmNlciBpbiBWaWN0b3Jp
YTogYXJlIHdlIG1ha2luZyBwcm9ncmVzcz88L3RpdGxlPjxzZWNvbmRhcnktdGl0bGU+TWVkIEog
QXVzdDwvc2Vjb25kYXJ5LXRpdGxlPjxhbHQtdGl0bGU+VGhlIE1lZGljYWwgam91cm5hbCBvZiBB
dXN0cmFsaWE8L2FsdC10aXRsZT48L3RpdGxlcz48cGVyaW9kaWNhbD48ZnVsbC10aXRsZT5NZWQg
SiBBdXN0PC9mdWxsLXRpdGxlPjxhYmJyLTE+VGhlIE1lZGljYWwgam91cm5hbCBvZiBBdXN0cmFs
aWE8L2FiYnItMT48L3BlcmlvZGljYWw+PGFsdC1wZXJpb2RpY2FsPjxmdWxsLXRpdGxlPk1lZCBK
IEF1c3Q8L2Z1bGwtdGl0bGU+PGFiYnItMT5UaGUgTWVkaWNhbCBqb3VybmFsIG9mIEF1c3RyYWxp
YTwvYWJici0xPjwvYWx0LXBlcmlvZGljYWw+PHBhZ2VzPjY3NC05PC9wYWdlcz48dm9sdW1lPjE5
OTwvdm9sdW1lPjxudW1iZXI+MTA8L251bWJlcj48ZWRpdGlvbj4yMDEzLzExLzE5PC9lZGl0aW9u
PjxrZXl3b3Jkcz48a2V5d29yZD5BZHVsdDwva2V5d29yZD48a2V5d29yZD5BZ2VkPC9rZXl3b3Jk
PjxrZXl3b3JkPkFnZWQsIDgwIGFuZCBvdmVyPC9rZXl3b3JkPjxrZXl3b3JkPipDYXJjaW5vbWEs
IE5vbi1TbWFsbC1DZWxsIEx1bmcvZGlhZ25vc2lzL2V0aW9sb2d5L21vcnRhbGl0eS90aGVyYXB5
PC9rZXl3b3JkPjxrZXl3b3JkPkNvbWJpbmVkIE1vZGFsaXR5IFRoZXJhcHk8L2tleXdvcmQ+PGtl
eXdvcmQ+RmVtYWxlPC9rZXl3b3JkPjxrZXl3b3JkPkZvbGxvdy1VcCBTdHVkaWVzPC9rZXl3b3Jk
PjxrZXl3b3JkPkhlYWx0aCBDYXJlIFN1cnZleXM8L2tleXdvcmQ+PGtleXdvcmQ+SGVhbHRoIFN1
cnZleXM8L2tleXdvcmQ+PGtleXdvcmQ+SHVtYW5zPC9rZXl3b3JkPjxrZXl3b3JkPipMdW5nIE5l
b3BsYXNtcy9kaWFnbm9zaXMvZXRpb2xvZ3kvbW9ydGFsaXR5L3RoZXJhcHk8L2tleXdvcmQ+PGtl
eXdvcmQ+TWFsZTwva2V5d29yZD48a2V5d29yZD5NaWRkbGUgQWdlZDwva2V5d29yZD48a2V5d29y
ZD5NdWx0aXZhcmlhdGUgQW5hbHlzaXM8L2tleXdvcmQ+PGtleXdvcmQ+UHJvZ25vc2lzPC9rZXl3
b3JkPjxrZXl3b3JkPlByb3BvcnRpb25hbCBIYXphcmRzIE1vZGVsczwva2V5d29yZD48a2V5d29y
ZD5SZWdpc3RyaWVzPC9rZXl3b3JkPjxrZXl3b3JkPlJldHJvc3BlY3RpdmUgU3R1ZGllczwva2V5
d29yZD48a2V5d29yZD4qU21hbGwgQ2VsbCBMdW5nIENhcmNpbm9tYS9kaWFnbm9zaXMvZXRpb2xv
Z3kvbW9ydGFsaXR5L3RoZXJhcHk8L2tleXdvcmQ+PGtleXdvcmQ+U21va2luZy9hZHZlcnNlIGVm
ZmVjdHMvZXBpZGVtaW9sb2d5PC9rZXl3b3JkPjxrZXl3b3JkPlZpY3RvcmlhL2VwaWRlbWlvbG9n
eTwva2V5d29yZD48L2tleXdvcmRzPjxkYXRlcz48eWVhcj4yMDEzPC95ZWFyPjxwdWItZGF0ZXM+
PGRhdGU+Tm92IDE4PC9kYXRlPjwvcHViLWRhdGVzPjwvZGF0ZXM+PGlzYm4+MDAyNS03Mjl4PC9p
c2JuPjxhY2Nlc3Npb24tbnVtPjI0MjM3MDk3PC9hY2Nlc3Npb24tbnVtPjx1cmxzPjwvdXJscz48
cmVtb3RlLWRhdGFiYXNlLXByb3ZpZGVyPk5MTTwvcmVtb3RlLWRhdGFiYXNlLXByb3ZpZGVyPjxs
YW5ndWFnZT5lbmc8L2xhbmd1YWdlPjwvcmVjb3JkPjwvQ2l0ZT48L0VuZE5vdGU+AG==
</w:fldData>
        </w:fldChar>
      </w:r>
      <w:r w:rsidR="00DC00C5">
        <w:instrText xml:space="preserve"> ADDIN EN.CITE </w:instrText>
      </w:r>
      <w:r w:rsidR="00DC00C5">
        <w:fldChar w:fldCharType="begin">
          <w:fldData xml:space="preserve">PEVuZE5vdGU+PENpdGU+PEF1dGhvcj5NaXRjaGVsbDwvQXV0aG9yPjxZZWFyPjIwMTM8L1llYXI+
PFJlY051bT4yMjwvUmVjTnVtPjxEaXNwbGF5VGV4dD4oTWl0Y2hlbGwgMjAxMyk8L0Rpc3BsYXlU
ZXh0PjxyZWNvcmQ+PHJlYy1udW1iZXI+MjI8L3JlYy1udW1iZXI+PGZvcmVpZ24ta2V5cz48a2V5
IGFwcD0iRU4iIGRiLWlkPSJ3cjl2MmVhcjlkYTkwdGUydmFvdmVkeGlkdmY5cHA1Mng5OTkiIHRp
bWVzdGFtcD0iMTUzNjIwMjY0MiI+MjI8L2tleT48L2ZvcmVpZ24ta2V5cz48cmVmLXR5cGUgbmFt
ZT0iSm91cm5hbCBBcnRpY2xlIj4xNzwvcmVmLXR5cGU+PGNvbnRyaWJ1dG9ycz48YXV0aG9ycz48
YXV0aG9yPk1pdGNoZWxsLCBQLiBMLjwvYXV0aG9yPjxhdXRob3I+VGh1cnNmaWVsZCwgVi4gSi48
L2F1dGhvcj48YXV0aG9yPkJhbGwsIEQuIEwuPC9hdXRob3I+PGF1dGhvcj5SaWNoYXJkc29uLCBH
LiBFLjwvYXV0aG9yPjxhdXRob3I+SXJ2aW5nLCBMLiBCLjwvYXV0aG9yPjxhdXRob3I+VG9ybi1C
cm9lcnMsIFkuPC9hdXRob3I+PGF1dGhvcj5HaWxlcywgRy4gRy48L2F1dGhvcj48YXV0aG9yPldy
aWdodCwgRy4gTS48L2F1dGhvcj48L2F1dGhvcnM+PC9jb250cmlidXRvcnM+PGF1dGgtYWRkcmVz
cz5PbGl2aWEgTmV3dG9uLUpvaG4gQ2FuY2VyIGFuZCBXZWxsbmVzcyBDZW50cmUsIEF1c3RpbiBI
ZWFsdGgsIE1lbGJvdXJuZSwgVklDLCBBdXN0cmFsaWEuIHBhdWwubWl0Y2hlbGxAYXVzdGluLm9y
Zy5hdS48L2F1dGgtYWRkcmVzcz48dGl0bGVzPjx0aXRsZT5MdW5nIGNhbmNlciBpbiBWaWN0b3Jp
YTogYXJlIHdlIG1ha2luZyBwcm9ncmVzcz88L3RpdGxlPjxzZWNvbmRhcnktdGl0bGU+TWVkIEog
QXVzdDwvc2Vjb25kYXJ5LXRpdGxlPjxhbHQtdGl0bGU+VGhlIE1lZGljYWwgam91cm5hbCBvZiBB
dXN0cmFsaWE8L2FsdC10aXRsZT48L3RpdGxlcz48cGVyaW9kaWNhbD48ZnVsbC10aXRsZT5NZWQg
SiBBdXN0PC9mdWxsLXRpdGxlPjxhYmJyLTE+VGhlIE1lZGljYWwgam91cm5hbCBvZiBBdXN0cmFs
aWE8L2FiYnItMT48L3BlcmlvZGljYWw+PGFsdC1wZXJpb2RpY2FsPjxmdWxsLXRpdGxlPk1lZCBK
IEF1c3Q8L2Z1bGwtdGl0bGU+PGFiYnItMT5UaGUgTWVkaWNhbCBqb3VybmFsIG9mIEF1c3RyYWxp
YTwvYWJici0xPjwvYWx0LXBlcmlvZGljYWw+PHBhZ2VzPjY3NC05PC9wYWdlcz48dm9sdW1lPjE5
OTwvdm9sdW1lPjxudW1iZXI+MTA8L251bWJlcj48ZWRpdGlvbj4yMDEzLzExLzE5PC9lZGl0aW9u
PjxrZXl3b3Jkcz48a2V5d29yZD5BZHVsdDwva2V5d29yZD48a2V5d29yZD5BZ2VkPC9rZXl3b3Jk
PjxrZXl3b3JkPkFnZWQsIDgwIGFuZCBvdmVyPC9rZXl3b3JkPjxrZXl3b3JkPipDYXJjaW5vbWEs
IE5vbi1TbWFsbC1DZWxsIEx1bmcvZGlhZ25vc2lzL2V0aW9sb2d5L21vcnRhbGl0eS90aGVyYXB5
PC9rZXl3b3JkPjxrZXl3b3JkPkNvbWJpbmVkIE1vZGFsaXR5IFRoZXJhcHk8L2tleXdvcmQ+PGtl
eXdvcmQ+RmVtYWxlPC9rZXl3b3JkPjxrZXl3b3JkPkZvbGxvdy1VcCBTdHVkaWVzPC9rZXl3b3Jk
PjxrZXl3b3JkPkhlYWx0aCBDYXJlIFN1cnZleXM8L2tleXdvcmQ+PGtleXdvcmQ+SGVhbHRoIFN1
cnZleXM8L2tleXdvcmQ+PGtleXdvcmQ+SHVtYW5zPC9rZXl3b3JkPjxrZXl3b3JkPipMdW5nIE5l
b3BsYXNtcy9kaWFnbm9zaXMvZXRpb2xvZ3kvbW9ydGFsaXR5L3RoZXJhcHk8L2tleXdvcmQ+PGtl
eXdvcmQ+TWFsZTwva2V5d29yZD48a2V5d29yZD5NaWRkbGUgQWdlZDwva2V5d29yZD48a2V5d29y
ZD5NdWx0aXZhcmlhdGUgQW5hbHlzaXM8L2tleXdvcmQ+PGtleXdvcmQ+UHJvZ25vc2lzPC9rZXl3
b3JkPjxrZXl3b3JkPlByb3BvcnRpb25hbCBIYXphcmRzIE1vZGVsczwva2V5d29yZD48a2V5d29y
ZD5SZWdpc3RyaWVzPC9rZXl3b3JkPjxrZXl3b3JkPlJldHJvc3BlY3RpdmUgU3R1ZGllczwva2V5
d29yZD48a2V5d29yZD4qU21hbGwgQ2VsbCBMdW5nIENhcmNpbm9tYS9kaWFnbm9zaXMvZXRpb2xv
Z3kvbW9ydGFsaXR5L3RoZXJhcHk8L2tleXdvcmQ+PGtleXdvcmQ+U21va2luZy9hZHZlcnNlIGVm
ZmVjdHMvZXBpZGVtaW9sb2d5PC9rZXl3b3JkPjxrZXl3b3JkPlZpY3RvcmlhL2VwaWRlbWlvbG9n
eTwva2V5d29yZD48L2tleXdvcmRzPjxkYXRlcz48eWVhcj4yMDEzPC95ZWFyPjxwdWItZGF0ZXM+
PGRhdGU+Tm92IDE4PC9kYXRlPjwvcHViLWRhdGVzPjwvZGF0ZXM+PGlzYm4+MDAyNS03Mjl4PC9p
c2JuPjxhY2Nlc3Npb24tbnVtPjI0MjM3MDk3PC9hY2Nlc3Npb24tbnVtPjx1cmxzPjwvdXJscz48
cmVtb3RlLWRhdGFiYXNlLXByb3ZpZGVyPk5MTTwvcmVtb3RlLWRhdGFiYXNlLXByb3ZpZGVyPjxs
YW5ndWFnZT5lbmc8L2xhbmd1YWdlPjwvcmVjb3JkPjwvQ2l0ZT48L0VuZE5vdGU+AG==
</w:fldData>
        </w:fldChar>
      </w:r>
      <w:r w:rsidR="00DC00C5">
        <w:instrText xml:space="preserve"> ADDIN EN.CITE.DATA </w:instrText>
      </w:r>
      <w:r w:rsidR="00DC00C5">
        <w:fldChar w:fldCharType="end"/>
      </w:r>
      <w:r w:rsidR="00DC00C5">
        <w:fldChar w:fldCharType="separate"/>
      </w:r>
      <w:r w:rsidR="00DC00C5">
        <w:rPr>
          <w:noProof/>
        </w:rPr>
        <w:t>(Mitchell 2013)</w:t>
      </w:r>
      <w:r w:rsidR="00DC00C5">
        <w:fldChar w:fldCharType="end"/>
      </w:r>
      <w:r w:rsidR="00DC00C5" w:rsidRPr="00FF3D16">
        <w:t xml:space="preserve">, </w:t>
      </w:r>
      <w:r w:rsidR="00DC00C5">
        <w:t xml:space="preserve">Liverpool and Macarthur Cancer Therapy Centre </w:t>
      </w:r>
      <w:r w:rsidR="00DC00C5">
        <w:fldChar w:fldCharType="begin"/>
      </w:r>
      <w:r w:rsidR="00DC00C5">
        <w:instrText xml:space="preserve"> ADDIN EN.CITE &lt;EndNote&gt;&lt;Cite&gt;&lt;Author&gt;Kang&lt;/Author&gt;&lt;Year&gt;2012&lt;/Year&gt;&lt;RecNum&gt;61&lt;/RecNum&gt;&lt;DisplayText&gt;(Kang 2012)&lt;/DisplayText&gt;&lt;record&gt;&lt;rec-number&gt;61&lt;/rec-number&gt;&lt;foreign-keys&gt;&lt;key app="EN" db-id="wr9v2ear9da90te2vaovedxidvf9pp52x999" timestamp="1550526558"&gt;61&lt;/key&gt;&lt;/foreign-keys&gt;&lt;ref-type name="Journal Article"&gt;17&lt;/ref-type&gt;&lt;contributors&gt;&lt;authors&gt;&lt;author&gt;Kang, S.&lt;/author&gt;&lt;author&gt;Koh, E. S.&lt;/author&gt;&lt;author&gt;Vinod, S. K.&lt;/author&gt;&lt;author&gt;Jalaludin, B.&lt;/author&gt;&lt;/authors&gt;&lt;/contributors&gt;&lt;auth-address&gt;Department of Radiation Oncology, Illawarra Cancer Care Centre, Wollongong, Australia.&lt;/auth-address&gt;&lt;titles&gt;&lt;title&gt;Cost analysis of lung cancer management in South Western Sydney&lt;/title&gt;&lt;secondary-title&gt;J Med Imaging Radiat Oncol&lt;/secondary-title&gt;&lt;alt-title&gt;Journal of medical imaging and radiation oncology&lt;/alt-title&gt;&lt;/titles&gt;&lt;periodical&gt;&lt;full-title&gt;J Med Imaging Radiat Oncol&lt;/full-title&gt;&lt;abbr-1&gt;Journal of medical imaging and radiation oncology&lt;/abbr-1&gt;&lt;/periodical&gt;&lt;alt-periodical&gt;&lt;full-title&gt;J Med Imaging Radiat Oncol&lt;/full-title&gt;&lt;abbr-1&gt;Journal of medical imaging and radiation oncology&lt;/abbr-1&gt;&lt;/alt-periodical&gt;&lt;pages&gt;235-41&lt;/pages&gt;&lt;volume&gt;56&lt;/volume&gt;&lt;number&gt;2&lt;/number&gt;&lt;edition&gt;2012/04/14&lt;/edition&gt;&lt;keywords&gt;&lt;keyword&gt;Antineoplastic Agents/economics&lt;/keyword&gt;&lt;keyword&gt;Australia&lt;/keyword&gt;&lt;keyword&gt;*Costs and Cost Analysis&lt;/keyword&gt;&lt;keyword&gt;Diagnostic Imaging/economics&lt;/keyword&gt;&lt;keyword&gt;Female&lt;/keyword&gt;&lt;keyword&gt;Hospitalization/economics&lt;/keyword&gt;&lt;keyword&gt;Humans&lt;/keyword&gt;&lt;keyword&gt;Lung Neoplasms/diagnosis/*economics/therapy&lt;/keyword&gt;&lt;keyword&gt;Male&lt;/keyword&gt;&lt;keyword&gt;Neoplasm Staging&lt;/keyword&gt;&lt;keyword&gt;Retrospective Studies&lt;/keyword&gt;&lt;keyword&gt;Statistics, Nonparametric&lt;/keyword&gt;&lt;keyword&gt;Survival Rate&lt;/keyword&gt;&lt;/keywords&gt;&lt;dates&gt;&lt;year&gt;2012&lt;/year&gt;&lt;pub-dates&gt;&lt;date&gt;Apr&lt;/date&gt;&lt;/pub-dates&gt;&lt;/dates&gt;&lt;isbn&gt;1754-9477&lt;/isbn&gt;&lt;accession-num&gt;22498199&lt;/accession-num&gt;&lt;urls&gt;&lt;/urls&gt;&lt;electronic-resource-num&gt;10.1111/j.1754-9485.2012.02354.x&lt;/electronic-resource-num&gt;&lt;remote-database-provider&gt;NLM&lt;/remote-database-provider&gt;&lt;language&gt;eng&lt;/language&gt;&lt;/record&gt;&lt;/Cite&gt;&lt;/EndNote&gt;</w:instrText>
      </w:r>
      <w:r w:rsidR="00DC00C5">
        <w:fldChar w:fldCharType="separate"/>
      </w:r>
      <w:r w:rsidR="00DC00C5">
        <w:rPr>
          <w:noProof/>
        </w:rPr>
        <w:t>(Kang 2012)</w:t>
      </w:r>
      <w:r w:rsidR="00DC00C5">
        <w:fldChar w:fldCharType="end"/>
      </w:r>
      <w:r w:rsidR="00DC00C5">
        <w:t xml:space="preserve">, </w:t>
      </w:r>
      <w:r w:rsidR="00DC00C5" w:rsidRPr="00FF3D16">
        <w:t>Queen Elizabeth Hospital Cancer Registry in South Australia</w:t>
      </w:r>
      <w:r w:rsidR="00DC00C5">
        <w:t xml:space="preserve"> </w:t>
      </w:r>
      <w:r w:rsidR="00DC00C5">
        <w:fldChar w:fldCharType="begin">
          <w:fldData xml:space="preserve">PEVuZE5vdGU+PENpdGU+PEF1dGhvcj5CaXNobm9pPC9BdXRob3I+PFllYXI+MjAxMTwvWWVhcj48
UmVjTnVtPjI4PC9SZWNOdW0+PERpc3BsYXlUZXh0PihCaXNobm9pIDIwMTEpPC9EaXNwbGF5VGV4
dD48cmVjb3JkPjxyZWMtbnVtYmVyPjI4PC9yZWMtbnVtYmVyPjxmb3JlaWduLWtleXM+PGtleSBh
cHA9IkVOIiBkYi1pZD0id3I5djJlYXI5ZGE5MHRlMnZhb3ZlZHhpZHZmOXBwNTJ4OTk5IiB0aW1l
c3RhbXA9IjE1MzgwOTUxMzMiPjI4PC9rZXk+PC9mb3JlaWduLWtleXM+PHJlZi10eXBlIG5hbWU9
IkpvdXJuYWwgQXJ0aWNsZSI+MTc8L3JlZi10eXBlPjxjb250cmlidXRvcnM+PGF1dGhvcnM+PGF1
dGhvcj5CaXNobm9pLCBTLjwvYXV0aG9yPjxhdXRob3I+UGl0dG1hbiwgSy48L2F1dGhvcj48YXV0
aG9yPkNvbGJlY2ssIE0uPC9hdXRob3I+PGF1dGhvcj5Ub3duc2VuZCwgQS48L2F1dGhvcj48YXV0
aG9yPkhhcmRpbmdoYW0sIEouPC9hdXRob3I+PGF1dGhvcj5TdWt1bWFyYW4sIFMuPC9hdXRob3I+
PGF1dGhvcj5Ib29wZXIsIEIuPC9hdXRob3I+PGF1dGhvcj5UdWNrLCBNLjwvYXV0aG9yPjxhdXRo
b3I+Um9kZXIsIEQuPC9hdXRob3I+PGF1dGhvcj5MdWtlLCBDLjwvYXV0aG9yPjxhdXRob3I+UHJp
Y2UsIFQuPC9hdXRob3I+PC9hdXRob3JzPjwvY29udHJpYnV0b3JzPjxhdXRoLWFkZHJlc3M+VGhl
IFF1ZWVuIEVsaXphYmV0aCBIb3NwaXRhbCwgU291dGggQXVzdHJhbGlhLCBBdXN0cmFsaWEuIFNh
cndhbi5CaXNobm9pQGhlYWx0aC5zYS5nb3Y8L2F1dGgtYWRkcmVzcz48dGl0bGVzPjx0aXRsZT5T
bWFsbCBjZWxsIGx1bmcgY2FuY2VyOiBwYXR0ZXJucyBvZiBjYXJlIGFuZCB0aGVpciBpbmZsdWVu
Y2Ugb24gc3Vydml2YWwgLSAyNSB5ZWFycyBleHBlcmllbmNlIG9mIGEgc2luZ2xlIEF1c3RyYWxp
YW4gb25jb2xvZ3kgdW5pdDwvdGl0bGU+PHNlY29uZGFyeS10aXRsZT5Bc2lhIFBhYyBKIENsaW4g
T25jb2w8L3NlY29uZGFyeS10aXRsZT48YWx0LXRpdGxlPkFzaWEtUGFjaWZpYyBqb3VybmFsIG9m
IGNsaW5pY2FsIG9uY29sb2d5PC9hbHQtdGl0bGU+PC90aXRsZXM+PHBlcmlvZGljYWw+PGZ1bGwt
dGl0bGU+QXNpYSBQYWMgSiBDbGluIE9uY29sPC9mdWxsLXRpdGxlPjxhYmJyLTE+QXNpYS1QYWNp
ZmljIGpvdXJuYWwgb2YgY2xpbmljYWwgb25jb2xvZ3k8L2FiYnItMT48L3BlcmlvZGljYWw+PGFs
dC1wZXJpb2RpY2FsPjxmdWxsLXRpdGxlPkFzaWEgUGFjIEogQ2xpbiBPbmNvbDwvZnVsbC10aXRs
ZT48YWJici0xPkFzaWEtUGFjaWZpYyBqb3VybmFsIG9mIGNsaW5pY2FsIG9uY29sb2d5PC9hYmJy
LTE+PC9hbHQtcGVyaW9kaWNhbD48cGFnZXM+MjUyLTc8L3BhZ2VzPjx2b2x1bWU+Nzwvdm9sdW1l
PjxudW1iZXI+MzwvbnVtYmVyPjxlZGl0aW9uPjIwMTEvMDkvMDM8L2VkaXRpb24+PGtleXdvcmRz
PjxrZXl3b3JkPkFnZWQ8L2tleXdvcmQ+PGtleXdvcmQ+QW50aW5lb3BsYXN0aWMgQ29tYmluZWQg
Q2hlbW90aGVyYXB5IFByb3RvY29scy8qdGhlcmFwZXV0aWMgdXNlPC9rZXl3b3JkPjxrZXl3b3Jk
PkF1c3RyYWxpYTwva2V5d29yZD48a2V5d29yZD5Db2hvcnQgU3R1ZGllczwva2V5d29yZD48a2V5
d29yZD5Db21iaW5lZCBNb2RhbGl0eSBUaGVyYXB5PC9rZXl3b3JkPjxrZXl3b3JkPkZlbWFsZTwv
a2V5d29yZD48a2V5d29yZD5IdW1hbnM8L2tleXdvcmQ+PGtleXdvcmQ+S2FwbGFuLU1laWVyIEVz
dGltYXRlPC9rZXl3b3JkPjxrZXl3b3JkPkx1bmcgTmVvcGxhc21zLypkcnVnIHRoZXJhcHkvKnJh
ZGlvdGhlcmFweTwva2V5d29yZD48a2V5d29yZD5NYWxlPC9rZXl3b3JkPjxrZXl3b3JkPlByb3Bv
cnRpb25hbCBIYXphcmRzIE1vZGVsczwva2V5d29yZD48a2V5d29yZD5TbWFsbCBDZWxsIEx1bmcg
Q2FyY2lub21hLypkcnVnIHRoZXJhcHkvKnJhZGlvdGhlcmFweTwva2V5d29yZD48a2V5d29yZD5T
dXJ2aXZhbCBBbmFseXNpczwva2V5d29yZD48a2V5d29yZD5UcmVhdG1lbnQgT3V0Y29tZTwva2V5
d29yZD48L2tleXdvcmRzPjxkYXRlcz48eWVhcj4yMDExPC95ZWFyPjxwdWItZGF0ZXM+PGRhdGU+
U2VwPC9kYXRlPjwvcHViLWRhdGVzPjwvZGF0ZXM+PGlzYm4+MTc0My03NTU1PC9pc2JuPjxhY2Nl
c3Npb24tbnVtPjIxODg0NDM2PC9hY2Nlc3Npb24tbnVtPjx1cmxzPjwvdXJscz48ZWxlY3Ryb25p
Yy1yZXNvdXJjZS1udW0+MTAuMTExMS9qLjE3NDMtNzU2My4yMDExLjAxNDI2Lng8L2VsZWN0cm9u
aWMtcmVzb3VyY2UtbnVtPjxyZW1vdGUtZGF0YWJhc2UtcHJvdmlkZXI+TkxNPC9yZW1vdGUtZGF0
YWJhc2UtcHJvdmlkZXI+PGxhbmd1YWdlPmVuZzwvbGFuZ3VhZ2U+PC9yZWNvcmQ+PC9DaXRlPjwv
RW5kTm90ZT4A
</w:fldData>
        </w:fldChar>
      </w:r>
      <w:r w:rsidR="00DC00C5">
        <w:instrText xml:space="preserve"> ADDIN EN.CITE </w:instrText>
      </w:r>
      <w:r w:rsidR="00DC00C5">
        <w:fldChar w:fldCharType="begin">
          <w:fldData xml:space="preserve">PEVuZE5vdGU+PENpdGU+PEF1dGhvcj5CaXNobm9pPC9BdXRob3I+PFllYXI+MjAxMTwvWWVhcj48
UmVjTnVtPjI4PC9SZWNOdW0+PERpc3BsYXlUZXh0PihCaXNobm9pIDIwMTEpPC9EaXNwbGF5VGV4
dD48cmVjb3JkPjxyZWMtbnVtYmVyPjI4PC9yZWMtbnVtYmVyPjxmb3JlaWduLWtleXM+PGtleSBh
cHA9IkVOIiBkYi1pZD0id3I5djJlYXI5ZGE5MHRlMnZhb3ZlZHhpZHZmOXBwNTJ4OTk5IiB0aW1l
c3RhbXA9IjE1MzgwOTUxMzMiPjI4PC9rZXk+PC9mb3JlaWduLWtleXM+PHJlZi10eXBlIG5hbWU9
IkpvdXJuYWwgQXJ0aWNsZSI+MTc8L3JlZi10eXBlPjxjb250cmlidXRvcnM+PGF1dGhvcnM+PGF1
dGhvcj5CaXNobm9pLCBTLjwvYXV0aG9yPjxhdXRob3I+UGl0dG1hbiwgSy48L2F1dGhvcj48YXV0
aG9yPkNvbGJlY2ssIE0uPC9hdXRob3I+PGF1dGhvcj5Ub3duc2VuZCwgQS48L2F1dGhvcj48YXV0
aG9yPkhhcmRpbmdoYW0sIEouPC9hdXRob3I+PGF1dGhvcj5TdWt1bWFyYW4sIFMuPC9hdXRob3I+
PGF1dGhvcj5Ib29wZXIsIEIuPC9hdXRob3I+PGF1dGhvcj5UdWNrLCBNLjwvYXV0aG9yPjxhdXRo
b3I+Um9kZXIsIEQuPC9hdXRob3I+PGF1dGhvcj5MdWtlLCBDLjwvYXV0aG9yPjxhdXRob3I+UHJp
Y2UsIFQuPC9hdXRob3I+PC9hdXRob3JzPjwvY29udHJpYnV0b3JzPjxhdXRoLWFkZHJlc3M+VGhl
IFF1ZWVuIEVsaXphYmV0aCBIb3NwaXRhbCwgU291dGggQXVzdHJhbGlhLCBBdXN0cmFsaWEuIFNh
cndhbi5CaXNobm9pQGhlYWx0aC5zYS5nb3Y8L2F1dGgtYWRkcmVzcz48dGl0bGVzPjx0aXRsZT5T
bWFsbCBjZWxsIGx1bmcgY2FuY2VyOiBwYXR0ZXJucyBvZiBjYXJlIGFuZCB0aGVpciBpbmZsdWVu
Y2Ugb24gc3Vydml2YWwgLSAyNSB5ZWFycyBleHBlcmllbmNlIG9mIGEgc2luZ2xlIEF1c3RyYWxp
YW4gb25jb2xvZ3kgdW5pdDwvdGl0bGU+PHNlY29uZGFyeS10aXRsZT5Bc2lhIFBhYyBKIENsaW4g
T25jb2w8L3NlY29uZGFyeS10aXRsZT48YWx0LXRpdGxlPkFzaWEtUGFjaWZpYyBqb3VybmFsIG9m
IGNsaW5pY2FsIG9uY29sb2d5PC9hbHQtdGl0bGU+PC90aXRsZXM+PHBlcmlvZGljYWw+PGZ1bGwt
dGl0bGU+QXNpYSBQYWMgSiBDbGluIE9uY29sPC9mdWxsLXRpdGxlPjxhYmJyLTE+QXNpYS1QYWNp
ZmljIGpvdXJuYWwgb2YgY2xpbmljYWwgb25jb2xvZ3k8L2FiYnItMT48L3BlcmlvZGljYWw+PGFs
dC1wZXJpb2RpY2FsPjxmdWxsLXRpdGxlPkFzaWEgUGFjIEogQ2xpbiBPbmNvbDwvZnVsbC10aXRs
ZT48YWJici0xPkFzaWEtUGFjaWZpYyBqb3VybmFsIG9mIGNsaW5pY2FsIG9uY29sb2d5PC9hYmJy
LTE+PC9hbHQtcGVyaW9kaWNhbD48cGFnZXM+MjUyLTc8L3BhZ2VzPjx2b2x1bWU+Nzwvdm9sdW1l
PjxudW1iZXI+MzwvbnVtYmVyPjxlZGl0aW9uPjIwMTEvMDkvMDM8L2VkaXRpb24+PGtleXdvcmRz
PjxrZXl3b3JkPkFnZWQ8L2tleXdvcmQ+PGtleXdvcmQ+QW50aW5lb3BsYXN0aWMgQ29tYmluZWQg
Q2hlbW90aGVyYXB5IFByb3RvY29scy8qdGhlcmFwZXV0aWMgdXNlPC9rZXl3b3JkPjxrZXl3b3Jk
PkF1c3RyYWxpYTwva2V5d29yZD48a2V5d29yZD5Db2hvcnQgU3R1ZGllczwva2V5d29yZD48a2V5
d29yZD5Db21iaW5lZCBNb2RhbGl0eSBUaGVyYXB5PC9rZXl3b3JkPjxrZXl3b3JkPkZlbWFsZTwv
a2V5d29yZD48a2V5d29yZD5IdW1hbnM8L2tleXdvcmQ+PGtleXdvcmQ+S2FwbGFuLU1laWVyIEVz
dGltYXRlPC9rZXl3b3JkPjxrZXl3b3JkPkx1bmcgTmVvcGxhc21zLypkcnVnIHRoZXJhcHkvKnJh
ZGlvdGhlcmFweTwva2V5d29yZD48a2V5d29yZD5NYWxlPC9rZXl3b3JkPjxrZXl3b3JkPlByb3Bv
cnRpb25hbCBIYXphcmRzIE1vZGVsczwva2V5d29yZD48a2V5d29yZD5TbWFsbCBDZWxsIEx1bmcg
Q2FyY2lub21hLypkcnVnIHRoZXJhcHkvKnJhZGlvdGhlcmFweTwva2V5d29yZD48a2V5d29yZD5T
dXJ2aXZhbCBBbmFseXNpczwva2V5d29yZD48a2V5d29yZD5UcmVhdG1lbnQgT3V0Y29tZTwva2V5
d29yZD48L2tleXdvcmRzPjxkYXRlcz48eWVhcj4yMDExPC95ZWFyPjxwdWItZGF0ZXM+PGRhdGU+
U2VwPC9kYXRlPjwvcHViLWRhdGVzPjwvZGF0ZXM+PGlzYm4+MTc0My03NTU1PC9pc2JuPjxhY2Nl
c3Npb24tbnVtPjIxODg0NDM2PC9hY2Nlc3Npb24tbnVtPjx1cmxzPjwvdXJscz48ZWxlY3Ryb25p
Yy1yZXNvdXJjZS1udW0+MTAuMTExMS9qLjE3NDMtNzU2My4yMDExLjAxNDI2Lng8L2VsZWN0cm9u
aWMtcmVzb3VyY2UtbnVtPjxyZW1vdGUtZGF0YWJhc2UtcHJvdmlkZXI+TkxNPC9yZW1vdGUtZGF0
YWJhc2UtcHJvdmlkZXI+PGxhbmd1YWdlPmVuZzwvbGFuZ3VhZ2U+PC9yZWNvcmQ+PC9DaXRlPjwv
RW5kTm90ZT4A
</w:fldData>
        </w:fldChar>
      </w:r>
      <w:r w:rsidR="00DC00C5">
        <w:instrText xml:space="preserve"> ADDIN EN.CITE.DATA </w:instrText>
      </w:r>
      <w:r w:rsidR="00DC00C5">
        <w:fldChar w:fldCharType="end"/>
      </w:r>
      <w:r w:rsidR="00DC00C5">
        <w:fldChar w:fldCharType="separate"/>
      </w:r>
      <w:r w:rsidR="00DC00C5">
        <w:rPr>
          <w:noProof/>
        </w:rPr>
        <w:t>(Bishnoi 2011)</w:t>
      </w:r>
      <w:r w:rsidR="00DC00C5">
        <w:fldChar w:fldCharType="end"/>
      </w:r>
      <w:r w:rsidR="00DC00C5" w:rsidRPr="00FF3D16">
        <w:t>,</w:t>
      </w:r>
      <w:r w:rsidR="00DC00C5">
        <w:t xml:space="preserve"> and</w:t>
      </w:r>
      <w:r w:rsidR="00DC00C5" w:rsidRPr="00FF3D16">
        <w:t xml:space="preserve"> the Sydney South West Area Health Service </w:t>
      </w:r>
      <w:r w:rsidR="00DC00C5">
        <w:fldChar w:fldCharType="begin"/>
      </w:r>
      <w:r w:rsidR="00DC00C5">
        <w:instrText xml:space="preserve"> ADDIN EN.CITE &lt;EndNote&gt;&lt;Cite&gt;&lt;Author&gt;Duggan&lt;/Author&gt;&lt;Year&gt;2010&lt;/Year&gt;&lt;RecNum&gt;29&lt;/RecNum&gt;&lt;DisplayText&gt;(Duggan 2010)&lt;/DisplayText&gt;&lt;record&gt;&lt;rec-number&gt;29&lt;/rec-number&gt;&lt;foreign-keys&gt;&lt;key app="EN" db-id="wr9v2ear9da90te2vaovedxidvf9pp52x999" timestamp="1538095507"&gt;29&lt;/key&gt;&lt;/foreign-keys&gt;&lt;ref-type name="Journal Article"&gt;17&lt;/ref-type&gt;&lt;contributors&gt;&lt;authors&gt;&lt;author&gt;Duggan, K.&lt;/author&gt;&lt;author&gt;Vinod, SK.&lt;/author&gt;&lt;/authors&gt;&lt;/contributors&gt;&lt;titles&gt;&lt;title&gt;Treatment patterns for small cell lung cancer in South Western Sydney residents. Poster session presented at: 3rd Annual Australian Lung Cancer Conference. October 7-9 2010. Melbourne, Australia.&lt;/title&gt;&lt;/titles&gt;&lt;dates&gt;&lt;year&gt;2010&lt;/year&gt;&lt;/dates&gt;&lt;urls&gt;&lt;/urls&gt;&lt;/record&gt;&lt;/Cite&gt;&lt;/EndNote&gt;</w:instrText>
      </w:r>
      <w:r w:rsidR="00DC00C5">
        <w:fldChar w:fldCharType="separate"/>
      </w:r>
      <w:r w:rsidR="00DC00C5">
        <w:rPr>
          <w:noProof/>
        </w:rPr>
        <w:t>(Duggan 2010)</w:t>
      </w:r>
      <w:r w:rsidR="00DC00C5">
        <w:fldChar w:fldCharType="end"/>
      </w:r>
      <w:r w:rsidR="00B42AA9">
        <w:t>.</w:t>
      </w:r>
    </w:p>
    <w:p w14:paraId="124F4B05" w14:textId="6FF2CC3D" w:rsidR="001A0413" w:rsidRDefault="001A0413" w:rsidP="00CE716E">
      <w:pPr>
        <w:pStyle w:val="ListParagraph"/>
        <w:numPr>
          <w:ilvl w:val="0"/>
          <w:numId w:val="35"/>
        </w:numPr>
      </w:pPr>
      <w:r>
        <w:t>80% of patients progress from LS-</w:t>
      </w:r>
      <w:r w:rsidRPr="000203D9">
        <w:t>SCLC to ES-SCLC</w:t>
      </w:r>
      <w:r>
        <w:t xml:space="preserve"> who have an ECOG of 0-1</w:t>
      </w:r>
      <w:r w:rsidR="00DC00C5">
        <w:t xml:space="preserve"> </w:t>
      </w:r>
      <w:r w:rsidR="00ED3134">
        <w:t>as advised by DUSC for the July 2019 submission</w:t>
      </w:r>
      <w:r w:rsidR="00BB52E0">
        <w:t>.</w:t>
      </w:r>
    </w:p>
    <w:p w14:paraId="1807E6ED" w14:textId="52792AD3" w:rsidR="001A0413" w:rsidRDefault="001A0413" w:rsidP="00CE716E">
      <w:pPr>
        <w:pStyle w:val="ListParagraph"/>
        <w:numPr>
          <w:ilvl w:val="0"/>
          <w:numId w:val="35"/>
        </w:numPr>
      </w:pPr>
      <w:r w:rsidRPr="006C3FC4">
        <w:t xml:space="preserve">67% of patients with </w:t>
      </w:r>
      <w:r>
        <w:t>ES-SCLC</w:t>
      </w:r>
      <w:r w:rsidRPr="006C3FC4">
        <w:t xml:space="preserve"> </w:t>
      </w:r>
      <w:r>
        <w:t>would</w:t>
      </w:r>
      <w:r w:rsidRPr="006C3FC4">
        <w:t xml:space="preserve"> be eligible for atezolizumab</w:t>
      </w:r>
      <w:r>
        <w:t xml:space="preserve"> who are ECOG 0-1.</w:t>
      </w:r>
    </w:p>
    <w:p w14:paraId="0D6CCCDA" w14:textId="401A7F00" w:rsidR="00A50E0E" w:rsidRDefault="00A50E0E" w:rsidP="00CE716E">
      <w:pPr>
        <w:pStyle w:val="ListParagraph"/>
        <w:numPr>
          <w:ilvl w:val="0"/>
          <w:numId w:val="35"/>
        </w:numPr>
      </w:pPr>
      <w:r>
        <w:t>An estimated treatment uptake of 95% in incident and prevalent patients.</w:t>
      </w:r>
    </w:p>
    <w:p w14:paraId="5386ED67" w14:textId="59438722" w:rsidR="00A50E0E" w:rsidRDefault="00DB57C5" w:rsidP="00CE716E">
      <w:pPr>
        <w:pStyle w:val="ListParagraph"/>
        <w:numPr>
          <w:ilvl w:val="0"/>
          <w:numId w:val="35"/>
        </w:numPr>
      </w:pPr>
      <w:r w:rsidRPr="00DB57C5">
        <w:rPr>
          <w:rFonts w:hint="eastAsia"/>
          <w:color w:val="000000"/>
          <w:w w:val="20"/>
          <w:shd w:val="solid" w:color="000000" w:fill="000000"/>
          <w:fitText w:val="120" w:id="-1296853504"/>
          <w14:textFill>
            <w14:solidFill>
              <w14:srgbClr w14:val="000000">
                <w14:alpha w14:val="100000"/>
              </w14:srgbClr>
            </w14:solidFill>
          </w14:textFill>
        </w:rPr>
        <w:t xml:space="preserve">　</w:t>
      </w:r>
      <w:r w:rsidRPr="00DB57C5">
        <w:rPr>
          <w:color w:val="000000"/>
          <w:w w:val="20"/>
          <w:shd w:val="solid" w:color="000000" w:fill="000000"/>
          <w:fitText w:val="120" w:id="-1296853504"/>
          <w14:textFill>
            <w14:solidFill>
              <w14:srgbClr w14:val="000000">
                <w14:alpha w14:val="100000"/>
              </w14:srgbClr>
            </w14:solidFill>
          </w14:textFill>
        </w:rPr>
        <w:t>|</w:t>
      </w:r>
      <w:r w:rsidRPr="00DB57C5">
        <w:rPr>
          <w:rFonts w:hint="eastAsia"/>
          <w:color w:val="000000"/>
          <w:w w:val="20"/>
          <w:shd w:val="solid" w:color="000000" w:fill="000000"/>
          <w:fitText w:val="120" w:id="-1296853504"/>
          <w14:textFill>
            <w14:solidFill>
              <w14:srgbClr w14:val="000000">
                <w14:alpha w14:val="100000"/>
              </w14:srgbClr>
            </w14:solidFill>
          </w14:textFill>
        </w:rPr>
        <w:t xml:space="preserve">　</w:t>
      </w:r>
      <w:r>
        <w:t xml:space="preserve"> </w:t>
      </w:r>
      <w:r w:rsidR="00A50E0E">
        <w:t>grandfathered patients were estimated to initiate atezolizumab in Year 1.</w:t>
      </w:r>
    </w:p>
    <w:p w14:paraId="2E69CAE4" w14:textId="40F921CE" w:rsidR="003C1986" w:rsidRDefault="003C1986" w:rsidP="00CE716E">
      <w:pPr>
        <w:pStyle w:val="ListParagraph"/>
        <w:numPr>
          <w:ilvl w:val="0"/>
          <w:numId w:val="35"/>
        </w:numPr>
      </w:pPr>
      <w:r>
        <w:t xml:space="preserve">The average treatment duration was estimated to be </w:t>
      </w:r>
      <w:r w:rsidR="00DB57C5" w:rsidRPr="00DB57C5">
        <w:rPr>
          <w:color w:val="000000"/>
          <w:w w:val="81"/>
          <w:shd w:val="solid" w:color="000000" w:fill="000000"/>
          <w:fitText w:val="180" w:id="-1296853503"/>
          <w14:textFill>
            <w14:solidFill>
              <w14:srgbClr w14:val="000000">
                <w14:alpha w14:val="100000"/>
              </w14:srgbClr>
            </w14:solidFill>
          </w14:textFill>
        </w:rPr>
        <w:t>||</w:t>
      </w:r>
      <w:r w:rsidR="00DB57C5">
        <w:t xml:space="preserve"> </w:t>
      </w:r>
      <w:r>
        <w:t xml:space="preserve">months, equivalent to </w:t>
      </w:r>
      <w:r w:rsidR="00DB57C5" w:rsidRPr="00DB57C5">
        <w:rPr>
          <w:color w:val="000000"/>
          <w:w w:val="81"/>
          <w:shd w:val="solid" w:color="000000" w:fill="000000"/>
          <w:fitText w:val="180" w:id="-1296853502"/>
          <w14:textFill>
            <w14:solidFill>
              <w14:srgbClr w14:val="000000">
                <w14:alpha w14:val="100000"/>
              </w14:srgbClr>
            </w14:solidFill>
          </w14:textFill>
        </w:rPr>
        <w:t>||</w:t>
      </w:r>
      <w:r w:rsidR="00DB57C5">
        <w:t xml:space="preserve"> </w:t>
      </w:r>
      <w:r>
        <w:t>doses</w:t>
      </w:r>
      <w:r w:rsidR="003140BF">
        <w:t>, based on the IMpower133 trial.</w:t>
      </w:r>
    </w:p>
    <w:p w14:paraId="6FAA60E4" w14:textId="50922A7C" w:rsidR="00A50E0E" w:rsidRPr="00CE716E" w:rsidRDefault="00A50E0E" w:rsidP="00CE716E">
      <w:pPr>
        <w:pStyle w:val="ListParagraph"/>
        <w:numPr>
          <w:ilvl w:val="0"/>
          <w:numId w:val="35"/>
        </w:numPr>
      </w:pPr>
      <w:r>
        <w:t>All patients w</w:t>
      </w:r>
      <w:r w:rsidR="00E26FB7">
        <w:t>ere</w:t>
      </w:r>
      <w:r>
        <w:t xml:space="preserve"> assumed to have 4 initiating doses</w:t>
      </w:r>
      <w:r w:rsidR="00BB52E0">
        <w:t>.</w:t>
      </w:r>
    </w:p>
    <w:p w14:paraId="7E10F682" w14:textId="211428EC" w:rsidR="00A50E0E" w:rsidRPr="00CE716E" w:rsidRDefault="00DB57C5" w:rsidP="00CE716E">
      <w:pPr>
        <w:pStyle w:val="ListParagraph"/>
        <w:numPr>
          <w:ilvl w:val="0"/>
          <w:numId w:val="35"/>
        </w:numPr>
        <w:tabs>
          <w:tab w:val="left" w:pos="284"/>
        </w:tabs>
      </w:pPr>
      <w:r w:rsidRPr="00DB57C5">
        <w:rPr>
          <w:color w:val="000000"/>
          <w:spacing w:val="78"/>
          <w:shd w:val="solid" w:color="000000" w:fill="000000"/>
          <w:fitText w:val="300" w:id="-1296853501"/>
          <w14:textFill>
            <w14:solidFill>
              <w14:srgbClr w14:val="000000">
                <w14:alpha w14:val="100000"/>
              </w14:srgbClr>
            </w14:solidFill>
          </w14:textFill>
        </w:rPr>
        <w:t>|</w:t>
      </w:r>
      <w:r w:rsidRPr="00DB57C5">
        <w:rPr>
          <w:color w:val="000000"/>
          <w:shd w:val="solid" w:color="000000" w:fill="000000"/>
          <w:fitText w:val="300" w:id="-1296853501"/>
          <w14:textFill>
            <w14:solidFill>
              <w14:srgbClr w14:val="000000">
                <w14:alpha w14:val="100000"/>
              </w14:srgbClr>
            </w14:solidFill>
          </w14:textFill>
        </w:rPr>
        <w:t>|</w:t>
      </w:r>
      <w:r>
        <w:t xml:space="preserve"> </w:t>
      </w:r>
      <w:r w:rsidR="00A50E0E" w:rsidRPr="00CE716E">
        <w:t>continuing doses was assumed for all patients, based on average doses from economic model.</w:t>
      </w:r>
    </w:p>
    <w:p w14:paraId="2F46D9BD" w14:textId="4B371624" w:rsidR="00F71408" w:rsidRDefault="00F71408" w:rsidP="005F0611">
      <w:pPr>
        <w:pStyle w:val="ListParagraph"/>
        <w:ind w:left="0"/>
      </w:pPr>
    </w:p>
    <w:p w14:paraId="1C61B5C4" w14:textId="249B2FA5" w:rsidR="005F0611" w:rsidRDefault="00F71408" w:rsidP="005F0611">
      <w:pPr>
        <w:pStyle w:val="ListParagraph"/>
        <w:ind w:left="0"/>
      </w:pPr>
      <w:r>
        <w:t xml:space="preserve">In March 2020 the PBAC recommended </w:t>
      </w:r>
      <w:r w:rsidRPr="00BB3B34">
        <w:rPr>
          <w:iCs/>
        </w:rPr>
        <w:t>the addition of atezolizumab 840 mg injection for the 1680 mg Q4W flat dosing regimen in 1L ES-SCLC</w:t>
      </w:r>
      <w:r>
        <w:rPr>
          <w:iCs/>
        </w:rPr>
        <w:t xml:space="preserve">. This listing change was expected to be cost neutral and the financial estimates were not further updated from the November 2019 submission. </w:t>
      </w:r>
    </w:p>
    <w:p w14:paraId="460F1A25" w14:textId="4C6AE31E" w:rsidR="00D90FFF" w:rsidRDefault="00D90FFF" w:rsidP="005F0611">
      <w:pPr>
        <w:pStyle w:val="ListParagraph"/>
        <w:ind w:left="0"/>
        <w:rPr>
          <w:iCs/>
        </w:rPr>
      </w:pPr>
    </w:p>
    <w:p w14:paraId="3B97E265" w14:textId="1F1279C3" w:rsidR="00D90FFF" w:rsidRDefault="00D90FFF" w:rsidP="005F0611">
      <w:pPr>
        <w:pStyle w:val="ListParagraph"/>
        <w:ind w:left="0"/>
        <w:rPr>
          <w:iCs/>
        </w:rPr>
      </w:pPr>
      <w:r>
        <w:rPr>
          <w:iCs/>
        </w:rPr>
        <w:t xml:space="preserve">The utilisation estimates for atezolizumab are summarised in Table 3. </w:t>
      </w:r>
      <w:r w:rsidR="000D2A66">
        <w:rPr>
          <w:iCs/>
        </w:rPr>
        <w:t>F</w:t>
      </w:r>
      <w:r>
        <w:rPr>
          <w:iCs/>
        </w:rPr>
        <w:t xml:space="preserve">or the purposes of the predicted vs. actual analysis the estimates based on a treatment duration of </w:t>
      </w:r>
      <w:r w:rsidR="00DB57C5" w:rsidRPr="00C51645">
        <w:rPr>
          <w:iCs/>
          <w:color w:val="000000"/>
          <w:w w:val="81"/>
          <w:shd w:val="solid" w:color="000000" w:fill="000000"/>
          <w:fitText w:val="180" w:id="-1296853248"/>
          <w14:textFill>
            <w14:solidFill>
              <w14:srgbClr w14:val="000000">
                <w14:alpha w14:val="100000"/>
              </w14:srgbClr>
            </w14:solidFill>
          </w14:textFill>
        </w:rPr>
        <w:t>||</w:t>
      </w:r>
      <w:r w:rsidR="00DB57C5">
        <w:rPr>
          <w:iCs/>
        </w:rPr>
        <w:t xml:space="preserve"> </w:t>
      </w:r>
      <w:r>
        <w:rPr>
          <w:iCs/>
        </w:rPr>
        <w:t>months are used</w:t>
      </w:r>
      <w:r w:rsidR="00224D05">
        <w:rPr>
          <w:iCs/>
        </w:rPr>
        <w:t xml:space="preserve"> to compare to actual use.</w:t>
      </w:r>
    </w:p>
    <w:p w14:paraId="22D5FC97" w14:textId="06480307" w:rsidR="00C51645" w:rsidRDefault="00C51645" w:rsidP="005F0611">
      <w:pPr>
        <w:pStyle w:val="ListParagraph"/>
        <w:ind w:left="0"/>
        <w:rPr>
          <w:iCs/>
        </w:rPr>
      </w:pPr>
    </w:p>
    <w:p w14:paraId="13A8D2AD" w14:textId="4EA6F3FD" w:rsidR="00C51645" w:rsidRDefault="00C51645" w:rsidP="005F0611">
      <w:pPr>
        <w:pStyle w:val="ListParagraph"/>
        <w:ind w:left="0"/>
        <w:rPr>
          <w:iCs/>
        </w:rPr>
      </w:pPr>
    </w:p>
    <w:p w14:paraId="75EB1323" w14:textId="77777777" w:rsidR="00C51645" w:rsidRDefault="00C51645" w:rsidP="005F0611">
      <w:pPr>
        <w:pStyle w:val="ListParagraph"/>
        <w:ind w:left="0"/>
        <w:rPr>
          <w:iCs/>
        </w:rPr>
      </w:pPr>
    </w:p>
    <w:p w14:paraId="311C91E5" w14:textId="3015CD18" w:rsidR="00D90FFF" w:rsidRDefault="00D90FFF" w:rsidP="005F0611">
      <w:pPr>
        <w:pStyle w:val="ListParagraph"/>
        <w:ind w:left="0"/>
        <w:rPr>
          <w:iCs/>
        </w:rPr>
      </w:pPr>
    </w:p>
    <w:p w14:paraId="4F69CF76" w14:textId="5BEA8046" w:rsidR="00D90FFF" w:rsidRPr="00224D05" w:rsidRDefault="00D90FFF" w:rsidP="005F0611">
      <w:pPr>
        <w:pStyle w:val="ListParagraph"/>
        <w:ind w:left="0"/>
        <w:rPr>
          <w:b/>
          <w:bCs/>
          <w:iCs/>
        </w:rPr>
      </w:pPr>
      <w:r w:rsidRPr="00224D05">
        <w:rPr>
          <w:b/>
          <w:bCs/>
        </w:rPr>
        <w:lastRenderedPageBreak/>
        <w:t>Table 3: Total utilisation and cost to PBS of listing atezolizumab (as presented in the November 2019 submission)</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1070"/>
        <w:gridCol w:w="1056"/>
        <w:gridCol w:w="1061"/>
        <w:gridCol w:w="1063"/>
        <w:gridCol w:w="1195"/>
        <w:gridCol w:w="1188"/>
      </w:tblGrid>
      <w:tr w:rsidR="00DD4173" w:rsidRPr="00695A45" w14:paraId="7D32E248" w14:textId="77777777" w:rsidTr="00663D00">
        <w:trPr>
          <w:trHeight w:val="36"/>
        </w:trPr>
        <w:tc>
          <w:tcPr>
            <w:tcW w:w="1319" w:type="pct"/>
            <w:shd w:val="clear" w:color="auto" w:fill="BFBFBF" w:themeFill="background1" w:themeFillShade="BF"/>
            <w:noWrap/>
            <w:vAlign w:val="bottom"/>
            <w:hideMark/>
          </w:tcPr>
          <w:p w14:paraId="39B48EC6" w14:textId="77777777" w:rsidR="00D90FFF" w:rsidRPr="00695A45" w:rsidRDefault="00D90FFF" w:rsidP="00FE1244">
            <w:pPr>
              <w:keepNext/>
              <w:keepLines/>
              <w:jc w:val="both"/>
              <w:rPr>
                <w:rFonts w:ascii="Arial Narrow" w:hAnsi="Arial Narrow"/>
                <w:sz w:val="20"/>
                <w:szCs w:val="20"/>
                <w:highlight w:val="lightGray"/>
              </w:rPr>
            </w:pPr>
          </w:p>
        </w:tc>
        <w:tc>
          <w:tcPr>
            <w:tcW w:w="594" w:type="pct"/>
            <w:shd w:val="clear" w:color="auto" w:fill="BFBFBF" w:themeFill="background1" w:themeFillShade="BF"/>
            <w:vAlign w:val="bottom"/>
            <w:hideMark/>
          </w:tcPr>
          <w:p w14:paraId="5ED620A3" w14:textId="77777777" w:rsidR="00D90FFF" w:rsidRPr="00695A45" w:rsidRDefault="00D90FFF" w:rsidP="00FE1244">
            <w:pPr>
              <w:keepNext/>
              <w:keepLines/>
              <w:ind w:left="-61" w:right="-41"/>
              <w:jc w:val="center"/>
              <w:rPr>
                <w:rFonts w:ascii="Arial Narrow" w:hAnsi="Arial Narrow"/>
                <w:b/>
                <w:sz w:val="20"/>
                <w:szCs w:val="20"/>
              </w:rPr>
            </w:pPr>
            <w:r w:rsidRPr="00695A45">
              <w:rPr>
                <w:rFonts w:ascii="Arial Narrow" w:hAnsi="Arial Narrow"/>
                <w:b/>
                <w:sz w:val="20"/>
                <w:szCs w:val="20"/>
              </w:rPr>
              <w:t>Year 1</w:t>
            </w:r>
          </w:p>
        </w:tc>
        <w:tc>
          <w:tcPr>
            <w:tcW w:w="586" w:type="pct"/>
            <w:shd w:val="clear" w:color="auto" w:fill="BFBFBF" w:themeFill="background1" w:themeFillShade="BF"/>
            <w:vAlign w:val="bottom"/>
          </w:tcPr>
          <w:p w14:paraId="57AEFDD5" w14:textId="77777777" w:rsidR="00D90FFF" w:rsidRPr="00695A45" w:rsidRDefault="00D90FFF" w:rsidP="00FE1244">
            <w:pPr>
              <w:keepNext/>
              <w:keepLines/>
              <w:ind w:left="-61" w:right="-41"/>
              <w:jc w:val="center"/>
              <w:rPr>
                <w:rFonts w:ascii="Arial Narrow" w:hAnsi="Arial Narrow"/>
                <w:b/>
                <w:sz w:val="20"/>
                <w:szCs w:val="20"/>
              </w:rPr>
            </w:pPr>
            <w:r w:rsidRPr="00695A45">
              <w:rPr>
                <w:rFonts w:ascii="Arial Narrow" w:hAnsi="Arial Narrow"/>
                <w:b/>
                <w:sz w:val="20"/>
                <w:szCs w:val="20"/>
              </w:rPr>
              <w:t>Year 2</w:t>
            </w:r>
          </w:p>
        </w:tc>
        <w:tc>
          <w:tcPr>
            <w:tcW w:w="589" w:type="pct"/>
            <w:shd w:val="clear" w:color="auto" w:fill="BFBFBF" w:themeFill="background1" w:themeFillShade="BF"/>
            <w:vAlign w:val="bottom"/>
          </w:tcPr>
          <w:p w14:paraId="6F4CAE71" w14:textId="77777777" w:rsidR="00D90FFF" w:rsidRPr="00695A45" w:rsidRDefault="00D90FFF" w:rsidP="00FE1244">
            <w:pPr>
              <w:keepNext/>
              <w:keepLines/>
              <w:ind w:left="-61" w:right="-41"/>
              <w:jc w:val="center"/>
              <w:rPr>
                <w:rFonts w:ascii="Arial Narrow" w:hAnsi="Arial Narrow"/>
                <w:b/>
                <w:sz w:val="20"/>
                <w:szCs w:val="20"/>
              </w:rPr>
            </w:pPr>
            <w:r w:rsidRPr="00695A45">
              <w:rPr>
                <w:rFonts w:ascii="Arial Narrow" w:hAnsi="Arial Narrow"/>
                <w:b/>
                <w:sz w:val="20"/>
                <w:szCs w:val="20"/>
              </w:rPr>
              <w:t>Year 3</w:t>
            </w:r>
          </w:p>
        </w:tc>
        <w:tc>
          <w:tcPr>
            <w:tcW w:w="590" w:type="pct"/>
            <w:shd w:val="clear" w:color="auto" w:fill="BFBFBF" w:themeFill="background1" w:themeFillShade="BF"/>
            <w:vAlign w:val="bottom"/>
          </w:tcPr>
          <w:p w14:paraId="6BCD0BA0" w14:textId="77777777" w:rsidR="00D90FFF" w:rsidRPr="00695A45" w:rsidRDefault="00D90FFF" w:rsidP="00FE1244">
            <w:pPr>
              <w:keepNext/>
              <w:keepLines/>
              <w:ind w:left="-61" w:right="-41"/>
              <w:jc w:val="center"/>
              <w:rPr>
                <w:rFonts w:ascii="Arial Narrow" w:hAnsi="Arial Narrow"/>
                <w:b/>
                <w:sz w:val="20"/>
                <w:szCs w:val="20"/>
              </w:rPr>
            </w:pPr>
            <w:r w:rsidRPr="00695A45">
              <w:rPr>
                <w:rFonts w:ascii="Arial Narrow" w:hAnsi="Arial Narrow"/>
                <w:b/>
                <w:sz w:val="20"/>
                <w:szCs w:val="20"/>
              </w:rPr>
              <w:t>Year 4</w:t>
            </w:r>
          </w:p>
        </w:tc>
        <w:tc>
          <w:tcPr>
            <w:tcW w:w="663" w:type="pct"/>
            <w:shd w:val="clear" w:color="auto" w:fill="BFBFBF" w:themeFill="background1" w:themeFillShade="BF"/>
            <w:vAlign w:val="bottom"/>
          </w:tcPr>
          <w:p w14:paraId="3443EC97" w14:textId="77777777" w:rsidR="00D90FFF" w:rsidRPr="00695A45" w:rsidRDefault="00D90FFF" w:rsidP="00FE1244">
            <w:pPr>
              <w:keepNext/>
              <w:keepLines/>
              <w:ind w:left="-61" w:right="-41"/>
              <w:jc w:val="center"/>
              <w:rPr>
                <w:rFonts w:ascii="Arial Narrow" w:hAnsi="Arial Narrow"/>
                <w:b/>
                <w:sz w:val="20"/>
                <w:szCs w:val="20"/>
              </w:rPr>
            </w:pPr>
            <w:r w:rsidRPr="00695A45">
              <w:rPr>
                <w:rFonts w:ascii="Arial Narrow" w:hAnsi="Arial Narrow"/>
                <w:b/>
                <w:sz w:val="20"/>
                <w:szCs w:val="20"/>
              </w:rPr>
              <w:t>Year 5</w:t>
            </w:r>
          </w:p>
        </w:tc>
        <w:tc>
          <w:tcPr>
            <w:tcW w:w="660" w:type="pct"/>
            <w:shd w:val="clear" w:color="auto" w:fill="BFBFBF" w:themeFill="background1" w:themeFillShade="BF"/>
            <w:vAlign w:val="bottom"/>
          </w:tcPr>
          <w:p w14:paraId="2CD83340" w14:textId="77777777" w:rsidR="00D90FFF" w:rsidRPr="00695A45" w:rsidRDefault="00D90FFF" w:rsidP="00FE1244">
            <w:pPr>
              <w:keepNext/>
              <w:keepLines/>
              <w:ind w:left="-61" w:right="-41"/>
              <w:jc w:val="center"/>
              <w:rPr>
                <w:rFonts w:ascii="Arial Narrow" w:hAnsi="Arial Narrow"/>
                <w:b/>
                <w:sz w:val="20"/>
                <w:szCs w:val="20"/>
              </w:rPr>
            </w:pPr>
            <w:r w:rsidRPr="00695A45">
              <w:rPr>
                <w:rFonts w:ascii="Arial Narrow" w:hAnsi="Arial Narrow"/>
                <w:b/>
                <w:sz w:val="20"/>
                <w:szCs w:val="20"/>
              </w:rPr>
              <w:t>Year 6</w:t>
            </w:r>
          </w:p>
        </w:tc>
      </w:tr>
      <w:tr w:rsidR="00D90FFF" w:rsidRPr="00695A45" w14:paraId="7620F3D2" w14:textId="77777777" w:rsidTr="007C096E">
        <w:trPr>
          <w:trHeight w:val="36"/>
        </w:trPr>
        <w:tc>
          <w:tcPr>
            <w:tcW w:w="5000" w:type="pct"/>
            <w:gridSpan w:val="7"/>
            <w:shd w:val="clear" w:color="auto" w:fill="auto"/>
            <w:vAlign w:val="bottom"/>
          </w:tcPr>
          <w:p w14:paraId="241FE1AA" w14:textId="77777777" w:rsidR="00D90FFF" w:rsidRPr="00695A45" w:rsidRDefault="00D90FFF" w:rsidP="00FE1244">
            <w:pPr>
              <w:keepNext/>
              <w:keepLines/>
              <w:ind w:left="-61" w:right="-41"/>
              <w:rPr>
                <w:rFonts w:ascii="Arial Narrow" w:hAnsi="Arial Narrow"/>
                <w:sz w:val="20"/>
                <w:szCs w:val="20"/>
                <w:highlight w:val="lightGray"/>
              </w:rPr>
            </w:pPr>
            <w:r w:rsidRPr="00695A45">
              <w:rPr>
                <w:rFonts w:ascii="Arial Narrow" w:hAnsi="Arial Narrow"/>
                <w:b/>
                <w:bCs/>
                <w:sz w:val="20"/>
                <w:szCs w:val="20"/>
              </w:rPr>
              <w:t>Estimated extent of use</w:t>
            </w:r>
          </w:p>
        </w:tc>
      </w:tr>
      <w:tr w:rsidR="00DD4173" w:rsidRPr="00695A45" w14:paraId="668D419F" w14:textId="77777777" w:rsidTr="00DB57C5">
        <w:trPr>
          <w:trHeight w:val="36"/>
        </w:trPr>
        <w:tc>
          <w:tcPr>
            <w:tcW w:w="1319" w:type="pct"/>
            <w:shd w:val="clear" w:color="auto" w:fill="auto"/>
            <w:vAlign w:val="bottom"/>
          </w:tcPr>
          <w:p w14:paraId="6936C0EA" w14:textId="77777777" w:rsidR="00D90FFF" w:rsidRPr="00695A45" w:rsidRDefault="00D90FFF" w:rsidP="00FE1244">
            <w:pPr>
              <w:keepNext/>
              <w:keepLines/>
              <w:rPr>
                <w:rFonts w:ascii="Arial Narrow" w:hAnsi="Arial Narrow"/>
                <w:sz w:val="20"/>
                <w:szCs w:val="20"/>
              </w:rPr>
            </w:pPr>
            <w:r w:rsidRPr="00695A45">
              <w:rPr>
                <w:rFonts w:ascii="Arial Narrow" w:hAnsi="Arial Narrow"/>
                <w:sz w:val="20"/>
                <w:szCs w:val="20"/>
              </w:rPr>
              <w:t>Number of treated patients</w:t>
            </w:r>
          </w:p>
        </w:tc>
        <w:tc>
          <w:tcPr>
            <w:tcW w:w="594" w:type="pct"/>
            <w:tcBorders>
              <w:bottom w:val="single" w:sz="4" w:space="0" w:color="auto"/>
            </w:tcBorders>
            <w:shd w:val="solid" w:color="000000" w:fill="000000"/>
            <w:noWrap/>
            <w:vAlign w:val="bottom"/>
          </w:tcPr>
          <w:p w14:paraId="7493B423" w14:textId="7FA23EB6"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23"/>
                <w:sz w:val="20"/>
                <w:szCs w:val="20"/>
                <w:fitText w:val="105" w:id="-1296853247"/>
                <w14:textFill>
                  <w14:solidFill>
                    <w14:srgbClr w14:val="000000">
                      <w14:alpha w14:val="100000"/>
                    </w14:srgbClr>
                  </w14:solidFill>
                </w14:textFill>
              </w:rPr>
              <w:t xml:space="preserve">　</w:t>
            </w:r>
            <w:r w:rsidRPr="00DB57C5">
              <w:rPr>
                <w:rFonts w:ascii="Arial Narrow" w:hAnsi="Arial Narrow"/>
                <w:color w:val="000000"/>
                <w:w w:val="23"/>
                <w:sz w:val="20"/>
                <w:szCs w:val="20"/>
                <w:fitText w:val="105" w:id="-1296853247"/>
                <w14:textFill>
                  <w14:solidFill>
                    <w14:srgbClr w14:val="000000">
                      <w14:alpha w14:val="100000"/>
                    </w14:srgbClr>
                  </w14:solidFill>
                </w14:textFill>
              </w:rPr>
              <w:t>|</w:t>
            </w:r>
            <w:r w:rsidRPr="00DB57C5">
              <w:rPr>
                <w:rFonts w:ascii="Arial Narrow" w:hAnsi="Arial Narrow" w:hint="eastAsia"/>
                <w:color w:val="000000"/>
                <w:w w:val="23"/>
                <w:sz w:val="20"/>
                <w:szCs w:val="20"/>
                <w:fitText w:val="105" w:id="-1296853247"/>
                <w14:textFill>
                  <w14:solidFill>
                    <w14:srgbClr w14:val="000000">
                      <w14:alpha w14:val="100000"/>
                    </w14:srgbClr>
                  </w14:solidFill>
                </w14:textFill>
              </w:rPr>
              <w:t xml:space="preserve">　</w:t>
            </w:r>
          </w:p>
        </w:tc>
        <w:tc>
          <w:tcPr>
            <w:tcW w:w="586" w:type="pct"/>
            <w:tcBorders>
              <w:bottom w:val="single" w:sz="4" w:space="0" w:color="auto"/>
            </w:tcBorders>
            <w:shd w:val="solid" w:color="000000" w:fill="000000"/>
            <w:noWrap/>
            <w:vAlign w:val="bottom"/>
          </w:tcPr>
          <w:p w14:paraId="61728877" w14:textId="2F692EF6"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color w:val="000000"/>
                <w:sz w:val="20"/>
                <w:szCs w:val="20"/>
                <w14:textFill>
                  <w14:solidFill>
                    <w14:srgbClr w14:val="000000">
                      <w14:alpha w14:val="100000"/>
                    </w14:srgbClr>
                  </w14:solidFill>
                </w14:textFill>
              </w:rPr>
              <w:t>|</w:t>
            </w:r>
          </w:p>
        </w:tc>
        <w:tc>
          <w:tcPr>
            <w:tcW w:w="589" w:type="pct"/>
            <w:tcBorders>
              <w:bottom w:val="single" w:sz="4" w:space="0" w:color="auto"/>
            </w:tcBorders>
            <w:shd w:val="solid" w:color="000000" w:fill="000000"/>
            <w:noWrap/>
            <w:vAlign w:val="bottom"/>
          </w:tcPr>
          <w:p w14:paraId="01EA30D9" w14:textId="3CDB4A68"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color w:val="000000"/>
                <w:sz w:val="20"/>
                <w:szCs w:val="20"/>
                <w14:textFill>
                  <w14:solidFill>
                    <w14:srgbClr w14:val="000000">
                      <w14:alpha w14:val="100000"/>
                    </w14:srgbClr>
                  </w14:solidFill>
                </w14:textFill>
              </w:rPr>
              <w:t>|</w:t>
            </w:r>
          </w:p>
        </w:tc>
        <w:tc>
          <w:tcPr>
            <w:tcW w:w="590" w:type="pct"/>
            <w:tcBorders>
              <w:bottom w:val="single" w:sz="4" w:space="0" w:color="auto"/>
            </w:tcBorders>
            <w:shd w:val="solid" w:color="000000" w:fill="000000"/>
            <w:noWrap/>
            <w:vAlign w:val="bottom"/>
          </w:tcPr>
          <w:p w14:paraId="1060B2BA" w14:textId="3A711871"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23"/>
                <w:sz w:val="20"/>
                <w:szCs w:val="20"/>
                <w:fitText w:val="105" w:id="-1296853246"/>
                <w14:textFill>
                  <w14:solidFill>
                    <w14:srgbClr w14:val="000000">
                      <w14:alpha w14:val="100000"/>
                    </w14:srgbClr>
                  </w14:solidFill>
                </w14:textFill>
              </w:rPr>
              <w:t xml:space="preserve">　</w:t>
            </w:r>
            <w:r w:rsidRPr="00DB57C5">
              <w:rPr>
                <w:rFonts w:ascii="Arial Narrow" w:hAnsi="Arial Narrow"/>
                <w:color w:val="000000"/>
                <w:w w:val="23"/>
                <w:sz w:val="20"/>
                <w:szCs w:val="20"/>
                <w:fitText w:val="105" w:id="-1296853246"/>
                <w14:textFill>
                  <w14:solidFill>
                    <w14:srgbClr w14:val="000000">
                      <w14:alpha w14:val="100000"/>
                    </w14:srgbClr>
                  </w14:solidFill>
                </w14:textFill>
              </w:rPr>
              <w:t>|</w:t>
            </w:r>
            <w:r w:rsidRPr="00DB57C5">
              <w:rPr>
                <w:rFonts w:ascii="Arial Narrow" w:hAnsi="Arial Narrow" w:hint="eastAsia"/>
                <w:color w:val="000000"/>
                <w:w w:val="23"/>
                <w:sz w:val="20"/>
                <w:szCs w:val="20"/>
                <w:fitText w:val="105" w:id="-1296853246"/>
                <w14:textFill>
                  <w14:solidFill>
                    <w14:srgbClr w14:val="000000">
                      <w14:alpha w14:val="100000"/>
                    </w14:srgbClr>
                  </w14:solidFill>
                </w14:textFill>
              </w:rPr>
              <w:t xml:space="preserve">　</w:t>
            </w:r>
          </w:p>
        </w:tc>
        <w:tc>
          <w:tcPr>
            <w:tcW w:w="663" w:type="pct"/>
            <w:tcBorders>
              <w:bottom w:val="single" w:sz="4" w:space="0" w:color="auto"/>
            </w:tcBorders>
            <w:shd w:val="solid" w:color="000000" w:fill="000000"/>
            <w:noWrap/>
            <w:vAlign w:val="bottom"/>
          </w:tcPr>
          <w:p w14:paraId="68B53E65" w14:textId="61AB706B"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15"/>
                <w:sz w:val="20"/>
                <w:szCs w:val="20"/>
                <w:fitText w:val="60" w:id="-1296853245"/>
                <w14:textFill>
                  <w14:solidFill>
                    <w14:srgbClr w14:val="000000">
                      <w14:alpha w14:val="100000"/>
                    </w14:srgbClr>
                  </w14:solidFill>
                </w14:textFill>
              </w:rPr>
              <w:t xml:space="preserve">　</w:t>
            </w:r>
            <w:r w:rsidRPr="00DB57C5">
              <w:rPr>
                <w:rFonts w:ascii="Arial Narrow" w:hAnsi="Arial Narrow"/>
                <w:color w:val="000000"/>
                <w:w w:val="15"/>
                <w:sz w:val="20"/>
                <w:szCs w:val="20"/>
                <w:fitText w:val="60" w:id="-1296853245"/>
                <w14:textFill>
                  <w14:solidFill>
                    <w14:srgbClr w14:val="000000">
                      <w14:alpha w14:val="100000"/>
                    </w14:srgbClr>
                  </w14:solidFill>
                </w14:textFill>
              </w:rPr>
              <w:t>|</w:t>
            </w:r>
            <w:r w:rsidRPr="00DB57C5">
              <w:rPr>
                <w:rFonts w:ascii="Arial Narrow" w:hAnsi="Arial Narrow" w:hint="eastAsia"/>
                <w:color w:val="000000"/>
                <w:w w:val="15"/>
                <w:sz w:val="20"/>
                <w:szCs w:val="20"/>
                <w:fitText w:val="60" w:id="-1296853245"/>
                <w14:textFill>
                  <w14:solidFill>
                    <w14:srgbClr w14:val="000000">
                      <w14:alpha w14:val="100000"/>
                    </w14:srgbClr>
                  </w14:solidFill>
                </w14:textFill>
              </w:rPr>
              <w:t xml:space="preserve">　</w:t>
            </w:r>
          </w:p>
        </w:tc>
        <w:tc>
          <w:tcPr>
            <w:tcW w:w="660" w:type="pct"/>
            <w:tcBorders>
              <w:bottom w:val="single" w:sz="4" w:space="0" w:color="auto"/>
            </w:tcBorders>
            <w:shd w:val="solid" w:color="000000" w:fill="000000"/>
            <w:vAlign w:val="bottom"/>
          </w:tcPr>
          <w:p w14:paraId="0C279BB6" w14:textId="21DFF4A7"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15"/>
                <w:sz w:val="20"/>
                <w:szCs w:val="20"/>
                <w:fitText w:val="45" w:id="-1296853244"/>
                <w14:textFill>
                  <w14:solidFill>
                    <w14:srgbClr w14:val="000000">
                      <w14:alpha w14:val="100000"/>
                    </w14:srgbClr>
                  </w14:solidFill>
                </w14:textFill>
              </w:rPr>
              <w:t xml:space="preserve">　</w:t>
            </w:r>
            <w:r w:rsidRPr="00DB57C5">
              <w:rPr>
                <w:rFonts w:ascii="Arial Narrow" w:hAnsi="Arial Narrow"/>
                <w:color w:val="000000"/>
                <w:w w:val="15"/>
                <w:sz w:val="20"/>
                <w:szCs w:val="20"/>
                <w:fitText w:val="45" w:id="-1296853244"/>
                <w14:textFill>
                  <w14:solidFill>
                    <w14:srgbClr w14:val="000000">
                      <w14:alpha w14:val="100000"/>
                    </w14:srgbClr>
                  </w14:solidFill>
                </w14:textFill>
              </w:rPr>
              <w:t>|</w:t>
            </w:r>
            <w:r w:rsidRPr="00DB57C5">
              <w:rPr>
                <w:rFonts w:ascii="Arial Narrow" w:hAnsi="Arial Narrow" w:hint="eastAsia"/>
                <w:color w:val="000000"/>
                <w:spacing w:val="-20"/>
                <w:w w:val="15"/>
                <w:sz w:val="20"/>
                <w:szCs w:val="20"/>
                <w:fitText w:val="45" w:id="-1296853244"/>
                <w14:textFill>
                  <w14:solidFill>
                    <w14:srgbClr w14:val="000000">
                      <w14:alpha w14:val="100000"/>
                    </w14:srgbClr>
                  </w14:solidFill>
                </w14:textFill>
              </w:rPr>
              <w:t xml:space="preserve">　</w:t>
            </w:r>
          </w:p>
        </w:tc>
      </w:tr>
      <w:tr w:rsidR="00DD4173" w:rsidRPr="00695A45" w14:paraId="73D6D139" w14:textId="77777777" w:rsidTr="00DB57C5">
        <w:trPr>
          <w:trHeight w:val="36"/>
        </w:trPr>
        <w:tc>
          <w:tcPr>
            <w:tcW w:w="1319" w:type="pct"/>
            <w:shd w:val="clear" w:color="auto" w:fill="auto"/>
            <w:vAlign w:val="bottom"/>
          </w:tcPr>
          <w:p w14:paraId="541B6CEB" w14:textId="77777777" w:rsidR="00D90FFF" w:rsidRPr="00695A45" w:rsidRDefault="00D90FFF" w:rsidP="00FE1244">
            <w:pPr>
              <w:keepNext/>
              <w:keepLines/>
              <w:rPr>
                <w:rFonts w:ascii="Arial Narrow" w:hAnsi="Arial Narrow"/>
                <w:sz w:val="20"/>
                <w:szCs w:val="20"/>
              </w:rPr>
            </w:pPr>
            <w:r w:rsidRPr="00695A45">
              <w:rPr>
                <w:rFonts w:ascii="Arial Narrow" w:hAnsi="Arial Narrow"/>
                <w:sz w:val="20"/>
                <w:szCs w:val="20"/>
              </w:rPr>
              <w:t>Number of scripts</w:t>
            </w:r>
          </w:p>
        </w:tc>
        <w:tc>
          <w:tcPr>
            <w:tcW w:w="594" w:type="pct"/>
            <w:shd w:val="solid" w:color="000000" w:fill="000000"/>
            <w:noWrap/>
            <w:vAlign w:val="bottom"/>
          </w:tcPr>
          <w:p w14:paraId="3B2E4C63" w14:textId="5EAD3971"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23"/>
                <w:sz w:val="20"/>
                <w:szCs w:val="20"/>
                <w:fitText w:val="105" w:id="-1296853243"/>
                <w14:textFill>
                  <w14:solidFill>
                    <w14:srgbClr w14:val="000000">
                      <w14:alpha w14:val="100000"/>
                    </w14:srgbClr>
                  </w14:solidFill>
                </w14:textFill>
              </w:rPr>
              <w:t xml:space="preserve">　</w:t>
            </w:r>
            <w:r w:rsidRPr="00DB57C5">
              <w:rPr>
                <w:rFonts w:ascii="Arial Narrow" w:hAnsi="Arial Narrow"/>
                <w:color w:val="000000"/>
                <w:w w:val="23"/>
                <w:sz w:val="20"/>
                <w:szCs w:val="20"/>
                <w:fitText w:val="105" w:id="-1296853243"/>
                <w14:textFill>
                  <w14:solidFill>
                    <w14:srgbClr w14:val="000000">
                      <w14:alpha w14:val="100000"/>
                    </w14:srgbClr>
                  </w14:solidFill>
                </w14:textFill>
              </w:rPr>
              <w:t>|</w:t>
            </w:r>
            <w:r w:rsidRPr="00DB57C5">
              <w:rPr>
                <w:rFonts w:ascii="Arial Narrow" w:hAnsi="Arial Narrow" w:hint="eastAsia"/>
                <w:color w:val="000000"/>
                <w:w w:val="23"/>
                <w:sz w:val="20"/>
                <w:szCs w:val="20"/>
                <w:fitText w:val="105" w:id="-1296853243"/>
                <w14:textFill>
                  <w14:solidFill>
                    <w14:srgbClr w14:val="000000">
                      <w14:alpha w14:val="100000"/>
                    </w14:srgbClr>
                  </w14:solidFill>
                </w14:textFill>
              </w:rPr>
              <w:t xml:space="preserve">　</w:t>
            </w:r>
          </w:p>
        </w:tc>
        <w:tc>
          <w:tcPr>
            <w:tcW w:w="586" w:type="pct"/>
            <w:shd w:val="solid" w:color="000000" w:fill="000000"/>
            <w:noWrap/>
            <w:vAlign w:val="bottom"/>
          </w:tcPr>
          <w:p w14:paraId="7A3543B5" w14:textId="4BC2051D"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23"/>
                <w:sz w:val="20"/>
                <w:szCs w:val="20"/>
                <w:fitText w:val="105" w:id="-1296853242"/>
                <w14:textFill>
                  <w14:solidFill>
                    <w14:srgbClr w14:val="000000">
                      <w14:alpha w14:val="100000"/>
                    </w14:srgbClr>
                  </w14:solidFill>
                </w14:textFill>
              </w:rPr>
              <w:t xml:space="preserve">　</w:t>
            </w:r>
            <w:r w:rsidRPr="00DB57C5">
              <w:rPr>
                <w:rFonts w:ascii="Arial Narrow" w:hAnsi="Arial Narrow"/>
                <w:color w:val="000000"/>
                <w:w w:val="23"/>
                <w:sz w:val="20"/>
                <w:szCs w:val="20"/>
                <w:fitText w:val="105" w:id="-1296853242"/>
                <w14:textFill>
                  <w14:solidFill>
                    <w14:srgbClr w14:val="000000">
                      <w14:alpha w14:val="100000"/>
                    </w14:srgbClr>
                  </w14:solidFill>
                </w14:textFill>
              </w:rPr>
              <w:t>|</w:t>
            </w:r>
            <w:r w:rsidRPr="00DB57C5">
              <w:rPr>
                <w:rFonts w:ascii="Arial Narrow" w:hAnsi="Arial Narrow" w:hint="eastAsia"/>
                <w:color w:val="000000"/>
                <w:w w:val="23"/>
                <w:sz w:val="20"/>
                <w:szCs w:val="20"/>
                <w:fitText w:val="105" w:id="-1296853242"/>
                <w14:textFill>
                  <w14:solidFill>
                    <w14:srgbClr w14:val="000000">
                      <w14:alpha w14:val="100000"/>
                    </w14:srgbClr>
                  </w14:solidFill>
                </w14:textFill>
              </w:rPr>
              <w:t xml:space="preserve">　</w:t>
            </w:r>
          </w:p>
        </w:tc>
        <w:tc>
          <w:tcPr>
            <w:tcW w:w="589" w:type="pct"/>
            <w:shd w:val="solid" w:color="000000" w:fill="000000"/>
            <w:noWrap/>
            <w:vAlign w:val="bottom"/>
          </w:tcPr>
          <w:p w14:paraId="68737D79" w14:textId="5233AA40"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23"/>
                <w:sz w:val="20"/>
                <w:szCs w:val="20"/>
                <w:fitText w:val="105" w:id="-1296853241"/>
                <w14:textFill>
                  <w14:solidFill>
                    <w14:srgbClr w14:val="000000">
                      <w14:alpha w14:val="100000"/>
                    </w14:srgbClr>
                  </w14:solidFill>
                </w14:textFill>
              </w:rPr>
              <w:t xml:space="preserve">　</w:t>
            </w:r>
            <w:r w:rsidRPr="00DB57C5">
              <w:rPr>
                <w:rFonts w:ascii="Arial Narrow" w:hAnsi="Arial Narrow"/>
                <w:color w:val="000000"/>
                <w:w w:val="23"/>
                <w:sz w:val="20"/>
                <w:szCs w:val="20"/>
                <w:fitText w:val="105" w:id="-1296853241"/>
                <w14:textFill>
                  <w14:solidFill>
                    <w14:srgbClr w14:val="000000">
                      <w14:alpha w14:val="100000"/>
                    </w14:srgbClr>
                  </w14:solidFill>
                </w14:textFill>
              </w:rPr>
              <w:t>|</w:t>
            </w:r>
            <w:r w:rsidRPr="00DB57C5">
              <w:rPr>
                <w:rFonts w:ascii="Arial Narrow" w:hAnsi="Arial Narrow" w:hint="eastAsia"/>
                <w:color w:val="000000"/>
                <w:w w:val="23"/>
                <w:sz w:val="20"/>
                <w:szCs w:val="20"/>
                <w:fitText w:val="105" w:id="-1296853241"/>
                <w14:textFill>
                  <w14:solidFill>
                    <w14:srgbClr w14:val="000000">
                      <w14:alpha w14:val="100000"/>
                    </w14:srgbClr>
                  </w14:solidFill>
                </w14:textFill>
              </w:rPr>
              <w:t xml:space="preserve">　</w:t>
            </w:r>
          </w:p>
        </w:tc>
        <w:tc>
          <w:tcPr>
            <w:tcW w:w="590" w:type="pct"/>
            <w:shd w:val="solid" w:color="000000" w:fill="000000"/>
            <w:noWrap/>
            <w:vAlign w:val="bottom"/>
          </w:tcPr>
          <w:p w14:paraId="31A17B93" w14:textId="4B355436"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23"/>
                <w:sz w:val="20"/>
                <w:szCs w:val="20"/>
                <w:fitText w:val="105" w:id="-1296853240"/>
                <w14:textFill>
                  <w14:solidFill>
                    <w14:srgbClr w14:val="000000">
                      <w14:alpha w14:val="100000"/>
                    </w14:srgbClr>
                  </w14:solidFill>
                </w14:textFill>
              </w:rPr>
              <w:t xml:space="preserve">　</w:t>
            </w:r>
            <w:r w:rsidRPr="00DB57C5">
              <w:rPr>
                <w:rFonts w:ascii="Arial Narrow" w:hAnsi="Arial Narrow"/>
                <w:color w:val="000000"/>
                <w:w w:val="23"/>
                <w:sz w:val="20"/>
                <w:szCs w:val="20"/>
                <w:fitText w:val="105" w:id="-1296853240"/>
                <w14:textFill>
                  <w14:solidFill>
                    <w14:srgbClr w14:val="000000">
                      <w14:alpha w14:val="100000"/>
                    </w14:srgbClr>
                  </w14:solidFill>
                </w14:textFill>
              </w:rPr>
              <w:t>|</w:t>
            </w:r>
            <w:r w:rsidRPr="00DB57C5">
              <w:rPr>
                <w:rFonts w:ascii="Arial Narrow" w:hAnsi="Arial Narrow" w:hint="eastAsia"/>
                <w:color w:val="000000"/>
                <w:w w:val="23"/>
                <w:sz w:val="20"/>
                <w:szCs w:val="20"/>
                <w:fitText w:val="105" w:id="-1296853240"/>
                <w14:textFill>
                  <w14:solidFill>
                    <w14:srgbClr w14:val="000000">
                      <w14:alpha w14:val="100000"/>
                    </w14:srgbClr>
                  </w14:solidFill>
                </w14:textFill>
              </w:rPr>
              <w:t xml:space="preserve">　</w:t>
            </w:r>
          </w:p>
        </w:tc>
        <w:tc>
          <w:tcPr>
            <w:tcW w:w="663" w:type="pct"/>
            <w:shd w:val="solid" w:color="000000" w:fill="000000"/>
            <w:noWrap/>
            <w:vAlign w:val="bottom"/>
          </w:tcPr>
          <w:p w14:paraId="1B0E9078" w14:textId="774EB929"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15"/>
                <w:sz w:val="20"/>
                <w:szCs w:val="20"/>
                <w:fitText w:val="60" w:id="-1296853239"/>
                <w14:textFill>
                  <w14:solidFill>
                    <w14:srgbClr w14:val="000000">
                      <w14:alpha w14:val="100000"/>
                    </w14:srgbClr>
                  </w14:solidFill>
                </w14:textFill>
              </w:rPr>
              <w:t xml:space="preserve">　</w:t>
            </w:r>
            <w:r w:rsidRPr="00DB57C5">
              <w:rPr>
                <w:rFonts w:ascii="Arial Narrow" w:hAnsi="Arial Narrow"/>
                <w:color w:val="000000"/>
                <w:w w:val="15"/>
                <w:sz w:val="20"/>
                <w:szCs w:val="20"/>
                <w:fitText w:val="60" w:id="-1296853239"/>
                <w14:textFill>
                  <w14:solidFill>
                    <w14:srgbClr w14:val="000000">
                      <w14:alpha w14:val="100000"/>
                    </w14:srgbClr>
                  </w14:solidFill>
                </w14:textFill>
              </w:rPr>
              <w:t>|</w:t>
            </w:r>
            <w:r w:rsidRPr="00DB57C5">
              <w:rPr>
                <w:rFonts w:ascii="Arial Narrow" w:hAnsi="Arial Narrow" w:hint="eastAsia"/>
                <w:color w:val="000000"/>
                <w:w w:val="15"/>
                <w:sz w:val="20"/>
                <w:szCs w:val="20"/>
                <w:fitText w:val="60" w:id="-1296853239"/>
                <w14:textFill>
                  <w14:solidFill>
                    <w14:srgbClr w14:val="000000">
                      <w14:alpha w14:val="100000"/>
                    </w14:srgbClr>
                  </w14:solidFill>
                </w14:textFill>
              </w:rPr>
              <w:t xml:space="preserve">　</w:t>
            </w:r>
          </w:p>
        </w:tc>
        <w:tc>
          <w:tcPr>
            <w:tcW w:w="660" w:type="pct"/>
            <w:shd w:val="solid" w:color="000000" w:fill="000000"/>
            <w:vAlign w:val="bottom"/>
          </w:tcPr>
          <w:p w14:paraId="18C90BCF" w14:textId="2686AFFD" w:rsidR="00D90FFF" w:rsidRPr="00695A45" w:rsidRDefault="00DB57C5" w:rsidP="00215E77">
            <w:pPr>
              <w:keepNext/>
              <w:keepLines/>
              <w:ind w:left="-61" w:right="-41"/>
              <w:jc w:val="center"/>
              <w:rPr>
                <w:rFonts w:ascii="Arial Narrow" w:hAnsi="Arial Narrow"/>
                <w:sz w:val="20"/>
                <w:szCs w:val="20"/>
                <w:highlight w:val="lightGray"/>
              </w:rPr>
            </w:pPr>
            <w:r w:rsidRPr="00DB57C5">
              <w:rPr>
                <w:rFonts w:ascii="Arial Narrow" w:hAnsi="Arial Narrow" w:hint="eastAsia"/>
                <w:color w:val="000000"/>
                <w:w w:val="15"/>
                <w:sz w:val="20"/>
                <w:szCs w:val="20"/>
                <w:fitText w:val="45" w:id="-1296852992"/>
                <w14:textFill>
                  <w14:solidFill>
                    <w14:srgbClr w14:val="000000">
                      <w14:alpha w14:val="100000"/>
                    </w14:srgbClr>
                  </w14:solidFill>
                </w14:textFill>
              </w:rPr>
              <w:t xml:space="preserve">　</w:t>
            </w:r>
            <w:r w:rsidRPr="00DB57C5">
              <w:rPr>
                <w:rFonts w:ascii="Arial Narrow" w:hAnsi="Arial Narrow"/>
                <w:color w:val="000000"/>
                <w:w w:val="15"/>
                <w:sz w:val="20"/>
                <w:szCs w:val="20"/>
                <w:fitText w:val="45" w:id="-1296852992"/>
                <w14:textFill>
                  <w14:solidFill>
                    <w14:srgbClr w14:val="000000">
                      <w14:alpha w14:val="100000"/>
                    </w14:srgbClr>
                  </w14:solidFill>
                </w14:textFill>
              </w:rPr>
              <w:t>|</w:t>
            </w:r>
            <w:r w:rsidRPr="00DB57C5">
              <w:rPr>
                <w:rFonts w:ascii="Arial Narrow" w:hAnsi="Arial Narrow" w:hint="eastAsia"/>
                <w:color w:val="000000"/>
                <w:spacing w:val="-20"/>
                <w:w w:val="15"/>
                <w:sz w:val="20"/>
                <w:szCs w:val="20"/>
                <w:fitText w:val="45" w:id="-1296852992"/>
                <w14:textFill>
                  <w14:solidFill>
                    <w14:srgbClr w14:val="000000">
                      <w14:alpha w14:val="100000"/>
                    </w14:srgbClr>
                  </w14:solidFill>
                </w14:textFill>
              </w:rPr>
              <w:t xml:space="preserve">　</w:t>
            </w:r>
          </w:p>
        </w:tc>
      </w:tr>
      <w:tr w:rsidR="00D90FFF" w:rsidRPr="00695A45" w14:paraId="1DE38980" w14:textId="77777777" w:rsidTr="00A91A00">
        <w:trPr>
          <w:trHeight w:val="95"/>
        </w:trPr>
        <w:tc>
          <w:tcPr>
            <w:tcW w:w="5000" w:type="pct"/>
            <w:gridSpan w:val="7"/>
            <w:shd w:val="clear" w:color="auto" w:fill="auto"/>
            <w:vAlign w:val="bottom"/>
          </w:tcPr>
          <w:p w14:paraId="13256D6C" w14:textId="21D65ED1" w:rsidR="00D90FFF" w:rsidRPr="00695A45" w:rsidRDefault="00D90FFF" w:rsidP="00FE1244">
            <w:pPr>
              <w:keepNext/>
              <w:keepLines/>
              <w:ind w:left="-61" w:right="-41"/>
              <w:rPr>
                <w:rFonts w:ascii="Arial Narrow" w:hAnsi="Arial Narrow"/>
                <w:b/>
                <w:bCs/>
                <w:sz w:val="20"/>
                <w:szCs w:val="20"/>
                <w:highlight w:val="lightGray"/>
              </w:rPr>
            </w:pPr>
            <w:r w:rsidRPr="00695A45">
              <w:rPr>
                <w:rFonts w:ascii="Arial Narrow" w:hAnsi="Arial Narrow"/>
                <w:b/>
                <w:bCs/>
                <w:sz w:val="20"/>
                <w:szCs w:val="20"/>
              </w:rPr>
              <w:t>Estimated financial implications of atezolizumab</w:t>
            </w:r>
          </w:p>
        </w:tc>
      </w:tr>
      <w:tr w:rsidR="00DD4173" w:rsidRPr="00695A45" w14:paraId="0101CEF8" w14:textId="77777777" w:rsidTr="00663D00">
        <w:trPr>
          <w:trHeight w:val="147"/>
        </w:trPr>
        <w:tc>
          <w:tcPr>
            <w:tcW w:w="1319" w:type="pct"/>
            <w:shd w:val="clear" w:color="auto" w:fill="auto"/>
            <w:vAlign w:val="bottom"/>
          </w:tcPr>
          <w:p w14:paraId="55E868B0" w14:textId="08E099A7" w:rsidR="00DD4173" w:rsidRPr="00695A45" w:rsidRDefault="00DD4173" w:rsidP="00DD4173">
            <w:pPr>
              <w:keepNext/>
              <w:keepLines/>
              <w:rPr>
                <w:rFonts w:ascii="Arial Narrow" w:hAnsi="Arial Narrow"/>
                <w:b/>
                <w:bCs/>
                <w:sz w:val="20"/>
                <w:szCs w:val="20"/>
              </w:rPr>
            </w:pPr>
            <w:r>
              <w:rPr>
                <w:rFonts w:ascii="Arial Narrow" w:hAnsi="Arial Narrow"/>
                <w:b/>
                <w:bCs/>
                <w:sz w:val="20"/>
                <w:szCs w:val="20"/>
              </w:rPr>
              <w:t>Net cost to PBS/RPBS (published price)</w:t>
            </w:r>
          </w:p>
        </w:tc>
        <w:tc>
          <w:tcPr>
            <w:tcW w:w="594" w:type="pct"/>
            <w:shd w:val="clear" w:color="auto" w:fill="auto"/>
            <w:noWrap/>
            <w:vAlign w:val="bottom"/>
          </w:tcPr>
          <w:p w14:paraId="50051927" w14:textId="2D1C3061" w:rsidR="00DD4173" w:rsidRPr="00DD4173" w:rsidRDefault="00DB57C5" w:rsidP="00DD4173">
            <w:pPr>
              <w:keepNext/>
              <w:keepLines/>
              <w:ind w:left="-61" w:right="-41"/>
              <w:jc w:val="right"/>
              <w:rPr>
                <w:rFonts w:ascii="Arial Narrow" w:hAnsi="Arial Narrow"/>
                <w:sz w:val="20"/>
                <w:szCs w:val="20"/>
              </w:rPr>
            </w:pPr>
            <w:r w:rsidRPr="00DB57C5">
              <w:rPr>
                <w:rFonts w:ascii="Arial Narrow" w:hAnsi="Arial Narrow"/>
                <w:color w:val="000000"/>
                <w:spacing w:val="29"/>
                <w:sz w:val="20"/>
                <w:szCs w:val="20"/>
                <w:shd w:val="solid" w:color="000000" w:fill="000000"/>
                <w:fitText w:val="840" w:id="-1296852990"/>
                <w14:textFill>
                  <w14:solidFill>
                    <w14:srgbClr w14:val="000000">
                      <w14:alpha w14:val="100000"/>
                    </w14:srgbClr>
                  </w14:solidFill>
                </w14:textFill>
              </w:rPr>
              <w:t>|||||||||||</w:t>
            </w:r>
            <w:r w:rsidRPr="00DB57C5">
              <w:rPr>
                <w:rFonts w:ascii="Arial Narrow" w:hAnsi="Arial Narrow"/>
                <w:color w:val="000000"/>
                <w:spacing w:val="11"/>
                <w:sz w:val="20"/>
                <w:szCs w:val="20"/>
                <w:shd w:val="solid" w:color="000000" w:fill="000000"/>
                <w:fitText w:val="840" w:id="-1296852990"/>
                <w14:textFill>
                  <w14:solidFill>
                    <w14:srgbClr w14:val="000000">
                      <w14:alpha w14:val="100000"/>
                    </w14:srgbClr>
                  </w14:solidFill>
                </w14:textFill>
              </w:rPr>
              <w:t>|</w:t>
            </w:r>
            <w:r>
              <w:rPr>
                <w:rFonts w:ascii="Arial Narrow" w:hAnsi="Arial Narrow"/>
                <w:sz w:val="20"/>
                <w:szCs w:val="20"/>
              </w:rPr>
              <w:t xml:space="preserve"> </w:t>
            </w:r>
          </w:p>
        </w:tc>
        <w:tc>
          <w:tcPr>
            <w:tcW w:w="586" w:type="pct"/>
            <w:shd w:val="clear" w:color="auto" w:fill="auto"/>
            <w:noWrap/>
            <w:vAlign w:val="bottom"/>
          </w:tcPr>
          <w:p w14:paraId="6EA2D89D" w14:textId="3F5E7228" w:rsidR="00DD4173" w:rsidRPr="00DD4173" w:rsidRDefault="00DB57C5" w:rsidP="00DD4173">
            <w:pPr>
              <w:keepNext/>
              <w:keepLines/>
              <w:ind w:left="-61" w:right="-41"/>
              <w:jc w:val="right"/>
              <w:rPr>
                <w:rFonts w:ascii="Arial Narrow" w:hAnsi="Arial Narrow"/>
                <w:sz w:val="20"/>
                <w:szCs w:val="20"/>
              </w:rPr>
            </w:pPr>
            <w:r w:rsidRPr="00DB57C5">
              <w:rPr>
                <w:rFonts w:ascii="Arial Narrow" w:hAnsi="Arial Narrow"/>
                <w:color w:val="000000"/>
                <w:spacing w:val="31"/>
                <w:sz w:val="20"/>
                <w:szCs w:val="20"/>
                <w:shd w:val="solid" w:color="000000" w:fill="000000"/>
                <w:fitText w:val="855" w:id="-1296852989"/>
                <w14:textFill>
                  <w14:solidFill>
                    <w14:srgbClr w14:val="000000">
                      <w14:alpha w14:val="100000"/>
                    </w14:srgbClr>
                  </w14:solidFill>
                </w14:textFill>
              </w:rPr>
              <w:t>|||||||||||</w:t>
            </w:r>
            <w:r w:rsidRPr="00DB57C5">
              <w:rPr>
                <w:rFonts w:ascii="Arial Narrow" w:hAnsi="Arial Narrow"/>
                <w:color w:val="000000"/>
                <w:spacing w:val="4"/>
                <w:sz w:val="20"/>
                <w:szCs w:val="20"/>
                <w:shd w:val="solid" w:color="000000" w:fill="000000"/>
                <w:fitText w:val="855" w:id="-1296852989"/>
                <w14:textFill>
                  <w14:solidFill>
                    <w14:srgbClr w14:val="000000">
                      <w14:alpha w14:val="100000"/>
                    </w14:srgbClr>
                  </w14:solidFill>
                </w14:textFill>
              </w:rPr>
              <w:t>|</w:t>
            </w:r>
            <w:r>
              <w:rPr>
                <w:rFonts w:ascii="Arial Narrow" w:hAnsi="Arial Narrow"/>
                <w:sz w:val="20"/>
                <w:szCs w:val="20"/>
              </w:rPr>
              <w:t xml:space="preserve"> </w:t>
            </w:r>
          </w:p>
        </w:tc>
        <w:tc>
          <w:tcPr>
            <w:tcW w:w="589" w:type="pct"/>
            <w:shd w:val="clear" w:color="auto" w:fill="auto"/>
            <w:noWrap/>
            <w:vAlign w:val="bottom"/>
          </w:tcPr>
          <w:p w14:paraId="785CEB01" w14:textId="0F6DDB77" w:rsidR="00DD4173" w:rsidRPr="00DD4173" w:rsidRDefault="00DB57C5" w:rsidP="00DD4173">
            <w:pPr>
              <w:keepNext/>
              <w:keepLines/>
              <w:ind w:left="-61" w:right="-41"/>
              <w:jc w:val="right"/>
              <w:rPr>
                <w:rFonts w:ascii="Arial Narrow" w:hAnsi="Arial Narrow"/>
                <w:sz w:val="20"/>
                <w:szCs w:val="20"/>
              </w:rPr>
            </w:pPr>
            <w:r w:rsidRPr="00DB57C5">
              <w:rPr>
                <w:rFonts w:ascii="Arial Narrow" w:hAnsi="Arial Narrow"/>
                <w:color w:val="000000"/>
                <w:spacing w:val="31"/>
                <w:sz w:val="20"/>
                <w:szCs w:val="20"/>
                <w:shd w:val="solid" w:color="000000" w:fill="000000"/>
                <w:fitText w:val="855" w:id="-1296852988"/>
                <w14:textFill>
                  <w14:solidFill>
                    <w14:srgbClr w14:val="000000">
                      <w14:alpha w14:val="100000"/>
                    </w14:srgbClr>
                  </w14:solidFill>
                </w14:textFill>
              </w:rPr>
              <w:t>|||||||||||</w:t>
            </w:r>
            <w:r w:rsidRPr="00DB57C5">
              <w:rPr>
                <w:rFonts w:ascii="Arial Narrow" w:hAnsi="Arial Narrow"/>
                <w:color w:val="000000"/>
                <w:spacing w:val="4"/>
                <w:sz w:val="20"/>
                <w:szCs w:val="20"/>
                <w:shd w:val="solid" w:color="000000" w:fill="000000"/>
                <w:fitText w:val="855" w:id="-1296852988"/>
                <w14:textFill>
                  <w14:solidFill>
                    <w14:srgbClr w14:val="000000">
                      <w14:alpha w14:val="100000"/>
                    </w14:srgbClr>
                  </w14:solidFill>
                </w14:textFill>
              </w:rPr>
              <w:t>|</w:t>
            </w:r>
            <w:r>
              <w:rPr>
                <w:rFonts w:ascii="Arial Narrow" w:hAnsi="Arial Narrow"/>
                <w:sz w:val="20"/>
                <w:szCs w:val="20"/>
              </w:rPr>
              <w:t xml:space="preserve"> </w:t>
            </w:r>
          </w:p>
        </w:tc>
        <w:tc>
          <w:tcPr>
            <w:tcW w:w="590" w:type="pct"/>
            <w:shd w:val="clear" w:color="auto" w:fill="auto"/>
            <w:noWrap/>
            <w:vAlign w:val="bottom"/>
          </w:tcPr>
          <w:p w14:paraId="1FB07BD4" w14:textId="40D81310" w:rsidR="00DD4173" w:rsidRPr="00DD4173" w:rsidRDefault="00DB57C5" w:rsidP="00DD4173">
            <w:pPr>
              <w:keepNext/>
              <w:keepLines/>
              <w:ind w:left="-61" w:right="-41"/>
              <w:jc w:val="right"/>
              <w:rPr>
                <w:rFonts w:ascii="Arial Narrow" w:hAnsi="Arial Narrow"/>
                <w:sz w:val="20"/>
                <w:szCs w:val="20"/>
              </w:rPr>
            </w:pPr>
            <w:r w:rsidRPr="00DB57C5">
              <w:rPr>
                <w:rFonts w:ascii="Arial Narrow" w:hAnsi="Arial Narrow"/>
                <w:color w:val="000000"/>
                <w:spacing w:val="31"/>
                <w:sz w:val="20"/>
                <w:szCs w:val="20"/>
                <w:shd w:val="solid" w:color="000000" w:fill="000000"/>
                <w:fitText w:val="855" w:id="-1296852987"/>
                <w14:textFill>
                  <w14:solidFill>
                    <w14:srgbClr w14:val="000000">
                      <w14:alpha w14:val="100000"/>
                    </w14:srgbClr>
                  </w14:solidFill>
                </w14:textFill>
              </w:rPr>
              <w:t>|||||||||||</w:t>
            </w:r>
            <w:r w:rsidRPr="00DB57C5">
              <w:rPr>
                <w:rFonts w:ascii="Arial Narrow" w:hAnsi="Arial Narrow"/>
                <w:color w:val="000000"/>
                <w:spacing w:val="4"/>
                <w:sz w:val="20"/>
                <w:szCs w:val="20"/>
                <w:shd w:val="solid" w:color="000000" w:fill="000000"/>
                <w:fitText w:val="855" w:id="-1296852987"/>
                <w14:textFill>
                  <w14:solidFill>
                    <w14:srgbClr w14:val="000000">
                      <w14:alpha w14:val="100000"/>
                    </w14:srgbClr>
                  </w14:solidFill>
                </w14:textFill>
              </w:rPr>
              <w:t>|</w:t>
            </w:r>
            <w:r>
              <w:rPr>
                <w:rFonts w:ascii="Arial Narrow" w:hAnsi="Arial Narrow"/>
                <w:sz w:val="20"/>
                <w:szCs w:val="20"/>
              </w:rPr>
              <w:t xml:space="preserve"> </w:t>
            </w:r>
          </w:p>
        </w:tc>
        <w:tc>
          <w:tcPr>
            <w:tcW w:w="663" w:type="pct"/>
            <w:shd w:val="clear" w:color="auto" w:fill="auto"/>
            <w:noWrap/>
            <w:vAlign w:val="bottom"/>
          </w:tcPr>
          <w:p w14:paraId="508B2E3C" w14:textId="180CBE9E" w:rsidR="00DD4173" w:rsidRPr="00DD4173" w:rsidRDefault="00DB57C5" w:rsidP="00DD4173">
            <w:pPr>
              <w:keepNext/>
              <w:keepLines/>
              <w:ind w:left="-61" w:right="-41"/>
              <w:jc w:val="right"/>
              <w:rPr>
                <w:rFonts w:ascii="Arial Narrow" w:hAnsi="Arial Narrow"/>
                <w:sz w:val="20"/>
                <w:szCs w:val="20"/>
              </w:rPr>
            </w:pPr>
            <w:r w:rsidRPr="00DB57C5">
              <w:rPr>
                <w:rFonts w:ascii="Arial Narrow" w:hAnsi="Arial Narrow"/>
                <w:color w:val="000000"/>
                <w:spacing w:val="32"/>
                <w:sz w:val="20"/>
                <w:szCs w:val="20"/>
                <w:shd w:val="solid" w:color="000000" w:fill="000000"/>
                <w:fitText w:val="720" w:id="-1296852986"/>
                <w14:textFill>
                  <w14:solidFill>
                    <w14:srgbClr w14:val="000000">
                      <w14:alpha w14:val="100000"/>
                    </w14:srgbClr>
                  </w14:solidFill>
                </w14:textFill>
              </w:rPr>
              <w:t>|||||||||</w:t>
            </w:r>
            <w:r w:rsidRPr="00DB57C5">
              <w:rPr>
                <w:rFonts w:ascii="Arial Narrow" w:hAnsi="Arial Narrow"/>
                <w:color w:val="000000"/>
                <w:spacing w:val="7"/>
                <w:sz w:val="20"/>
                <w:szCs w:val="20"/>
                <w:shd w:val="solid" w:color="000000" w:fill="000000"/>
                <w:fitText w:val="720" w:id="-1296852986"/>
                <w14:textFill>
                  <w14:solidFill>
                    <w14:srgbClr w14:val="000000">
                      <w14:alpha w14:val="100000"/>
                    </w14:srgbClr>
                  </w14:solidFill>
                </w14:textFill>
              </w:rPr>
              <w:t>|</w:t>
            </w:r>
            <w:r>
              <w:rPr>
                <w:rFonts w:ascii="Arial Narrow" w:hAnsi="Arial Narrow"/>
                <w:sz w:val="20"/>
                <w:szCs w:val="20"/>
              </w:rPr>
              <w:t xml:space="preserve"> </w:t>
            </w:r>
          </w:p>
        </w:tc>
        <w:tc>
          <w:tcPr>
            <w:tcW w:w="660" w:type="pct"/>
            <w:vAlign w:val="bottom"/>
          </w:tcPr>
          <w:p w14:paraId="067992CF" w14:textId="4DEAF288" w:rsidR="00DD4173" w:rsidRPr="00DD4173" w:rsidRDefault="00DB57C5" w:rsidP="00DD4173">
            <w:pPr>
              <w:keepNext/>
              <w:keepLines/>
              <w:ind w:left="-61" w:right="-41"/>
              <w:jc w:val="right"/>
              <w:rPr>
                <w:rFonts w:ascii="Arial Narrow" w:hAnsi="Arial Narrow"/>
                <w:sz w:val="20"/>
                <w:szCs w:val="20"/>
              </w:rPr>
            </w:pPr>
            <w:r w:rsidRPr="00DB57C5">
              <w:rPr>
                <w:rFonts w:ascii="Arial Narrow" w:hAnsi="Arial Narrow"/>
                <w:color w:val="000000"/>
                <w:spacing w:val="32"/>
                <w:sz w:val="20"/>
                <w:szCs w:val="20"/>
                <w:shd w:val="solid" w:color="000000" w:fill="000000"/>
                <w:fitText w:val="720" w:id="-1296852985"/>
                <w14:textFill>
                  <w14:solidFill>
                    <w14:srgbClr w14:val="000000">
                      <w14:alpha w14:val="100000"/>
                    </w14:srgbClr>
                  </w14:solidFill>
                </w14:textFill>
              </w:rPr>
              <w:t>|||||||||</w:t>
            </w:r>
            <w:r w:rsidRPr="00DB57C5">
              <w:rPr>
                <w:rFonts w:ascii="Arial Narrow" w:hAnsi="Arial Narrow"/>
                <w:color w:val="000000"/>
                <w:spacing w:val="7"/>
                <w:sz w:val="20"/>
                <w:szCs w:val="20"/>
                <w:shd w:val="solid" w:color="000000" w:fill="000000"/>
                <w:fitText w:val="720" w:id="-1296852985"/>
                <w14:textFill>
                  <w14:solidFill>
                    <w14:srgbClr w14:val="000000">
                      <w14:alpha w14:val="100000"/>
                    </w14:srgbClr>
                  </w14:solidFill>
                </w14:textFill>
              </w:rPr>
              <w:t>|</w:t>
            </w:r>
            <w:r>
              <w:rPr>
                <w:rFonts w:ascii="Arial Narrow" w:hAnsi="Arial Narrow"/>
                <w:sz w:val="20"/>
                <w:szCs w:val="20"/>
              </w:rPr>
              <w:t xml:space="preserve"> </w:t>
            </w:r>
          </w:p>
        </w:tc>
      </w:tr>
    </w:tbl>
    <w:p w14:paraId="256EEF53" w14:textId="7776C0AB" w:rsidR="00FA6DFC" w:rsidRPr="00FA6DFC" w:rsidRDefault="006B4C5A" w:rsidP="003A5D06">
      <w:pPr>
        <w:rPr>
          <w:sz w:val="20"/>
          <w:szCs w:val="20"/>
        </w:rPr>
      </w:pPr>
      <w:r w:rsidRPr="006B4C5A">
        <w:rPr>
          <w:sz w:val="20"/>
          <w:szCs w:val="20"/>
        </w:rPr>
        <w:t>Source: November 2019 resubmission.</w:t>
      </w:r>
    </w:p>
    <w:p w14:paraId="0DEBD50F" w14:textId="21B26C1A" w:rsidR="00094DCF" w:rsidRDefault="00ED633B" w:rsidP="00CF5E22">
      <w:pPr>
        <w:pStyle w:val="Heading2"/>
      </w:pPr>
      <w:r>
        <w:t xml:space="preserve">Previous reviews by </w:t>
      </w:r>
      <w:r w:rsidR="00177B86">
        <w:t xml:space="preserve">the </w:t>
      </w:r>
      <w:r>
        <w:t>DUSC</w:t>
      </w:r>
    </w:p>
    <w:p w14:paraId="71AF6F9A" w14:textId="2F715E46" w:rsidR="00A311F6" w:rsidRDefault="00DF33FE" w:rsidP="001C5657">
      <w:r>
        <w:t>DUSC ha</w:t>
      </w:r>
      <w:r w:rsidR="001A0413">
        <w:t>d</w:t>
      </w:r>
      <w:r>
        <w:t xml:space="preserve"> previously reviewed the use of </w:t>
      </w:r>
      <w:r w:rsidR="00A311F6">
        <w:t>n</w:t>
      </w:r>
      <w:r>
        <w:t>ivolumab</w:t>
      </w:r>
      <w:r w:rsidR="00BB52E0">
        <w:t xml:space="preserve"> in June 2020</w:t>
      </w:r>
      <w:r>
        <w:t xml:space="preserve"> </w:t>
      </w:r>
      <w:r w:rsidR="00D25B52">
        <w:t xml:space="preserve">and </w:t>
      </w:r>
      <w:r w:rsidR="00A311F6">
        <w:t>a</w:t>
      </w:r>
      <w:r w:rsidR="00D25B52" w:rsidRPr="00DF33FE">
        <w:t>lectinib</w:t>
      </w:r>
      <w:r w:rsidR="00BB52E0">
        <w:t xml:space="preserve"> in October 2020</w:t>
      </w:r>
      <w:r w:rsidR="00D25B52" w:rsidRPr="00DF33FE">
        <w:t xml:space="preserve"> </w:t>
      </w:r>
      <w:r>
        <w:t xml:space="preserve">for the treatment of </w:t>
      </w:r>
      <w:r w:rsidR="005F43AE">
        <w:t>NSCLC</w:t>
      </w:r>
      <w:r w:rsidR="001C5657">
        <w:t>.</w:t>
      </w:r>
    </w:p>
    <w:p w14:paraId="0312FFEC" w14:textId="066B9A15" w:rsidR="00E677DD" w:rsidRPr="005E22C2" w:rsidRDefault="00E677DD" w:rsidP="00CF5E22">
      <w:pPr>
        <w:pStyle w:val="Heading1"/>
      </w:pPr>
      <w:r w:rsidRPr="005E22C2">
        <w:t>Method</w:t>
      </w:r>
      <w:r w:rsidR="001B5D37" w:rsidRPr="005E22C2">
        <w:t>s</w:t>
      </w:r>
    </w:p>
    <w:p w14:paraId="786039E4" w14:textId="25567FCE" w:rsidR="00A83AC3" w:rsidRDefault="00A83AC3" w:rsidP="00A83AC3">
      <w:r w:rsidRPr="00297CA7">
        <w:t>Data extracted from the PBS claims database maintained by the Department of Health</w:t>
      </w:r>
      <w:r w:rsidR="00FD6082">
        <w:t xml:space="preserve"> and Aged Care</w:t>
      </w:r>
      <w:r w:rsidRPr="00297CA7">
        <w:t xml:space="preserve"> and processed by Services Australia </w:t>
      </w:r>
      <w:r>
        <w:t>were</w:t>
      </w:r>
      <w:r w:rsidRPr="00297CA7">
        <w:t xml:space="preserve"> used for the analyses. Prescription data </w:t>
      </w:r>
      <w:r>
        <w:t>were</w:t>
      </w:r>
      <w:r w:rsidRPr="00297CA7">
        <w:t xml:space="preserve"> extracted from </w:t>
      </w:r>
      <w:r>
        <w:t>the PBS listing</w:t>
      </w:r>
      <w:r w:rsidR="00AA2FAD">
        <w:t xml:space="preserve"> of atezolizumab</w:t>
      </w:r>
      <w:r>
        <w:t xml:space="preserve"> </w:t>
      </w:r>
      <w:r w:rsidR="007F452A">
        <w:t xml:space="preserve">in </w:t>
      </w:r>
      <w:r w:rsidR="00FD6082">
        <w:t xml:space="preserve">March </w:t>
      </w:r>
      <w:r w:rsidR="007F452A">
        <w:t>2020</w:t>
      </w:r>
      <w:r w:rsidR="008A120E">
        <w:t xml:space="preserve"> </w:t>
      </w:r>
      <w:r w:rsidR="007F452A" w:rsidRPr="007F452A">
        <w:t xml:space="preserve">up to and including </w:t>
      </w:r>
      <w:r w:rsidR="007F452A">
        <w:t>01</w:t>
      </w:r>
      <w:r w:rsidR="007F452A" w:rsidRPr="007F452A">
        <w:t xml:space="preserve"> </w:t>
      </w:r>
      <w:r w:rsidR="007F452A">
        <w:t>March 2022. Data was extracted on 2</w:t>
      </w:r>
      <w:r w:rsidR="00BE3BFA">
        <w:t>5</w:t>
      </w:r>
      <w:r w:rsidR="007F452A">
        <w:t xml:space="preserve"> July 2022</w:t>
      </w:r>
      <w:r w:rsidR="00A265AF">
        <w:t>.</w:t>
      </w:r>
    </w:p>
    <w:p w14:paraId="1925E930" w14:textId="0641E2F3" w:rsidR="00107B59" w:rsidRDefault="00A83AC3" w:rsidP="00A83AC3">
      <w:r>
        <w:t>Th</w:t>
      </w:r>
      <w:r w:rsidR="000D2227">
        <w:t>is</w:t>
      </w:r>
      <w:r w:rsidRPr="00E61607">
        <w:t xml:space="preserve"> data </w:t>
      </w:r>
      <w:r>
        <w:t>w</w:t>
      </w:r>
      <w:r w:rsidR="000D2227">
        <w:t>as</w:t>
      </w:r>
      <w:r w:rsidRPr="00E61607">
        <w:t xml:space="preserve"> used to determine the number of incident and prevalent patients, </w:t>
      </w:r>
      <w:r w:rsidR="000D2227">
        <w:t xml:space="preserve">and </w:t>
      </w:r>
      <w:r w:rsidRPr="00E61607">
        <w:t>number of prescriptions supplied</w:t>
      </w:r>
      <w:r w:rsidRPr="005B6F88">
        <w:t>.</w:t>
      </w:r>
      <w:r w:rsidRPr="00E61607">
        <w:t xml:space="preserve"> </w:t>
      </w:r>
      <w:r w:rsidR="005F7152">
        <w:rPr>
          <w:rFonts w:cstheme="minorHAnsi"/>
        </w:rPr>
        <w:t xml:space="preserve">Patient counts were based on de-identified unique patient identification numbers (PINs) from the prescription data. </w:t>
      </w:r>
      <w:r w:rsidRPr="00E61607">
        <w:t>Initiating and prevalent patients were counted by quarter of supply</w:t>
      </w:r>
      <w:r w:rsidR="008D143C">
        <w:t xml:space="preserve"> and by listing year for the predicted versus actual analysis</w:t>
      </w:r>
      <w:r w:rsidRPr="00E61607">
        <w:t xml:space="preserve">. An </w:t>
      </w:r>
      <w:r w:rsidR="00564BEC">
        <w:t>incident</w:t>
      </w:r>
      <w:r w:rsidR="00564BEC" w:rsidRPr="00E61607">
        <w:t xml:space="preserve"> </w:t>
      </w:r>
      <w:r w:rsidRPr="00E61607">
        <w:t xml:space="preserve">patient was defined based on their first date of supply of </w:t>
      </w:r>
      <w:r w:rsidR="000D2227">
        <w:t>a</w:t>
      </w:r>
      <w:r w:rsidR="00031501">
        <w:t>tezolizumab</w:t>
      </w:r>
      <w:r w:rsidR="00107B59">
        <w:t xml:space="preserve"> (new to treatment)</w:t>
      </w:r>
      <w:r>
        <w:t>.</w:t>
      </w:r>
      <w:r w:rsidR="00564BEC">
        <w:t xml:space="preserve"> </w:t>
      </w:r>
      <w:r w:rsidR="00931B61">
        <w:t>The number of incident patients contained ‘grandfathered’ patients (i.e. patients who obtained atezolizumab through other means prior to listing on the PBS and then commenced PBS-subsidised treatment).</w:t>
      </w:r>
      <w:r w:rsidR="004F2048">
        <w:t xml:space="preserve"> </w:t>
      </w:r>
      <w:r w:rsidR="00564BEC">
        <w:rPr>
          <w:rFonts w:cstheme="minorHAnsi"/>
        </w:rPr>
        <w:t xml:space="preserve">Patients were identified as being prevalent if they had received at least one dispensing of </w:t>
      </w:r>
      <w:r w:rsidR="00A91A00">
        <w:rPr>
          <w:rFonts w:cstheme="minorHAnsi"/>
        </w:rPr>
        <w:t>atezolizumab</w:t>
      </w:r>
      <w:r w:rsidR="00564BEC" w:rsidRPr="00AD4B28">
        <w:rPr>
          <w:rFonts w:cstheme="minorHAnsi"/>
        </w:rPr>
        <w:t>.</w:t>
      </w:r>
      <w:r w:rsidR="00107B59">
        <w:rPr>
          <w:rFonts w:cstheme="minorHAnsi"/>
        </w:rPr>
        <w:t xml:space="preserve"> </w:t>
      </w:r>
      <w:r w:rsidR="00107B59">
        <w:t xml:space="preserve">Prevalent patients are the count of unique patient identifiers (IDs) on prescriptions for the analysis period (i.e. quarterly). </w:t>
      </w:r>
    </w:p>
    <w:p w14:paraId="6324F23E" w14:textId="3CFE025B" w:rsidR="00A83AC3" w:rsidRDefault="00A83AC3" w:rsidP="00A83AC3">
      <w:r>
        <w:t xml:space="preserve">As this analysis uses date of supply prescription data, there may be small differences compared with publicly available </w:t>
      </w:r>
      <w:r w:rsidR="009355DF">
        <w:t>Services Australia</w:t>
      </w:r>
      <w:r>
        <w:t xml:space="preserve"> Medicare date of processing data.</w:t>
      </w:r>
      <w:r>
        <w:rPr>
          <w:rStyle w:val="FootnoteReference"/>
        </w:rPr>
        <w:footnoteReference w:id="4"/>
      </w:r>
      <w:r>
        <w:t xml:space="preserve"> The publicly available </w:t>
      </w:r>
      <w:r w:rsidR="009355DF">
        <w:t xml:space="preserve">Services Australia </w:t>
      </w:r>
      <w:r>
        <w:t xml:space="preserve">Medicare data only includes subsidised R/PBS prescriptions with prescriptions under the patient co-payment not included. The </w:t>
      </w:r>
      <w:r w:rsidR="009355DF">
        <w:t xml:space="preserve">Services </w:t>
      </w:r>
      <w:r w:rsidR="009355DF">
        <w:lastRenderedPageBreak/>
        <w:t xml:space="preserve">Australia </w:t>
      </w:r>
      <w:r>
        <w:t xml:space="preserve">Medicare data used in this report includes under co-payment prescriptions from </w:t>
      </w:r>
      <w:r w:rsidR="005455DD">
        <w:br/>
      </w:r>
      <w:r>
        <w:t>1 April 2012.</w:t>
      </w:r>
    </w:p>
    <w:p w14:paraId="79DA5454" w14:textId="77777777" w:rsidR="000A1A19" w:rsidRPr="00403C32" w:rsidRDefault="000A1A19" w:rsidP="000A1A19">
      <w:pPr>
        <w:rPr>
          <w:b/>
          <w:bCs/>
        </w:rPr>
      </w:pPr>
      <w:r w:rsidRPr="00403C32">
        <w:rPr>
          <w:b/>
          <w:bCs/>
        </w:rPr>
        <w:t>Number of doses</w:t>
      </w:r>
    </w:p>
    <w:p w14:paraId="26CFA215" w14:textId="73900583" w:rsidR="000A1A19" w:rsidRDefault="000A1A19" w:rsidP="000A1A19">
      <w:r>
        <w:t xml:space="preserve">The number of doses patients supplied was calculated for patients who initiated treatment with </w:t>
      </w:r>
      <w:r w:rsidR="007C160E">
        <w:t>a</w:t>
      </w:r>
      <w:r w:rsidR="009606D4">
        <w:t>t</w:t>
      </w:r>
      <w:r>
        <w:t xml:space="preserve">ezolizumab between 1 March 2020 and 1 March 2022, i.e. in the first </w:t>
      </w:r>
      <w:r w:rsidR="00916586">
        <w:t xml:space="preserve">two </w:t>
      </w:r>
      <w:r>
        <w:t>year</w:t>
      </w:r>
      <w:r w:rsidR="00916586">
        <w:t>s</w:t>
      </w:r>
      <w:r>
        <w:t xml:space="preserve"> of PBS listing.</w:t>
      </w:r>
    </w:p>
    <w:p w14:paraId="67361D5C" w14:textId="77777777" w:rsidR="000A1A19" w:rsidRPr="00694CE0" w:rsidRDefault="00443466" w:rsidP="00A83AC3">
      <w:pPr>
        <w:rPr>
          <w:b/>
          <w:bCs/>
        </w:rPr>
      </w:pPr>
      <w:r w:rsidRPr="00694CE0">
        <w:rPr>
          <w:b/>
          <w:bCs/>
        </w:rPr>
        <w:t xml:space="preserve">Length of treatment </w:t>
      </w:r>
    </w:p>
    <w:p w14:paraId="5BF2F69B" w14:textId="4C833F3D" w:rsidR="00443466" w:rsidRDefault="00443466" w:rsidP="00A83AC3">
      <w:r>
        <w:t>The length of treatment was estimated using the Kaplan</w:t>
      </w:r>
      <w:r w:rsidR="00A61277">
        <w:t>-</w:t>
      </w:r>
      <w:r>
        <w:t xml:space="preserve">Meier method for the </w:t>
      </w:r>
      <w:r w:rsidR="003F6E12">
        <w:t>2,170</w:t>
      </w:r>
      <w:r>
        <w:t xml:space="preserve"> patients included in the Services Australia data</w:t>
      </w:r>
      <w:r w:rsidR="00A61277">
        <w:t xml:space="preserve"> who initiated atezolizumab</w:t>
      </w:r>
      <w:r>
        <w:t xml:space="preserve">. Two ways of measuring length of treatment were undertaken to account for patients stopping </w:t>
      </w:r>
      <w:r w:rsidR="00A311F6">
        <w:t>atezolizumab</w:t>
      </w:r>
      <w:r w:rsidR="00217769">
        <w:t xml:space="preserve"> </w:t>
      </w:r>
      <w:r>
        <w:t xml:space="preserve">for periods of time (called a ‘break’ in therapy). One analysis excluded the time of any breaks in treatment (i.e. reports the total time a patient is </w:t>
      </w:r>
      <w:r w:rsidR="006A790D">
        <w:t>receiving</w:t>
      </w:r>
      <w:r>
        <w:t xml:space="preserve"> regular supplies of </w:t>
      </w:r>
      <w:r w:rsidR="00A311F6">
        <w:t>a</w:t>
      </w:r>
      <w:r w:rsidR="000A1A19">
        <w:t>tezolizumab</w:t>
      </w:r>
      <w:r>
        <w:t xml:space="preserve">) and the other did not. A patient was deemed to have a break in treatment if the time between two of their supplied prescriptions was more than </w:t>
      </w:r>
      <w:r w:rsidR="00774C11">
        <w:t xml:space="preserve">three </w:t>
      </w:r>
      <w:r>
        <w:t xml:space="preserve">times the median time to resupply (i.e. </w:t>
      </w:r>
      <w:r w:rsidR="00774C11">
        <w:t xml:space="preserve">3 </w:t>
      </w:r>
      <w:r>
        <w:t xml:space="preserve">x </w:t>
      </w:r>
      <w:r w:rsidR="00774C11">
        <w:t xml:space="preserve">21 </w:t>
      </w:r>
      <w:r>
        <w:t xml:space="preserve">days), which is an estimated break in treatment of at least one median time to resupply (i.e. </w:t>
      </w:r>
      <w:r w:rsidR="00774C11">
        <w:t xml:space="preserve">21 </w:t>
      </w:r>
      <w:r>
        <w:t xml:space="preserve">days). A censoring definition was applied in the length of treatment analysis, to account for the end of the data observation period where patients who might be continuing supply appear to stop treatment (because there is no further data for supplies). </w:t>
      </w:r>
    </w:p>
    <w:p w14:paraId="69AF70A6" w14:textId="77777777" w:rsidR="001A096F" w:rsidRDefault="001A096F">
      <w:pPr>
        <w:spacing w:line="276" w:lineRule="auto"/>
        <w:rPr>
          <w:rFonts w:eastAsiaTheme="majorEastAsia" w:cstheme="majorBidi"/>
          <w:b/>
          <w:bCs/>
          <w:sz w:val="32"/>
          <w:szCs w:val="32"/>
        </w:rPr>
      </w:pPr>
      <w:r>
        <w:br w:type="page"/>
      </w:r>
    </w:p>
    <w:p w14:paraId="4F91A98A" w14:textId="07447E56"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4A6E9FF8" w14:textId="0A816E1E" w:rsidR="008E3978" w:rsidRPr="001A096F" w:rsidRDefault="00736041" w:rsidP="001A096F">
      <w:pPr>
        <w:pStyle w:val="Heading3"/>
      </w:pPr>
      <w:r w:rsidRPr="005E22C2">
        <w:t>Overall utilisation</w:t>
      </w:r>
    </w:p>
    <w:p w14:paraId="76BE4105" w14:textId="2A51A42E" w:rsidR="008E3978" w:rsidRDefault="008E3978" w:rsidP="005665C4">
      <w:pPr>
        <w:rPr>
          <w:b/>
          <w:bCs/>
        </w:rPr>
      </w:pPr>
      <w:r>
        <w:rPr>
          <w:noProof/>
        </w:rPr>
        <w:drawing>
          <wp:inline distT="0" distB="0" distL="0" distR="0" wp14:anchorId="13920782" wp14:editId="39F2871A">
            <wp:extent cx="5538158" cy="3476445"/>
            <wp:effectExtent l="0" t="0" r="5715" b="9525"/>
            <wp:docPr id="8" name="Chart 8">
              <a:extLst xmlns:a="http://schemas.openxmlformats.org/drawingml/2006/main">
                <a:ext uri="{FF2B5EF4-FFF2-40B4-BE49-F238E27FC236}">
                  <a16:creationId xmlns:a16="http://schemas.microsoft.com/office/drawing/2014/main" id="{DF7A8206-2661-4146-96A8-87676A4D18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F33812" w14:textId="08F8C39C" w:rsidR="00860AA2" w:rsidRPr="00AA78DA" w:rsidRDefault="00AA78DA" w:rsidP="00AA78DA">
      <w:pPr>
        <w:pStyle w:val="Figuretitle"/>
      </w:pPr>
      <w:r w:rsidRPr="00F43096">
        <w:t xml:space="preserve">Figure </w:t>
      </w:r>
      <w:r w:rsidR="004B3D6F">
        <w:rPr>
          <w:bCs/>
        </w:rPr>
        <w:t>1</w:t>
      </w:r>
      <w:r w:rsidR="00D52810">
        <w:rPr>
          <w:bCs/>
        </w:rPr>
        <w:t>:</w:t>
      </w:r>
      <w:r w:rsidR="005F43AE">
        <w:rPr>
          <w:bCs/>
        </w:rPr>
        <w:t xml:space="preserve"> </w:t>
      </w:r>
      <w:r w:rsidR="00D52810">
        <w:rPr>
          <w:bCs/>
        </w:rPr>
        <w:t>N</w:t>
      </w:r>
      <w:r w:rsidR="00860AA2" w:rsidRPr="00860AA2">
        <w:rPr>
          <w:bCs/>
        </w:rPr>
        <w:t>umber of prevalent</w:t>
      </w:r>
      <w:r w:rsidR="00A44CB3">
        <w:rPr>
          <w:bCs/>
        </w:rPr>
        <w:t xml:space="preserve"> and</w:t>
      </w:r>
      <w:r w:rsidR="00860AA2" w:rsidRPr="00860AA2">
        <w:rPr>
          <w:bCs/>
        </w:rPr>
        <w:t xml:space="preserve"> </w:t>
      </w:r>
      <w:r w:rsidR="006E52D9">
        <w:rPr>
          <w:bCs/>
        </w:rPr>
        <w:t xml:space="preserve">incident </w:t>
      </w:r>
      <w:r w:rsidR="00860AA2" w:rsidRPr="00860AA2">
        <w:rPr>
          <w:bCs/>
        </w:rPr>
        <w:t xml:space="preserve">patients prescribed </w:t>
      </w:r>
      <w:r w:rsidR="00217769">
        <w:rPr>
          <w:bCs/>
        </w:rPr>
        <w:t>a</w:t>
      </w:r>
      <w:r w:rsidR="00860AA2" w:rsidRPr="00860AA2">
        <w:rPr>
          <w:bCs/>
        </w:rPr>
        <w:t>tezolizumab</w:t>
      </w:r>
      <w:r w:rsidR="00F25435">
        <w:rPr>
          <w:bCs/>
        </w:rPr>
        <w:t xml:space="preserve"> for ES-SCLC</w:t>
      </w:r>
      <w:r w:rsidR="00860AA2" w:rsidRPr="00860AA2">
        <w:rPr>
          <w:bCs/>
        </w:rPr>
        <w:t xml:space="preserve"> </w:t>
      </w:r>
      <w:r w:rsidR="006E52D9">
        <w:rPr>
          <w:bCs/>
        </w:rPr>
        <w:t xml:space="preserve">by quarter of supply </w:t>
      </w:r>
    </w:p>
    <w:p w14:paraId="42CAB7E5" w14:textId="2D98A017" w:rsidR="008E3978" w:rsidRDefault="00482310" w:rsidP="005665C4">
      <w:r>
        <w:t xml:space="preserve">Figure </w:t>
      </w:r>
      <w:r w:rsidR="004B3D6F">
        <w:t>1</w:t>
      </w:r>
      <w:r>
        <w:t xml:space="preserve"> shows the number of prevalent and </w:t>
      </w:r>
      <w:r w:rsidR="00902116">
        <w:t xml:space="preserve">initiating </w:t>
      </w:r>
      <w:r>
        <w:t xml:space="preserve">patients prescribed atezolizumab </w:t>
      </w:r>
      <w:r w:rsidR="00F25435">
        <w:t xml:space="preserve">for ES-SCLC </w:t>
      </w:r>
      <w:r>
        <w:t xml:space="preserve">over a two-year period. In Q1 2020 there </w:t>
      </w:r>
      <w:r w:rsidR="00916586">
        <w:t xml:space="preserve">were </w:t>
      </w:r>
      <w:r>
        <w:t xml:space="preserve">146 </w:t>
      </w:r>
      <w:r w:rsidR="00C67BD8">
        <w:t>initiating</w:t>
      </w:r>
      <w:r w:rsidR="00902116">
        <w:t xml:space="preserve"> </w:t>
      </w:r>
      <w:r>
        <w:t xml:space="preserve">patients, in </w:t>
      </w:r>
      <w:r w:rsidR="00902116">
        <w:t xml:space="preserve">Q1 </w:t>
      </w:r>
      <w:r>
        <w:t xml:space="preserve">2021 there </w:t>
      </w:r>
      <w:r w:rsidR="00916586">
        <w:t xml:space="preserve">were </w:t>
      </w:r>
      <w:r>
        <w:t xml:space="preserve">545 prevalent patients and 185 </w:t>
      </w:r>
      <w:r w:rsidR="00902116">
        <w:t xml:space="preserve">initiating </w:t>
      </w:r>
      <w:r>
        <w:t xml:space="preserve">patients. The highest number of prevalent patients prescribed atezolizumab was 645 in </w:t>
      </w:r>
      <w:r w:rsidR="00902116">
        <w:t>Q</w:t>
      </w:r>
      <w:r>
        <w:t>4 2021.</w:t>
      </w:r>
      <w:r w:rsidR="00142C00" w:rsidRPr="00142C00">
        <w:t xml:space="preserve"> </w:t>
      </w:r>
      <w:r w:rsidR="00142C00">
        <w:t>New patients prescribed atezolizumab have been declining since 2021Q2 which has resulted in a plateau of prevalent patients between 2021Q4 and 2022Q1.</w:t>
      </w:r>
    </w:p>
    <w:p w14:paraId="6CEEB2BD" w14:textId="5FF73940" w:rsidR="004B3D6F" w:rsidRDefault="004B3D6F" w:rsidP="004B3D6F">
      <w:r>
        <w:br w:type="page"/>
      </w:r>
    </w:p>
    <w:p w14:paraId="71B961EB" w14:textId="25AFEDE2" w:rsidR="00D94550" w:rsidRDefault="00D94550" w:rsidP="004B3D6F">
      <w:pPr>
        <w:rPr>
          <w:b/>
          <w:bCs/>
        </w:rPr>
      </w:pPr>
      <w:r>
        <w:rPr>
          <w:noProof/>
        </w:rPr>
        <w:lastRenderedPageBreak/>
        <w:drawing>
          <wp:inline distT="0" distB="0" distL="0" distR="0" wp14:anchorId="6945BB6F" wp14:editId="7B6BC5E5">
            <wp:extent cx="5687695" cy="3520503"/>
            <wp:effectExtent l="0" t="0" r="8255" b="3810"/>
            <wp:docPr id="1" name="Chart 1">
              <a:extLst xmlns:a="http://schemas.openxmlformats.org/drawingml/2006/main">
                <a:ext uri="{FF2B5EF4-FFF2-40B4-BE49-F238E27FC236}">
                  <a16:creationId xmlns:a16="http://schemas.microsoft.com/office/drawing/2014/main" id="{B34C3BAC-7AF5-40D3-9A20-089EB01A2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4BFF43" w14:textId="67413609" w:rsidR="004B3D6F" w:rsidRPr="00AA78DA" w:rsidRDefault="00AA78DA" w:rsidP="00AA78DA">
      <w:pPr>
        <w:pStyle w:val="Figuretitle"/>
      </w:pPr>
      <w:r w:rsidRPr="00FE645A">
        <w:t xml:space="preserve">Figure </w:t>
      </w:r>
      <w:r w:rsidR="004B3D6F">
        <w:rPr>
          <w:bCs/>
        </w:rPr>
        <w:t>2:</w:t>
      </w:r>
      <w:r w:rsidR="004B3D6F" w:rsidRPr="008E3978">
        <w:rPr>
          <w:bCs/>
        </w:rPr>
        <w:t xml:space="preserve"> </w:t>
      </w:r>
      <w:r w:rsidR="004B3D6F">
        <w:rPr>
          <w:bCs/>
        </w:rPr>
        <w:t>Number</w:t>
      </w:r>
      <w:r w:rsidR="004B3D6F" w:rsidRPr="008E3978">
        <w:rPr>
          <w:bCs/>
        </w:rPr>
        <w:t xml:space="preserve"> of scripts dispensed per quarter for grandfathered and non-grandfathered patients</w:t>
      </w:r>
    </w:p>
    <w:p w14:paraId="2A8C77E5" w14:textId="408E4FA6" w:rsidR="004B3D6F" w:rsidRPr="00604CE3" w:rsidRDefault="004B3D6F" w:rsidP="004B3D6F">
      <w:r>
        <w:t xml:space="preserve">Figure 2 shows the number of scripts dispensed per quarter for grandfathered and non-grandfathered patients. The sponsor estimated that there would be </w:t>
      </w:r>
      <w:r w:rsidR="00DB57C5" w:rsidRPr="00DB57C5">
        <w:rPr>
          <w:rFonts w:hint="eastAsia"/>
          <w:color w:val="000000"/>
          <w:w w:val="20"/>
          <w:shd w:val="solid" w:color="000000" w:fill="000000"/>
          <w:fitText w:val="120" w:id="-1296852984"/>
          <w14:textFill>
            <w14:solidFill>
              <w14:srgbClr w14:val="000000">
                <w14:alpha w14:val="100000"/>
              </w14:srgbClr>
            </w14:solidFill>
          </w14:textFill>
        </w:rPr>
        <w:t xml:space="preserve">　</w:t>
      </w:r>
      <w:r w:rsidR="00DB57C5" w:rsidRPr="00DB57C5">
        <w:rPr>
          <w:color w:val="000000"/>
          <w:w w:val="20"/>
          <w:shd w:val="solid" w:color="000000" w:fill="000000"/>
          <w:fitText w:val="120" w:id="-1296852984"/>
          <w14:textFill>
            <w14:solidFill>
              <w14:srgbClr w14:val="000000">
                <w14:alpha w14:val="100000"/>
              </w14:srgbClr>
            </w14:solidFill>
          </w14:textFill>
        </w:rPr>
        <w:t>|</w:t>
      </w:r>
      <w:r w:rsidR="00DB57C5" w:rsidRPr="00DB57C5">
        <w:rPr>
          <w:rFonts w:hint="eastAsia"/>
          <w:color w:val="000000"/>
          <w:w w:val="20"/>
          <w:shd w:val="solid" w:color="000000" w:fill="000000"/>
          <w:fitText w:val="120" w:id="-1296852984"/>
          <w14:textFill>
            <w14:solidFill>
              <w14:srgbClr w14:val="000000">
                <w14:alpha w14:val="100000"/>
              </w14:srgbClr>
            </w14:solidFill>
          </w14:textFill>
        </w:rPr>
        <w:t xml:space="preserve">　</w:t>
      </w:r>
      <w:r w:rsidR="00DB57C5">
        <w:t xml:space="preserve"> </w:t>
      </w:r>
      <w:r>
        <w:t>grandfathered patients in the first year of listing. The number of actual grandfathered patients in Year 1 was 113. The highest number of scripts for non-grandfathered was 1</w:t>
      </w:r>
      <w:r w:rsidR="00FA6DFC">
        <w:t>,</w:t>
      </w:r>
      <w:r>
        <w:t xml:space="preserve">783 in Q4 2021 in comparison to 119 grandfathered scripts for the same time period. </w:t>
      </w:r>
    </w:p>
    <w:p w14:paraId="02263E82" w14:textId="69E05BC3" w:rsidR="004B3D6F" w:rsidRPr="00482310" w:rsidRDefault="004B3D6F" w:rsidP="004B3D6F">
      <w:pPr>
        <w:spacing w:line="276" w:lineRule="auto"/>
      </w:pPr>
    </w:p>
    <w:p w14:paraId="1FC5E7D9" w14:textId="538E0C05" w:rsidR="008E3978" w:rsidRPr="00860AA2" w:rsidRDefault="0043119B" w:rsidP="005665C4">
      <w:pPr>
        <w:rPr>
          <w:b/>
          <w:bCs/>
        </w:rPr>
      </w:pPr>
      <w:r w:rsidRPr="0043119B">
        <w:rPr>
          <w:noProof/>
        </w:rPr>
        <w:lastRenderedPageBreak/>
        <w:t xml:space="preserve"> </w:t>
      </w:r>
      <w:r>
        <w:rPr>
          <w:noProof/>
        </w:rPr>
        <w:drawing>
          <wp:inline distT="0" distB="0" distL="0" distR="0" wp14:anchorId="0268E7A9" wp14:editId="55835BD2">
            <wp:extent cx="4987636" cy="3207327"/>
            <wp:effectExtent l="0" t="0" r="3810" b="12700"/>
            <wp:docPr id="10" name="Chart 10">
              <a:extLst xmlns:a="http://schemas.openxmlformats.org/drawingml/2006/main">
                <a:ext uri="{FF2B5EF4-FFF2-40B4-BE49-F238E27FC236}">
                  <a16:creationId xmlns:a16="http://schemas.microsoft.com/office/drawing/2014/main" id="{A1DBF75D-40C8-41E5-9A2D-5C1C30B5A2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008BD9" w14:textId="202681D4" w:rsidR="008E3978" w:rsidRPr="0000392A" w:rsidRDefault="00AA78DA" w:rsidP="00AA78DA">
      <w:pPr>
        <w:pStyle w:val="Figuretitle"/>
        <w:rPr>
          <w:b w:val="0"/>
          <w:bCs/>
        </w:rPr>
      </w:pPr>
      <w:r w:rsidRPr="00FE645A">
        <w:t xml:space="preserve">Figure </w:t>
      </w:r>
      <w:r w:rsidR="000E2B08" w:rsidRPr="00FD29DF">
        <w:rPr>
          <w:bCs/>
        </w:rPr>
        <w:t>3</w:t>
      </w:r>
      <w:r w:rsidR="00D52810">
        <w:rPr>
          <w:bCs/>
        </w:rPr>
        <w:t>:</w:t>
      </w:r>
      <w:r w:rsidR="000E2B08" w:rsidRPr="00FD29DF">
        <w:rPr>
          <w:bCs/>
        </w:rPr>
        <w:t xml:space="preserve"> </w:t>
      </w:r>
      <w:r w:rsidR="00580C11" w:rsidRPr="00FD29DF">
        <w:rPr>
          <w:bCs/>
        </w:rPr>
        <w:t>A</w:t>
      </w:r>
      <w:r w:rsidR="000E2B08" w:rsidRPr="00FD29DF">
        <w:rPr>
          <w:bCs/>
        </w:rPr>
        <w:t>ge and gender of patients at initiation of atezolizumab</w:t>
      </w:r>
      <w:r w:rsidR="00AE2E15">
        <w:rPr>
          <w:bCs/>
        </w:rPr>
        <w:t xml:space="preserve"> </w:t>
      </w:r>
      <w:r w:rsidR="00AE2E15" w:rsidRPr="0000392A">
        <w:rPr>
          <w:bCs/>
        </w:rPr>
        <w:t xml:space="preserve">between </w:t>
      </w:r>
      <w:r w:rsidR="001A096F">
        <w:rPr>
          <w:bCs/>
        </w:rPr>
        <w:t xml:space="preserve">1 </w:t>
      </w:r>
      <w:r w:rsidR="00AE2E15" w:rsidRPr="003348C0">
        <w:rPr>
          <w:bCs/>
        </w:rPr>
        <w:t>March 2020 to 1 March 2022</w:t>
      </w:r>
    </w:p>
    <w:p w14:paraId="10E71F97" w14:textId="762521E5" w:rsidR="003C6987" w:rsidRPr="00AE2E15" w:rsidRDefault="00DF353E" w:rsidP="003C6987">
      <w:pPr>
        <w:rPr>
          <w:b/>
          <w:bCs/>
        </w:rPr>
      </w:pPr>
      <w:r>
        <w:t>Figure 3 shows the age and gender of patients at initiation of atezolizumab</w:t>
      </w:r>
      <w:r w:rsidR="00F25435">
        <w:t xml:space="preserve"> for ES-SCLC</w:t>
      </w:r>
      <w:r w:rsidR="00AE2E15">
        <w:t xml:space="preserve"> </w:t>
      </w:r>
      <w:r w:rsidR="00AE2E15" w:rsidRPr="0000392A">
        <w:t xml:space="preserve">between </w:t>
      </w:r>
      <w:r w:rsidR="001A096F">
        <w:t xml:space="preserve">1 </w:t>
      </w:r>
      <w:r w:rsidR="00AE2E15">
        <w:t>March 2020 to 1 March 2022</w:t>
      </w:r>
      <w:r>
        <w:t xml:space="preserve">. More males than females have initiated treatment in </w:t>
      </w:r>
      <w:r w:rsidR="00B71EB2">
        <w:t xml:space="preserve">the </w:t>
      </w:r>
      <w:r>
        <w:t>majority of the age categories. In females, the number of patients aged 60 to 64 and 65 to 69 years old are similar</w:t>
      </w:r>
      <w:r w:rsidR="0043119B">
        <w:t xml:space="preserve">. The highest male age group was 70 to 74 year old containing 281 patients, which was also the highest number of patients </w:t>
      </w:r>
      <w:r w:rsidR="002E4165">
        <w:t xml:space="preserve">initiating </w:t>
      </w:r>
      <w:r w:rsidR="0043119B">
        <w:t xml:space="preserve">atezolizumab. The highest female age group was 65-69 containing 196 patients. </w:t>
      </w:r>
    </w:p>
    <w:p w14:paraId="55FC1D36" w14:textId="77777777" w:rsidR="00E61ED0" w:rsidRDefault="00E61ED0">
      <w:pPr>
        <w:spacing w:line="276" w:lineRule="auto"/>
        <w:rPr>
          <w:b/>
          <w:i/>
          <w:szCs w:val="28"/>
        </w:rPr>
      </w:pPr>
      <w:r>
        <w:br w:type="page"/>
      </w:r>
    </w:p>
    <w:p w14:paraId="3D986A87" w14:textId="48FE11C2" w:rsidR="000012F2" w:rsidRDefault="00D10845" w:rsidP="00860AA2">
      <w:pPr>
        <w:pStyle w:val="Heading3"/>
      </w:pPr>
      <w:r>
        <w:lastRenderedPageBreak/>
        <w:t xml:space="preserve">Dosing </w:t>
      </w:r>
      <w:r w:rsidR="00D070BE">
        <w:t>regimen</w:t>
      </w:r>
      <w:r w:rsidR="005665C4">
        <w:t xml:space="preserve"> </w:t>
      </w:r>
    </w:p>
    <w:p w14:paraId="116849ED" w14:textId="336DB8FB" w:rsidR="000012F2" w:rsidRDefault="008E3978" w:rsidP="00C62600">
      <w:pPr>
        <w:jc w:val="center"/>
      </w:pPr>
      <w:r>
        <w:rPr>
          <w:noProof/>
        </w:rPr>
        <w:drawing>
          <wp:inline distT="0" distB="0" distL="0" distR="0" wp14:anchorId="2A703127" wp14:editId="6EFD1213">
            <wp:extent cx="5476875" cy="3009900"/>
            <wp:effectExtent l="0" t="0" r="9525" b="0"/>
            <wp:docPr id="9" name="Chart 9">
              <a:extLst xmlns:a="http://schemas.openxmlformats.org/drawingml/2006/main">
                <a:ext uri="{FF2B5EF4-FFF2-40B4-BE49-F238E27FC236}">
                  <a16:creationId xmlns:a16="http://schemas.microsoft.com/office/drawing/2014/main" id="{CD50CE66-82C5-477A-B25F-05E25AC1A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1A05125" w14:textId="7E559EF4" w:rsidR="00AA78DA" w:rsidRPr="00AA78DA" w:rsidRDefault="005665C4" w:rsidP="00FA6DFC">
      <w:pPr>
        <w:pStyle w:val="Figuretitle"/>
        <w:rPr>
          <w:bCs/>
        </w:rPr>
      </w:pPr>
      <w:r w:rsidRPr="00F43096">
        <w:t xml:space="preserve">Figure </w:t>
      </w:r>
      <w:r w:rsidR="008E3978">
        <w:t>4</w:t>
      </w:r>
      <w:r w:rsidR="00D52810">
        <w:t>:</w:t>
      </w:r>
      <w:r w:rsidR="008E3978">
        <w:t xml:space="preserve"> </w:t>
      </w:r>
      <w:r w:rsidR="00580C11">
        <w:t>N</w:t>
      </w:r>
      <w:r w:rsidR="007A3542">
        <w:t>umber of prevalent patients between 2020</w:t>
      </w:r>
      <w:r w:rsidR="00AA0565">
        <w:t>Q1</w:t>
      </w:r>
      <w:r w:rsidR="007A3542">
        <w:t xml:space="preserve"> and 202</w:t>
      </w:r>
      <w:r w:rsidR="00AA0565">
        <w:t>2Q1</w:t>
      </w:r>
      <w:r w:rsidR="007A3542">
        <w:t xml:space="preserve"> using either </w:t>
      </w:r>
      <w:r w:rsidR="00AA0565">
        <w:t xml:space="preserve">the </w:t>
      </w:r>
      <w:r w:rsidR="007A3542">
        <w:t>3 weekly or 4 weekly treatment regimen</w:t>
      </w:r>
      <w:r w:rsidR="001F3383">
        <w:t xml:space="preserve"> of </w:t>
      </w:r>
      <w:r w:rsidR="001F3383" w:rsidRPr="00FD29DF">
        <w:rPr>
          <w:bCs/>
        </w:rPr>
        <w:t>atezolizumab</w:t>
      </w:r>
    </w:p>
    <w:p w14:paraId="01CE4E96" w14:textId="63DAB9FD" w:rsidR="00DC3F9E" w:rsidRDefault="006C5400" w:rsidP="00604CE3">
      <w:r>
        <w:t xml:space="preserve">Figure </w:t>
      </w:r>
      <w:r w:rsidR="009B4F8C">
        <w:t>4</w:t>
      </w:r>
      <w:r>
        <w:t xml:space="preserve"> shows the </w:t>
      </w:r>
      <w:r w:rsidR="007A3542">
        <w:t>number</w:t>
      </w:r>
      <w:r>
        <w:t xml:space="preserve"> of </w:t>
      </w:r>
      <w:r w:rsidR="007A3542">
        <w:t>prevalent</w:t>
      </w:r>
      <w:r>
        <w:t xml:space="preserve"> patients </w:t>
      </w:r>
      <w:r w:rsidR="00AA0565">
        <w:t xml:space="preserve">supplied </w:t>
      </w:r>
      <w:r w:rsidR="00FD29DF">
        <w:t>either a 3 weekly treatment or 4 weekly treatment</w:t>
      </w:r>
      <w:r>
        <w:t xml:space="preserve"> of between 2020 to 202</w:t>
      </w:r>
      <w:r w:rsidR="00B71EB2">
        <w:t>2</w:t>
      </w:r>
      <w:r>
        <w:t xml:space="preserve">. </w:t>
      </w:r>
      <w:r w:rsidR="00C57107">
        <w:t xml:space="preserve">There </w:t>
      </w:r>
      <w:r w:rsidR="00AA0565">
        <w:t>we</w:t>
      </w:r>
      <w:r w:rsidR="00C57107">
        <w:t xml:space="preserve">re more patients </w:t>
      </w:r>
      <w:r w:rsidR="00AA0565">
        <w:t>supplied</w:t>
      </w:r>
      <w:r w:rsidR="00C57107">
        <w:t xml:space="preserve"> the 3 weekly cycle treatment overall than patients on the 4 weekly cycle treatment. In Q4 2021 there was 318 prevalent patients using the 3 weekly cycle treatment compared to </w:t>
      </w:r>
      <w:r w:rsidR="007A3542">
        <w:t>Q</w:t>
      </w:r>
      <w:r w:rsidR="00C57107">
        <w:t xml:space="preserve">4 2021 where there </w:t>
      </w:r>
      <w:r w:rsidR="009B4F8C">
        <w:t>were</w:t>
      </w:r>
      <w:r w:rsidR="00C57107">
        <w:t xml:space="preserve"> 62 patients using the 4 weekly cycle treatment. </w:t>
      </w:r>
    </w:p>
    <w:p w14:paraId="5631BCC9" w14:textId="77777777" w:rsidR="00E61ED0" w:rsidRDefault="00E61ED0">
      <w:pPr>
        <w:spacing w:line="276" w:lineRule="auto"/>
        <w:rPr>
          <w:b/>
          <w:bCs/>
        </w:rPr>
      </w:pPr>
      <w:r>
        <w:rPr>
          <w:b/>
          <w:bCs/>
        </w:rPr>
        <w:br w:type="page"/>
      </w:r>
    </w:p>
    <w:p w14:paraId="5082899C" w14:textId="4D244CBA" w:rsidR="00F361A3" w:rsidRPr="00E61ED0" w:rsidRDefault="00B37E04" w:rsidP="00604CE3">
      <w:pPr>
        <w:rPr>
          <w:b/>
          <w:bCs/>
        </w:rPr>
      </w:pPr>
      <w:r w:rsidRPr="00403C32">
        <w:rPr>
          <w:b/>
          <w:bCs/>
        </w:rPr>
        <w:lastRenderedPageBreak/>
        <w:t>Time on treatment</w:t>
      </w:r>
    </w:p>
    <w:p w14:paraId="5B3435A4" w14:textId="70B2E0F1" w:rsidR="00215729" w:rsidRDefault="00E06508" w:rsidP="001A096F">
      <w:pPr>
        <w:jc w:val="center"/>
      </w:pPr>
      <w:r w:rsidRPr="00E06508">
        <w:rPr>
          <w:noProof/>
        </w:rPr>
        <w:drawing>
          <wp:inline distT="0" distB="0" distL="0" distR="0" wp14:anchorId="4D42BC40" wp14:editId="5287AF77">
            <wp:extent cx="4156364" cy="35839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4166144" cy="3592375"/>
                    </a:xfrm>
                    <a:prstGeom prst="rect">
                      <a:avLst/>
                    </a:prstGeom>
                    <a:ln>
                      <a:noFill/>
                    </a:ln>
                    <a:extLst>
                      <a:ext uri="{53640926-AAD7-44D8-BBD7-CCE9431645EC}">
                        <a14:shadowObscured xmlns:a14="http://schemas.microsoft.com/office/drawing/2010/main"/>
                      </a:ext>
                    </a:extLst>
                  </pic:spPr>
                </pic:pic>
              </a:graphicData>
            </a:graphic>
          </wp:inline>
        </w:drawing>
      </w:r>
    </w:p>
    <w:p w14:paraId="1E88B9F3" w14:textId="6740FC36" w:rsidR="00215729" w:rsidRPr="00AA78DA" w:rsidRDefault="00AA78DA" w:rsidP="00AA78DA">
      <w:pPr>
        <w:pStyle w:val="Figuretitle"/>
      </w:pPr>
      <w:r w:rsidRPr="00FE645A">
        <w:t xml:space="preserve">Figure </w:t>
      </w:r>
      <w:r w:rsidR="00E06508">
        <w:rPr>
          <w:bCs/>
        </w:rPr>
        <w:t>5</w:t>
      </w:r>
      <w:r w:rsidR="005F43AE">
        <w:rPr>
          <w:bCs/>
        </w:rPr>
        <w:t>:</w:t>
      </w:r>
      <w:r w:rsidR="00562331" w:rsidRPr="00FD29DF">
        <w:rPr>
          <w:bCs/>
        </w:rPr>
        <w:t xml:space="preserve"> Length of treatment for patients treated with </w:t>
      </w:r>
      <w:r w:rsidR="00CC108F">
        <w:rPr>
          <w:bCs/>
        </w:rPr>
        <w:t>a</w:t>
      </w:r>
      <w:r w:rsidR="00562331" w:rsidRPr="00FD29DF">
        <w:rPr>
          <w:bCs/>
        </w:rPr>
        <w:t xml:space="preserve">tezolizumab for </w:t>
      </w:r>
      <w:r w:rsidR="00F25435">
        <w:rPr>
          <w:bCs/>
        </w:rPr>
        <w:t>ES-</w:t>
      </w:r>
      <w:r w:rsidR="00562331" w:rsidRPr="00FD29DF">
        <w:rPr>
          <w:bCs/>
        </w:rPr>
        <w:t>SCLC with breaks</w:t>
      </w:r>
    </w:p>
    <w:p w14:paraId="152A7821" w14:textId="0490FB88" w:rsidR="00E61ED0" w:rsidRDefault="00E61ED0" w:rsidP="00604CE3"/>
    <w:p w14:paraId="490E4D79" w14:textId="77777777" w:rsidR="00663D00" w:rsidRDefault="00663D00" w:rsidP="00604CE3"/>
    <w:p w14:paraId="3B8D5620" w14:textId="71A20BFD" w:rsidR="00215729" w:rsidRDefault="00E06508" w:rsidP="001A096F">
      <w:pPr>
        <w:jc w:val="center"/>
      </w:pPr>
      <w:r w:rsidRPr="00E06508">
        <w:rPr>
          <w:noProof/>
        </w:rPr>
        <w:lastRenderedPageBreak/>
        <w:drawing>
          <wp:inline distT="0" distB="0" distL="0" distR="0" wp14:anchorId="47FC4960" wp14:editId="3A633A81">
            <wp:extent cx="4197927" cy="3784705"/>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4201141" cy="3787603"/>
                    </a:xfrm>
                    <a:prstGeom prst="rect">
                      <a:avLst/>
                    </a:prstGeom>
                    <a:ln>
                      <a:noFill/>
                    </a:ln>
                    <a:extLst>
                      <a:ext uri="{53640926-AAD7-44D8-BBD7-CCE9431645EC}">
                        <a14:shadowObscured xmlns:a14="http://schemas.microsoft.com/office/drawing/2010/main"/>
                      </a:ext>
                    </a:extLst>
                  </pic:spPr>
                </pic:pic>
              </a:graphicData>
            </a:graphic>
          </wp:inline>
        </w:drawing>
      </w:r>
    </w:p>
    <w:p w14:paraId="544D0D98" w14:textId="75FEA250" w:rsidR="00DF23F3" w:rsidRPr="00403C32" w:rsidRDefault="00AA78DA" w:rsidP="00AA78DA">
      <w:pPr>
        <w:pStyle w:val="Figuretitle"/>
        <w:rPr>
          <w:b w:val="0"/>
          <w:bCs/>
        </w:rPr>
      </w:pPr>
      <w:r w:rsidRPr="00FE645A">
        <w:t xml:space="preserve">Figure </w:t>
      </w:r>
      <w:r w:rsidR="00E06508">
        <w:rPr>
          <w:bCs/>
        </w:rPr>
        <w:t>6</w:t>
      </w:r>
      <w:r w:rsidR="005F43AE">
        <w:rPr>
          <w:bCs/>
        </w:rPr>
        <w:t>:</w:t>
      </w:r>
      <w:r w:rsidR="002915C4" w:rsidRPr="00403C32">
        <w:rPr>
          <w:bCs/>
        </w:rPr>
        <w:t xml:space="preserve"> Length of treatment for patients treated with </w:t>
      </w:r>
      <w:r w:rsidR="00CC108F">
        <w:rPr>
          <w:bCs/>
        </w:rPr>
        <w:t>a</w:t>
      </w:r>
      <w:r w:rsidR="002915C4" w:rsidRPr="00403C32">
        <w:rPr>
          <w:bCs/>
        </w:rPr>
        <w:t xml:space="preserve">tezolizumab for </w:t>
      </w:r>
      <w:r w:rsidR="00F25435">
        <w:rPr>
          <w:bCs/>
        </w:rPr>
        <w:t>ES-</w:t>
      </w:r>
      <w:r w:rsidR="002915C4" w:rsidRPr="00403C32">
        <w:rPr>
          <w:bCs/>
        </w:rPr>
        <w:t>SCLC</w:t>
      </w:r>
      <w:r w:rsidR="00562331" w:rsidRPr="00403C32">
        <w:rPr>
          <w:bCs/>
        </w:rPr>
        <w:t xml:space="preserve"> without breaks</w:t>
      </w:r>
    </w:p>
    <w:p w14:paraId="673883C6" w14:textId="77777777" w:rsidR="00A4420A" w:rsidRPr="00FD5FDC" w:rsidRDefault="00C54BAA" w:rsidP="008F7BCA">
      <w:r w:rsidRPr="00237BA3">
        <w:t>Figure</w:t>
      </w:r>
      <w:r w:rsidR="00B37E04" w:rsidRPr="00237BA3">
        <w:t>s</w:t>
      </w:r>
      <w:r w:rsidRPr="00237BA3">
        <w:t xml:space="preserve"> </w:t>
      </w:r>
      <w:r w:rsidR="000D0350" w:rsidRPr="00237BA3">
        <w:t xml:space="preserve">5 </w:t>
      </w:r>
      <w:r w:rsidRPr="00237BA3">
        <w:t xml:space="preserve">and </w:t>
      </w:r>
      <w:r w:rsidR="000D0350" w:rsidRPr="00237BA3">
        <w:t xml:space="preserve">6 </w:t>
      </w:r>
      <w:r w:rsidRPr="00237BA3">
        <w:t xml:space="preserve">show the length of treatment for patients treated with atezolizumab with breaks and without any breaks between treatment. </w:t>
      </w:r>
    </w:p>
    <w:p w14:paraId="4F898886" w14:textId="6150BFF6" w:rsidR="00A4420A" w:rsidRPr="00FD5FDC" w:rsidRDefault="00FD29DF" w:rsidP="008F7BCA">
      <w:r w:rsidRPr="00237BA3">
        <w:t xml:space="preserve">There were </w:t>
      </w:r>
      <w:r w:rsidR="000D0350" w:rsidRPr="00237BA3">
        <w:t>23.6</w:t>
      </w:r>
      <w:r w:rsidR="002915C4" w:rsidRPr="00237BA3">
        <w:t xml:space="preserve">% </w:t>
      </w:r>
      <w:r w:rsidR="00C54BAA" w:rsidRPr="00237BA3">
        <w:t xml:space="preserve">of patients </w:t>
      </w:r>
      <w:r w:rsidR="002915C4" w:rsidRPr="00237BA3">
        <w:t>censored without breaks</w:t>
      </w:r>
      <w:r w:rsidR="00A4420A" w:rsidRPr="00FD5FDC">
        <w:t xml:space="preserve"> and </w:t>
      </w:r>
      <w:r w:rsidR="000D0350" w:rsidRPr="00237BA3">
        <w:t xml:space="preserve">1612 </w:t>
      </w:r>
      <w:r w:rsidR="00FB5D06" w:rsidRPr="00237BA3">
        <w:t xml:space="preserve">patients </w:t>
      </w:r>
      <w:r w:rsidR="00A4420A" w:rsidRPr="00FD5FDC">
        <w:t xml:space="preserve">stopped treatment. The </w:t>
      </w:r>
      <w:bookmarkStart w:id="9" w:name="_Hlk111462963"/>
      <w:r w:rsidR="008F7BCA" w:rsidRPr="00237BA3">
        <w:t xml:space="preserve">median time on treatment </w:t>
      </w:r>
      <w:bookmarkEnd w:id="9"/>
      <w:r w:rsidR="008F7BCA" w:rsidRPr="00237BA3">
        <w:t xml:space="preserve">was </w:t>
      </w:r>
      <w:r w:rsidR="000D0350" w:rsidRPr="00237BA3">
        <w:t xml:space="preserve">134 </w:t>
      </w:r>
      <w:r w:rsidR="008F7BCA" w:rsidRPr="00237BA3">
        <w:t>days (</w:t>
      </w:r>
      <w:r w:rsidR="000D0350" w:rsidRPr="00237BA3">
        <w:t>130</w:t>
      </w:r>
      <w:r w:rsidR="008F7BCA" w:rsidRPr="00237BA3">
        <w:t>-</w:t>
      </w:r>
      <w:r w:rsidR="000D0350" w:rsidRPr="00237BA3">
        <w:t xml:space="preserve">144 </w:t>
      </w:r>
      <w:r w:rsidR="008F7BCA" w:rsidRPr="00237BA3">
        <w:t>days 95% CI)</w:t>
      </w:r>
      <w:r w:rsidR="00A4420A" w:rsidRPr="00FD5FDC">
        <w:t>, and the mean time on treatment was 188 days</w:t>
      </w:r>
      <w:r w:rsidR="008F7BCA" w:rsidRPr="00237BA3">
        <w:t xml:space="preserve">. </w:t>
      </w:r>
    </w:p>
    <w:p w14:paraId="28C8E5B7" w14:textId="6A164747" w:rsidR="00FB5D06" w:rsidRDefault="00FD29DF" w:rsidP="008F7BCA">
      <w:r w:rsidRPr="00237BA3">
        <w:t xml:space="preserve">There were </w:t>
      </w:r>
      <w:r w:rsidR="000D0350" w:rsidRPr="00237BA3">
        <w:t>25.64</w:t>
      </w:r>
      <w:r w:rsidR="00C54BAA" w:rsidRPr="00237BA3">
        <w:t xml:space="preserve">% </w:t>
      </w:r>
      <w:r w:rsidR="009606D4" w:rsidRPr="00237BA3">
        <w:t xml:space="preserve">censored </w:t>
      </w:r>
      <w:r w:rsidR="00C54BAA" w:rsidRPr="00237BA3">
        <w:t>with breaks</w:t>
      </w:r>
      <w:r w:rsidR="00A4420A" w:rsidRPr="00FD5FDC">
        <w:t xml:space="preserve"> and</w:t>
      </w:r>
      <w:r w:rsidR="00FB5D06" w:rsidRPr="00237BA3">
        <w:t xml:space="preserve"> </w:t>
      </w:r>
      <w:r w:rsidR="000D0350" w:rsidRPr="00237BA3">
        <w:t>1</w:t>
      </w:r>
      <w:r w:rsidR="00E61ED0">
        <w:t>,</w:t>
      </w:r>
      <w:r w:rsidR="000D0350" w:rsidRPr="00237BA3">
        <w:t xml:space="preserve">569 </w:t>
      </w:r>
      <w:r w:rsidR="00FB5D06" w:rsidRPr="00237BA3">
        <w:t xml:space="preserve">patients </w:t>
      </w:r>
      <w:r w:rsidR="00A4420A" w:rsidRPr="00FD5FDC">
        <w:t>stopped treatment. T</w:t>
      </w:r>
      <w:r w:rsidR="006D59F5" w:rsidRPr="00237BA3">
        <w:t xml:space="preserve">he median time on treatment was </w:t>
      </w:r>
      <w:r w:rsidR="000D0350" w:rsidRPr="00237BA3">
        <w:t xml:space="preserve">123 </w:t>
      </w:r>
      <w:r w:rsidR="006D59F5" w:rsidRPr="00237BA3">
        <w:t>days (</w:t>
      </w:r>
      <w:r w:rsidR="000D0350" w:rsidRPr="00237BA3">
        <w:t>115</w:t>
      </w:r>
      <w:r w:rsidR="006D59F5" w:rsidRPr="00237BA3">
        <w:t>-</w:t>
      </w:r>
      <w:r w:rsidR="000D0350" w:rsidRPr="00237BA3">
        <w:t xml:space="preserve">130 </w:t>
      </w:r>
      <w:r w:rsidR="006D59F5" w:rsidRPr="00237BA3">
        <w:t>days 95% CI)</w:t>
      </w:r>
      <w:r w:rsidR="00A4420A" w:rsidRPr="00FD5FDC">
        <w:t>, and the mean time on treatment was 170 days</w:t>
      </w:r>
      <w:r w:rsidR="00C54BAA" w:rsidRPr="00237BA3">
        <w:t>.</w:t>
      </w:r>
    </w:p>
    <w:p w14:paraId="5F22B4D8" w14:textId="4DB42EF8" w:rsidR="00736041" w:rsidRPr="00E61ED0" w:rsidRDefault="005F43AE" w:rsidP="00E61ED0">
      <w:pPr>
        <w:pStyle w:val="Heading2"/>
      </w:pPr>
      <w:r>
        <w:br w:type="page"/>
      </w:r>
      <w:r w:rsidR="00E61ED0">
        <w:lastRenderedPageBreak/>
        <w:t xml:space="preserve">Analysis </w:t>
      </w:r>
      <w:r w:rsidR="00E61ED0" w:rsidRPr="005E22C2">
        <w:t xml:space="preserve">of </w:t>
      </w:r>
      <w:r w:rsidR="00E61ED0">
        <w:t>a</w:t>
      </w:r>
      <w:r w:rsidR="00E61ED0" w:rsidRPr="005E22C2">
        <w:t xml:space="preserve">ctual versus </w:t>
      </w:r>
      <w:r w:rsidR="00E61ED0">
        <w:t>p</w:t>
      </w:r>
      <w:r w:rsidR="00E61ED0" w:rsidRPr="005E22C2">
        <w:t xml:space="preserve">redicted </w:t>
      </w:r>
      <w:r w:rsidR="00E61ED0">
        <w:t>u</w:t>
      </w:r>
      <w:r w:rsidR="00E61ED0" w:rsidRPr="005E22C2">
        <w:t>tilisation</w:t>
      </w:r>
    </w:p>
    <w:p w14:paraId="4DFFDA56" w14:textId="16916E94" w:rsidR="00C51645" w:rsidRPr="00C51645" w:rsidRDefault="005665C4" w:rsidP="00C51645">
      <w:pPr>
        <w:pStyle w:val="Tabletitle"/>
        <w:keepNext/>
      </w:pPr>
      <w:r w:rsidRPr="00D31177">
        <w:t xml:space="preserve">Table </w:t>
      </w:r>
      <w:r w:rsidR="008F4F07">
        <w:t>4</w:t>
      </w:r>
      <w:r w:rsidRPr="00D31177">
        <w:t>: Analysis of actual versus predicted utilisation</w:t>
      </w:r>
    </w:p>
    <w:tbl>
      <w:tblPr>
        <w:tblW w:w="5535" w:type="dxa"/>
        <w:tblLook w:val="04A0" w:firstRow="1" w:lastRow="0" w:firstColumn="1" w:lastColumn="0" w:noHBand="0" w:noVBand="1"/>
      </w:tblPr>
      <w:tblGrid>
        <w:gridCol w:w="2128"/>
        <w:gridCol w:w="1065"/>
        <w:gridCol w:w="1229"/>
        <w:gridCol w:w="1229"/>
      </w:tblGrid>
      <w:tr w:rsidR="00C51645" w14:paraId="29091F63" w14:textId="77777777" w:rsidTr="00C51645">
        <w:trPr>
          <w:trHeight w:val="273"/>
        </w:trPr>
        <w:tc>
          <w:tcPr>
            <w:tcW w:w="21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E7C0EDE" w14:textId="77777777" w:rsidR="00C51645" w:rsidRDefault="00C51645">
            <w:pPr>
              <w:keepNext/>
              <w:spacing w:after="0" w:line="276"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 </w:t>
            </w:r>
          </w:p>
        </w:tc>
        <w:tc>
          <w:tcPr>
            <w:tcW w:w="10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8530D14" w14:textId="77777777" w:rsidR="00C51645" w:rsidRDefault="00C51645">
            <w:pPr>
              <w:keepNext/>
              <w:spacing w:after="0" w:line="276"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 </w:t>
            </w:r>
          </w:p>
        </w:tc>
        <w:tc>
          <w:tcPr>
            <w:tcW w:w="120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529751B" w14:textId="77777777" w:rsidR="00C51645" w:rsidRDefault="00C51645">
            <w:pPr>
              <w:keepNext/>
              <w:spacing w:after="0" w:line="276"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Year 1</w:t>
            </w:r>
          </w:p>
        </w:tc>
        <w:tc>
          <w:tcPr>
            <w:tcW w:w="120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27E7987" w14:textId="77777777" w:rsidR="00C51645" w:rsidRDefault="00C51645">
            <w:pPr>
              <w:keepNext/>
              <w:spacing w:after="0" w:line="276"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Year 2</w:t>
            </w:r>
          </w:p>
        </w:tc>
      </w:tr>
      <w:tr w:rsidR="00C51645" w14:paraId="423D1561" w14:textId="77777777" w:rsidTr="00C51645">
        <w:trPr>
          <w:trHeight w:val="273"/>
        </w:trPr>
        <w:tc>
          <w:tcPr>
            <w:tcW w:w="2128" w:type="dxa"/>
            <w:tcBorders>
              <w:top w:val="nil"/>
              <w:left w:val="single" w:sz="4" w:space="0" w:color="auto"/>
              <w:bottom w:val="single" w:sz="4" w:space="0" w:color="auto"/>
              <w:right w:val="single" w:sz="4" w:space="0" w:color="auto"/>
            </w:tcBorders>
            <w:noWrap/>
            <w:vAlign w:val="bottom"/>
            <w:hideMark/>
          </w:tcPr>
          <w:p w14:paraId="5E05EFA8"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Prevalent patients</w:t>
            </w:r>
          </w:p>
        </w:tc>
        <w:tc>
          <w:tcPr>
            <w:tcW w:w="1001" w:type="dxa"/>
            <w:tcBorders>
              <w:top w:val="nil"/>
              <w:left w:val="nil"/>
              <w:bottom w:val="single" w:sz="4" w:space="0" w:color="auto"/>
              <w:right w:val="single" w:sz="4" w:space="0" w:color="auto"/>
            </w:tcBorders>
            <w:noWrap/>
            <w:vAlign w:val="bottom"/>
            <w:hideMark/>
          </w:tcPr>
          <w:p w14:paraId="24C7DFF1"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Predicted</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22E6E736" w14:textId="6E9395E5"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0F40C11C" w14:textId="2919A55D"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r>
      <w:tr w:rsidR="00C51645" w14:paraId="247AA75F" w14:textId="77777777" w:rsidTr="00C51645">
        <w:trPr>
          <w:trHeight w:val="273"/>
        </w:trPr>
        <w:tc>
          <w:tcPr>
            <w:tcW w:w="2128" w:type="dxa"/>
            <w:tcBorders>
              <w:top w:val="nil"/>
              <w:left w:val="single" w:sz="4" w:space="0" w:color="auto"/>
              <w:bottom w:val="single" w:sz="4" w:space="0" w:color="auto"/>
              <w:right w:val="single" w:sz="4" w:space="0" w:color="auto"/>
            </w:tcBorders>
            <w:noWrap/>
            <w:vAlign w:val="bottom"/>
            <w:hideMark/>
          </w:tcPr>
          <w:p w14:paraId="3C6A0BA5"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 </w:t>
            </w:r>
          </w:p>
        </w:tc>
        <w:tc>
          <w:tcPr>
            <w:tcW w:w="1001" w:type="dxa"/>
            <w:tcBorders>
              <w:top w:val="nil"/>
              <w:left w:val="nil"/>
              <w:bottom w:val="single" w:sz="4" w:space="0" w:color="auto"/>
              <w:right w:val="single" w:sz="4" w:space="0" w:color="auto"/>
            </w:tcBorders>
            <w:noWrap/>
            <w:vAlign w:val="bottom"/>
            <w:hideMark/>
          </w:tcPr>
          <w:p w14:paraId="4B4D97E0"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Actual</w:t>
            </w:r>
          </w:p>
        </w:tc>
        <w:tc>
          <w:tcPr>
            <w:tcW w:w="1203" w:type="dxa"/>
            <w:tcBorders>
              <w:top w:val="nil"/>
              <w:left w:val="nil"/>
              <w:bottom w:val="single" w:sz="4" w:space="0" w:color="auto"/>
              <w:right w:val="single" w:sz="4" w:space="0" w:color="auto"/>
            </w:tcBorders>
            <w:noWrap/>
            <w:vAlign w:val="bottom"/>
            <w:hideMark/>
          </w:tcPr>
          <w:p w14:paraId="7AC84B88" w14:textId="77777777" w:rsidR="00C51645" w:rsidRDefault="00C51645">
            <w:pPr>
              <w:keepNext/>
              <w:spacing w:after="0" w:line="276"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961</w:t>
            </w:r>
          </w:p>
        </w:tc>
        <w:tc>
          <w:tcPr>
            <w:tcW w:w="1203" w:type="dxa"/>
            <w:tcBorders>
              <w:top w:val="nil"/>
              <w:left w:val="nil"/>
              <w:bottom w:val="single" w:sz="4" w:space="0" w:color="auto"/>
              <w:right w:val="single" w:sz="4" w:space="0" w:color="auto"/>
            </w:tcBorders>
            <w:noWrap/>
            <w:vAlign w:val="bottom"/>
            <w:hideMark/>
          </w:tcPr>
          <w:p w14:paraId="71069478" w14:textId="77777777" w:rsidR="00C51645" w:rsidRDefault="00C51645">
            <w:pPr>
              <w:keepNext/>
              <w:spacing w:after="0" w:line="276"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1,209</w:t>
            </w:r>
          </w:p>
        </w:tc>
      </w:tr>
      <w:tr w:rsidR="00C51645" w14:paraId="44E8F8BC" w14:textId="77777777" w:rsidTr="00C51645">
        <w:trPr>
          <w:trHeight w:val="273"/>
        </w:trPr>
        <w:tc>
          <w:tcPr>
            <w:tcW w:w="2128" w:type="dxa"/>
            <w:tcBorders>
              <w:top w:val="nil"/>
              <w:left w:val="single" w:sz="4" w:space="0" w:color="auto"/>
              <w:bottom w:val="single" w:sz="4" w:space="0" w:color="auto"/>
              <w:right w:val="single" w:sz="4" w:space="0" w:color="auto"/>
            </w:tcBorders>
            <w:noWrap/>
            <w:vAlign w:val="bottom"/>
            <w:hideMark/>
          </w:tcPr>
          <w:p w14:paraId="1073B105"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 </w:t>
            </w:r>
          </w:p>
        </w:tc>
        <w:tc>
          <w:tcPr>
            <w:tcW w:w="1001" w:type="dxa"/>
            <w:tcBorders>
              <w:top w:val="nil"/>
              <w:left w:val="nil"/>
              <w:bottom w:val="single" w:sz="4" w:space="0" w:color="auto"/>
              <w:right w:val="single" w:sz="4" w:space="0" w:color="auto"/>
            </w:tcBorders>
            <w:noWrap/>
            <w:vAlign w:val="bottom"/>
            <w:hideMark/>
          </w:tcPr>
          <w:p w14:paraId="415AC78F"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Difference</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52A6A25F" w14:textId="20BC8D58"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5DB00627" w14:textId="4069D085"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r>
      <w:tr w:rsidR="00C51645" w14:paraId="44A30DFB" w14:textId="77777777" w:rsidTr="00C51645">
        <w:trPr>
          <w:trHeight w:val="273"/>
        </w:trPr>
        <w:tc>
          <w:tcPr>
            <w:tcW w:w="2128" w:type="dxa"/>
            <w:tcBorders>
              <w:top w:val="nil"/>
              <w:left w:val="single" w:sz="4" w:space="0" w:color="auto"/>
              <w:bottom w:val="single" w:sz="4" w:space="0" w:color="auto"/>
              <w:right w:val="single" w:sz="4" w:space="0" w:color="auto"/>
            </w:tcBorders>
            <w:noWrap/>
            <w:vAlign w:val="bottom"/>
            <w:hideMark/>
          </w:tcPr>
          <w:p w14:paraId="389B13B9"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Prescriptions</w:t>
            </w:r>
          </w:p>
        </w:tc>
        <w:tc>
          <w:tcPr>
            <w:tcW w:w="1001" w:type="dxa"/>
            <w:tcBorders>
              <w:top w:val="nil"/>
              <w:left w:val="nil"/>
              <w:bottom w:val="single" w:sz="4" w:space="0" w:color="auto"/>
              <w:right w:val="single" w:sz="4" w:space="0" w:color="auto"/>
            </w:tcBorders>
            <w:noWrap/>
            <w:vAlign w:val="bottom"/>
            <w:hideMark/>
          </w:tcPr>
          <w:p w14:paraId="3050685D"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Predicted</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17C08E8E" w14:textId="00B8E9B0"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51299E19" w14:textId="661B4CE3"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r>
      <w:tr w:rsidR="00C51645" w14:paraId="242CAD8E" w14:textId="77777777" w:rsidTr="00C51645">
        <w:trPr>
          <w:trHeight w:val="273"/>
        </w:trPr>
        <w:tc>
          <w:tcPr>
            <w:tcW w:w="2128" w:type="dxa"/>
            <w:tcBorders>
              <w:top w:val="nil"/>
              <w:left w:val="single" w:sz="4" w:space="0" w:color="auto"/>
              <w:bottom w:val="single" w:sz="4" w:space="0" w:color="auto"/>
              <w:right w:val="single" w:sz="4" w:space="0" w:color="auto"/>
            </w:tcBorders>
            <w:noWrap/>
            <w:vAlign w:val="bottom"/>
            <w:hideMark/>
          </w:tcPr>
          <w:p w14:paraId="3E5C3B6A"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 </w:t>
            </w:r>
          </w:p>
        </w:tc>
        <w:tc>
          <w:tcPr>
            <w:tcW w:w="1001" w:type="dxa"/>
            <w:tcBorders>
              <w:top w:val="nil"/>
              <w:left w:val="nil"/>
              <w:bottom w:val="single" w:sz="4" w:space="0" w:color="auto"/>
              <w:right w:val="single" w:sz="4" w:space="0" w:color="auto"/>
            </w:tcBorders>
            <w:noWrap/>
            <w:vAlign w:val="bottom"/>
            <w:hideMark/>
          </w:tcPr>
          <w:p w14:paraId="73601431"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Actual</w:t>
            </w:r>
          </w:p>
        </w:tc>
        <w:tc>
          <w:tcPr>
            <w:tcW w:w="1203" w:type="dxa"/>
            <w:tcBorders>
              <w:top w:val="nil"/>
              <w:left w:val="nil"/>
              <w:bottom w:val="single" w:sz="4" w:space="0" w:color="auto"/>
              <w:right w:val="single" w:sz="4" w:space="0" w:color="auto"/>
            </w:tcBorders>
            <w:noWrap/>
            <w:vAlign w:val="bottom"/>
            <w:hideMark/>
          </w:tcPr>
          <w:p w14:paraId="47F38EF7" w14:textId="77777777" w:rsidR="00C51645" w:rsidRDefault="00C51645">
            <w:pPr>
              <w:keepNext/>
              <w:spacing w:after="0" w:line="276"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5,271</w:t>
            </w:r>
          </w:p>
        </w:tc>
        <w:tc>
          <w:tcPr>
            <w:tcW w:w="1203" w:type="dxa"/>
            <w:tcBorders>
              <w:top w:val="nil"/>
              <w:left w:val="nil"/>
              <w:bottom w:val="single" w:sz="4" w:space="0" w:color="auto"/>
              <w:right w:val="single" w:sz="4" w:space="0" w:color="auto"/>
            </w:tcBorders>
            <w:noWrap/>
            <w:vAlign w:val="bottom"/>
            <w:hideMark/>
          </w:tcPr>
          <w:p w14:paraId="65C07A9C" w14:textId="77777777" w:rsidR="00C51645" w:rsidRDefault="00C51645">
            <w:pPr>
              <w:keepNext/>
              <w:spacing w:after="0" w:line="276"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7,128</w:t>
            </w:r>
          </w:p>
        </w:tc>
      </w:tr>
      <w:tr w:rsidR="00C51645" w14:paraId="0E005FF9" w14:textId="77777777" w:rsidTr="00C51645">
        <w:trPr>
          <w:trHeight w:val="273"/>
        </w:trPr>
        <w:tc>
          <w:tcPr>
            <w:tcW w:w="2128" w:type="dxa"/>
            <w:tcBorders>
              <w:top w:val="nil"/>
              <w:left w:val="single" w:sz="4" w:space="0" w:color="auto"/>
              <w:bottom w:val="single" w:sz="4" w:space="0" w:color="auto"/>
              <w:right w:val="single" w:sz="4" w:space="0" w:color="auto"/>
            </w:tcBorders>
            <w:noWrap/>
            <w:vAlign w:val="bottom"/>
            <w:hideMark/>
          </w:tcPr>
          <w:p w14:paraId="610AF63A"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 </w:t>
            </w:r>
          </w:p>
        </w:tc>
        <w:tc>
          <w:tcPr>
            <w:tcW w:w="1001" w:type="dxa"/>
            <w:tcBorders>
              <w:top w:val="nil"/>
              <w:left w:val="nil"/>
              <w:bottom w:val="single" w:sz="4" w:space="0" w:color="auto"/>
              <w:right w:val="single" w:sz="4" w:space="0" w:color="auto"/>
            </w:tcBorders>
            <w:noWrap/>
            <w:vAlign w:val="bottom"/>
            <w:hideMark/>
          </w:tcPr>
          <w:p w14:paraId="7C950082"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Difference</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7B417B93" w14:textId="6954B08C"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1A2EBC74" w14:textId="3D9B67F2"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r>
      <w:tr w:rsidR="00C51645" w14:paraId="5A009C69" w14:textId="77777777" w:rsidTr="00C51645">
        <w:trPr>
          <w:trHeight w:val="273"/>
        </w:trPr>
        <w:tc>
          <w:tcPr>
            <w:tcW w:w="2128" w:type="dxa"/>
            <w:tcBorders>
              <w:top w:val="nil"/>
              <w:left w:val="single" w:sz="4" w:space="0" w:color="auto"/>
              <w:bottom w:val="single" w:sz="4" w:space="0" w:color="auto"/>
              <w:right w:val="single" w:sz="4" w:space="0" w:color="auto"/>
            </w:tcBorders>
            <w:noWrap/>
            <w:vAlign w:val="bottom"/>
            <w:hideMark/>
          </w:tcPr>
          <w:p w14:paraId="3F6E7EEA"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Benefit cost to the PBS</w:t>
            </w:r>
          </w:p>
        </w:tc>
        <w:tc>
          <w:tcPr>
            <w:tcW w:w="1001" w:type="dxa"/>
            <w:tcBorders>
              <w:top w:val="nil"/>
              <w:left w:val="nil"/>
              <w:bottom w:val="single" w:sz="4" w:space="0" w:color="auto"/>
              <w:right w:val="single" w:sz="4" w:space="0" w:color="auto"/>
            </w:tcBorders>
            <w:noWrap/>
            <w:vAlign w:val="bottom"/>
            <w:hideMark/>
          </w:tcPr>
          <w:p w14:paraId="0D07BE56"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Predicted</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7D1DAF39" w14:textId="08C4E2EC"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w w:val="69"/>
                <w:sz w:val="20"/>
                <w:szCs w:val="20"/>
                <w:fitText w:val="900" w:id="-1296849918"/>
                <w14:textFill>
                  <w14:solidFill>
                    <w14:srgbClr w14:val="000000">
                      <w14:alpha w14:val="100000"/>
                    </w14:srgbClr>
                  </w14:solidFill>
                </w14:textFill>
              </w:rPr>
              <w:t>|||||||||||||</w:t>
            </w:r>
            <w:r w:rsidRPr="00C51645">
              <w:rPr>
                <w:rFonts w:ascii="Calibri" w:eastAsia="Times New Roman" w:hAnsi="Calibri" w:cs="Calibri"/>
                <w:color w:val="000000"/>
                <w:spacing w:val="11"/>
                <w:w w:val="69"/>
                <w:sz w:val="20"/>
                <w:szCs w:val="20"/>
                <w:fitText w:val="900" w:id="-1296849918"/>
                <w14:textFill>
                  <w14:solidFill>
                    <w14:srgbClr w14:val="000000">
                      <w14:alpha w14:val="100000"/>
                    </w14:srgbClr>
                  </w14:solidFill>
                </w14:textFill>
              </w:rPr>
              <w:t>|</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76D81092" w14:textId="47BAFC43"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w w:val="69"/>
                <w:sz w:val="20"/>
                <w:szCs w:val="20"/>
                <w:fitText w:val="900" w:id="-1296849917"/>
                <w14:textFill>
                  <w14:solidFill>
                    <w14:srgbClr w14:val="000000">
                      <w14:alpha w14:val="100000"/>
                    </w14:srgbClr>
                  </w14:solidFill>
                </w14:textFill>
              </w:rPr>
              <w:t>|||||||||||||</w:t>
            </w:r>
            <w:r w:rsidRPr="00C51645">
              <w:rPr>
                <w:rFonts w:ascii="Calibri" w:eastAsia="Times New Roman" w:hAnsi="Calibri" w:cs="Calibri"/>
                <w:color w:val="000000"/>
                <w:spacing w:val="11"/>
                <w:w w:val="69"/>
                <w:sz w:val="20"/>
                <w:szCs w:val="20"/>
                <w:fitText w:val="900" w:id="-1296849917"/>
                <w14:textFill>
                  <w14:solidFill>
                    <w14:srgbClr w14:val="000000">
                      <w14:alpha w14:val="100000"/>
                    </w14:srgbClr>
                  </w14:solidFill>
                </w14:textFill>
              </w:rPr>
              <w:t>|</w:t>
            </w:r>
          </w:p>
        </w:tc>
      </w:tr>
      <w:tr w:rsidR="00C51645" w14:paraId="4FE1C2EE" w14:textId="77777777" w:rsidTr="00C51645">
        <w:trPr>
          <w:trHeight w:val="273"/>
        </w:trPr>
        <w:tc>
          <w:tcPr>
            <w:tcW w:w="2128" w:type="dxa"/>
            <w:tcBorders>
              <w:top w:val="nil"/>
              <w:left w:val="single" w:sz="4" w:space="0" w:color="auto"/>
              <w:bottom w:val="single" w:sz="4" w:space="0" w:color="auto"/>
              <w:right w:val="single" w:sz="4" w:space="0" w:color="auto"/>
            </w:tcBorders>
            <w:noWrap/>
            <w:vAlign w:val="bottom"/>
            <w:hideMark/>
          </w:tcPr>
          <w:p w14:paraId="647D4D39"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 </w:t>
            </w:r>
          </w:p>
        </w:tc>
        <w:tc>
          <w:tcPr>
            <w:tcW w:w="1001" w:type="dxa"/>
            <w:tcBorders>
              <w:top w:val="nil"/>
              <w:left w:val="nil"/>
              <w:bottom w:val="single" w:sz="4" w:space="0" w:color="auto"/>
              <w:right w:val="single" w:sz="4" w:space="0" w:color="auto"/>
            </w:tcBorders>
            <w:noWrap/>
            <w:vAlign w:val="bottom"/>
            <w:hideMark/>
          </w:tcPr>
          <w:p w14:paraId="36085ED2"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Actual</w:t>
            </w:r>
          </w:p>
        </w:tc>
        <w:tc>
          <w:tcPr>
            <w:tcW w:w="1203" w:type="dxa"/>
            <w:tcBorders>
              <w:top w:val="nil"/>
              <w:left w:val="nil"/>
              <w:bottom w:val="single" w:sz="4" w:space="0" w:color="auto"/>
              <w:right w:val="single" w:sz="4" w:space="0" w:color="auto"/>
            </w:tcBorders>
            <w:noWrap/>
            <w:vAlign w:val="bottom"/>
            <w:hideMark/>
          </w:tcPr>
          <w:p w14:paraId="7A2A7354" w14:textId="77777777" w:rsidR="00C51645" w:rsidRDefault="00C51645">
            <w:pPr>
              <w:keepNext/>
              <w:spacing w:after="0" w:line="276"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$38,786,938</w:t>
            </w:r>
          </w:p>
        </w:tc>
        <w:tc>
          <w:tcPr>
            <w:tcW w:w="1203" w:type="dxa"/>
            <w:tcBorders>
              <w:top w:val="nil"/>
              <w:left w:val="nil"/>
              <w:bottom w:val="single" w:sz="4" w:space="0" w:color="auto"/>
              <w:right w:val="single" w:sz="4" w:space="0" w:color="auto"/>
            </w:tcBorders>
            <w:noWrap/>
            <w:vAlign w:val="bottom"/>
            <w:hideMark/>
          </w:tcPr>
          <w:p w14:paraId="499763F0" w14:textId="77777777" w:rsidR="00C51645" w:rsidRDefault="00C51645">
            <w:pPr>
              <w:keepNext/>
              <w:spacing w:after="0" w:line="276"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$53,216,270</w:t>
            </w:r>
          </w:p>
        </w:tc>
      </w:tr>
      <w:tr w:rsidR="00C51645" w14:paraId="20DF81D9" w14:textId="77777777" w:rsidTr="00C51645">
        <w:trPr>
          <w:trHeight w:val="273"/>
        </w:trPr>
        <w:tc>
          <w:tcPr>
            <w:tcW w:w="2128" w:type="dxa"/>
            <w:tcBorders>
              <w:top w:val="nil"/>
              <w:left w:val="single" w:sz="4" w:space="0" w:color="auto"/>
              <w:bottom w:val="single" w:sz="4" w:space="0" w:color="auto"/>
              <w:right w:val="single" w:sz="4" w:space="0" w:color="auto"/>
            </w:tcBorders>
            <w:noWrap/>
            <w:vAlign w:val="bottom"/>
            <w:hideMark/>
          </w:tcPr>
          <w:p w14:paraId="23000F03"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 </w:t>
            </w:r>
          </w:p>
        </w:tc>
        <w:tc>
          <w:tcPr>
            <w:tcW w:w="1001" w:type="dxa"/>
            <w:tcBorders>
              <w:top w:val="nil"/>
              <w:left w:val="nil"/>
              <w:bottom w:val="single" w:sz="4" w:space="0" w:color="auto"/>
              <w:right w:val="single" w:sz="4" w:space="0" w:color="auto"/>
            </w:tcBorders>
            <w:noWrap/>
            <w:vAlign w:val="bottom"/>
            <w:hideMark/>
          </w:tcPr>
          <w:p w14:paraId="544CA4CE" w14:textId="77777777" w:rsidR="00C51645" w:rsidRDefault="00C51645">
            <w:pPr>
              <w:keepNext/>
              <w:spacing w:after="0" w:line="276" w:lineRule="auto"/>
              <w:rPr>
                <w:rFonts w:ascii="Calibri" w:eastAsia="Times New Roman" w:hAnsi="Calibri" w:cs="Calibri"/>
                <w:color w:val="000000"/>
                <w:sz w:val="20"/>
                <w:szCs w:val="20"/>
              </w:rPr>
            </w:pPr>
            <w:r>
              <w:rPr>
                <w:rFonts w:ascii="Calibri" w:eastAsia="Times New Roman" w:hAnsi="Calibri" w:cs="Calibri"/>
                <w:color w:val="000000"/>
                <w:sz w:val="20"/>
                <w:szCs w:val="20"/>
              </w:rPr>
              <w:t>Difference</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1B5B4DF4" w14:textId="1B4BA4E4"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c>
          <w:tcPr>
            <w:tcW w:w="1203" w:type="dxa"/>
            <w:tcBorders>
              <w:top w:val="single" w:sz="4" w:space="0" w:color="auto"/>
              <w:left w:val="nil"/>
              <w:bottom w:val="single" w:sz="4" w:space="0" w:color="auto"/>
              <w:right w:val="single" w:sz="4" w:space="0" w:color="auto"/>
            </w:tcBorders>
            <w:shd w:val="solid" w:color="000000" w:fill="000000"/>
            <w:noWrap/>
            <w:vAlign w:val="bottom"/>
            <w:hideMark/>
          </w:tcPr>
          <w:p w14:paraId="18CA3853" w14:textId="66778EE6" w:rsidR="00C51645" w:rsidRPr="00C51645" w:rsidRDefault="00C51645">
            <w:pPr>
              <w:keepNext/>
              <w:spacing w:after="0" w:line="276" w:lineRule="auto"/>
              <w:jc w:val="right"/>
              <w:rPr>
                <w:rFonts w:ascii="Calibri" w:eastAsia="Times New Roman" w:hAnsi="Calibri" w:cs="Calibri"/>
                <w:color w:val="000000"/>
                <w:sz w:val="20"/>
                <w:szCs w:val="20"/>
              </w:rPr>
            </w:pPr>
            <w:r w:rsidRPr="00C51645">
              <w:rPr>
                <w:rFonts w:ascii="Calibri" w:eastAsia="Times New Roman" w:hAnsi="Calibri" w:cs="Calibri"/>
                <w:color w:val="000000"/>
                <w:sz w:val="20"/>
                <w:szCs w:val="20"/>
                <w14:textFill>
                  <w14:solidFill>
                    <w14:srgbClr w14:val="000000">
                      <w14:alpha w14:val="100000"/>
                    </w14:srgbClr>
                  </w14:solidFill>
                </w14:textFill>
              </w:rPr>
              <w:t>|</w:t>
            </w:r>
          </w:p>
        </w:tc>
      </w:tr>
    </w:tbl>
    <w:p w14:paraId="0DBEC522" w14:textId="77777777" w:rsidR="00C51645" w:rsidRDefault="00C51645" w:rsidP="005665C4">
      <w:pPr>
        <w:rPr>
          <w:sz w:val="20"/>
          <w:szCs w:val="20"/>
        </w:rPr>
      </w:pPr>
    </w:p>
    <w:p w14:paraId="598E1BB4" w14:textId="7ADB66B3" w:rsidR="007C240C" w:rsidRPr="004F6999" w:rsidRDefault="00517247" w:rsidP="005665C4">
      <w:pPr>
        <w:rPr>
          <w:sz w:val="20"/>
          <w:szCs w:val="20"/>
        </w:rPr>
      </w:pPr>
      <w:r w:rsidRPr="004F6999">
        <w:rPr>
          <w:sz w:val="20"/>
          <w:szCs w:val="20"/>
        </w:rPr>
        <w:t>Note: The benefit amounts are based on the published list prices. Special pricing arrangements apply to the listing of atezolizumab.</w:t>
      </w:r>
    </w:p>
    <w:p w14:paraId="53FE8BCD" w14:textId="6AA8EC58" w:rsidR="004F6999" w:rsidRDefault="005665C4" w:rsidP="005665C4">
      <w:r w:rsidRPr="007D5232">
        <w:t xml:space="preserve">The submission predicted prevalent patients would be treated from </w:t>
      </w:r>
      <w:r>
        <w:t>Year 1</w:t>
      </w:r>
      <w:r w:rsidR="007D1037">
        <w:t xml:space="preserve"> </w:t>
      </w:r>
      <w:r>
        <w:t>and would continue treatment in subsequent years.</w:t>
      </w:r>
      <w:r w:rsidRPr="007D5232">
        <w:t xml:space="preserve"> </w:t>
      </w:r>
      <w:r>
        <w:t xml:space="preserve">The number of patients who initiated in Year 1 was </w:t>
      </w:r>
      <w:r w:rsidR="00D62400">
        <w:t xml:space="preserve">961 which </w:t>
      </w:r>
      <w:r w:rsidR="004F6999">
        <w:t>wa</w:t>
      </w:r>
      <w:r w:rsidR="00D62400">
        <w:t xml:space="preserve">s </w:t>
      </w:r>
      <w:r w:rsidR="00DB57C5" w:rsidRPr="00DB57C5">
        <w:rPr>
          <w:rFonts w:hint="eastAsia"/>
          <w:color w:val="000000"/>
          <w:w w:val="20"/>
          <w:shd w:val="solid" w:color="000000" w:fill="000000"/>
          <w:fitText w:val="120" w:id="-1296852223"/>
          <w14:textFill>
            <w14:solidFill>
              <w14:srgbClr w14:val="000000">
                <w14:alpha w14:val="100000"/>
              </w14:srgbClr>
            </w14:solidFill>
          </w14:textFill>
        </w:rPr>
        <w:t xml:space="preserve">　</w:t>
      </w:r>
      <w:r w:rsidR="00DB57C5" w:rsidRPr="00DB57C5">
        <w:rPr>
          <w:color w:val="000000"/>
          <w:w w:val="20"/>
          <w:shd w:val="solid" w:color="000000" w:fill="000000"/>
          <w:fitText w:val="120" w:id="-1296852223"/>
          <w14:textFill>
            <w14:solidFill>
              <w14:srgbClr w14:val="000000">
                <w14:alpha w14:val="100000"/>
              </w14:srgbClr>
            </w14:solidFill>
          </w14:textFill>
        </w:rPr>
        <w:t>|</w:t>
      </w:r>
      <w:r w:rsidR="00DB57C5" w:rsidRPr="00DB57C5">
        <w:rPr>
          <w:rFonts w:hint="eastAsia"/>
          <w:color w:val="000000"/>
          <w:w w:val="20"/>
          <w:shd w:val="solid" w:color="000000" w:fill="000000"/>
          <w:fitText w:val="120" w:id="-1296852223"/>
          <w14:textFill>
            <w14:solidFill>
              <w14:srgbClr w14:val="000000">
                <w14:alpha w14:val="100000"/>
              </w14:srgbClr>
            </w14:solidFill>
          </w14:textFill>
        </w:rPr>
        <w:t xml:space="preserve">　</w:t>
      </w:r>
      <w:r w:rsidR="00DB57C5">
        <w:t xml:space="preserve"> </w:t>
      </w:r>
      <w:r w:rsidR="00000D3B">
        <w:t xml:space="preserve">less </w:t>
      </w:r>
      <w:r w:rsidR="00D62400">
        <w:t>than predicted.</w:t>
      </w:r>
      <w:r w:rsidR="009355DF">
        <w:t xml:space="preserve"> In year two the number of predicted patients was </w:t>
      </w:r>
      <w:r w:rsidR="00DB57C5" w:rsidRPr="00DB57C5">
        <w:rPr>
          <w:rFonts w:hint="eastAsia"/>
          <w:color w:val="000000"/>
          <w:w w:val="20"/>
          <w:shd w:val="solid" w:color="000000" w:fill="000000"/>
          <w:fitText w:val="120" w:id="-1296852222"/>
          <w14:textFill>
            <w14:solidFill>
              <w14:srgbClr w14:val="000000">
                <w14:alpha w14:val="100000"/>
              </w14:srgbClr>
            </w14:solidFill>
          </w14:textFill>
        </w:rPr>
        <w:t xml:space="preserve">　</w:t>
      </w:r>
      <w:r w:rsidR="00DB57C5" w:rsidRPr="00DB57C5">
        <w:rPr>
          <w:color w:val="000000"/>
          <w:w w:val="20"/>
          <w:shd w:val="solid" w:color="000000" w:fill="000000"/>
          <w:fitText w:val="120" w:id="-1296852222"/>
          <w14:textFill>
            <w14:solidFill>
              <w14:srgbClr w14:val="000000">
                <w14:alpha w14:val="100000"/>
              </w14:srgbClr>
            </w14:solidFill>
          </w14:textFill>
        </w:rPr>
        <w:t>|</w:t>
      </w:r>
      <w:r w:rsidR="00DB57C5" w:rsidRPr="00DB57C5">
        <w:rPr>
          <w:rFonts w:hint="eastAsia"/>
          <w:color w:val="000000"/>
          <w:w w:val="20"/>
          <w:shd w:val="solid" w:color="000000" w:fill="000000"/>
          <w:fitText w:val="120" w:id="-1296852222"/>
          <w14:textFill>
            <w14:solidFill>
              <w14:srgbClr w14:val="000000">
                <w14:alpha w14:val="100000"/>
              </w14:srgbClr>
            </w14:solidFill>
          </w14:textFill>
        </w:rPr>
        <w:t xml:space="preserve">　</w:t>
      </w:r>
      <w:r w:rsidR="009355DF">
        <w:t>% lower than the actual figure of 1</w:t>
      </w:r>
      <w:r w:rsidR="00F26A3D">
        <w:t>,</w:t>
      </w:r>
      <w:r w:rsidR="009355DF">
        <w:t xml:space="preserve">209 patients being treated with atezolizumab. </w:t>
      </w:r>
    </w:p>
    <w:p w14:paraId="161F6690" w14:textId="77777777" w:rsidR="001A096F" w:rsidRDefault="001A096F">
      <w:pPr>
        <w:spacing w:line="276" w:lineRule="auto"/>
        <w:rPr>
          <w:rFonts w:eastAsiaTheme="majorEastAsia" w:cstheme="majorBidi"/>
          <w:b/>
          <w:bCs/>
          <w:sz w:val="32"/>
          <w:szCs w:val="32"/>
        </w:rPr>
      </w:pPr>
      <w:r>
        <w:br w:type="page"/>
      </w:r>
    </w:p>
    <w:p w14:paraId="3555DFBA" w14:textId="05BF474F" w:rsidR="00591512" w:rsidRDefault="00AB3733" w:rsidP="00F73113">
      <w:pPr>
        <w:pStyle w:val="Heading1"/>
      </w:pPr>
      <w:r>
        <w:lastRenderedPageBreak/>
        <w:t>D</w:t>
      </w:r>
      <w:r w:rsidR="007346C7" w:rsidRPr="005E22C2">
        <w:t>iscussion</w:t>
      </w:r>
    </w:p>
    <w:p w14:paraId="78DD7279" w14:textId="333F8AF8" w:rsidR="00D23A06" w:rsidRPr="00CB3CE5" w:rsidRDefault="00E20BD0" w:rsidP="00D23A06">
      <w:r>
        <w:t xml:space="preserve">The PBAC’s recommendation for atezolizumab </w:t>
      </w:r>
      <w:bookmarkStart w:id="10" w:name="_Hlk112328215"/>
      <w:r w:rsidR="00D23A06">
        <w:t xml:space="preserve">in </w:t>
      </w:r>
      <w:r w:rsidR="00D23A06" w:rsidRPr="00CB3CE5">
        <w:t xml:space="preserve">November 2019 was based on the achievement of cost effectiveness through RSA rebates and that actual utilisation for this indication should be monitored to ensure that cost-effectiveness is reached (see </w:t>
      </w:r>
      <w:r w:rsidR="00A62F91" w:rsidRPr="00CB3CE5">
        <w:t>P</w:t>
      </w:r>
      <w:r w:rsidR="00A62F91">
        <w:t>ublic Summary Document</w:t>
      </w:r>
      <w:r w:rsidR="00D23A06" w:rsidRPr="00CB3CE5">
        <w:t>).</w:t>
      </w:r>
    </w:p>
    <w:p w14:paraId="70FB3634" w14:textId="627D7707" w:rsidR="00FC6D7A" w:rsidRDefault="00FC6D7A" w:rsidP="00896744">
      <w:pPr>
        <w:spacing w:before="240"/>
      </w:pPr>
      <w:r>
        <w:t xml:space="preserve">The actual number of patients has been </w:t>
      </w:r>
      <w:r w:rsidR="000E5C31">
        <w:t>more</w:t>
      </w:r>
      <w:r>
        <w:t xml:space="preserve"> than predicted, but the number of scripts and benefits paid is </w:t>
      </w:r>
      <w:r w:rsidR="000E5C31">
        <w:t>lower</w:t>
      </w:r>
      <w:r>
        <w:t xml:space="preserve"> than anticipated.</w:t>
      </w:r>
      <w:r w:rsidR="00FE1244">
        <w:t xml:space="preserve"> </w:t>
      </w:r>
      <w:r w:rsidR="00EA1BA3">
        <w:t>It was noted</w:t>
      </w:r>
      <w:r w:rsidR="00ED3134">
        <w:t xml:space="preserve"> from the July 2019 advice that DUSC considered the</w:t>
      </w:r>
      <w:r w:rsidR="000D44E4">
        <w:t xml:space="preserve"> </w:t>
      </w:r>
      <w:r w:rsidR="00ED3134">
        <w:t>submission’s approach to estimating the number of patients with ES-SCLC was reasonable</w:t>
      </w:r>
      <w:r w:rsidR="000D44E4">
        <w:t xml:space="preserve">. </w:t>
      </w:r>
      <w:r w:rsidR="000E5C31">
        <w:t>More</w:t>
      </w:r>
      <w:r w:rsidR="000D44E4">
        <w:t xml:space="preserve"> patients being supplied atezolizumab than estimated could relate to more patients progressing from LS to ES than predicted, or a greater proportion of ES-SCLC patients who have an ECOG 0-1 than </w:t>
      </w:r>
      <w:r w:rsidR="000E5C31">
        <w:t>67%</w:t>
      </w:r>
      <w:r w:rsidR="000D44E4">
        <w:t xml:space="preserve"> that was assumed for the estimates.</w:t>
      </w:r>
      <w:r w:rsidR="00ED3134">
        <w:t xml:space="preserve"> </w:t>
      </w:r>
    </w:p>
    <w:p w14:paraId="44C68631" w14:textId="13088C4C" w:rsidR="00BD41FC" w:rsidRDefault="00EA1BA3" w:rsidP="00896744">
      <w:pPr>
        <w:spacing w:before="240"/>
      </w:pPr>
      <w:r>
        <w:t>T</w:t>
      </w:r>
      <w:r w:rsidR="000D44E4">
        <w:t>he estimated number of grandfathered patients (n=</w:t>
      </w:r>
      <w:r w:rsidR="00DB57C5" w:rsidRPr="00DB57C5">
        <w:rPr>
          <w:rFonts w:hint="eastAsia"/>
          <w:color w:val="000000"/>
          <w:w w:val="20"/>
          <w:shd w:val="solid" w:color="000000" w:fill="000000"/>
          <w:fitText w:val="120" w:id="-1296852221"/>
          <w14:textFill>
            <w14:solidFill>
              <w14:srgbClr w14:val="000000">
                <w14:alpha w14:val="100000"/>
              </w14:srgbClr>
            </w14:solidFill>
          </w14:textFill>
        </w:rPr>
        <w:t xml:space="preserve">　</w:t>
      </w:r>
      <w:r w:rsidR="00DB57C5" w:rsidRPr="00DB57C5">
        <w:rPr>
          <w:color w:val="000000"/>
          <w:w w:val="20"/>
          <w:shd w:val="solid" w:color="000000" w:fill="000000"/>
          <w:fitText w:val="120" w:id="-1296852221"/>
          <w14:textFill>
            <w14:solidFill>
              <w14:srgbClr w14:val="000000">
                <w14:alpha w14:val="100000"/>
              </w14:srgbClr>
            </w14:solidFill>
          </w14:textFill>
        </w:rPr>
        <w:t>|</w:t>
      </w:r>
      <w:r w:rsidR="00DB57C5" w:rsidRPr="00DB57C5">
        <w:rPr>
          <w:rFonts w:hint="eastAsia"/>
          <w:color w:val="000000"/>
          <w:w w:val="20"/>
          <w:shd w:val="solid" w:color="000000" w:fill="000000"/>
          <w:fitText w:val="120" w:id="-1296852221"/>
          <w14:textFill>
            <w14:solidFill>
              <w14:srgbClr w14:val="000000">
                <w14:alpha w14:val="100000"/>
              </w14:srgbClr>
            </w14:solidFill>
          </w14:textFill>
        </w:rPr>
        <w:t xml:space="preserve">　</w:t>
      </w:r>
      <w:r w:rsidR="000D44E4">
        <w:t xml:space="preserve">) was uncertain as the patient access program had not commenced at the time of the submission and the number of participants was unknown. </w:t>
      </w:r>
      <w:r>
        <w:t>The</w:t>
      </w:r>
      <w:r w:rsidR="000D44E4">
        <w:t xml:space="preserve"> actual count of grandfathered patients in Year 1 </w:t>
      </w:r>
      <w:r>
        <w:t xml:space="preserve">was 113 in comparison to the estimated amount of </w:t>
      </w:r>
      <w:r w:rsidR="00DB57C5" w:rsidRPr="00DB57C5">
        <w:rPr>
          <w:rFonts w:hint="eastAsia"/>
          <w:color w:val="000000"/>
          <w:w w:val="20"/>
          <w:shd w:val="solid" w:color="000000" w:fill="000000"/>
          <w:fitText w:val="120" w:id="-1296852220"/>
          <w14:textFill>
            <w14:solidFill>
              <w14:srgbClr w14:val="000000">
                <w14:alpha w14:val="100000"/>
              </w14:srgbClr>
            </w14:solidFill>
          </w14:textFill>
        </w:rPr>
        <w:t xml:space="preserve">　</w:t>
      </w:r>
      <w:r w:rsidR="00DB57C5" w:rsidRPr="00DB57C5">
        <w:rPr>
          <w:color w:val="000000"/>
          <w:w w:val="20"/>
          <w:shd w:val="solid" w:color="000000" w:fill="000000"/>
          <w:fitText w:val="120" w:id="-1296852220"/>
          <w14:textFill>
            <w14:solidFill>
              <w14:srgbClr w14:val="000000">
                <w14:alpha w14:val="100000"/>
              </w14:srgbClr>
            </w14:solidFill>
          </w14:textFill>
        </w:rPr>
        <w:t>|</w:t>
      </w:r>
      <w:r w:rsidR="00DB57C5" w:rsidRPr="00DB57C5">
        <w:rPr>
          <w:rFonts w:hint="eastAsia"/>
          <w:color w:val="000000"/>
          <w:w w:val="20"/>
          <w:shd w:val="solid" w:color="000000" w:fill="000000"/>
          <w:fitText w:val="120" w:id="-1296852220"/>
          <w14:textFill>
            <w14:solidFill>
              <w14:srgbClr w14:val="000000">
                <w14:alpha w14:val="100000"/>
              </w14:srgbClr>
            </w14:solidFill>
          </w14:textFill>
        </w:rPr>
        <w:t xml:space="preserve">　</w:t>
      </w:r>
      <w:r>
        <w:t xml:space="preserve">. The underestimation </w:t>
      </w:r>
      <w:r w:rsidR="00FC6D7A">
        <w:t xml:space="preserve">may </w:t>
      </w:r>
      <w:r w:rsidR="000D44E4">
        <w:t xml:space="preserve">also </w:t>
      </w:r>
      <w:r w:rsidR="00413658">
        <w:t>have contributed to more patients being supplied treatment in Year 2.</w:t>
      </w:r>
    </w:p>
    <w:p w14:paraId="6CA8253F" w14:textId="2CBB8D16" w:rsidR="00EA1BA3" w:rsidRDefault="00EA1BA3" w:rsidP="00896744">
      <w:pPr>
        <w:spacing w:before="240"/>
      </w:pPr>
      <w:r>
        <w:t>The</w:t>
      </w:r>
      <w:r w:rsidR="00FC6D7A">
        <w:t xml:space="preserve"> mean time on treatment with breaks was </w:t>
      </w:r>
      <w:r w:rsidR="00884F20">
        <w:t>170</w:t>
      </w:r>
      <w:r w:rsidR="00FC6D7A">
        <w:t xml:space="preserve"> days. This is </w:t>
      </w:r>
      <w:r w:rsidR="000E5C31">
        <w:t>less</w:t>
      </w:r>
      <w:r w:rsidR="00FC6D7A">
        <w:t xml:space="preserve"> than the sponsor’s estimate of a treatment duration of </w:t>
      </w:r>
      <w:r w:rsidR="00DB57C5" w:rsidRPr="00DB57C5">
        <w:rPr>
          <w:color w:val="000000"/>
          <w:spacing w:val="33"/>
          <w:shd w:val="solid" w:color="000000" w:fill="000000"/>
          <w:fitText w:val="255" w:id="-1296852219"/>
          <w14:textFill>
            <w14:solidFill>
              <w14:srgbClr w14:val="000000">
                <w14:alpha w14:val="100000"/>
              </w14:srgbClr>
            </w14:solidFill>
          </w14:textFill>
        </w:rPr>
        <w:t>|</w:t>
      </w:r>
      <w:r w:rsidR="00DB57C5" w:rsidRPr="00DB57C5">
        <w:rPr>
          <w:color w:val="000000"/>
          <w:shd w:val="solid" w:color="000000" w:fill="000000"/>
          <w:fitText w:val="255" w:id="-1296852219"/>
          <w14:textFill>
            <w14:solidFill>
              <w14:srgbClr w14:val="000000">
                <w14:alpha w14:val="100000"/>
              </w14:srgbClr>
            </w14:solidFill>
          </w14:textFill>
        </w:rPr>
        <w:t>|</w:t>
      </w:r>
      <w:r w:rsidR="00DB57C5">
        <w:t xml:space="preserve"> </w:t>
      </w:r>
      <w:r w:rsidR="00FC6D7A">
        <w:t>days</w:t>
      </w:r>
      <w:r w:rsidR="00A1127F">
        <w:t xml:space="preserve"> based on the IMpower133 trial</w:t>
      </w:r>
      <w:r w:rsidR="00FC6D7A">
        <w:t xml:space="preserve">. </w:t>
      </w:r>
      <w:r w:rsidR="00884F20">
        <w:t xml:space="preserve">The mean time on treatment without breaks was 188 days, which is </w:t>
      </w:r>
      <w:r w:rsidR="000E5C31">
        <w:t>close</w:t>
      </w:r>
      <w:r w:rsidR="00884F20">
        <w:t xml:space="preserve"> to the sponsor’s estimate of </w:t>
      </w:r>
      <w:r w:rsidR="00DB57C5" w:rsidRPr="00DB57C5">
        <w:rPr>
          <w:color w:val="000000"/>
          <w:spacing w:val="18"/>
          <w:shd w:val="solid" w:color="000000" w:fill="000000"/>
          <w:fitText w:val="240" w:id="-1296852218"/>
          <w14:textFill>
            <w14:solidFill>
              <w14:srgbClr w14:val="000000">
                <w14:alpha w14:val="100000"/>
              </w14:srgbClr>
            </w14:solidFill>
          </w14:textFill>
        </w:rPr>
        <w:t>|</w:t>
      </w:r>
      <w:r w:rsidR="00DB57C5" w:rsidRPr="00DB57C5">
        <w:rPr>
          <w:color w:val="000000"/>
          <w:shd w:val="solid" w:color="000000" w:fill="000000"/>
          <w:fitText w:val="240" w:id="-1296852218"/>
          <w14:textFill>
            <w14:solidFill>
              <w14:srgbClr w14:val="000000">
                <w14:alpha w14:val="100000"/>
              </w14:srgbClr>
            </w14:solidFill>
          </w14:textFill>
        </w:rPr>
        <w:t>|</w:t>
      </w:r>
      <w:r w:rsidR="00DB57C5">
        <w:t xml:space="preserve"> </w:t>
      </w:r>
      <w:r w:rsidR="00884F20">
        <w:t>days.</w:t>
      </w:r>
    </w:p>
    <w:p w14:paraId="727FF613" w14:textId="0A1E08D4" w:rsidR="0080353B" w:rsidRDefault="0080353B" w:rsidP="00896744">
      <w:pPr>
        <w:spacing w:before="240"/>
      </w:pPr>
      <w:r>
        <w:t xml:space="preserve">The PBAC noted in the March 2020 submission that there was uncertainty around the estimated 100% uptake of the 1680 mg Q4W dosing regimen for continuing treatment. However, it was </w:t>
      </w:r>
      <w:r w:rsidR="00FE7D3C">
        <w:t xml:space="preserve">considered </w:t>
      </w:r>
      <w:r>
        <w:t xml:space="preserve">likely that most patients would be prescribed this new dosing regimen once it became available. This review </w:t>
      </w:r>
      <w:r w:rsidR="00A850EA">
        <w:t xml:space="preserve">indicates </w:t>
      </w:r>
      <w:r>
        <w:t xml:space="preserve">that most patients </w:t>
      </w:r>
      <w:r w:rsidR="00FE7D3C">
        <w:t>we</w:t>
      </w:r>
      <w:r>
        <w:t>re still being prescribed the 1200</w:t>
      </w:r>
      <w:r w:rsidRPr="0053403D">
        <w:t xml:space="preserve"> mg</w:t>
      </w:r>
      <w:r w:rsidR="00884F20">
        <w:t xml:space="preserve"> Q3W regimen.</w:t>
      </w:r>
      <w:r w:rsidR="00242F00" w:rsidRPr="00242F00">
        <w:t xml:space="preserve"> </w:t>
      </w:r>
    </w:p>
    <w:bookmarkEnd w:id="10"/>
    <w:p w14:paraId="259AF49D" w14:textId="77777777" w:rsidR="009C5D52" w:rsidRDefault="009C5D52" w:rsidP="009C5D52">
      <w:pPr>
        <w:pStyle w:val="Heading1"/>
      </w:pPr>
      <w:r>
        <w:t>DUSC consideration</w:t>
      </w:r>
    </w:p>
    <w:p w14:paraId="6865091A" w14:textId="14C238A2" w:rsidR="00C62600" w:rsidRPr="00215E77" w:rsidRDefault="002D2646" w:rsidP="00C62600">
      <w:r>
        <w:t xml:space="preserve">DUSC noted the findings from the review and </w:t>
      </w:r>
      <w:r w:rsidR="00C62600" w:rsidRPr="002D2646">
        <w:t>considered that only a small percentage of patients would continue on to the Q4W regimen following induction on the Q3W regimen due to the nature of the disease and the likelihood of disease progression.</w:t>
      </w:r>
      <w:r w:rsidR="00C62600" w:rsidRPr="00215E77">
        <w:t xml:space="preserve">  </w:t>
      </w:r>
    </w:p>
    <w:p w14:paraId="54CC4A0F" w14:textId="071B25EE" w:rsidR="009C5D52" w:rsidRDefault="009C5D52" w:rsidP="009C5D52">
      <w:pPr>
        <w:pStyle w:val="Heading1"/>
      </w:pPr>
      <w:r>
        <w:t>DUSC actions</w:t>
      </w:r>
    </w:p>
    <w:p w14:paraId="378ADC20" w14:textId="52110411" w:rsidR="00C62600" w:rsidRPr="00C62600" w:rsidRDefault="00C62600" w:rsidP="00C62600">
      <w:r w:rsidRPr="00C62600">
        <w:t>DUSC requested that the report be provided to the PBAC for consideration.</w:t>
      </w:r>
    </w:p>
    <w:p w14:paraId="490D462B" w14:textId="77777777" w:rsidR="009C5D52" w:rsidRDefault="009C5D52" w:rsidP="009C5D52">
      <w:pPr>
        <w:pStyle w:val="Heading1"/>
      </w:pPr>
      <w:r w:rsidRPr="0092516A">
        <w:lastRenderedPageBreak/>
        <w:t>Context for analysis</w:t>
      </w:r>
    </w:p>
    <w:p w14:paraId="1D49BE55" w14:textId="77777777" w:rsidR="009C5D52" w:rsidRDefault="009C5D52" w:rsidP="009C5D52">
      <w:r>
        <w:t>The DUSC is a Sub Committee of the Pharmaceutical Benefits Advisory Committee (PBAC). The DUSC assesses estimates on projected usage and financial cost of medicines.</w:t>
      </w:r>
    </w:p>
    <w:p w14:paraId="31178D22" w14:textId="77777777" w:rsidR="009C5D52" w:rsidRDefault="009C5D52" w:rsidP="009C5D52">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F8E2B6A" w14:textId="77777777" w:rsidR="009C5D52" w:rsidRDefault="009C5D52" w:rsidP="009C5D52">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C246816" w14:textId="77777777" w:rsidR="009C5D52" w:rsidRDefault="009C5D52" w:rsidP="009C5D52">
      <w:r>
        <w:t>The utilisation analysis report was provided to the pharmaceutical sponsors of each drug and comments on the report were provided to DUSC prior to its consideration of the analysis.</w:t>
      </w:r>
    </w:p>
    <w:p w14:paraId="5BB9E118" w14:textId="7C123420" w:rsidR="009C5D52" w:rsidRDefault="009C5D52" w:rsidP="009C5D52">
      <w:pPr>
        <w:pStyle w:val="Heading1"/>
      </w:pPr>
      <w:r>
        <w:t>Sponsor</w:t>
      </w:r>
      <w:r w:rsidRPr="0092516A">
        <w:t xml:space="preserve"> comment</w:t>
      </w:r>
    </w:p>
    <w:p w14:paraId="231EB68F" w14:textId="37215440" w:rsidR="00C62600" w:rsidRDefault="00C62600" w:rsidP="009C5D52">
      <w:pPr>
        <w:rPr>
          <w:highlight w:val="yellow"/>
        </w:rPr>
      </w:pPr>
      <w:r w:rsidRPr="00937147">
        <w:t xml:space="preserve">Roche </w:t>
      </w:r>
      <w:r w:rsidRPr="00C62600">
        <w:t>Products Pty Ltd:</w:t>
      </w:r>
      <w:r w:rsidR="00DB57C5">
        <w:t xml:space="preserve"> The sponsor has no comment.</w:t>
      </w:r>
    </w:p>
    <w:p w14:paraId="7F8F38B2" w14:textId="77777777" w:rsidR="009C5D52" w:rsidRDefault="009C5D52" w:rsidP="009C5D52">
      <w:pPr>
        <w:pStyle w:val="Heading1"/>
      </w:pPr>
      <w:r w:rsidRPr="00A4020E">
        <w:t>Disclaimer</w:t>
      </w:r>
    </w:p>
    <w:p w14:paraId="347F064B" w14:textId="77777777" w:rsidR="009C5D52" w:rsidRDefault="009C5D52" w:rsidP="009C5D52">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08212804" w14:textId="77777777" w:rsidR="009C5D52" w:rsidRDefault="009C5D52" w:rsidP="009C5D52">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7B08E0D7" w14:textId="77777777" w:rsidR="009C5D52" w:rsidRDefault="009C5D52" w:rsidP="009C5D52">
      <w:r>
        <w:t xml:space="preserve">To the extent provided by law, the Department of Health and Aged Care makes no warranties or representations as to accuracy or completeness of information contained in this report. </w:t>
      </w:r>
    </w:p>
    <w:p w14:paraId="1EA68B93" w14:textId="77777777" w:rsidR="009C5D52" w:rsidRDefault="009C5D52" w:rsidP="009C5D52">
      <w:r>
        <w:t xml:space="preserve">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w:t>
      </w:r>
      <w:r>
        <w:lastRenderedPageBreak/>
        <w:t>caused or contributed to by any person’s use or misuse of the information available from this report or contained on any third party website referred to in this report.</w:t>
      </w:r>
    </w:p>
    <w:p w14:paraId="7A5553F8" w14:textId="36834648" w:rsidR="009C5D52" w:rsidRDefault="009C5D52" w:rsidP="005665C4"/>
    <w:p w14:paraId="652C154A" w14:textId="6739AF9E" w:rsidR="009C5D52" w:rsidRDefault="009C5D52" w:rsidP="005665C4"/>
    <w:p w14:paraId="2B132448" w14:textId="77777777" w:rsidR="009C5D52" w:rsidRPr="00672366" w:rsidRDefault="009C5D52" w:rsidP="005665C4"/>
    <w:p w14:paraId="3D49F5FB" w14:textId="77777777" w:rsidR="00AA78DA" w:rsidRDefault="00AA78DA">
      <w:pPr>
        <w:spacing w:line="276" w:lineRule="auto"/>
        <w:rPr>
          <w:rFonts w:eastAsiaTheme="majorEastAsia" w:cstheme="majorBidi"/>
          <w:b/>
          <w:bCs/>
          <w:sz w:val="32"/>
          <w:szCs w:val="32"/>
        </w:rPr>
      </w:pPr>
      <w:r>
        <w:br w:type="page"/>
      </w:r>
    </w:p>
    <w:p w14:paraId="35AA6988" w14:textId="217C6C0D" w:rsidR="004B306F" w:rsidRDefault="004B306F" w:rsidP="00F73113">
      <w:pPr>
        <w:pStyle w:val="Heading1"/>
      </w:pPr>
      <w:r>
        <w:lastRenderedPageBreak/>
        <w:t>References</w:t>
      </w:r>
    </w:p>
    <w:p w14:paraId="77615E29" w14:textId="2ABE1B0D" w:rsidR="00AA37B5" w:rsidRPr="002B0D53" w:rsidRDefault="00AA37B5" w:rsidP="0074415E">
      <w:pPr>
        <w:pStyle w:val="ListParagraph"/>
        <w:numPr>
          <w:ilvl w:val="0"/>
          <w:numId w:val="22"/>
        </w:numPr>
        <w:rPr>
          <w:rFonts w:cstheme="minorHAnsi"/>
        </w:rPr>
      </w:pPr>
      <w:r w:rsidRPr="002B0D53">
        <w:rPr>
          <w:rFonts w:cstheme="minorHAnsi"/>
          <w:shd w:val="clear" w:color="auto" w:fill="FFFFFF"/>
        </w:rPr>
        <w:t xml:space="preserve">The American Cancer Society. What is Lung Cancer [Internet]. America: The American Cancer Society; Unknown [updated 2019 Oct 19; cited 2022 July 27]. Available from: </w:t>
      </w:r>
      <w:hyperlink r:id="rId22" w:anchor="written_by" w:history="1">
        <w:r w:rsidRPr="002B0D53">
          <w:rPr>
            <w:rStyle w:val="Hyperlink"/>
            <w:rFonts w:cstheme="minorHAnsi"/>
            <w:color w:val="auto"/>
          </w:rPr>
          <w:t>What Is Lung Cancer? | Types of Lung Cancer</w:t>
        </w:r>
      </w:hyperlink>
    </w:p>
    <w:p w14:paraId="2A24523F" w14:textId="4A6055F0" w:rsidR="00F05B1F" w:rsidRPr="002B0D53" w:rsidRDefault="00AA37B5" w:rsidP="00AC410F">
      <w:pPr>
        <w:pStyle w:val="ListParagraph"/>
        <w:numPr>
          <w:ilvl w:val="0"/>
          <w:numId w:val="22"/>
        </w:numPr>
      </w:pPr>
      <w:r w:rsidRPr="002B0D53">
        <w:t>Tecentriq (Atez</w:t>
      </w:r>
      <w:r w:rsidR="0074415E" w:rsidRPr="002B0D53">
        <w:t>olizumab</w:t>
      </w:r>
      <w:r w:rsidRPr="002B0D53">
        <w:t xml:space="preserve">) Australian Approved Product Information. Sydney: Roche Products Pty Limited. Approved </w:t>
      </w:r>
      <w:r w:rsidR="00F05B1F" w:rsidRPr="002B0D53">
        <w:t>4 June 2020</w:t>
      </w:r>
      <w:r w:rsidRPr="002B0D53">
        <w:t xml:space="preserve">. </w:t>
      </w:r>
    </w:p>
    <w:p w14:paraId="5E0ACE90" w14:textId="2BE2B4D1" w:rsidR="00AA37B5" w:rsidRPr="002B0D53" w:rsidRDefault="00AA37B5" w:rsidP="00AC410F">
      <w:pPr>
        <w:pStyle w:val="ListParagraph"/>
        <w:numPr>
          <w:ilvl w:val="0"/>
          <w:numId w:val="22"/>
        </w:numPr>
      </w:pPr>
      <w:r w:rsidRPr="002B0D53">
        <w:t xml:space="preserve">PBS statistics. </w:t>
      </w:r>
      <w:r w:rsidR="005E5091">
        <w:t>Services Australia</w:t>
      </w:r>
      <w:r w:rsidRPr="002B0D53">
        <w:t>. Available from &lt;http://www.medicareaustralia.gov.au/provider/pbs/stats.jsp&gt;.</w:t>
      </w:r>
    </w:p>
    <w:p w14:paraId="25D65B04" w14:textId="2E4903D3" w:rsidR="00FE645A" w:rsidRPr="009D531F" w:rsidRDefault="00A02F26" w:rsidP="001D4387">
      <w:pPr>
        <w:pStyle w:val="ListParagraph"/>
        <w:numPr>
          <w:ilvl w:val="0"/>
          <w:numId w:val="22"/>
        </w:numPr>
      </w:pPr>
      <w:r w:rsidRPr="002B0D53">
        <w:t>Horn L, Mansfield AS, Szczęsna A, Havel L, Krzakowski M, Hochmair MJ, Huemer F, Losonczy G, Johnson ML, Nishio M, Reck M. First-line atezolizumab plus chemotherapy in extensive-stage small-cell lung cancer. New England Journal of Medicine. 2018 Dec 6;379(23):2220-9. Available https://www.nejm.org/doi/full/10.1056/NEJMoa1809064</w:t>
      </w:r>
    </w:p>
    <w:sectPr w:rsidR="00FE645A" w:rsidRPr="009D531F" w:rsidSect="000012F2">
      <w:footerReference w:type="even" r:id="rId23"/>
      <w:footerReference w:type="default" r:id="rId24"/>
      <w:footerReference w:type="first" r:id="rId25"/>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CBAA1" w14:textId="77777777" w:rsidR="00172CF6" w:rsidRDefault="00172CF6" w:rsidP="00A35800">
      <w:r>
        <w:separator/>
      </w:r>
    </w:p>
  </w:endnote>
  <w:endnote w:type="continuationSeparator" w:id="0">
    <w:p w14:paraId="40D3ED2B" w14:textId="77777777" w:rsidR="00172CF6" w:rsidRDefault="00172CF6"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142C00" w:rsidRDefault="00142C00"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142C00" w:rsidRDefault="00142C00"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29C2AA2E" w14:textId="3B4F77FC" w:rsidR="00142C00" w:rsidRPr="000E72C6" w:rsidRDefault="003B1564" w:rsidP="007C096E">
            <w:pPr>
              <w:pStyle w:val="Footer"/>
              <w:jc w:val="center"/>
              <w:rPr>
                <w:i/>
                <w:sz w:val="20"/>
              </w:rPr>
            </w:pPr>
            <w:r>
              <w:rPr>
                <w:i/>
                <w:sz w:val="20"/>
              </w:rPr>
              <w:t>Public Release Document, September 2022 DUSC Meeting</w:t>
            </w:r>
          </w:p>
          <w:p w14:paraId="10292A9A" w14:textId="13C1A84B" w:rsidR="00142C00" w:rsidRPr="007C096E" w:rsidRDefault="00142C00" w:rsidP="007C096E">
            <w:pPr>
              <w:pStyle w:val="Footer"/>
              <w:jc w:val="center"/>
              <w:rPr>
                <w:rStyle w:val="PageNumber"/>
                <w:bCs/>
                <w:i/>
                <w:sz w:val="20"/>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sz w:val="20"/>
              </w:rPr>
              <w:t>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sz w:val="20"/>
              </w:rPr>
              <w:t>21</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142C00" w:rsidRDefault="00142C00" w:rsidP="007A5733">
    <w:pPr>
      <w:pStyle w:val="Footer"/>
      <w:jc w:val="center"/>
      <w:rPr>
        <w:rStyle w:val="PageNumber"/>
      </w:rPr>
    </w:pPr>
    <w:r>
      <w:rPr>
        <w:rStyle w:val="PageNumber"/>
      </w:rPr>
      <w:t>Committee-in-Confidence</w:t>
    </w:r>
  </w:p>
  <w:p w14:paraId="3CE6880B" w14:textId="77777777" w:rsidR="00142C00" w:rsidRDefault="00142C00"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D09F" w14:textId="77777777" w:rsidR="00172CF6" w:rsidRDefault="00172CF6" w:rsidP="00A35800">
      <w:r>
        <w:separator/>
      </w:r>
    </w:p>
  </w:footnote>
  <w:footnote w:type="continuationSeparator" w:id="0">
    <w:p w14:paraId="03B48F07" w14:textId="77777777" w:rsidR="00172CF6" w:rsidRDefault="00172CF6" w:rsidP="00A35800">
      <w:r>
        <w:continuationSeparator/>
      </w:r>
    </w:p>
  </w:footnote>
  <w:footnote w:id="1">
    <w:p w14:paraId="46FA4EB3" w14:textId="1F2344DB" w:rsidR="00142C00" w:rsidRDefault="00142C00">
      <w:pPr>
        <w:pStyle w:val="FootnoteText"/>
      </w:pPr>
      <w:r>
        <w:rPr>
          <w:rStyle w:val="FootnoteReference"/>
        </w:rPr>
        <w:footnoteRef/>
      </w:r>
      <w:r>
        <w:t xml:space="preserve"> </w:t>
      </w:r>
      <w:hyperlink r:id="rId1" w:history="1">
        <w:r>
          <w:rPr>
            <w:rStyle w:val="Hyperlink"/>
          </w:rPr>
          <w:t>What Is Lung Cancer? | Types of Lung Cancer</w:t>
        </w:r>
      </w:hyperlink>
    </w:p>
  </w:footnote>
  <w:footnote w:id="2">
    <w:p w14:paraId="70DB0C6D" w14:textId="08F77DFC" w:rsidR="00142C00" w:rsidRDefault="00142C00">
      <w:pPr>
        <w:pStyle w:val="FootnoteText"/>
      </w:pPr>
      <w:r>
        <w:rPr>
          <w:rStyle w:val="FootnoteReference"/>
        </w:rPr>
        <w:footnoteRef/>
      </w:r>
      <w:r>
        <w:t xml:space="preserve"> </w:t>
      </w:r>
      <w:r w:rsidRPr="00275D7A">
        <w:t>Australian Institute of Health and Welfare &amp; Cancer Australia 2011. Lung cancer in Australia: an overview. Cancer series no. 64. Cat. no. CAN 58. Canberra: AIHW. 2011.</w:t>
      </w:r>
    </w:p>
  </w:footnote>
  <w:footnote w:id="3">
    <w:p w14:paraId="79D833B0" w14:textId="0A83E579" w:rsidR="00142C00" w:rsidRDefault="00142C00">
      <w:pPr>
        <w:pStyle w:val="FootnoteText"/>
      </w:pPr>
      <w:r>
        <w:rPr>
          <w:rStyle w:val="FootnoteReference"/>
        </w:rPr>
        <w:footnoteRef/>
      </w:r>
      <w:r>
        <w:t xml:space="preserve"> </w:t>
      </w:r>
      <w:hyperlink r:id="rId2" w:history="1">
        <w:r>
          <w:rPr>
            <w:rStyle w:val="Hyperlink"/>
          </w:rPr>
          <w:t>Attachment: Product Information Atezolizumab (tga.gov.au)</w:t>
        </w:r>
      </w:hyperlink>
    </w:p>
  </w:footnote>
  <w:footnote w:id="4">
    <w:p w14:paraId="1B6E21B2" w14:textId="77777777" w:rsidR="00142C00" w:rsidRPr="00BC5AE2" w:rsidRDefault="00142C00" w:rsidP="00A83AC3">
      <w:pPr>
        <w:pStyle w:val="FootnoteText"/>
        <w:rPr>
          <w:sz w:val="20"/>
        </w:rPr>
      </w:pPr>
      <w:r w:rsidRPr="00BC5AE2">
        <w:rPr>
          <w:rStyle w:val="FootnoteReference"/>
          <w:sz w:val="20"/>
        </w:rPr>
        <w:footnoteRef/>
      </w:r>
      <w:r w:rsidRPr="00BC5AE2">
        <w:rPr>
          <w:sz w:val="20"/>
        </w:rPr>
        <w:t xml:space="preserve"> </w:t>
      </w:r>
      <w:bookmarkStart w:id="7" w:name="_Hlk111621880"/>
      <w:bookmarkStart w:id="8" w:name="_Hlk111621881"/>
      <w:r w:rsidRPr="00BC5AE2">
        <w:rPr>
          <w:sz w:val="20"/>
        </w:rPr>
        <w:t>PBS statistics</w:t>
      </w:r>
      <w:r>
        <w:rPr>
          <w:sz w:val="20"/>
        </w:rPr>
        <w:t>. Australian Government Department of Human Services Medicare. Canberra. Available from &lt;</w:t>
      </w:r>
      <w:hyperlink r:id="rId3" w:history="1">
        <w:r>
          <w:rPr>
            <w:rStyle w:val="Hyperlink"/>
            <w:sz w:val="20"/>
          </w:rPr>
          <w:t>http://www.medicareaustralia.gov.au/provider/pbs/stats.jsp</w:t>
        </w:r>
      </w:hyperlink>
      <w:r>
        <w:rPr>
          <w:sz w:val="20"/>
        </w:rPr>
        <w:t>&gt;.</w:t>
      </w:r>
      <w:bookmarkEnd w:id="7"/>
      <w:bookmarkEnd w:id="8"/>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640"/>
    <w:multiLevelType w:val="multilevel"/>
    <w:tmpl w:val="EBC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11D63"/>
    <w:multiLevelType w:val="hybridMultilevel"/>
    <w:tmpl w:val="2FDC6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4F5E1D"/>
    <w:multiLevelType w:val="hybridMultilevel"/>
    <w:tmpl w:val="A3DA6C8C"/>
    <w:lvl w:ilvl="0" w:tplc="0C090001">
      <w:start w:val="1"/>
      <w:numFmt w:val="bullet"/>
      <w:lvlText w:val=""/>
      <w:lvlJc w:val="left"/>
      <w:pPr>
        <w:ind w:left="720" w:hanging="360"/>
      </w:pPr>
      <w:rPr>
        <w:rFonts w:ascii="Symbol" w:hAnsi="Symbol" w:hint="default"/>
      </w:rPr>
    </w:lvl>
    <w:lvl w:ilvl="1" w:tplc="A6AC87BA">
      <w:start w:val="4"/>
      <w:numFmt w:val="bullet"/>
      <w:lvlText w:val="-"/>
      <w:lvlJc w:val="left"/>
      <w:pPr>
        <w:ind w:left="1440" w:hanging="360"/>
      </w:pPr>
      <w:rPr>
        <w:rFonts w:ascii="Calibri" w:eastAsiaTheme="minorHAnsi"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BD1498"/>
    <w:multiLevelType w:val="hybridMultilevel"/>
    <w:tmpl w:val="81A05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5E05C8"/>
    <w:multiLevelType w:val="hybridMultilevel"/>
    <w:tmpl w:val="8C809076"/>
    <w:lvl w:ilvl="0" w:tplc="0C090001">
      <w:start w:val="1"/>
      <w:numFmt w:val="bullet"/>
      <w:lvlText w:val=""/>
      <w:lvlJc w:val="left"/>
      <w:pPr>
        <w:ind w:left="720" w:hanging="360"/>
      </w:pPr>
      <w:rPr>
        <w:rFonts w:ascii="Symbol" w:hAnsi="Symbol" w:hint="default"/>
      </w:rPr>
    </w:lvl>
    <w:lvl w:ilvl="1" w:tplc="9580E10E">
      <w:start w:val="840"/>
      <w:numFmt w:val="bullet"/>
      <w:lvlText w:val="•"/>
      <w:lvlJc w:val="left"/>
      <w:pPr>
        <w:ind w:left="1440" w:hanging="36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C76878"/>
    <w:multiLevelType w:val="hybridMultilevel"/>
    <w:tmpl w:val="4802C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C1507A2"/>
    <w:multiLevelType w:val="multilevel"/>
    <w:tmpl w:val="1EEE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A13EB"/>
    <w:multiLevelType w:val="hybridMultilevel"/>
    <w:tmpl w:val="C8C00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A74AEA"/>
    <w:multiLevelType w:val="multilevel"/>
    <w:tmpl w:val="5926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EA5AF8"/>
    <w:multiLevelType w:val="hybridMultilevel"/>
    <w:tmpl w:val="609CA95A"/>
    <w:lvl w:ilvl="0" w:tplc="0C090001">
      <w:start w:val="1"/>
      <w:numFmt w:val="bullet"/>
      <w:lvlText w:val=""/>
      <w:lvlJc w:val="left"/>
      <w:pPr>
        <w:ind w:left="720" w:hanging="360"/>
      </w:pPr>
      <w:rPr>
        <w:rFonts w:ascii="Symbol" w:hAnsi="Symbol" w:hint="default"/>
      </w:rPr>
    </w:lvl>
    <w:lvl w:ilvl="1" w:tplc="A6AC87BA">
      <w:start w:val="4"/>
      <w:numFmt w:val="bullet"/>
      <w:lvlText w:val="-"/>
      <w:lvlJc w:val="left"/>
      <w:pPr>
        <w:ind w:left="1440" w:hanging="360"/>
      </w:pPr>
      <w:rPr>
        <w:rFonts w:ascii="Calibri" w:eastAsiaTheme="minorHAnsi" w:hAnsi="Calibri"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152E17"/>
    <w:multiLevelType w:val="hybridMultilevel"/>
    <w:tmpl w:val="E904BB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077DED"/>
    <w:multiLevelType w:val="multilevel"/>
    <w:tmpl w:val="80E8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A5670"/>
    <w:multiLevelType w:val="multilevel"/>
    <w:tmpl w:val="B876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0F32ED"/>
    <w:multiLevelType w:val="hybridMultilevel"/>
    <w:tmpl w:val="1B62E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C80ABC"/>
    <w:multiLevelType w:val="hybridMultilevel"/>
    <w:tmpl w:val="0D946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F542A"/>
    <w:multiLevelType w:val="hybridMultilevel"/>
    <w:tmpl w:val="1E04E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D11BFD"/>
    <w:multiLevelType w:val="multilevel"/>
    <w:tmpl w:val="E0A0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8367F"/>
    <w:multiLevelType w:val="hybridMultilevel"/>
    <w:tmpl w:val="98E86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A60A84"/>
    <w:multiLevelType w:val="multilevel"/>
    <w:tmpl w:val="3660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00375C"/>
    <w:multiLevelType w:val="multilevel"/>
    <w:tmpl w:val="F148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1D7A10"/>
    <w:multiLevelType w:val="hybridMultilevel"/>
    <w:tmpl w:val="1728B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606A36"/>
    <w:multiLevelType w:val="hybridMultilevel"/>
    <w:tmpl w:val="AEFA2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CF4F8A"/>
    <w:multiLevelType w:val="hybridMultilevel"/>
    <w:tmpl w:val="49A23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993874"/>
    <w:multiLevelType w:val="multilevel"/>
    <w:tmpl w:val="E202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2D95837"/>
    <w:multiLevelType w:val="hybridMultilevel"/>
    <w:tmpl w:val="03DC5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FE5B8E"/>
    <w:multiLevelType w:val="hybridMultilevel"/>
    <w:tmpl w:val="238E76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C7703C"/>
    <w:multiLevelType w:val="multilevel"/>
    <w:tmpl w:val="16AC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67A12"/>
    <w:multiLevelType w:val="multilevel"/>
    <w:tmpl w:val="9AE4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5B6419"/>
    <w:multiLevelType w:val="hybridMultilevel"/>
    <w:tmpl w:val="C5CCD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29A5C81"/>
    <w:multiLevelType w:val="multilevel"/>
    <w:tmpl w:val="B0BCA3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665696"/>
    <w:multiLevelType w:val="hybridMultilevel"/>
    <w:tmpl w:val="2340C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4D033C"/>
    <w:multiLevelType w:val="multilevel"/>
    <w:tmpl w:val="68A61A62"/>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7D7F34"/>
    <w:multiLevelType w:val="hybridMultilevel"/>
    <w:tmpl w:val="94E6C8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FAB26FE"/>
    <w:multiLevelType w:val="hybridMultilevel"/>
    <w:tmpl w:val="0F36D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25"/>
  </w:num>
  <w:num w:numId="3">
    <w:abstractNumId w:val="11"/>
  </w:num>
  <w:num w:numId="4">
    <w:abstractNumId w:val="15"/>
  </w:num>
  <w:num w:numId="5">
    <w:abstractNumId w:val="37"/>
  </w:num>
  <w:num w:numId="6">
    <w:abstractNumId w:val="23"/>
  </w:num>
  <w:num w:numId="7">
    <w:abstractNumId w:val="16"/>
  </w:num>
  <w:num w:numId="8">
    <w:abstractNumId w:val="1"/>
  </w:num>
  <w:num w:numId="9">
    <w:abstractNumId w:val="10"/>
  </w:num>
  <w:num w:numId="10">
    <w:abstractNumId w:val="9"/>
  </w:num>
  <w:num w:numId="11">
    <w:abstractNumId w:val="2"/>
  </w:num>
  <w:num w:numId="12">
    <w:abstractNumId w:val="18"/>
  </w:num>
  <w:num w:numId="13">
    <w:abstractNumId w:val="30"/>
  </w:num>
  <w:num w:numId="14">
    <w:abstractNumId w:val="3"/>
  </w:num>
  <w:num w:numId="15">
    <w:abstractNumId w:val="21"/>
  </w:num>
  <w:num w:numId="16">
    <w:abstractNumId w:val="24"/>
  </w:num>
  <w:num w:numId="17">
    <w:abstractNumId w:val="0"/>
  </w:num>
  <w:num w:numId="18">
    <w:abstractNumId w:val="29"/>
  </w:num>
  <w:num w:numId="19">
    <w:abstractNumId w:val="17"/>
  </w:num>
  <w:num w:numId="20">
    <w:abstractNumId w:val="32"/>
  </w:num>
  <w:num w:numId="21">
    <w:abstractNumId w:val="12"/>
  </w:num>
  <w:num w:numId="22">
    <w:abstractNumId w:val="7"/>
  </w:num>
  <w:num w:numId="23">
    <w:abstractNumId w:val="22"/>
  </w:num>
  <w:num w:numId="24">
    <w:abstractNumId w:val="4"/>
  </w:num>
  <w:num w:numId="25">
    <w:abstractNumId w:val="27"/>
  </w:num>
  <w:num w:numId="26">
    <w:abstractNumId w:val="26"/>
  </w:num>
  <w:num w:numId="27">
    <w:abstractNumId w:val="36"/>
  </w:num>
  <w:num w:numId="28">
    <w:abstractNumId w:val="8"/>
  </w:num>
  <w:num w:numId="29">
    <w:abstractNumId w:val="28"/>
  </w:num>
  <w:num w:numId="30">
    <w:abstractNumId w:val="6"/>
  </w:num>
  <w:num w:numId="31">
    <w:abstractNumId w:val="13"/>
  </w:num>
  <w:num w:numId="32">
    <w:abstractNumId w:val="19"/>
  </w:num>
  <w:num w:numId="33">
    <w:abstractNumId w:val="20"/>
  </w:num>
  <w:num w:numId="34">
    <w:abstractNumId w:val="14"/>
  </w:num>
  <w:num w:numId="35">
    <w:abstractNumId w:val="5"/>
  </w:num>
  <w:num w:numId="36">
    <w:abstractNumId w:val="34"/>
  </w:num>
  <w:num w:numId="37">
    <w:abstractNumId w:val="35"/>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0D3B"/>
    <w:rsid w:val="000012F2"/>
    <w:rsid w:val="0000392A"/>
    <w:rsid w:val="00004358"/>
    <w:rsid w:val="00005056"/>
    <w:rsid w:val="00007E85"/>
    <w:rsid w:val="00013465"/>
    <w:rsid w:val="00017F51"/>
    <w:rsid w:val="000226B3"/>
    <w:rsid w:val="00023B5C"/>
    <w:rsid w:val="00024549"/>
    <w:rsid w:val="00031501"/>
    <w:rsid w:val="00032B69"/>
    <w:rsid w:val="00033E5D"/>
    <w:rsid w:val="000544B6"/>
    <w:rsid w:val="000604AF"/>
    <w:rsid w:val="00060C9A"/>
    <w:rsid w:val="00063372"/>
    <w:rsid w:val="00075954"/>
    <w:rsid w:val="00082B6D"/>
    <w:rsid w:val="00084803"/>
    <w:rsid w:val="00086C11"/>
    <w:rsid w:val="00093FDC"/>
    <w:rsid w:val="0009469E"/>
    <w:rsid w:val="00094DCF"/>
    <w:rsid w:val="00096F08"/>
    <w:rsid w:val="000A09D4"/>
    <w:rsid w:val="000A1A19"/>
    <w:rsid w:val="000A4DD4"/>
    <w:rsid w:val="000A6CFD"/>
    <w:rsid w:val="000B0982"/>
    <w:rsid w:val="000B6926"/>
    <w:rsid w:val="000B796C"/>
    <w:rsid w:val="000C1AA7"/>
    <w:rsid w:val="000C1B2E"/>
    <w:rsid w:val="000C46BB"/>
    <w:rsid w:val="000C4D9D"/>
    <w:rsid w:val="000C7C4B"/>
    <w:rsid w:val="000C7D8B"/>
    <w:rsid w:val="000D0350"/>
    <w:rsid w:val="000D2227"/>
    <w:rsid w:val="000D2A66"/>
    <w:rsid w:val="000D44E4"/>
    <w:rsid w:val="000E2B08"/>
    <w:rsid w:val="000E485D"/>
    <w:rsid w:val="000E5C31"/>
    <w:rsid w:val="000E678A"/>
    <w:rsid w:val="000E72C6"/>
    <w:rsid w:val="000F1893"/>
    <w:rsid w:val="000F2F51"/>
    <w:rsid w:val="000F7218"/>
    <w:rsid w:val="000F7A7D"/>
    <w:rsid w:val="00107B59"/>
    <w:rsid w:val="001115DE"/>
    <w:rsid w:val="00111605"/>
    <w:rsid w:val="00113CF8"/>
    <w:rsid w:val="00113D74"/>
    <w:rsid w:val="00117C5C"/>
    <w:rsid w:val="001310AE"/>
    <w:rsid w:val="001323F3"/>
    <w:rsid w:val="00136B0C"/>
    <w:rsid w:val="001420B3"/>
    <w:rsid w:val="00142C00"/>
    <w:rsid w:val="001460C4"/>
    <w:rsid w:val="00151B1C"/>
    <w:rsid w:val="0015691C"/>
    <w:rsid w:val="001621F7"/>
    <w:rsid w:val="001624D7"/>
    <w:rsid w:val="00167480"/>
    <w:rsid w:val="00172CF6"/>
    <w:rsid w:val="00177B86"/>
    <w:rsid w:val="00182585"/>
    <w:rsid w:val="00184BBC"/>
    <w:rsid w:val="00191182"/>
    <w:rsid w:val="0019143E"/>
    <w:rsid w:val="0019664D"/>
    <w:rsid w:val="001A0413"/>
    <w:rsid w:val="001A096F"/>
    <w:rsid w:val="001A6103"/>
    <w:rsid w:val="001B5D37"/>
    <w:rsid w:val="001C2940"/>
    <w:rsid w:val="001C4016"/>
    <w:rsid w:val="001C548D"/>
    <w:rsid w:val="001C5657"/>
    <w:rsid w:val="001C65E5"/>
    <w:rsid w:val="001C6A5D"/>
    <w:rsid w:val="001D4387"/>
    <w:rsid w:val="001D6CE6"/>
    <w:rsid w:val="001E18D3"/>
    <w:rsid w:val="001E31A6"/>
    <w:rsid w:val="001E42C7"/>
    <w:rsid w:val="001E4CAB"/>
    <w:rsid w:val="001F0A4E"/>
    <w:rsid w:val="001F1670"/>
    <w:rsid w:val="001F18A5"/>
    <w:rsid w:val="001F2C83"/>
    <w:rsid w:val="001F2F3E"/>
    <w:rsid w:val="001F3383"/>
    <w:rsid w:val="001F4906"/>
    <w:rsid w:val="001F7C4A"/>
    <w:rsid w:val="00202FB3"/>
    <w:rsid w:val="0020578A"/>
    <w:rsid w:val="00207631"/>
    <w:rsid w:val="00214013"/>
    <w:rsid w:val="00215729"/>
    <w:rsid w:val="00215E77"/>
    <w:rsid w:val="00217325"/>
    <w:rsid w:val="00217769"/>
    <w:rsid w:val="00220BA5"/>
    <w:rsid w:val="00220FC1"/>
    <w:rsid w:val="00222E9A"/>
    <w:rsid w:val="00224D05"/>
    <w:rsid w:val="0023179D"/>
    <w:rsid w:val="00237446"/>
    <w:rsid w:val="00237BA3"/>
    <w:rsid w:val="00242F00"/>
    <w:rsid w:val="002535D4"/>
    <w:rsid w:val="0025389D"/>
    <w:rsid w:val="00254E02"/>
    <w:rsid w:val="00262423"/>
    <w:rsid w:val="0026265F"/>
    <w:rsid w:val="00264B8F"/>
    <w:rsid w:val="00266A99"/>
    <w:rsid w:val="002818C2"/>
    <w:rsid w:val="00282AB1"/>
    <w:rsid w:val="00286C3A"/>
    <w:rsid w:val="002915C4"/>
    <w:rsid w:val="002930F5"/>
    <w:rsid w:val="002A06B7"/>
    <w:rsid w:val="002B0D53"/>
    <w:rsid w:val="002C6E0C"/>
    <w:rsid w:val="002D0EC6"/>
    <w:rsid w:val="002D144A"/>
    <w:rsid w:val="002D2646"/>
    <w:rsid w:val="002D4825"/>
    <w:rsid w:val="002E19A3"/>
    <w:rsid w:val="002E1B27"/>
    <w:rsid w:val="002E212B"/>
    <w:rsid w:val="002E3337"/>
    <w:rsid w:val="002E4165"/>
    <w:rsid w:val="002E4E5C"/>
    <w:rsid w:val="002E6D03"/>
    <w:rsid w:val="002F3735"/>
    <w:rsid w:val="002F49A8"/>
    <w:rsid w:val="002F506D"/>
    <w:rsid w:val="002F5E66"/>
    <w:rsid w:val="002F61CA"/>
    <w:rsid w:val="002F675F"/>
    <w:rsid w:val="002F6C20"/>
    <w:rsid w:val="0030010D"/>
    <w:rsid w:val="0030347C"/>
    <w:rsid w:val="003054EF"/>
    <w:rsid w:val="003140BF"/>
    <w:rsid w:val="00317218"/>
    <w:rsid w:val="00326176"/>
    <w:rsid w:val="00331485"/>
    <w:rsid w:val="003348C0"/>
    <w:rsid w:val="0033504C"/>
    <w:rsid w:val="00336612"/>
    <w:rsid w:val="00336816"/>
    <w:rsid w:val="003370D0"/>
    <w:rsid w:val="00337355"/>
    <w:rsid w:val="00337FA5"/>
    <w:rsid w:val="003402E4"/>
    <w:rsid w:val="00340F95"/>
    <w:rsid w:val="00346566"/>
    <w:rsid w:val="00351F85"/>
    <w:rsid w:val="003531ED"/>
    <w:rsid w:val="00360B9A"/>
    <w:rsid w:val="00363CDB"/>
    <w:rsid w:val="0036504D"/>
    <w:rsid w:val="003700A8"/>
    <w:rsid w:val="00375B9B"/>
    <w:rsid w:val="00376415"/>
    <w:rsid w:val="00386AB6"/>
    <w:rsid w:val="00386C23"/>
    <w:rsid w:val="00386E95"/>
    <w:rsid w:val="0039017F"/>
    <w:rsid w:val="00394AEE"/>
    <w:rsid w:val="003A5D06"/>
    <w:rsid w:val="003B1564"/>
    <w:rsid w:val="003C1986"/>
    <w:rsid w:val="003C2D98"/>
    <w:rsid w:val="003C31A6"/>
    <w:rsid w:val="003C6987"/>
    <w:rsid w:val="003D3A96"/>
    <w:rsid w:val="003D3B9C"/>
    <w:rsid w:val="003E42DA"/>
    <w:rsid w:val="003E7ED2"/>
    <w:rsid w:val="003F0391"/>
    <w:rsid w:val="003F14A5"/>
    <w:rsid w:val="003F6E12"/>
    <w:rsid w:val="003F7DFF"/>
    <w:rsid w:val="00403517"/>
    <w:rsid w:val="00403C32"/>
    <w:rsid w:val="00404390"/>
    <w:rsid w:val="00404F03"/>
    <w:rsid w:val="00412051"/>
    <w:rsid w:val="00413658"/>
    <w:rsid w:val="004170E4"/>
    <w:rsid w:val="00420107"/>
    <w:rsid w:val="00421D66"/>
    <w:rsid w:val="00423B94"/>
    <w:rsid w:val="00427D2A"/>
    <w:rsid w:val="0043119B"/>
    <w:rsid w:val="0043253A"/>
    <w:rsid w:val="004347D9"/>
    <w:rsid w:val="00436418"/>
    <w:rsid w:val="00443466"/>
    <w:rsid w:val="00445067"/>
    <w:rsid w:val="004602DB"/>
    <w:rsid w:val="00463731"/>
    <w:rsid w:val="0046400A"/>
    <w:rsid w:val="00464269"/>
    <w:rsid w:val="00466521"/>
    <w:rsid w:val="00467B25"/>
    <w:rsid w:val="00481108"/>
    <w:rsid w:val="00482310"/>
    <w:rsid w:val="0049042B"/>
    <w:rsid w:val="00495473"/>
    <w:rsid w:val="00495C0A"/>
    <w:rsid w:val="004A33AB"/>
    <w:rsid w:val="004A458E"/>
    <w:rsid w:val="004B23E7"/>
    <w:rsid w:val="004B306F"/>
    <w:rsid w:val="004B3D6F"/>
    <w:rsid w:val="004B63A4"/>
    <w:rsid w:val="004B6A6C"/>
    <w:rsid w:val="004C3186"/>
    <w:rsid w:val="004C5042"/>
    <w:rsid w:val="004C56D3"/>
    <w:rsid w:val="004C7ED3"/>
    <w:rsid w:val="004D491A"/>
    <w:rsid w:val="004E4422"/>
    <w:rsid w:val="004E65AB"/>
    <w:rsid w:val="004F2048"/>
    <w:rsid w:val="004F6999"/>
    <w:rsid w:val="00502AE3"/>
    <w:rsid w:val="00503998"/>
    <w:rsid w:val="0050623B"/>
    <w:rsid w:val="005109E1"/>
    <w:rsid w:val="00517247"/>
    <w:rsid w:val="00523181"/>
    <w:rsid w:val="00523D58"/>
    <w:rsid w:val="00524D13"/>
    <w:rsid w:val="005339F6"/>
    <w:rsid w:val="0053403D"/>
    <w:rsid w:val="005455DD"/>
    <w:rsid w:val="00545C6E"/>
    <w:rsid w:val="00556808"/>
    <w:rsid w:val="005611C2"/>
    <w:rsid w:val="00562331"/>
    <w:rsid w:val="00564BEC"/>
    <w:rsid w:val="005665C4"/>
    <w:rsid w:val="00576B18"/>
    <w:rsid w:val="00580C11"/>
    <w:rsid w:val="00587724"/>
    <w:rsid w:val="00587780"/>
    <w:rsid w:val="00591512"/>
    <w:rsid w:val="005A4A4D"/>
    <w:rsid w:val="005B2D91"/>
    <w:rsid w:val="005B48B4"/>
    <w:rsid w:val="005C6661"/>
    <w:rsid w:val="005C6E3B"/>
    <w:rsid w:val="005D474B"/>
    <w:rsid w:val="005E085C"/>
    <w:rsid w:val="005E147D"/>
    <w:rsid w:val="005E155E"/>
    <w:rsid w:val="005E22C2"/>
    <w:rsid w:val="005E5091"/>
    <w:rsid w:val="005E57BB"/>
    <w:rsid w:val="005F0017"/>
    <w:rsid w:val="005F0611"/>
    <w:rsid w:val="005F35E5"/>
    <w:rsid w:val="005F43AE"/>
    <w:rsid w:val="005F5BB1"/>
    <w:rsid w:val="005F6001"/>
    <w:rsid w:val="005F7152"/>
    <w:rsid w:val="00600D8F"/>
    <w:rsid w:val="006014F1"/>
    <w:rsid w:val="006046D1"/>
    <w:rsid w:val="00604CE3"/>
    <w:rsid w:val="00613507"/>
    <w:rsid w:val="0061357B"/>
    <w:rsid w:val="00614923"/>
    <w:rsid w:val="00614A7D"/>
    <w:rsid w:val="00620D2E"/>
    <w:rsid w:val="00621280"/>
    <w:rsid w:val="00624B5D"/>
    <w:rsid w:val="00630C76"/>
    <w:rsid w:val="0063176F"/>
    <w:rsid w:val="006328BE"/>
    <w:rsid w:val="0063631C"/>
    <w:rsid w:val="0063757B"/>
    <w:rsid w:val="006377CE"/>
    <w:rsid w:val="00641C09"/>
    <w:rsid w:val="00644B56"/>
    <w:rsid w:val="006537D9"/>
    <w:rsid w:val="006609C0"/>
    <w:rsid w:val="00663D00"/>
    <w:rsid w:val="00664A48"/>
    <w:rsid w:val="00665DEF"/>
    <w:rsid w:val="00675BB1"/>
    <w:rsid w:val="006775F1"/>
    <w:rsid w:val="00682B83"/>
    <w:rsid w:val="00692AA7"/>
    <w:rsid w:val="00694CE0"/>
    <w:rsid w:val="00697FEC"/>
    <w:rsid w:val="006A175F"/>
    <w:rsid w:val="006A44F5"/>
    <w:rsid w:val="006A790D"/>
    <w:rsid w:val="006B26AB"/>
    <w:rsid w:val="006B36FD"/>
    <w:rsid w:val="006B4537"/>
    <w:rsid w:val="006B4C5A"/>
    <w:rsid w:val="006B5F85"/>
    <w:rsid w:val="006B6929"/>
    <w:rsid w:val="006B709B"/>
    <w:rsid w:val="006C5400"/>
    <w:rsid w:val="006C54AF"/>
    <w:rsid w:val="006D08BD"/>
    <w:rsid w:val="006D59F5"/>
    <w:rsid w:val="006E0181"/>
    <w:rsid w:val="006E3BF2"/>
    <w:rsid w:val="006E52D9"/>
    <w:rsid w:val="006E6087"/>
    <w:rsid w:val="006F453A"/>
    <w:rsid w:val="00700AF5"/>
    <w:rsid w:val="00700C0E"/>
    <w:rsid w:val="00705DAD"/>
    <w:rsid w:val="00722E64"/>
    <w:rsid w:val="007247B9"/>
    <w:rsid w:val="00727C62"/>
    <w:rsid w:val="00727D85"/>
    <w:rsid w:val="007300E4"/>
    <w:rsid w:val="00731B91"/>
    <w:rsid w:val="00731DA4"/>
    <w:rsid w:val="007338D5"/>
    <w:rsid w:val="0073450B"/>
    <w:rsid w:val="007346C7"/>
    <w:rsid w:val="00736041"/>
    <w:rsid w:val="007366D7"/>
    <w:rsid w:val="007408C7"/>
    <w:rsid w:val="00741504"/>
    <w:rsid w:val="0074415E"/>
    <w:rsid w:val="007465DA"/>
    <w:rsid w:val="007527E3"/>
    <w:rsid w:val="00752C7F"/>
    <w:rsid w:val="007540B1"/>
    <w:rsid w:val="007578FD"/>
    <w:rsid w:val="007629D7"/>
    <w:rsid w:val="00764215"/>
    <w:rsid w:val="007653CC"/>
    <w:rsid w:val="00774C11"/>
    <w:rsid w:val="00776598"/>
    <w:rsid w:val="007841E3"/>
    <w:rsid w:val="007860F1"/>
    <w:rsid w:val="00787B61"/>
    <w:rsid w:val="00792948"/>
    <w:rsid w:val="0079363F"/>
    <w:rsid w:val="00796E84"/>
    <w:rsid w:val="007A3542"/>
    <w:rsid w:val="007A3ADE"/>
    <w:rsid w:val="007A5733"/>
    <w:rsid w:val="007A5774"/>
    <w:rsid w:val="007A628F"/>
    <w:rsid w:val="007B67D7"/>
    <w:rsid w:val="007C051D"/>
    <w:rsid w:val="007C096E"/>
    <w:rsid w:val="007C160E"/>
    <w:rsid w:val="007C240C"/>
    <w:rsid w:val="007C44CD"/>
    <w:rsid w:val="007C4BC8"/>
    <w:rsid w:val="007D1037"/>
    <w:rsid w:val="007D33A9"/>
    <w:rsid w:val="007D3A65"/>
    <w:rsid w:val="007E07D2"/>
    <w:rsid w:val="007F452A"/>
    <w:rsid w:val="00800C07"/>
    <w:rsid w:val="00801E74"/>
    <w:rsid w:val="0080353B"/>
    <w:rsid w:val="0080485E"/>
    <w:rsid w:val="00806C5F"/>
    <w:rsid w:val="00807B66"/>
    <w:rsid w:val="00811451"/>
    <w:rsid w:val="00813B01"/>
    <w:rsid w:val="008142B4"/>
    <w:rsid w:val="0082522C"/>
    <w:rsid w:val="00832324"/>
    <w:rsid w:val="00835337"/>
    <w:rsid w:val="00836C19"/>
    <w:rsid w:val="00837259"/>
    <w:rsid w:val="00846DCD"/>
    <w:rsid w:val="00851D85"/>
    <w:rsid w:val="0085456E"/>
    <w:rsid w:val="00860AA2"/>
    <w:rsid w:val="00860CCB"/>
    <w:rsid w:val="00870B27"/>
    <w:rsid w:val="008740A3"/>
    <w:rsid w:val="008768A0"/>
    <w:rsid w:val="00884F20"/>
    <w:rsid w:val="008850A5"/>
    <w:rsid w:val="0089297B"/>
    <w:rsid w:val="00894793"/>
    <w:rsid w:val="00896744"/>
    <w:rsid w:val="008A120E"/>
    <w:rsid w:val="008A134E"/>
    <w:rsid w:val="008A15FF"/>
    <w:rsid w:val="008A175E"/>
    <w:rsid w:val="008A5875"/>
    <w:rsid w:val="008A7E85"/>
    <w:rsid w:val="008B2FFC"/>
    <w:rsid w:val="008C0F4F"/>
    <w:rsid w:val="008C36CA"/>
    <w:rsid w:val="008C5AA7"/>
    <w:rsid w:val="008D143C"/>
    <w:rsid w:val="008D40EB"/>
    <w:rsid w:val="008E3978"/>
    <w:rsid w:val="008E3F8C"/>
    <w:rsid w:val="008E4281"/>
    <w:rsid w:val="008E4EA7"/>
    <w:rsid w:val="008F3C94"/>
    <w:rsid w:val="008F45AD"/>
    <w:rsid w:val="008F4F07"/>
    <w:rsid w:val="008F7BCA"/>
    <w:rsid w:val="00900C67"/>
    <w:rsid w:val="00902116"/>
    <w:rsid w:val="00902FD0"/>
    <w:rsid w:val="00904AE2"/>
    <w:rsid w:val="009053D3"/>
    <w:rsid w:val="0090691F"/>
    <w:rsid w:val="00913AB5"/>
    <w:rsid w:val="00916586"/>
    <w:rsid w:val="00922B67"/>
    <w:rsid w:val="0093111F"/>
    <w:rsid w:val="00931811"/>
    <w:rsid w:val="00931B61"/>
    <w:rsid w:val="00932B15"/>
    <w:rsid w:val="00933266"/>
    <w:rsid w:val="009355DF"/>
    <w:rsid w:val="00935689"/>
    <w:rsid w:val="00936176"/>
    <w:rsid w:val="00937147"/>
    <w:rsid w:val="0095303B"/>
    <w:rsid w:val="00956750"/>
    <w:rsid w:val="00957C46"/>
    <w:rsid w:val="009606D4"/>
    <w:rsid w:val="009663B6"/>
    <w:rsid w:val="009668DF"/>
    <w:rsid w:val="00972DD6"/>
    <w:rsid w:val="00974A47"/>
    <w:rsid w:val="00980286"/>
    <w:rsid w:val="00990DCF"/>
    <w:rsid w:val="009A4CD6"/>
    <w:rsid w:val="009A537C"/>
    <w:rsid w:val="009A735A"/>
    <w:rsid w:val="009B4F8C"/>
    <w:rsid w:val="009C0886"/>
    <w:rsid w:val="009C19EE"/>
    <w:rsid w:val="009C28D0"/>
    <w:rsid w:val="009C35F2"/>
    <w:rsid w:val="009C5D52"/>
    <w:rsid w:val="009C630E"/>
    <w:rsid w:val="009C6610"/>
    <w:rsid w:val="009C7782"/>
    <w:rsid w:val="009D0B9E"/>
    <w:rsid w:val="009D1ED5"/>
    <w:rsid w:val="009D4C13"/>
    <w:rsid w:val="009D531F"/>
    <w:rsid w:val="009E21A7"/>
    <w:rsid w:val="009F0CC9"/>
    <w:rsid w:val="009F503E"/>
    <w:rsid w:val="009F5F6C"/>
    <w:rsid w:val="00A012A4"/>
    <w:rsid w:val="00A023D2"/>
    <w:rsid w:val="00A02F26"/>
    <w:rsid w:val="00A1036F"/>
    <w:rsid w:val="00A103ED"/>
    <w:rsid w:val="00A1127F"/>
    <w:rsid w:val="00A13C60"/>
    <w:rsid w:val="00A15134"/>
    <w:rsid w:val="00A2057E"/>
    <w:rsid w:val="00A207C9"/>
    <w:rsid w:val="00A22515"/>
    <w:rsid w:val="00A24171"/>
    <w:rsid w:val="00A2437D"/>
    <w:rsid w:val="00A265AF"/>
    <w:rsid w:val="00A311F6"/>
    <w:rsid w:val="00A341A3"/>
    <w:rsid w:val="00A35800"/>
    <w:rsid w:val="00A427E8"/>
    <w:rsid w:val="00A42CC6"/>
    <w:rsid w:val="00A43404"/>
    <w:rsid w:val="00A4420A"/>
    <w:rsid w:val="00A44CB3"/>
    <w:rsid w:val="00A50E0E"/>
    <w:rsid w:val="00A52918"/>
    <w:rsid w:val="00A547B3"/>
    <w:rsid w:val="00A5732B"/>
    <w:rsid w:val="00A61277"/>
    <w:rsid w:val="00A62F91"/>
    <w:rsid w:val="00A65179"/>
    <w:rsid w:val="00A66836"/>
    <w:rsid w:val="00A70E82"/>
    <w:rsid w:val="00A7154A"/>
    <w:rsid w:val="00A8215D"/>
    <w:rsid w:val="00A83486"/>
    <w:rsid w:val="00A83AC3"/>
    <w:rsid w:val="00A84CAD"/>
    <w:rsid w:val="00A850EA"/>
    <w:rsid w:val="00A90E31"/>
    <w:rsid w:val="00A90E50"/>
    <w:rsid w:val="00A91A00"/>
    <w:rsid w:val="00A93FAB"/>
    <w:rsid w:val="00A95FA5"/>
    <w:rsid w:val="00A96D92"/>
    <w:rsid w:val="00AA0565"/>
    <w:rsid w:val="00AA18F0"/>
    <w:rsid w:val="00AA2F0F"/>
    <w:rsid w:val="00AA2FAD"/>
    <w:rsid w:val="00AA33E7"/>
    <w:rsid w:val="00AA37B5"/>
    <w:rsid w:val="00AA5B07"/>
    <w:rsid w:val="00AA78DA"/>
    <w:rsid w:val="00AB199C"/>
    <w:rsid w:val="00AB3733"/>
    <w:rsid w:val="00AB397B"/>
    <w:rsid w:val="00AB588C"/>
    <w:rsid w:val="00AB7897"/>
    <w:rsid w:val="00AC0B79"/>
    <w:rsid w:val="00AC410F"/>
    <w:rsid w:val="00AC5054"/>
    <w:rsid w:val="00AD10E8"/>
    <w:rsid w:val="00AD5133"/>
    <w:rsid w:val="00AE2E15"/>
    <w:rsid w:val="00AE4BAC"/>
    <w:rsid w:val="00AF2AE2"/>
    <w:rsid w:val="00AF6D59"/>
    <w:rsid w:val="00B00614"/>
    <w:rsid w:val="00B034FC"/>
    <w:rsid w:val="00B05310"/>
    <w:rsid w:val="00B10A0B"/>
    <w:rsid w:val="00B160EC"/>
    <w:rsid w:val="00B16F00"/>
    <w:rsid w:val="00B23DAC"/>
    <w:rsid w:val="00B30D85"/>
    <w:rsid w:val="00B35A4A"/>
    <w:rsid w:val="00B378F0"/>
    <w:rsid w:val="00B37E04"/>
    <w:rsid w:val="00B4192C"/>
    <w:rsid w:val="00B42AA9"/>
    <w:rsid w:val="00B44A98"/>
    <w:rsid w:val="00B453CF"/>
    <w:rsid w:val="00B53EB9"/>
    <w:rsid w:val="00B55087"/>
    <w:rsid w:val="00B57172"/>
    <w:rsid w:val="00B61C41"/>
    <w:rsid w:val="00B63FD7"/>
    <w:rsid w:val="00B71EB2"/>
    <w:rsid w:val="00B72BEA"/>
    <w:rsid w:val="00B74A27"/>
    <w:rsid w:val="00B750E5"/>
    <w:rsid w:val="00B80065"/>
    <w:rsid w:val="00B816D9"/>
    <w:rsid w:val="00B8778B"/>
    <w:rsid w:val="00B9120F"/>
    <w:rsid w:val="00B9216C"/>
    <w:rsid w:val="00B924A4"/>
    <w:rsid w:val="00B9381C"/>
    <w:rsid w:val="00BA1565"/>
    <w:rsid w:val="00BA20A7"/>
    <w:rsid w:val="00BA3189"/>
    <w:rsid w:val="00BA497A"/>
    <w:rsid w:val="00BA6625"/>
    <w:rsid w:val="00BB04EE"/>
    <w:rsid w:val="00BB0D1A"/>
    <w:rsid w:val="00BB1D3B"/>
    <w:rsid w:val="00BB52E0"/>
    <w:rsid w:val="00BC35ED"/>
    <w:rsid w:val="00BC4112"/>
    <w:rsid w:val="00BC7D50"/>
    <w:rsid w:val="00BD41FC"/>
    <w:rsid w:val="00BD552B"/>
    <w:rsid w:val="00BE205A"/>
    <w:rsid w:val="00BE3802"/>
    <w:rsid w:val="00BE3BFA"/>
    <w:rsid w:val="00BF0C67"/>
    <w:rsid w:val="00BF238E"/>
    <w:rsid w:val="00BF2F4A"/>
    <w:rsid w:val="00BF544D"/>
    <w:rsid w:val="00BF72A8"/>
    <w:rsid w:val="00C0076F"/>
    <w:rsid w:val="00C01CE6"/>
    <w:rsid w:val="00C0301C"/>
    <w:rsid w:val="00C050B6"/>
    <w:rsid w:val="00C0786D"/>
    <w:rsid w:val="00C10F12"/>
    <w:rsid w:val="00C13F93"/>
    <w:rsid w:val="00C245EA"/>
    <w:rsid w:val="00C256F6"/>
    <w:rsid w:val="00C3097E"/>
    <w:rsid w:val="00C34CC0"/>
    <w:rsid w:val="00C35ECC"/>
    <w:rsid w:val="00C361A8"/>
    <w:rsid w:val="00C41246"/>
    <w:rsid w:val="00C429A3"/>
    <w:rsid w:val="00C42C2E"/>
    <w:rsid w:val="00C45E5F"/>
    <w:rsid w:val="00C46291"/>
    <w:rsid w:val="00C51645"/>
    <w:rsid w:val="00C54BAA"/>
    <w:rsid w:val="00C57107"/>
    <w:rsid w:val="00C62600"/>
    <w:rsid w:val="00C63412"/>
    <w:rsid w:val="00C66D42"/>
    <w:rsid w:val="00C67BD8"/>
    <w:rsid w:val="00C714D0"/>
    <w:rsid w:val="00C87DB0"/>
    <w:rsid w:val="00C90ABA"/>
    <w:rsid w:val="00C90EF4"/>
    <w:rsid w:val="00C93A0B"/>
    <w:rsid w:val="00C9640B"/>
    <w:rsid w:val="00CA015A"/>
    <w:rsid w:val="00CA36DC"/>
    <w:rsid w:val="00CA3F45"/>
    <w:rsid w:val="00CB3BF9"/>
    <w:rsid w:val="00CC108F"/>
    <w:rsid w:val="00CC1AA3"/>
    <w:rsid w:val="00CC1F36"/>
    <w:rsid w:val="00CC6579"/>
    <w:rsid w:val="00CD4486"/>
    <w:rsid w:val="00CD5E16"/>
    <w:rsid w:val="00CE716E"/>
    <w:rsid w:val="00CF5E22"/>
    <w:rsid w:val="00D06A44"/>
    <w:rsid w:val="00D070BE"/>
    <w:rsid w:val="00D10845"/>
    <w:rsid w:val="00D151EB"/>
    <w:rsid w:val="00D21611"/>
    <w:rsid w:val="00D21D3E"/>
    <w:rsid w:val="00D23A06"/>
    <w:rsid w:val="00D23B79"/>
    <w:rsid w:val="00D25B52"/>
    <w:rsid w:val="00D300E0"/>
    <w:rsid w:val="00D3228A"/>
    <w:rsid w:val="00D362F4"/>
    <w:rsid w:val="00D374CD"/>
    <w:rsid w:val="00D40912"/>
    <w:rsid w:val="00D50E32"/>
    <w:rsid w:val="00D52810"/>
    <w:rsid w:val="00D52F45"/>
    <w:rsid w:val="00D55460"/>
    <w:rsid w:val="00D55A8B"/>
    <w:rsid w:val="00D62400"/>
    <w:rsid w:val="00D650CE"/>
    <w:rsid w:val="00D677D0"/>
    <w:rsid w:val="00D67C85"/>
    <w:rsid w:val="00D71719"/>
    <w:rsid w:val="00D7228E"/>
    <w:rsid w:val="00D776DA"/>
    <w:rsid w:val="00D77C87"/>
    <w:rsid w:val="00D83B1B"/>
    <w:rsid w:val="00D8758B"/>
    <w:rsid w:val="00D878AC"/>
    <w:rsid w:val="00D87DAD"/>
    <w:rsid w:val="00D90FFF"/>
    <w:rsid w:val="00D9240D"/>
    <w:rsid w:val="00D9376D"/>
    <w:rsid w:val="00D942B3"/>
    <w:rsid w:val="00D94550"/>
    <w:rsid w:val="00D94863"/>
    <w:rsid w:val="00D95159"/>
    <w:rsid w:val="00D9610D"/>
    <w:rsid w:val="00DA0981"/>
    <w:rsid w:val="00DA0BCA"/>
    <w:rsid w:val="00DA5BA8"/>
    <w:rsid w:val="00DA6BD6"/>
    <w:rsid w:val="00DA7D09"/>
    <w:rsid w:val="00DB57C5"/>
    <w:rsid w:val="00DC00C5"/>
    <w:rsid w:val="00DC2630"/>
    <w:rsid w:val="00DC2F1F"/>
    <w:rsid w:val="00DC3F9E"/>
    <w:rsid w:val="00DC443D"/>
    <w:rsid w:val="00DC49E9"/>
    <w:rsid w:val="00DC55E4"/>
    <w:rsid w:val="00DC7D71"/>
    <w:rsid w:val="00DD14EC"/>
    <w:rsid w:val="00DD188C"/>
    <w:rsid w:val="00DD29A3"/>
    <w:rsid w:val="00DD401D"/>
    <w:rsid w:val="00DD4173"/>
    <w:rsid w:val="00DD48E8"/>
    <w:rsid w:val="00DD48EE"/>
    <w:rsid w:val="00DD7955"/>
    <w:rsid w:val="00DE0B96"/>
    <w:rsid w:val="00DE10B9"/>
    <w:rsid w:val="00DE1EA1"/>
    <w:rsid w:val="00DE2DC0"/>
    <w:rsid w:val="00DF0B13"/>
    <w:rsid w:val="00DF23F3"/>
    <w:rsid w:val="00DF2BF0"/>
    <w:rsid w:val="00DF2EB8"/>
    <w:rsid w:val="00DF33FE"/>
    <w:rsid w:val="00DF353E"/>
    <w:rsid w:val="00DF4A94"/>
    <w:rsid w:val="00DF6003"/>
    <w:rsid w:val="00E00095"/>
    <w:rsid w:val="00E01EC6"/>
    <w:rsid w:val="00E02F9A"/>
    <w:rsid w:val="00E04F22"/>
    <w:rsid w:val="00E06508"/>
    <w:rsid w:val="00E066C3"/>
    <w:rsid w:val="00E06EA9"/>
    <w:rsid w:val="00E10D8C"/>
    <w:rsid w:val="00E1353A"/>
    <w:rsid w:val="00E1564B"/>
    <w:rsid w:val="00E208A0"/>
    <w:rsid w:val="00E20BD0"/>
    <w:rsid w:val="00E25B49"/>
    <w:rsid w:val="00E26FB7"/>
    <w:rsid w:val="00E371EA"/>
    <w:rsid w:val="00E46DA9"/>
    <w:rsid w:val="00E61096"/>
    <w:rsid w:val="00E61ED0"/>
    <w:rsid w:val="00E64429"/>
    <w:rsid w:val="00E677DD"/>
    <w:rsid w:val="00E70ACF"/>
    <w:rsid w:val="00E7155F"/>
    <w:rsid w:val="00E736F4"/>
    <w:rsid w:val="00E7594B"/>
    <w:rsid w:val="00E82D98"/>
    <w:rsid w:val="00E938E6"/>
    <w:rsid w:val="00E965A4"/>
    <w:rsid w:val="00EA1BA3"/>
    <w:rsid w:val="00EB4688"/>
    <w:rsid w:val="00EB6C07"/>
    <w:rsid w:val="00EB7E94"/>
    <w:rsid w:val="00EC028D"/>
    <w:rsid w:val="00EC27D8"/>
    <w:rsid w:val="00EC788B"/>
    <w:rsid w:val="00EC7DD9"/>
    <w:rsid w:val="00ED3134"/>
    <w:rsid w:val="00ED5D76"/>
    <w:rsid w:val="00ED633B"/>
    <w:rsid w:val="00EE2BBB"/>
    <w:rsid w:val="00EE3B12"/>
    <w:rsid w:val="00EE3E3A"/>
    <w:rsid w:val="00EE478C"/>
    <w:rsid w:val="00EF14B8"/>
    <w:rsid w:val="00EF305D"/>
    <w:rsid w:val="00F014A5"/>
    <w:rsid w:val="00F05B1F"/>
    <w:rsid w:val="00F1132C"/>
    <w:rsid w:val="00F142E3"/>
    <w:rsid w:val="00F14A07"/>
    <w:rsid w:val="00F15DD5"/>
    <w:rsid w:val="00F17D4B"/>
    <w:rsid w:val="00F21654"/>
    <w:rsid w:val="00F23139"/>
    <w:rsid w:val="00F25435"/>
    <w:rsid w:val="00F26A3D"/>
    <w:rsid w:val="00F27C61"/>
    <w:rsid w:val="00F31BAE"/>
    <w:rsid w:val="00F326E2"/>
    <w:rsid w:val="00F327EA"/>
    <w:rsid w:val="00F361A3"/>
    <w:rsid w:val="00F362EC"/>
    <w:rsid w:val="00F3776D"/>
    <w:rsid w:val="00F4021F"/>
    <w:rsid w:val="00F44051"/>
    <w:rsid w:val="00F50711"/>
    <w:rsid w:val="00F52E67"/>
    <w:rsid w:val="00F55A28"/>
    <w:rsid w:val="00F561F7"/>
    <w:rsid w:val="00F562D0"/>
    <w:rsid w:val="00F65685"/>
    <w:rsid w:val="00F66CD5"/>
    <w:rsid w:val="00F67A9A"/>
    <w:rsid w:val="00F708E3"/>
    <w:rsid w:val="00F70F4E"/>
    <w:rsid w:val="00F71408"/>
    <w:rsid w:val="00F7252A"/>
    <w:rsid w:val="00F73113"/>
    <w:rsid w:val="00F75FC4"/>
    <w:rsid w:val="00F83F5B"/>
    <w:rsid w:val="00F85981"/>
    <w:rsid w:val="00F86149"/>
    <w:rsid w:val="00F87263"/>
    <w:rsid w:val="00F87615"/>
    <w:rsid w:val="00F91717"/>
    <w:rsid w:val="00F93725"/>
    <w:rsid w:val="00FA1BA3"/>
    <w:rsid w:val="00FA4890"/>
    <w:rsid w:val="00FA6BD4"/>
    <w:rsid w:val="00FA6DFC"/>
    <w:rsid w:val="00FB0220"/>
    <w:rsid w:val="00FB31AC"/>
    <w:rsid w:val="00FB5D06"/>
    <w:rsid w:val="00FB77FA"/>
    <w:rsid w:val="00FC0E4D"/>
    <w:rsid w:val="00FC3C70"/>
    <w:rsid w:val="00FC4A73"/>
    <w:rsid w:val="00FC559C"/>
    <w:rsid w:val="00FC6D7A"/>
    <w:rsid w:val="00FC7F0D"/>
    <w:rsid w:val="00FD29DF"/>
    <w:rsid w:val="00FD5FDC"/>
    <w:rsid w:val="00FD6082"/>
    <w:rsid w:val="00FE1244"/>
    <w:rsid w:val="00FE1623"/>
    <w:rsid w:val="00FE645A"/>
    <w:rsid w:val="00FE7D3C"/>
    <w:rsid w:val="00FF5414"/>
    <w:rsid w:val="00FF6102"/>
    <w:rsid w:val="00FF6C5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15:docId w15:val="{7B12D9AF-EC66-4B44-B56B-9AA4AF46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4A33AB"/>
    <w:rPr>
      <w:color w:val="800080" w:themeColor="followedHyperlink"/>
      <w:u w:val="single"/>
    </w:rPr>
  </w:style>
  <w:style w:type="paragraph" w:styleId="Revision">
    <w:name w:val="Revision"/>
    <w:hidden/>
    <w:uiPriority w:val="99"/>
    <w:semiHidden/>
    <w:rsid w:val="008F3C94"/>
    <w:pPr>
      <w:spacing w:after="0" w:line="240" w:lineRule="auto"/>
    </w:pPr>
    <w:rPr>
      <w:sz w:val="24"/>
      <w:szCs w:val="24"/>
    </w:rPr>
  </w:style>
  <w:style w:type="paragraph" w:styleId="EndnoteText">
    <w:name w:val="endnote text"/>
    <w:basedOn w:val="Normal"/>
    <w:link w:val="EndnoteTextChar"/>
    <w:uiPriority w:val="99"/>
    <w:semiHidden/>
    <w:unhideWhenUsed/>
    <w:rsid w:val="00A02F26"/>
    <w:pPr>
      <w:spacing w:after="0"/>
    </w:pPr>
    <w:rPr>
      <w:sz w:val="20"/>
      <w:szCs w:val="20"/>
    </w:rPr>
  </w:style>
  <w:style w:type="character" w:customStyle="1" w:styleId="EndnoteTextChar">
    <w:name w:val="Endnote Text Char"/>
    <w:basedOn w:val="DefaultParagraphFont"/>
    <w:link w:val="EndnoteText"/>
    <w:uiPriority w:val="99"/>
    <w:semiHidden/>
    <w:rsid w:val="00A02F26"/>
    <w:rPr>
      <w:sz w:val="20"/>
      <w:szCs w:val="20"/>
    </w:rPr>
  </w:style>
  <w:style w:type="character" w:styleId="EndnoteReference">
    <w:name w:val="endnote reference"/>
    <w:basedOn w:val="DefaultParagraphFont"/>
    <w:uiPriority w:val="99"/>
    <w:semiHidden/>
    <w:unhideWhenUsed/>
    <w:rsid w:val="00A02F26"/>
    <w:rPr>
      <w:vertAlign w:val="superscript"/>
    </w:rPr>
  </w:style>
  <w:style w:type="character" w:styleId="UnresolvedMention">
    <w:name w:val="Unresolved Mention"/>
    <w:basedOn w:val="DefaultParagraphFont"/>
    <w:uiPriority w:val="99"/>
    <w:semiHidden/>
    <w:unhideWhenUsed/>
    <w:rsid w:val="004170E4"/>
    <w:rPr>
      <w:color w:val="605E5C"/>
      <w:shd w:val="clear" w:color="auto" w:fill="E1DFDD"/>
    </w:rPr>
  </w:style>
  <w:style w:type="paragraph" w:customStyle="1" w:styleId="2Sections">
    <w:name w:val="2. Sections"/>
    <w:qFormat/>
    <w:rsid w:val="004F6999"/>
    <w:pPr>
      <w:numPr>
        <w:numId w:val="36"/>
      </w:numPr>
      <w:spacing w:before="240" w:after="120" w:line="240" w:lineRule="auto"/>
      <w:outlineLvl w:val="0"/>
    </w:pPr>
    <w:rPr>
      <w:rFonts w:eastAsia="Times New Roman" w:cs="Arial"/>
      <w:b/>
      <w:snapToGrid w:val="0"/>
      <w:sz w:val="32"/>
      <w:szCs w:val="32"/>
      <w:lang w:eastAsia="en-US"/>
    </w:rPr>
  </w:style>
  <w:style w:type="paragraph" w:customStyle="1" w:styleId="3Bodytext">
    <w:name w:val="3. Body text"/>
    <w:basedOn w:val="ListParagraph"/>
    <w:link w:val="3BodytextChar"/>
    <w:qFormat/>
    <w:rsid w:val="004F6999"/>
    <w:pPr>
      <w:numPr>
        <w:ilvl w:val="1"/>
        <w:numId w:val="36"/>
      </w:numPr>
      <w:spacing w:after="120"/>
      <w:contextualSpacing w:val="0"/>
      <w:jc w:val="both"/>
    </w:pPr>
    <w:rPr>
      <w:rFonts w:eastAsiaTheme="minorHAnsi"/>
      <w:szCs w:val="22"/>
      <w:lang w:eastAsia="en-US"/>
    </w:rPr>
  </w:style>
  <w:style w:type="character" w:customStyle="1" w:styleId="3BodytextChar">
    <w:name w:val="3. Body text Char"/>
    <w:basedOn w:val="DefaultParagraphFont"/>
    <w:link w:val="3Bodytext"/>
    <w:rsid w:val="004F6999"/>
    <w:rPr>
      <w:rFonts w:eastAsiaTheme="minorHAnsi"/>
      <w:sz w:val="24"/>
      <w:lang w:eastAsia="en-US"/>
    </w:rPr>
  </w:style>
  <w:style w:type="paragraph" w:styleId="NormalWeb">
    <w:name w:val="Normal (Web)"/>
    <w:basedOn w:val="Normal"/>
    <w:uiPriority w:val="99"/>
    <w:semiHidden/>
    <w:unhideWhenUsed/>
    <w:rsid w:val="00D9455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7872">
      <w:bodyDiv w:val="1"/>
      <w:marLeft w:val="0"/>
      <w:marRight w:val="0"/>
      <w:marTop w:val="0"/>
      <w:marBottom w:val="0"/>
      <w:divBdr>
        <w:top w:val="none" w:sz="0" w:space="0" w:color="auto"/>
        <w:left w:val="none" w:sz="0" w:space="0" w:color="auto"/>
        <w:bottom w:val="none" w:sz="0" w:space="0" w:color="auto"/>
        <w:right w:val="none" w:sz="0" w:space="0" w:color="auto"/>
      </w:divBdr>
    </w:div>
    <w:div w:id="196434228">
      <w:bodyDiv w:val="1"/>
      <w:marLeft w:val="0"/>
      <w:marRight w:val="0"/>
      <w:marTop w:val="0"/>
      <w:marBottom w:val="0"/>
      <w:divBdr>
        <w:top w:val="none" w:sz="0" w:space="0" w:color="auto"/>
        <w:left w:val="none" w:sz="0" w:space="0" w:color="auto"/>
        <w:bottom w:val="none" w:sz="0" w:space="0" w:color="auto"/>
        <w:right w:val="none" w:sz="0" w:space="0" w:color="auto"/>
      </w:divBdr>
    </w:div>
    <w:div w:id="27567332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73079203">
      <w:bodyDiv w:val="1"/>
      <w:marLeft w:val="0"/>
      <w:marRight w:val="0"/>
      <w:marTop w:val="0"/>
      <w:marBottom w:val="0"/>
      <w:divBdr>
        <w:top w:val="none" w:sz="0" w:space="0" w:color="auto"/>
        <w:left w:val="none" w:sz="0" w:space="0" w:color="auto"/>
        <w:bottom w:val="none" w:sz="0" w:space="0" w:color="auto"/>
        <w:right w:val="none" w:sz="0" w:space="0" w:color="auto"/>
      </w:divBdr>
    </w:div>
    <w:div w:id="647443844">
      <w:bodyDiv w:val="1"/>
      <w:marLeft w:val="0"/>
      <w:marRight w:val="0"/>
      <w:marTop w:val="0"/>
      <w:marBottom w:val="0"/>
      <w:divBdr>
        <w:top w:val="none" w:sz="0" w:space="0" w:color="auto"/>
        <w:left w:val="none" w:sz="0" w:space="0" w:color="auto"/>
        <w:bottom w:val="none" w:sz="0" w:space="0" w:color="auto"/>
        <w:right w:val="none" w:sz="0" w:space="0" w:color="auto"/>
      </w:divBdr>
    </w:div>
    <w:div w:id="793214108">
      <w:bodyDiv w:val="1"/>
      <w:marLeft w:val="0"/>
      <w:marRight w:val="0"/>
      <w:marTop w:val="0"/>
      <w:marBottom w:val="0"/>
      <w:divBdr>
        <w:top w:val="none" w:sz="0" w:space="0" w:color="auto"/>
        <w:left w:val="none" w:sz="0" w:space="0" w:color="auto"/>
        <w:bottom w:val="none" w:sz="0" w:space="0" w:color="auto"/>
        <w:right w:val="none" w:sz="0" w:space="0" w:color="auto"/>
      </w:divBdr>
    </w:div>
    <w:div w:id="958685797">
      <w:bodyDiv w:val="1"/>
      <w:marLeft w:val="0"/>
      <w:marRight w:val="0"/>
      <w:marTop w:val="0"/>
      <w:marBottom w:val="0"/>
      <w:divBdr>
        <w:top w:val="none" w:sz="0" w:space="0" w:color="auto"/>
        <w:left w:val="none" w:sz="0" w:space="0" w:color="auto"/>
        <w:bottom w:val="none" w:sz="0" w:space="0" w:color="auto"/>
        <w:right w:val="none" w:sz="0" w:space="0" w:color="auto"/>
      </w:divBdr>
    </w:div>
    <w:div w:id="1008363137">
      <w:bodyDiv w:val="1"/>
      <w:marLeft w:val="0"/>
      <w:marRight w:val="0"/>
      <w:marTop w:val="0"/>
      <w:marBottom w:val="0"/>
      <w:divBdr>
        <w:top w:val="none" w:sz="0" w:space="0" w:color="auto"/>
        <w:left w:val="none" w:sz="0" w:space="0" w:color="auto"/>
        <w:bottom w:val="none" w:sz="0" w:space="0" w:color="auto"/>
        <w:right w:val="none" w:sz="0" w:space="0" w:color="auto"/>
      </w:divBdr>
    </w:div>
    <w:div w:id="1097095419">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448768356">
      <w:bodyDiv w:val="1"/>
      <w:marLeft w:val="0"/>
      <w:marRight w:val="0"/>
      <w:marTop w:val="0"/>
      <w:marBottom w:val="0"/>
      <w:divBdr>
        <w:top w:val="none" w:sz="0" w:space="0" w:color="auto"/>
        <w:left w:val="none" w:sz="0" w:space="0" w:color="auto"/>
        <w:bottom w:val="none" w:sz="0" w:space="0" w:color="auto"/>
        <w:right w:val="none" w:sz="0" w:space="0" w:color="auto"/>
      </w:divBdr>
    </w:div>
    <w:div w:id="1479149414">
      <w:bodyDiv w:val="1"/>
      <w:marLeft w:val="0"/>
      <w:marRight w:val="0"/>
      <w:marTop w:val="0"/>
      <w:marBottom w:val="0"/>
      <w:divBdr>
        <w:top w:val="none" w:sz="0" w:space="0" w:color="auto"/>
        <w:left w:val="none" w:sz="0" w:space="0" w:color="auto"/>
        <w:bottom w:val="none" w:sz="0" w:space="0" w:color="auto"/>
        <w:right w:val="none" w:sz="0" w:space="0" w:color="auto"/>
      </w:divBdr>
    </w:div>
    <w:div w:id="1728603455">
      <w:bodyDiv w:val="1"/>
      <w:marLeft w:val="0"/>
      <w:marRight w:val="0"/>
      <w:marTop w:val="0"/>
      <w:marBottom w:val="0"/>
      <w:divBdr>
        <w:top w:val="none" w:sz="0" w:space="0" w:color="auto"/>
        <w:left w:val="none" w:sz="0" w:space="0" w:color="auto"/>
        <w:bottom w:val="none" w:sz="0" w:space="0" w:color="auto"/>
        <w:right w:val="none" w:sz="0" w:space="0" w:color="auto"/>
      </w:divBdr>
    </w:div>
    <w:div w:id="1946963767">
      <w:bodyDiv w:val="1"/>
      <w:marLeft w:val="0"/>
      <w:marRight w:val="0"/>
      <w:marTop w:val="0"/>
      <w:marBottom w:val="0"/>
      <w:divBdr>
        <w:top w:val="none" w:sz="0" w:space="0" w:color="auto"/>
        <w:left w:val="none" w:sz="0" w:space="0" w:color="auto"/>
        <w:bottom w:val="none" w:sz="0" w:space="0" w:color="auto"/>
        <w:right w:val="none" w:sz="0" w:space="0" w:color="auto"/>
      </w:divBdr>
    </w:div>
    <w:div w:id="197768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ga.gov.au/australian-register-therapeutic-goods" TargetMode="External"/><Relationship Id="rId13" Type="http://schemas.openxmlformats.org/officeDocument/2006/relationships/hyperlink" Target="https://www.pbs.gov.au/industry/listing/elements/pbac-meetings/psd/2019-07/files/atezolizumab-psd-july-2019.pdf" TargetMode="Externa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pbs.gov.au/pbs/search?term=atezolizumab&amp;search-type=medicines&amp;analyse=false" TargetMode="External"/><Relationship Id="rId17" Type="http://schemas.openxmlformats.org/officeDocument/2006/relationships/chart" Target="charts/chart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medicine/item/11930X-11931Y-11940K-11957H-12076N-12078Q-12097Q-12098R-12159Y-12163E-12164F-12174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bs.gov.au/industry/listing/elements/pbac-meetings/psd/2020-03/files/atezolizumab-sclc-psd-march-2020.pdf" TargetMode="External"/><Relationship Id="rId23" Type="http://schemas.openxmlformats.org/officeDocument/2006/relationships/footer" Target="footer1.xml"/><Relationship Id="rId10" Type="http://schemas.openxmlformats.org/officeDocument/2006/relationships/hyperlink" Target="http://www.tga.gov.au/consumers/information-medicines-cmi.htm"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hyperlink" Target="https://www.pbs.gov.au/industry/listing/elements/pbac-meetings/psd/2019-11/files/atezolizumab-es-sclc-psd-november-2019.pdf" TargetMode="External"/><Relationship Id="rId22" Type="http://schemas.openxmlformats.org/officeDocument/2006/relationships/hyperlink" Target="https://www.cancer.org/cancer/lung-cancer/about/what-is.htm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www.tga.gov.au/sites/default/files/auspar-atezolizumab-200604-pi.pdf" TargetMode="External"/><Relationship Id="rId1" Type="http://schemas.openxmlformats.org/officeDocument/2006/relationships/hyperlink" Target="https://www.cancer.org/cancer/lung-cancer/about/what-is.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28\HABRIT\Downloads\Atezolizumab%20v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[Chart in Microsoft Word]Sheet1!PivotTable2</c:name>
    <c:fmtId val="-1"/>
  </c:pivotSource>
  <c:chart>
    <c:autoTitleDeleted val="0"/>
    <c:pivotFmts>
      <c:pivotFmt>
        <c:idx val="0"/>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42506701199126"/>
          <c:y val="4.2090636503254432E-2"/>
          <c:w val="0.6677935842745194"/>
          <c:h val="0.80706889966927509"/>
        </c:manualLayout>
      </c:layout>
      <c:lineChart>
        <c:grouping val="standard"/>
        <c:varyColors val="0"/>
        <c:ser>
          <c:idx val="0"/>
          <c:order val="0"/>
          <c:tx>
            <c:strRef>
              <c:f>Sheet1!$B$1</c:f>
              <c:strCache>
                <c:ptCount val="1"/>
                <c:pt idx="0">
                  <c:v>Incident patients</c:v>
                </c:pt>
              </c:strCache>
            </c:strRef>
          </c:tx>
          <c:spPr>
            <a:ln w="28575" cap="rnd">
              <a:solidFill>
                <a:schemeClr val="accent6"/>
              </a:solidFill>
              <a:round/>
            </a:ln>
            <a:effectLst/>
          </c:spPr>
          <c:marker>
            <c:symbol val="none"/>
          </c:marker>
          <c:cat>
            <c:strRef>
              <c:f>Sheet1!$A$2:$A$11</c:f>
              <c:strCache>
                <c:ptCount val="9"/>
                <c:pt idx="0">
                  <c:v>2020Q1</c:v>
                </c:pt>
                <c:pt idx="1">
                  <c:v>2020Q2</c:v>
                </c:pt>
                <c:pt idx="2">
                  <c:v>2020Q3</c:v>
                </c:pt>
                <c:pt idx="3">
                  <c:v>2020Q4</c:v>
                </c:pt>
                <c:pt idx="4">
                  <c:v>2021Q1</c:v>
                </c:pt>
                <c:pt idx="5">
                  <c:v>2021Q2</c:v>
                </c:pt>
                <c:pt idx="6">
                  <c:v>2021Q3</c:v>
                </c:pt>
                <c:pt idx="7">
                  <c:v>2021Q4</c:v>
                </c:pt>
                <c:pt idx="8">
                  <c:v>2022Q1</c:v>
                </c:pt>
              </c:strCache>
            </c:strRef>
          </c:cat>
          <c:val>
            <c:numRef>
              <c:f>Sheet1!$B$2:$B$11</c:f>
              <c:numCache>
                <c:formatCode>General</c:formatCode>
                <c:ptCount val="9"/>
                <c:pt idx="0">
                  <c:v>146</c:v>
                </c:pt>
                <c:pt idx="1">
                  <c:v>254</c:v>
                </c:pt>
                <c:pt idx="2">
                  <c:v>223</c:v>
                </c:pt>
                <c:pt idx="3">
                  <c:v>216</c:v>
                </c:pt>
                <c:pt idx="4">
                  <c:v>185</c:v>
                </c:pt>
                <c:pt idx="5">
                  <c:v>221</c:v>
                </c:pt>
                <c:pt idx="6">
                  <c:v>217</c:v>
                </c:pt>
                <c:pt idx="7">
                  <c:v>213</c:v>
                </c:pt>
                <c:pt idx="8">
                  <c:v>187</c:v>
                </c:pt>
              </c:numCache>
            </c:numRef>
          </c:val>
          <c:smooth val="0"/>
          <c:extLst>
            <c:ext xmlns:c16="http://schemas.microsoft.com/office/drawing/2014/chart" uri="{C3380CC4-5D6E-409C-BE32-E72D297353CC}">
              <c16:uniqueId val="{00000000-7951-4CBF-842E-C5A716C0DD83}"/>
            </c:ext>
          </c:extLst>
        </c:ser>
        <c:ser>
          <c:idx val="1"/>
          <c:order val="1"/>
          <c:tx>
            <c:strRef>
              <c:f>Sheet1!$C$1</c:f>
              <c:strCache>
                <c:ptCount val="1"/>
                <c:pt idx="0">
                  <c:v>Prevalent patients</c:v>
                </c:pt>
              </c:strCache>
            </c:strRef>
          </c:tx>
          <c:spPr>
            <a:ln w="28575" cap="rnd">
              <a:solidFill>
                <a:schemeClr val="accent5"/>
              </a:solidFill>
              <a:round/>
            </a:ln>
            <a:effectLst/>
          </c:spPr>
          <c:marker>
            <c:symbol val="none"/>
          </c:marker>
          <c:cat>
            <c:strRef>
              <c:f>Sheet1!$A$2:$A$11</c:f>
              <c:strCache>
                <c:ptCount val="9"/>
                <c:pt idx="0">
                  <c:v>2020Q1</c:v>
                </c:pt>
                <c:pt idx="1">
                  <c:v>2020Q2</c:v>
                </c:pt>
                <c:pt idx="2">
                  <c:v>2020Q3</c:v>
                </c:pt>
                <c:pt idx="3">
                  <c:v>2020Q4</c:v>
                </c:pt>
                <c:pt idx="4">
                  <c:v>2021Q1</c:v>
                </c:pt>
                <c:pt idx="5">
                  <c:v>2021Q2</c:v>
                </c:pt>
                <c:pt idx="6">
                  <c:v>2021Q3</c:v>
                </c:pt>
                <c:pt idx="7">
                  <c:v>2021Q4</c:v>
                </c:pt>
                <c:pt idx="8">
                  <c:v>2022Q1</c:v>
                </c:pt>
              </c:strCache>
            </c:strRef>
          </c:cat>
          <c:val>
            <c:numRef>
              <c:f>Sheet1!$C$2:$C$11</c:f>
              <c:numCache>
                <c:formatCode>General</c:formatCode>
                <c:ptCount val="9"/>
                <c:pt idx="0">
                  <c:v>146</c:v>
                </c:pt>
                <c:pt idx="1">
                  <c:v>377</c:v>
                </c:pt>
                <c:pt idx="2">
                  <c:v>503</c:v>
                </c:pt>
                <c:pt idx="3">
                  <c:v>555</c:v>
                </c:pt>
                <c:pt idx="4">
                  <c:v>545</c:v>
                </c:pt>
                <c:pt idx="5">
                  <c:v>581</c:v>
                </c:pt>
                <c:pt idx="6">
                  <c:v>596</c:v>
                </c:pt>
                <c:pt idx="7">
                  <c:v>645</c:v>
                </c:pt>
                <c:pt idx="8">
                  <c:v>634</c:v>
                </c:pt>
              </c:numCache>
            </c:numRef>
          </c:val>
          <c:smooth val="0"/>
          <c:extLst>
            <c:ext xmlns:c16="http://schemas.microsoft.com/office/drawing/2014/chart" uri="{C3380CC4-5D6E-409C-BE32-E72D297353CC}">
              <c16:uniqueId val="{00000001-7951-4CBF-842E-C5A716C0DD83}"/>
            </c:ext>
          </c:extLst>
        </c:ser>
        <c:dLbls>
          <c:showLegendKey val="0"/>
          <c:showVal val="0"/>
          <c:showCatName val="0"/>
          <c:showSerName val="0"/>
          <c:showPercent val="0"/>
          <c:showBubbleSize val="0"/>
        </c:dLbls>
        <c:smooth val="0"/>
        <c:axId val="329358104"/>
        <c:axId val="329358432"/>
      </c:lineChart>
      <c:catAx>
        <c:axId val="3293581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358432"/>
        <c:crosses val="autoZero"/>
        <c:auto val="1"/>
        <c:lblAlgn val="ctr"/>
        <c:lblOffset val="100"/>
        <c:noMultiLvlLbl val="0"/>
      </c:catAx>
      <c:valAx>
        <c:axId val="329358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3581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[Chart in Microsoft Word]Sheet1!PivotTable1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460282730881601"/>
          <c:y val="6.9624643693731822E-2"/>
          <c:w val="0.68473558941571577"/>
          <c:h val="0.73258600739423696"/>
        </c:manualLayout>
      </c:layout>
      <c:areaChart>
        <c:grouping val="stacked"/>
        <c:varyColors val="0"/>
        <c:ser>
          <c:idx val="0"/>
          <c:order val="0"/>
          <c:tx>
            <c:strRef>
              <c:f>Sheet1!$B$3:$B$4</c:f>
              <c:strCache>
                <c:ptCount val="1"/>
                <c:pt idx="0">
                  <c:v>Grandfathered</c:v>
                </c:pt>
              </c:strCache>
            </c:strRef>
          </c:tx>
          <c:spPr>
            <a:solidFill>
              <a:schemeClr val="accent1"/>
            </a:solidFill>
            <a:ln>
              <a:noFill/>
            </a:ln>
            <a:effectLst/>
          </c:spPr>
          <c:cat>
            <c:strRef>
              <c:f>Sheet1!$A$5:$A$14</c:f>
              <c:strCache>
                <c:ptCount val="9"/>
                <c:pt idx="0">
                  <c:v>2020Q1</c:v>
                </c:pt>
                <c:pt idx="1">
                  <c:v>2020Q2</c:v>
                </c:pt>
                <c:pt idx="2">
                  <c:v>2020Q3</c:v>
                </c:pt>
                <c:pt idx="3">
                  <c:v>2020Q4</c:v>
                </c:pt>
                <c:pt idx="4">
                  <c:v>2021Q1</c:v>
                </c:pt>
                <c:pt idx="5">
                  <c:v>2021Q2</c:v>
                </c:pt>
                <c:pt idx="6">
                  <c:v>2021Q3</c:v>
                </c:pt>
                <c:pt idx="7">
                  <c:v>2021Q4</c:v>
                </c:pt>
                <c:pt idx="8">
                  <c:v>2022Q1</c:v>
                </c:pt>
              </c:strCache>
            </c:strRef>
          </c:cat>
          <c:val>
            <c:numRef>
              <c:f>Sheet1!$B$5:$B$14</c:f>
              <c:numCache>
                <c:formatCode>General</c:formatCode>
                <c:ptCount val="9"/>
                <c:pt idx="0">
                  <c:v>113</c:v>
                </c:pt>
                <c:pt idx="1">
                  <c:v>414</c:v>
                </c:pt>
                <c:pt idx="2">
                  <c:v>254</c:v>
                </c:pt>
                <c:pt idx="3">
                  <c:v>189</c:v>
                </c:pt>
                <c:pt idx="4">
                  <c:v>161</c:v>
                </c:pt>
                <c:pt idx="5">
                  <c:v>133</c:v>
                </c:pt>
                <c:pt idx="6">
                  <c:v>113</c:v>
                </c:pt>
                <c:pt idx="7">
                  <c:v>119</c:v>
                </c:pt>
                <c:pt idx="8">
                  <c:v>86</c:v>
                </c:pt>
              </c:numCache>
            </c:numRef>
          </c:val>
          <c:extLst>
            <c:ext xmlns:c16="http://schemas.microsoft.com/office/drawing/2014/chart" uri="{C3380CC4-5D6E-409C-BE32-E72D297353CC}">
              <c16:uniqueId val="{00000000-607F-4FC1-9A3E-5CDE9FA2C2E8}"/>
            </c:ext>
          </c:extLst>
        </c:ser>
        <c:ser>
          <c:idx val="1"/>
          <c:order val="1"/>
          <c:tx>
            <c:strRef>
              <c:f>Sheet1!$C$3:$C$4</c:f>
              <c:strCache>
                <c:ptCount val="1"/>
                <c:pt idx="0">
                  <c:v>Not grandfathered</c:v>
                </c:pt>
              </c:strCache>
            </c:strRef>
          </c:tx>
          <c:spPr>
            <a:solidFill>
              <a:schemeClr val="accent3"/>
            </a:solidFill>
            <a:ln>
              <a:noFill/>
            </a:ln>
            <a:effectLst/>
          </c:spPr>
          <c:cat>
            <c:strRef>
              <c:f>Sheet1!$A$5:$A$14</c:f>
              <c:strCache>
                <c:ptCount val="9"/>
                <c:pt idx="0">
                  <c:v>2020Q1</c:v>
                </c:pt>
                <c:pt idx="1">
                  <c:v>2020Q2</c:v>
                </c:pt>
                <c:pt idx="2">
                  <c:v>2020Q3</c:v>
                </c:pt>
                <c:pt idx="3">
                  <c:v>2020Q4</c:v>
                </c:pt>
                <c:pt idx="4">
                  <c:v>2021Q1</c:v>
                </c:pt>
                <c:pt idx="5">
                  <c:v>2021Q2</c:v>
                </c:pt>
                <c:pt idx="6">
                  <c:v>2021Q3</c:v>
                </c:pt>
                <c:pt idx="7">
                  <c:v>2021Q4</c:v>
                </c:pt>
                <c:pt idx="8">
                  <c:v>2022Q1</c:v>
                </c:pt>
              </c:strCache>
            </c:strRef>
          </c:cat>
          <c:val>
            <c:numRef>
              <c:f>Sheet1!$C$5:$C$14</c:f>
              <c:numCache>
                <c:formatCode>General</c:formatCode>
                <c:ptCount val="9"/>
                <c:pt idx="0">
                  <c:v>86</c:v>
                </c:pt>
                <c:pt idx="1">
                  <c:v>627</c:v>
                </c:pt>
                <c:pt idx="2">
                  <c:v>1179</c:v>
                </c:pt>
                <c:pt idx="3">
                  <c:v>1428</c:v>
                </c:pt>
                <c:pt idx="4">
                  <c:v>1408</c:v>
                </c:pt>
                <c:pt idx="5">
                  <c:v>1511</c:v>
                </c:pt>
                <c:pt idx="6">
                  <c:v>1683</c:v>
                </c:pt>
                <c:pt idx="7">
                  <c:v>1783</c:v>
                </c:pt>
                <c:pt idx="8">
                  <c:v>1771</c:v>
                </c:pt>
              </c:numCache>
            </c:numRef>
          </c:val>
          <c:extLst>
            <c:ext xmlns:c16="http://schemas.microsoft.com/office/drawing/2014/chart" uri="{C3380CC4-5D6E-409C-BE32-E72D297353CC}">
              <c16:uniqueId val="{00000001-607F-4FC1-9A3E-5CDE9FA2C2E8}"/>
            </c:ext>
          </c:extLst>
        </c:ser>
        <c:dLbls>
          <c:showLegendKey val="0"/>
          <c:showVal val="0"/>
          <c:showCatName val="0"/>
          <c:showSerName val="0"/>
          <c:showPercent val="0"/>
          <c:showBubbleSize val="0"/>
        </c:dLbls>
        <c:axId val="645070152"/>
        <c:axId val="645070480"/>
      </c:areaChart>
      <c:catAx>
        <c:axId val="645070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070480"/>
        <c:crosses val="autoZero"/>
        <c:auto val="1"/>
        <c:lblAlgn val="ctr"/>
        <c:lblOffset val="100"/>
        <c:noMultiLvlLbl val="0"/>
      </c:catAx>
      <c:valAx>
        <c:axId val="645070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070152"/>
        <c:crosses val="autoZero"/>
        <c:crossBetween val="midCat"/>
      </c:valAx>
      <c:spPr>
        <a:noFill/>
        <a:ln>
          <a:noFill/>
        </a:ln>
        <a:effectLst/>
      </c:spPr>
    </c:plotArea>
    <c:legend>
      <c:legendPos val="r"/>
      <c:layout>
        <c:manualLayout>
          <c:xMode val="edge"/>
          <c:yMode val="edge"/>
          <c:x val="0.81601141560361723"/>
          <c:y val="0.42788411064001614"/>
          <c:w val="0.18398858439638277"/>
          <c:h val="0.14423177871996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[Atezolizumab v2.xlsx]Sheet3!PivotTable1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Sheet3!$B$3:$B$4</c:f>
              <c:strCache>
                <c:ptCount val="1"/>
                <c:pt idx="0">
                  <c:v>F</c:v>
                </c:pt>
              </c:strCache>
            </c:strRef>
          </c:tx>
          <c:spPr>
            <a:solidFill>
              <a:schemeClr val="accent1"/>
            </a:solidFill>
            <a:ln>
              <a:noFill/>
            </a:ln>
            <a:effectLst/>
          </c:spPr>
          <c:invertIfNegative val="0"/>
          <c:cat>
            <c:strRef>
              <c:f>Sheet3!$A$5:$A$21</c:f>
              <c:strCache>
                <c:ptCount val="16"/>
                <c:pt idx="0">
                  <c:v>25-29 yrs</c:v>
                </c:pt>
                <c:pt idx="1">
                  <c:v>30-34 yrs</c:v>
                </c:pt>
                <c:pt idx="2">
                  <c:v>35-39 yrs</c:v>
                </c:pt>
                <c:pt idx="3">
                  <c:v>40-44 yrs</c:v>
                </c:pt>
                <c:pt idx="4">
                  <c:v>45-49 yrs</c:v>
                </c:pt>
                <c:pt idx="5">
                  <c:v>50-54 yrs</c:v>
                </c:pt>
                <c:pt idx="6">
                  <c:v>55-59 yrs</c:v>
                </c:pt>
                <c:pt idx="7">
                  <c:v>60-64 yrs</c:v>
                </c:pt>
                <c:pt idx="8">
                  <c:v>65-69 yrs</c:v>
                </c:pt>
                <c:pt idx="9">
                  <c:v>70-74 yrs</c:v>
                </c:pt>
                <c:pt idx="10">
                  <c:v>75-79 yrs</c:v>
                </c:pt>
                <c:pt idx="11">
                  <c:v>80-84 yrs</c:v>
                </c:pt>
                <c:pt idx="12">
                  <c:v>85-89 yrs</c:v>
                </c:pt>
                <c:pt idx="13">
                  <c:v>90-94 yrs</c:v>
                </c:pt>
                <c:pt idx="14">
                  <c:v>95-99 yrs</c:v>
                </c:pt>
                <c:pt idx="15">
                  <c:v>NA    yrs</c:v>
                </c:pt>
              </c:strCache>
            </c:strRef>
          </c:cat>
          <c:val>
            <c:numRef>
              <c:f>Sheet3!$B$5:$B$21</c:f>
              <c:numCache>
                <c:formatCode>General</c:formatCode>
                <c:ptCount val="16"/>
                <c:pt idx="0">
                  <c:v>1</c:v>
                </c:pt>
                <c:pt idx="1">
                  <c:v>1</c:v>
                </c:pt>
                <c:pt idx="2">
                  <c:v>2</c:v>
                </c:pt>
                <c:pt idx="3">
                  <c:v>7</c:v>
                </c:pt>
                <c:pt idx="4">
                  <c:v>23</c:v>
                </c:pt>
                <c:pt idx="5">
                  <c:v>65</c:v>
                </c:pt>
                <c:pt idx="6">
                  <c:v>108</c:v>
                </c:pt>
                <c:pt idx="7">
                  <c:v>187</c:v>
                </c:pt>
                <c:pt idx="8">
                  <c:v>196</c:v>
                </c:pt>
                <c:pt idx="9">
                  <c:v>190</c:v>
                </c:pt>
                <c:pt idx="10">
                  <c:v>143</c:v>
                </c:pt>
                <c:pt idx="11">
                  <c:v>51</c:v>
                </c:pt>
                <c:pt idx="12">
                  <c:v>10</c:v>
                </c:pt>
                <c:pt idx="13">
                  <c:v>4</c:v>
                </c:pt>
              </c:numCache>
            </c:numRef>
          </c:val>
          <c:extLst>
            <c:ext xmlns:c16="http://schemas.microsoft.com/office/drawing/2014/chart" uri="{C3380CC4-5D6E-409C-BE32-E72D297353CC}">
              <c16:uniqueId val="{00000000-C56D-45A1-82D5-AAC057DD3202}"/>
            </c:ext>
          </c:extLst>
        </c:ser>
        <c:ser>
          <c:idx val="1"/>
          <c:order val="1"/>
          <c:tx>
            <c:strRef>
              <c:f>Sheet3!$C$3:$C$4</c:f>
              <c:strCache>
                <c:ptCount val="1"/>
                <c:pt idx="0">
                  <c:v>M</c:v>
                </c:pt>
              </c:strCache>
            </c:strRef>
          </c:tx>
          <c:spPr>
            <a:solidFill>
              <a:schemeClr val="accent2"/>
            </a:solidFill>
            <a:ln>
              <a:noFill/>
            </a:ln>
            <a:effectLst/>
          </c:spPr>
          <c:invertIfNegative val="0"/>
          <c:cat>
            <c:strRef>
              <c:f>Sheet3!$A$5:$A$21</c:f>
              <c:strCache>
                <c:ptCount val="16"/>
                <c:pt idx="0">
                  <c:v>25-29 yrs</c:v>
                </c:pt>
                <c:pt idx="1">
                  <c:v>30-34 yrs</c:v>
                </c:pt>
                <c:pt idx="2">
                  <c:v>35-39 yrs</c:v>
                </c:pt>
                <c:pt idx="3">
                  <c:v>40-44 yrs</c:v>
                </c:pt>
                <c:pt idx="4">
                  <c:v>45-49 yrs</c:v>
                </c:pt>
                <c:pt idx="5">
                  <c:v>50-54 yrs</c:v>
                </c:pt>
                <c:pt idx="6">
                  <c:v>55-59 yrs</c:v>
                </c:pt>
                <c:pt idx="7">
                  <c:v>60-64 yrs</c:v>
                </c:pt>
                <c:pt idx="8">
                  <c:v>65-69 yrs</c:v>
                </c:pt>
                <c:pt idx="9">
                  <c:v>70-74 yrs</c:v>
                </c:pt>
                <c:pt idx="10">
                  <c:v>75-79 yrs</c:v>
                </c:pt>
                <c:pt idx="11">
                  <c:v>80-84 yrs</c:v>
                </c:pt>
                <c:pt idx="12">
                  <c:v>85-89 yrs</c:v>
                </c:pt>
                <c:pt idx="13">
                  <c:v>90-94 yrs</c:v>
                </c:pt>
                <c:pt idx="14">
                  <c:v>95-99 yrs</c:v>
                </c:pt>
                <c:pt idx="15">
                  <c:v>NA    yrs</c:v>
                </c:pt>
              </c:strCache>
            </c:strRef>
          </c:cat>
          <c:val>
            <c:numRef>
              <c:f>Sheet3!$C$5:$C$21</c:f>
              <c:numCache>
                <c:formatCode>General</c:formatCode>
                <c:ptCount val="16"/>
                <c:pt idx="0">
                  <c:v>2</c:v>
                </c:pt>
                <c:pt idx="1">
                  <c:v>2</c:v>
                </c:pt>
                <c:pt idx="2">
                  <c:v>6</c:v>
                </c:pt>
                <c:pt idx="3">
                  <c:v>10</c:v>
                </c:pt>
                <c:pt idx="4">
                  <c:v>23</c:v>
                </c:pt>
                <c:pt idx="5">
                  <c:v>70</c:v>
                </c:pt>
                <c:pt idx="6">
                  <c:v>141</c:v>
                </c:pt>
                <c:pt idx="7">
                  <c:v>206</c:v>
                </c:pt>
                <c:pt idx="8">
                  <c:v>253</c:v>
                </c:pt>
                <c:pt idx="9">
                  <c:v>281</c:v>
                </c:pt>
                <c:pt idx="10">
                  <c:v>213</c:v>
                </c:pt>
                <c:pt idx="11">
                  <c:v>96</c:v>
                </c:pt>
                <c:pt idx="12">
                  <c:v>24</c:v>
                </c:pt>
                <c:pt idx="13">
                  <c:v>6</c:v>
                </c:pt>
                <c:pt idx="14">
                  <c:v>1</c:v>
                </c:pt>
              </c:numCache>
            </c:numRef>
          </c:val>
          <c:extLst>
            <c:ext xmlns:c16="http://schemas.microsoft.com/office/drawing/2014/chart" uri="{C3380CC4-5D6E-409C-BE32-E72D297353CC}">
              <c16:uniqueId val="{00000001-C56D-45A1-82D5-AAC057DD3202}"/>
            </c:ext>
          </c:extLst>
        </c:ser>
        <c:ser>
          <c:idx val="2"/>
          <c:order val="2"/>
          <c:tx>
            <c:strRef>
              <c:f>Sheet3!$D$3:$D$4</c:f>
              <c:strCache>
                <c:ptCount val="1"/>
                <c:pt idx="0">
                  <c:v>U</c:v>
                </c:pt>
              </c:strCache>
            </c:strRef>
          </c:tx>
          <c:spPr>
            <a:solidFill>
              <a:schemeClr val="accent3"/>
            </a:solidFill>
            <a:ln>
              <a:noFill/>
            </a:ln>
            <a:effectLst/>
          </c:spPr>
          <c:invertIfNegative val="0"/>
          <c:cat>
            <c:strRef>
              <c:f>Sheet3!$A$5:$A$21</c:f>
              <c:strCache>
                <c:ptCount val="16"/>
                <c:pt idx="0">
                  <c:v>25-29 yrs</c:v>
                </c:pt>
                <c:pt idx="1">
                  <c:v>30-34 yrs</c:v>
                </c:pt>
                <c:pt idx="2">
                  <c:v>35-39 yrs</c:v>
                </c:pt>
                <c:pt idx="3">
                  <c:v>40-44 yrs</c:v>
                </c:pt>
                <c:pt idx="4">
                  <c:v>45-49 yrs</c:v>
                </c:pt>
                <c:pt idx="5">
                  <c:v>50-54 yrs</c:v>
                </c:pt>
                <c:pt idx="6">
                  <c:v>55-59 yrs</c:v>
                </c:pt>
                <c:pt idx="7">
                  <c:v>60-64 yrs</c:v>
                </c:pt>
                <c:pt idx="8">
                  <c:v>65-69 yrs</c:v>
                </c:pt>
                <c:pt idx="9">
                  <c:v>70-74 yrs</c:v>
                </c:pt>
                <c:pt idx="10">
                  <c:v>75-79 yrs</c:v>
                </c:pt>
                <c:pt idx="11">
                  <c:v>80-84 yrs</c:v>
                </c:pt>
                <c:pt idx="12">
                  <c:v>85-89 yrs</c:v>
                </c:pt>
                <c:pt idx="13">
                  <c:v>90-94 yrs</c:v>
                </c:pt>
                <c:pt idx="14">
                  <c:v>95-99 yrs</c:v>
                </c:pt>
                <c:pt idx="15">
                  <c:v>NA    yrs</c:v>
                </c:pt>
              </c:strCache>
            </c:strRef>
          </c:cat>
          <c:val>
            <c:numRef>
              <c:f>Sheet3!$D$5:$D$21</c:f>
              <c:numCache>
                <c:formatCode>General</c:formatCode>
                <c:ptCount val="16"/>
                <c:pt idx="15">
                  <c:v>2</c:v>
                </c:pt>
              </c:numCache>
            </c:numRef>
          </c:val>
          <c:extLst>
            <c:ext xmlns:c16="http://schemas.microsoft.com/office/drawing/2014/chart" uri="{C3380CC4-5D6E-409C-BE32-E72D297353CC}">
              <c16:uniqueId val="{00000002-C56D-45A1-82D5-AAC057DD3202}"/>
            </c:ext>
          </c:extLst>
        </c:ser>
        <c:dLbls>
          <c:showLegendKey val="0"/>
          <c:showVal val="0"/>
          <c:showCatName val="0"/>
          <c:showSerName val="0"/>
          <c:showPercent val="0"/>
          <c:showBubbleSize val="0"/>
        </c:dLbls>
        <c:gapWidth val="219"/>
        <c:overlap val="-27"/>
        <c:axId val="732258160"/>
        <c:axId val="732258816"/>
      </c:barChart>
      <c:catAx>
        <c:axId val="732258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258816"/>
        <c:crosses val="autoZero"/>
        <c:auto val="1"/>
        <c:lblAlgn val="ctr"/>
        <c:lblOffset val="100"/>
        <c:noMultiLvlLbl val="0"/>
      </c:catAx>
      <c:valAx>
        <c:axId val="732258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2581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[REGIMEN_BY_QTR_SUMM.xlsx]Sheet1!PivotTable3</c:name>
    <c:fmtId val="-1"/>
  </c:pivotSource>
  <c:chart>
    <c:autoTitleDeleted val="0"/>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317891088856612"/>
          <c:y val="3.5858595800524931E-2"/>
          <c:w val="0.63949001520441007"/>
          <c:h val="0.80753215223097097"/>
        </c:manualLayout>
      </c:layout>
      <c:barChart>
        <c:barDir val="col"/>
        <c:grouping val="clustered"/>
        <c:varyColors val="0"/>
        <c:ser>
          <c:idx val="0"/>
          <c:order val="0"/>
          <c:tx>
            <c:strRef>
              <c:f>Sheet1!$B$1:$B$2</c:f>
              <c:strCache>
                <c:ptCount val="1"/>
                <c:pt idx="0">
                  <c:v>3 weekly treatment regimen</c:v>
                </c:pt>
              </c:strCache>
            </c:strRef>
          </c:tx>
          <c:spPr>
            <a:solidFill>
              <a:schemeClr val="accent2"/>
            </a:solidFill>
            <a:ln>
              <a:noFill/>
            </a:ln>
            <a:effectLst/>
          </c:spPr>
          <c:invertIfNegative val="0"/>
          <c:cat>
            <c:strRef>
              <c:f>Sheet1!$A$3:$A$12</c:f>
              <c:strCache>
                <c:ptCount val="9"/>
                <c:pt idx="0">
                  <c:v>2020Q1</c:v>
                </c:pt>
                <c:pt idx="1">
                  <c:v>2020Q2</c:v>
                </c:pt>
                <c:pt idx="2">
                  <c:v>2020Q3</c:v>
                </c:pt>
                <c:pt idx="3">
                  <c:v>2020Q4</c:v>
                </c:pt>
                <c:pt idx="4">
                  <c:v>2021Q1</c:v>
                </c:pt>
                <c:pt idx="5">
                  <c:v>2021Q2</c:v>
                </c:pt>
                <c:pt idx="6">
                  <c:v>2021Q3</c:v>
                </c:pt>
                <c:pt idx="7">
                  <c:v>2021Q4</c:v>
                </c:pt>
                <c:pt idx="8">
                  <c:v>2022Q1</c:v>
                </c:pt>
              </c:strCache>
            </c:strRef>
          </c:cat>
          <c:val>
            <c:numRef>
              <c:f>Sheet1!$B$3:$B$12</c:f>
              <c:numCache>
                <c:formatCode>General</c:formatCode>
                <c:ptCount val="9"/>
                <c:pt idx="0">
                  <c:v>87</c:v>
                </c:pt>
                <c:pt idx="1">
                  <c:v>165</c:v>
                </c:pt>
                <c:pt idx="2">
                  <c:v>214</c:v>
                </c:pt>
                <c:pt idx="3">
                  <c:v>236</c:v>
                </c:pt>
                <c:pt idx="4">
                  <c:v>253</c:v>
                </c:pt>
                <c:pt idx="5">
                  <c:v>268</c:v>
                </c:pt>
                <c:pt idx="6">
                  <c:v>278</c:v>
                </c:pt>
                <c:pt idx="7">
                  <c:v>318</c:v>
                </c:pt>
                <c:pt idx="8">
                  <c:v>311</c:v>
                </c:pt>
              </c:numCache>
            </c:numRef>
          </c:val>
          <c:extLst>
            <c:ext xmlns:c16="http://schemas.microsoft.com/office/drawing/2014/chart" uri="{C3380CC4-5D6E-409C-BE32-E72D297353CC}">
              <c16:uniqueId val="{00000000-5C8B-4313-9352-24E062BB4A1B}"/>
            </c:ext>
          </c:extLst>
        </c:ser>
        <c:ser>
          <c:idx val="1"/>
          <c:order val="1"/>
          <c:tx>
            <c:strRef>
              <c:f>Sheet1!$C$1:$C$2</c:f>
              <c:strCache>
                <c:ptCount val="1"/>
                <c:pt idx="0">
                  <c:v>4 weekly treatment regimen</c:v>
                </c:pt>
              </c:strCache>
            </c:strRef>
          </c:tx>
          <c:spPr>
            <a:solidFill>
              <a:schemeClr val="accent4"/>
            </a:solidFill>
            <a:ln>
              <a:noFill/>
            </a:ln>
            <a:effectLst/>
          </c:spPr>
          <c:invertIfNegative val="0"/>
          <c:cat>
            <c:strRef>
              <c:f>Sheet1!$A$3:$A$12</c:f>
              <c:strCache>
                <c:ptCount val="9"/>
                <c:pt idx="0">
                  <c:v>2020Q1</c:v>
                </c:pt>
                <c:pt idx="1">
                  <c:v>2020Q2</c:v>
                </c:pt>
                <c:pt idx="2">
                  <c:v>2020Q3</c:v>
                </c:pt>
                <c:pt idx="3">
                  <c:v>2020Q4</c:v>
                </c:pt>
                <c:pt idx="4">
                  <c:v>2021Q1</c:v>
                </c:pt>
                <c:pt idx="5">
                  <c:v>2021Q2</c:v>
                </c:pt>
                <c:pt idx="6">
                  <c:v>2021Q3</c:v>
                </c:pt>
                <c:pt idx="7">
                  <c:v>2021Q4</c:v>
                </c:pt>
                <c:pt idx="8">
                  <c:v>2022Q1</c:v>
                </c:pt>
              </c:strCache>
            </c:strRef>
          </c:cat>
          <c:val>
            <c:numRef>
              <c:f>Sheet1!$C$3:$C$12</c:f>
              <c:numCache>
                <c:formatCode>General</c:formatCode>
                <c:ptCount val="9"/>
                <c:pt idx="2">
                  <c:v>16</c:v>
                </c:pt>
                <c:pt idx="3">
                  <c:v>35</c:v>
                </c:pt>
                <c:pt idx="4">
                  <c:v>51</c:v>
                </c:pt>
                <c:pt idx="5">
                  <c:v>43</c:v>
                </c:pt>
                <c:pt idx="6">
                  <c:v>46</c:v>
                </c:pt>
                <c:pt idx="7">
                  <c:v>62</c:v>
                </c:pt>
                <c:pt idx="8">
                  <c:v>68</c:v>
                </c:pt>
              </c:numCache>
            </c:numRef>
          </c:val>
          <c:extLst>
            <c:ext xmlns:c16="http://schemas.microsoft.com/office/drawing/2014/chart" uri="{C3380CC4-5D6E-409C-BE32-E72D297353CC}">
              <c16:uniqueId val="{00000001-5C8B-4313-9352-24E062BB4A1B}"/>
            </c:ext>
          </c:extLst>
        </c:ser>
        <c:dLbls>
          <c:showLegendKey val="0"/>
          <c:showVal val="0"/>
          <c:showCatName val="0"/>
          <c:showSerName val="0"/>
          <c:showPercent val="0"/>
          <c:showBubbleSize val="0"/>
        </c:dLbls>
        <c:gapWidth val="219"/>
        <c:overlap val="-27"/>
        <c:axId val="650963984"/>
        <c:axId val="650970872"/>
      </c:barChart>
      <c:catAx>
        <c:axId val="650963984"/>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650970872"/>
        <c:crosses val="autoZero"/>
        <c:auto val="1"/>
        <c:lblAlgn val="ctr"/>
        <c:lblOffset val="100"/>
        <c:noMultiLvlLbl val="0"/>
      </c:catAx>
      <c:valAx>
        <c:axId val="650970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AU"/>
                  <a:t>Number of patients</a:t>
                </a:r>
              </a:p>
            </c:rich>
          </c:tx>
          <c:layout>
            <c:manualLayout>
              <c:xMode val="edge"/>
              <c:yMode val="edge"/>
              <c:x val="1.6665052790731254E-2"/>
              <c:y val="0.26995800524934382"/>
            </c:manualLayout>
          </c:layout>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650963984"/>
        <c:crosses val="autoZero"/>
        <c:crossBetween val="between"/>
      </c:valAx>
      <c:spPr>
        <a:noFill/>
        <a:ln>
          <a:noFill/>
        </a:ln>
        <a:effectLst/>
      </c:spPr>
    </c:plotArea>
    <c:legend>
      <c:legendPos val="r"/>
      <c:layout>
        <c:manualLayout>
          <c:xMode val="edge"/>
          <c:yMode val="edge"/>
          <c:x val="0.74757672281256105"/>
          <c:y val="0.41123687664041997"/>
          <c:w val="0.25009881864914163"/>
          <c:h val="0.1848494392746361"/>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20</Pages>
  <Words>4551</Words>
  <Characters>25943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30434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ATKINS, Kerry</cp:lastModifiedBy>
  <cp:revision>15</cp:revision>
  <cp:lastPrinted>2023-02-28T04:05:00Z</cp:lastPrinted>
  <dcterms:created xsi:type="dcterms:W3CDTF">2023-02-28T05:30:00Z</dcterms:created>
  <dcterms:modified xsi:type="dcterms:W3CDTF">2023-03-07T22:54:00Z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