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CA02D" w14:textId="77777777" w:rsidR="00832324" w:rsidRDefault="007D31EB" w:rsidP="00EF5D3B">
      <w:pPr>
        <w:pStyle w:val="Title"/>
      </w:pPr>
      <w:r>
        <w:t>Direct acting antiviral medicines for the treatment of chronic hepatitis C</w:t>
      </w:r>
    </w:p>
    <w:p w14:paraId="0969907A" w14:textId="77777777" w:rsidR="00736041" w:rsidRDefault="009053D3" w:rsidP="00EF5D3B">
      <w:pPr>
        <w:pStyle w:val="Title2"/>
      </w:pPr>
      <w:r>
        <w:t>D</w:t>
      </w:r>
      <w:r w:rsidR="00832324" w:rsidRPr="0063631C">
        <w:t xml:space="preserve">rug utilisation sub-committee </w:t>
      </w:r>
      <w:r w:rsidR="00832324">
        <w:t>(DUSC)</w:t>
      </w:r>
    </w:p>
    <w:p w14:paraId="31D85FA7" w14:textId="77777777" w:rsidR="009053D3" w:rsidRPr="00F73113" w:rsidRDefault="007D31EB" w:rsidP="00EF5D3B">
      <w:pPr>
        <w:pStyle w:val="Meetingdate"/>
      </w:pPr>
      <w:r>
        <w:t>September 2018</w:t>
      </w:r>
    </w:p>
    <w:p w14:paraId="54DA6082" w14:textId="77777777" w:rsidR="005C6661" w:rsidRPr="00CF5E22" w:rsidRDefault="005C6661" w:rsidP="00EF5D3B">
      <w:pPr>
        <w:pStyle w:val="Heading2"/>
      </w:pPr>
      <w:r w:rsidRPr="00CF5E22">
        <w:t>Abstract</w:t>
      </w:r>
    </w:p>
    <w:p w14:paraId="58B54912" w14:textId="77777777" w:rsidR="005C6661" w:rsidRPr="00CF5E22" w:rsidRDefault="005C6661" w:rsidP="00EF5D3B">
      <w:pPr>
        <w:pStyle w:val="Heading3"/>
      </w:pPr>
      <w:r w:rsidRPr="00CF5E22">
        <w:t>Purpose</w:t>
      </w:r>
    </w:p>
    <w:p w14:paraId="3DC11C51" w14:textId="69E5AEFE" w:rsidR="007D31EB" w:rsidRPr="00167CF3" w:rsidRDefault="007D31EB" w:rsidP="00EF5D3B">
      <w:r>
        <w:t>To review</w:t>
      </w:r>
      <w:bookmarkStart w:id="0" w:name="_GoBack"/>
      <w:bookmarkEnd w:id="0"/>
      <w:r>
        <w:t xml:space="preserve"> the utilisation of </w:t>
      </w:r>
      <w:r w:rsidR="00C82F5E">
        <w:t xml:space="preserve">new generation </w:t>
      </w:r>
      <w:r>
        <w:t>direct acting antiviral</w:t>
      </w:r>
      <w:r w:rsidR="00D6527B">
        <w:t xml:space="preserve"> (DAA)</w:t>
      </w:r>
      <w:r>
        <w:t xml:space="preserve"> medicines listed on the PBS for the treatment of </w:t>
      </w:r>
      <w:r>
        <w:rPr>
          <w:color w:val="000000"/>
        </w:rPr>
        <w:t>chronic hepatitis C</w:t>
      </w:r>
      <w:r>
        <w:t xml:space="preserve">. </w:t>
      </w:r>
    </w:p>
    <w:p w14:paraId="34683508" w14:textId="77777777" w:rsidR="002D144A" w:rsidRDefault="002D144A" w:rsidP="00EF5D3B">
      <w:pPr>
        <w:pStyle w:val="Heading3"/>
      </w:pPr>
      <w:r>
        <w:t>Date of listing on the P</w:t>
      </w:r>
      <w:r w:rsidR="00A95FA5">
        <w:t xml:space="preserve">harmaceutical </w:t>
      </w:r>
      <w:r>
        <w:t>B</w:t>
      </w:r>
      <w:r w:rsidR="00A95FA5">
        <w:t xml:space="preserve">enefits </w:t>
      </w:r>
      <w:r>
        <w:t>S</w:t>
      </w:r>
      <w:r w:rsidR="00A95FA5">
        <w:t>cheme (PBS)</w:t>
      </w:r>
    </w:p>
    <w:tbl>
      <w:tblPr>
        <w:tblStyle w:val="TableGrid"/>
        <w:tblW w:w="0" w:type="auto"/>
        <w:tblLook w:val="04A0" w:firstRow="1" w:lastRow="0" w:firstColumn="1" w:lastColumn="0" w:noHBand="0" w:noVBand="1"/>
        <w:tblDescription w:val="Summary of hepatitis C listings on the Pharmaceutical Benefits Scheme"/>
      </w:tblPr>
      <w:tblGrid>
        <w:gridCol w:w="6204"/>
        <w:gridCol w:w="1701"/>
      </w:tblGrid>
      <w:tr w:rsidR="007B5E4F" w:rsidRPr="00D8500E" w14:paraId="754C59C2" w14:textId="77777777" w:rsidTr="0099210C">
        <w:trPr>
          <w:tblHeader/>
        </w:trPr>
        <w:tc>
          <w:tcPr>
            <w:tcW w:w="6204" w:type="dxa"/>
            <w:shd w:val="clear" w:color="auto" w:fill="BFBFBF" w:themeFill="background1" w:themeFillShade="BF"/>
          </w:tcPr>
          <w:p w14:paraId="1CC73313" w14:textId="77777777" w:rsidR="007B5E4F" w:rsidRPr="00D8500E" w:rsidRDefault="007B5E4F" w:rsidP="00EF5D3B">
            <w:pPr>
              <w:jc w:val="center"/>
              <w:rPr>
                <w:b/>
                <w:sz w:val="20"/>
                <w:szCs w:val="20"/>
              </w:rPr>
            </w:pPr>
            <w:r w:rsidRPr="00D8500E">
              <w:rPr>
                <w:b/>
                <w:sz w:val="20"/>
                <w:szCs w:val="20"/>
              </w:rPr>
              <w:t>Drug name</w:t>
            </w:r>
          </w:p>
        </w:tc>
        <w:tc>
          <w:tcPr>
            <w:tcW w:w="1701" w:type="dxa"/>
            <w:shd w:val="clear" w:color="auto" w:fill="BFBFBF" w:themeFill="background1" w:themeFillShade="BF"/>
          </w:tcPr>
          <w:p w14:paraId="20FF181A" w14:textId="77777777" w:rsidR="007B5E4F" w:rsidRPr="00D8500E" w:rsidRDefault="007B5E4F" w:rsidP="00EF5D3B">
            <w:pPr>
              <w:jc w:val="center"/>
              <w:rPr>
                <w:b/>
                <w:sz w:val="20"/>
                <w:szCs w:val="20"/>
              </w:rPr>
            </w:pPr>
            <w:r w:rsidRPr="00D8500E">
              <w:rPr>
                <w:b/>
                <w:sz w:val="20"/>
                <w:szCs w:val="20"/>
              </w:rPr>
              <w:t>Listing date</w:t>
            </w:r>
          </w:p>
        </w:tc>
      </w:tr>
      <w:tr w:rsidR="007B5E4F" w:rsidRPr="0077079D" w14:paraId="07942824" w14:textId="77777777" w:rsidTr="007B5E4F">
        <w:tc>
          <w:tcPr>
            <w:tcW w:w="6204" w:type="dxa"/>
          </w:tcPr>
          <w:p w14:paraId="0D1C7026" w14:textId="77777777" w:rsidR="007B5E4F" w:rsidRPr="0077079D" w:rsidRDefault="007B5E4F" w:rsidP="00EF5D3B">
            <w:pPr>
              <w:rPr>
                <w:sz w:val="20"/>
                <w:szCs w:val="20"/>
              </w:rPr>
            </w:pPr>
            <w:r>
              <w:rPr>
                <w:sz w:val="20"/>
                <w:szCs w:val="20"/>
              </w:rPr>
              <w:t>Daclatasvir</w:t>
            </w:r>
          </w:p>
        </w:tc>
        <w:tc>
          <w:tcPr>
            <w:tcW w:w="1701" w:type="dxa"/>
          </w:tcPr>
          <w:p w14:paraId="17072146" w14:textId="77777777" w:rsidR="007B5E4F" w:rsidRPr="0077079D" w:rsidRDefault="007B5E4F" w:rsidP="00EF5D3B">
            <w:pPr>
              <w:jc w:val="center"/>
              <w:rPr>
                <w:sz w:val="20"/>
                <w:szCs w:val="20"/>
              </w:rPr>
            </w:pPr>
            <w:r>
              <w:rPr>
                <w:sz w:val="20"/>
                <w:szCs w:val="20"/>
              </w:rPr>
              <w:t>1 March 2016</w:t>
            </w:r>
          </w:p>
        </w:tc>
      </w:tr>
      <w:tr w:rsidR="007B5E4F" w:rsidRPr="0077079D" w14:paraId="78334184" w14:textId="77777777" w:rsidTr="007B5E4F">
        <w:tc>
          <w:tcPr>
            <w:tcW w:w="6204" w:type="dxa"/>
          </w:tcPr>
          <w:p w14:paraId="59D498E9" w14:textId="77777777" w:rsidR="007B5E4F" w:rsidRPr="007B5E4F" w:rsidRDefault="007B5E4F" w:rsidP="00EF5D3B">
            <w:pPr>
              <w:rPr>
                <w:sz w:val="20"/>
                <w:szCs w:val="20"/>
              </w:rPr>
            </w:pPr>
            <w:r w:rsidRPr="007B5E4F">
              <w:rPr>
                <w:sz w:val="20"/>
                <w:szCs w:val="20"/>
              </w:rPr>
              <w:t>Ledipasvir with sofosbuvir</w:t>
            </w:r>
          </w:p>
        </w:tc>
        <w:tc>
          <w:tcPr>
            <w:tcW w:w="1701" w:type="dxa"/>
          </w:tcPr>
          <w:p w14:paraId="4BFB0673" w14:textId="77777777" w:rsidR="007B5E4F" w:rsidRDefault="007B5E4F" w:rsidP="00EF5D3B">
            <w:pPr>
              <w:jc w:val="center"/>
              <w:rPr>
                <w:sz w:val="20"/>
                <w:szCs w:val="20"/>
              </w:rPr>
            </w:pPr>
            <w:r>
              <w:rPr>
                <w:sz w:val="20"/>
                <w:szCs w:val="20"/>
              </w:rPr>
              <w:t>1 March 2016</w:t>
            </w:r>
          </w:p>
        </w:tc>
      </w:tr>
      <w:tr w:rsidR="007B5E4F" w:rsidRPr="0077079D" w14:paraId="02E7F7C1" w14:textId="77777777" w:rsidTr="007B5E4F">
        <w:tc>
          <w:tcPr>
            <w:tcW w:w="6204" w:type="dxa"/>
          </w:tcPr>
          <w:p w14:paraId="616559B1" w14:textId="77777777" w:rsidR="007B5E4F" w:rsidRPr="007B5E4F" w:rsidRDefault="007B5E4F" w:rsidP="00EF5D3B">
            <w:pPr>
              <w:rPr>
                <w:sz w:val="20"/>
                <w:szCs w:val="20"/>
              </w:rPr>
            </w:pPr>
            <w:r w:rsidRPr="007B5E4F">
              <w:rPr>
                <w:sz w:val="20"/>
                <w:szCs w:val="20"/>
              </w:rPr>
              <w:t>Ribavirin</w:t>
            </w:r>
          </w:p>
        </w:tc>
        <w:tc>
          <w:tcPr>
            <w:tcW w:w="1701" w:type="dxa"/>
          </w:tcPr>
          <w:p w14:paraId="082EB525" w14:textId="77777777" w:rsidR="007B5E4F" w:rsidRDefault="007B5E4F" w:rsidP="00EF5D3B">
            <w:pPr>
              <w:jc w:val="center"/>
              <w:rPr>
                <w:sz w:val="20"/>
                <w:szCs w:val="20"/>
              </w:rPr>
            </w:pPr>
            <w:r>
              <w:rPr>
                <w:sz w:val="20"/>
                <w:szCs w:val="20"/>
              </w:rPr>
              <w:t>1 March 2016</w:t>
            </w:r>
          </w:p>
        </w:tc>
      </w:tr>
      <w:tr w:rsidR="007B5E4F" w:rsidRPr="0077079D" w14:paraId="2FD7C418" w14:textId="77777777" w:rsidTr="007B5E4F">
        <w:tc>
          <w:tcPr>
            <w:tcW w:w="6204" w:type="dxa"/>
          </w:tcPr>
          <w:p w14:paraId="18185A24" w14:textId="77777777" w:rsidR="007B5E4F" w:rsidRPr="007B5E4F" w:rsidRDefault="007B5E4F" w:rsidP="00EF5D3B">
            <w:pPr>
              <w:rPr>
                <w:sz w:val="20"/>
                <w:szCs w:val="20"/>
              </w:rPr>
            </w:pPr>
            <w:r w:rsidRPr="007B5E4F">
              <w:rPr>
                <w:sz w:val="20"/>
                <w:szCs w:val="20"/>
              </w:rPr>
              <w:t>Sofosbuvir</w:t>
            </w:r>
          </w:p>
        </w:tc>
        <w:tc>
          <w:tcPr>
            <w:tcW w:w="1701" w:type="dxa"/>
          </w:tcPr>
          <w:p w14:paraId="7946E54D" w14:textId="77777777" w:rsidR="007B5E4F" w:rsidRDefault="007B5E4F" w:rsidP="00EF5D3B">
            <w:pPr>
              <w:jc w:val="center"/>
              <w:rPr>
                <w:sz w:val="20"/>
                <w:szCs w:val="20"/>
              </w:rPr>
            </w:pPr>
            <w:r>
              <w:rPr>
                <w:sz w:val="20"/>
                <w:szCs w:val="20"/>
              </w:rPr>
              <w:t>1 March 2016</w:t>
            </w:r>
          </w:p>
        </w:tc>
      </w:tr>
      <w:tr w:rsidR="007B5E4F" w:rsidRPr="0077079D" w14:paraId="16BC2764" w14:textId="77777777" w:rsidTr="007B5E4F">
        <w:tc>
          <w:tcPr>
            <w:tcW w:w="6204" w:type="dxa"/>
          </w:tcPr>
          <w:p w14:paraId="038A8FC9" w14:textId="77777777" w:rsidR="007B5E4F" w:rsidRPr="0077079D" w:rsidRDefault="007B5E4F" w:rsidP="00EF5D3B">
            <w:pPr>
              <w:rPr>
                <w:sz w:val="20"/>
                <w:szCs w:val="20"/>
              </w:rPr>
            </w:pPr>
            <w:r w:rsidRPr="007B5E4F">
              <w:rPr>
                <w:sz w:val="20"/>
                <w:szCs w:val="20"/>
              </w:rPr>
              <w:t>Paritaprevir with ritonavir with ombitasvir and dasabuvir</w:t>
            </w:r>
          </w:p>
        </w:tc>
        <w:tc>
          <w:tcPr>
            <w:tcW w:w="1701" w:type="dxa"/>
          </w:tcPr>
          <w:p w14:paraId="75BAB4EF" w14:textId="77777777" w:rsidR="007B5E4F" w:rsidRPr="0077079D" w:rsidRDefault="007B5E4F" w:rsidP="00EF5D3B">
            <w:pPr>
              <w:jc w:val="center"/>
              <w:rPr>
                <w:sz w:val="20"/>
                <w:szCs w:val="20"/>
              </w:rPr>
            </w:pPr>
            <w:r>
              <w:rPr>
                <w:sz w:val="20"/>
                <w:szCs w:val="20"/>
              </w:rPr>
              <w:t>1 May 2016</w:t>
            </w:r>
          </w:p>
        </w:tc>
      </w:tr>
      <w:tr w:rsidR="007B5E4F" w:rsidRPr="0077079D" w14:paraId="701221B9" w14:textId="77777777" w:rsidTr="007B5E4F">
        <w:tc>
          <w:tcPr>
            <w:tcW w:w="6204" w:type="dxa"/>
          </w:tcPr>
          <w:p w14:paraId="4B3FF6D4" w14:textId="77777777" w:rsidR="007B5E4F" w:rsidRPr="0077079D" w:rsidRDefault="007B5E4F" w:rsidP="00EF5D3B">
            <w:pPr>
              <w:rPr>
                <w:sz w:val="20"/>
                <w:szCs w:val="20"/>
              </w:rPr>
            </w:pPr>
            <w:r w:rsidRPr="007B5E4F">
              <w:rPr>
                <w:sz w:val="20"/>
                <w:szCs w:val="20"/>
              </w:rPr>
              <w:t>Paritaprevir with ritonavir with ombitasvir and dasabuvir and ribavirin</w:t>
            </w:r>
          </w:p>
        </w:tc>
        <w:tc>
          <w:tcPr>
            <w:tcW w:w="1701" w:type="dxa"/>
          </w:tcPr>
          <w:p w14:paraId="6FECF223" w14:textId="77777777" w:rsidR="007B5E4F" w:rsidRPr="0077079D" w:rsidRDefault="007B5E4F" w:rsidP="00EF5D3B">
            <w:pPr>
              <w:jc w:val="center"/>
              <w:rPr>
                <w:sz w:val="20"/>
                <w:szCs w:val="20"/>
              </w:rPr>
            </w:pPr>
            <w:r>
              <w:rPr>
                <w:sz w:val="20"/>
                <w:szCs w:val="20"/>
              </w:rPr>
              <w:t>1 May 2016</w:t>
            </w:r>
          </w:p>
        </w:tc>
      </w:tr>
      <w:tr w:rsidR="007B5E4F" w:rsidRPr="0077079D" w14:paraId="25DBD67D" w14:textId="77777777" w:rsidTr="007B5E4F">
        <w:tc>
          <w:tcPr>
            <w:tcW w:w="6204" w:type="dxa"/>
          </w:tcPr>
          <w:p w14:paraId="02A49D8A" w14:textId="77777777" w:rsidR="007B5E4F" w:rsidRPr="0077079D" w:rsidRDefault="007B5E4F" w:rsidP="00EF5D3B">
            <w:pPr>
              <w:rPr>
                <w:sz w:val="20"/>
                <w:szCs w:val="20"/>
              </w:rPr>
            </w:pPr>
            <w:r w:rsidRPr="007B5E4F">
              <w:rPr>
                <w:sz w:val="20"/>
                <w:szCs w:val="20"/>
              </w:rPr>
              <w:t>Grazoprevir with elbasvir</w:t>
            </w:r>
          </w:p>
        </w:tc>
        <w:tc>
          <w:tcPr>
            <w:tcW w:w="1701" w:type="dxa"/>
          </w:tcPr>
          <w:p w14:paraId="003C56D5" w14:textId="77777777" w:rsidR="007B5E4F" w:rsidRPr="0077079D" w:rsidRDefault="007B5E4F" w:rsidP="00EF5D3B">
            <w:pPr>
              <w:jc w:val="center"/>
              <w:rPr>
                <w:sz w:val="20"/>
                <w:szCs w:val="20"/>
              </w:rPr>
            </w:pPr>
            <w:r>
              <w:rPr>
                <w:sz w:val="20"/>
                <w:szCs w:val="20"/>
              </w:rPr>
              <w:t>1 January 2017</w:t>
            </w:r>
          </w:p>
        </w:tc>
      </w:tr>
      <w:tr w:rsidR="007B5E4F" w:rsidRPr="0077079D" w14:paraId="426F7D81" w14:textId="77777777" w:rsidTr="007B5E4F">
        <w:tc>
          <w:tcPr>
            <w:tcW w:w="6204" w:type="dxa"/>
          </w:tcPr>
          <w:p w14:paraId="7DC05138" w14:textId="77777777" w:rsidR="007B5E4F" w:rsidRPr="0077079D" w:rsidRDefault="007B5E4F" w:rsidP="00EF5D3B">
            <w:pPr>
              <w:rPr>
                <w:sz w:val="20"/>
                <w:szCs w:val="20"/>
              </w:rPr>
            </w:pPr>
            <w:r w:rsidRPr="007B5E4F">
              <w:rPr>
                <w:sz w:val="20"/>
                <w:szCs w:val="20"/>
              </w:rPr>
              <w:t>Sofosbuvir with velpatasvir</w:t>
            </w:r>
          </w:p>
        </w:tc>
        <w:tc>
          <w:tcPr>
            <w:tcW w:w="1701" w:type="dxa"/>
          </w:tcPr>
          <w:p w14:paraId="55F8BCCA" w14:textId="77777777" w:rsidR="007B5E4F" w:rsidRPr="0077079D" w:rsidRDefault="007B5E4F" w:rsidP="00EF5D3B">
            <w:pPr>
              <w:jc w:val="center"/>
              <w:rPr>
                <w:sz w:val="20"/>
                <w:szCs w:val="20"/>
              </w:rPr>
            </w:pPr>
            <w:r>
              <w:rPr>
                <w:sz w:val="20"/>
                <w:szCs w:val="20"/>
              </w:rPr>
              <w:t>1 August 2017</w:t>
            </w:r>
          </w:p>
        </w:tc>
      </w:tr>
      <w:tr w:rsidR="00301F7F" w:rsidRPr="0077079D" w14:paraId="5ED64D30" w14:textId="77777777" w:rsidTr="007B5E4F">
        <w:tc>
          <w:tcPr>
            <w:tcW w:w="6204" w:type="dxa"/>
          </w:tcPr>
          <w:p w14:paraId="4A2E9BD3" w14:textId="77777777" w:rsidR="00301F7F" w:rsidRPr="007B5E4F" w:rsidRDefault="00301F7F" w:rsidP="00EF5D3B">
            <w:pPr>
              <w:rPr>
                <w:sz w:val="20"/>
                <w:szCs w:val="20"/>
              </w:rPr>
            </w:pPr>
            <w:r>
              <w:rPr>
                <w:sz w:val="20"/>
                <w:szCs w:val="20"/>
              </w:rPr>
              <w:t>G</w:t>
            </w:r>
            <w:r w:rsidRPr="00301F7F">
              <w:rPr>
                <w:sz w:val="20"/>
                <w:szCs w:val="20"/>
              </w:rPr>
              <w:t>lecaprevir with pibrentasvir</w:t>
            </w:r>
          </w:p>
        </w:tc>
        <w:tc>
          <w:tcPr>
            <w:tcW w:w="1701" w:type="dxa"/>
          </w:tcPr>
          <w:p w14:paraId="791CBEF2" w14:textId="77777777" w:rsidR="00301F7F" w:rsidRDefault="00301F7F" w:rsidP="00EF5D3B">
            <w:pPr>
              <w:jc w:val="center"/>
              <w:rPr>
                <w:sz w:val="20"/>
                <w:szCs w:val="20"/>
              </w:rPr>
            </w:pPr>
            <w:r>
              <w:rPr>
                <w:sz w:val="20"/>
                <w:szCs w:val="20"/>
              </w:rPr>
              <w:t>1 August 2018</w:t>
            </w:r>
          </w:p>
        </w:tc>
      </w:tr>
    </w:tbl>
    <w:p w14:paraId="5E5C0D44" w14:textId="77777777" w:rsidR="005C6661" w:rsidRDefault="005C6661" w:rsidP="00EF5D3B">
      <w:pPr>
        <w:pStyle w:val="Heading3"/>
      </w:pPr>
      <w:r>
        <w:t>Data Source</w:t>
      </w:r>
      <w:r w:rsidR="00AC7453">
        <w:t>s</w:t>
      </w:r>
    </w:p>
    <w:p w14:paraId="0C75D9F3" w14:textId="77777777" w:rsidR="004408C7" w:rsidRPr="00D42ADD" w:rsidRDefault="004408C7" w:rsidP="00EF5D3B">
      <w:pPr>
        <w:pStyle w:val="NoSpacing"/>
        <w:rPr>
          <w:rFonts w:cstheme="minorHAnsi"/>
          <w:color w:val="222222"/>
          <w:shd w:val="clear" w:color="auto" w:fill="FFFFFF"/>
        </w:rPr>
      </w:pPr>
      <w:r w:rsidRPr="00D42ADD">
        <w:rPr>
          <w:rFonts w:cstheme="minorHAnsi"/>
          <w:color w:val="222222"/>
          <w:shd w:val="clear" w:color="auto" w:fill="FFFFFF"/>
        </w:rPr>
        <w:t>Data to assess the utilisation of direct acting antiviral therapy was obtained from three sources:</w:t>
      </w:r>
    </w:p>
    <w:p w14:paraId="2036F680" w14:textId="77777777" w:rsidR="004408C7" w:rsidRPr="00D42ADD" w:rsidRDefault="00660E47" w:rsidP="00EF5D3B">
      <w:pPr>
        <w:pStyle w:val="NoSpacing"/>
        <w:numPr>
          <w:ilvl w:val="0"/>
          <w:numId w:val="14"/>
        </w:numPr>
        <w:rPr>
          <w:rFonts w:cstheme="minorHAnsi"/>
          <w:color w:val="222222"/>
          <w:shd w:val="clear" w:color="auto" w:fill="FFFFFF"/>
        </w:rPr>
      </w:pPr>
      <w:r>
        <w:rPr>
          <w:rFonts w:cstheme="minorHAnsi"/>
          <w:color w:val="222222"/>
          <w:shd w:val="clear" w:color="auto" w:fill="FFFFFF"/>
        </w:rPr>
        <w:t>P</w:t>
      </w:r>
      <w:r w:rsidR="004408C7" w:rsidRPr="00D42ADD">
        <w:rPr>
          <w:rFonts w:cstheme="minorHAnsi"/>
          <w:color w:val="222222"/>
          <w:shd w:val="clear" w:color="auto" w:fill="FFFFFF"/>
        </w:rPr>
        <w:t xml:space="preserve">rescription dispensing data from the Department of Human Services (DHS) prescription database. </w:t>
      </w:r>
    </w:p>
    <w:p w14:paraId="779B6151" w14:textId="77777777" w:rsidR="004408C7" w:rsidRPr="00D42ADD" w:rsidRDefault="004408C7" w:rsidP="00EF5D3B">
      <w:pPr>
        <w:pStyle w:val="NoSpacing"/>
        <w:numPr>
          <w:ilvl w:val="0"/>
          <w:numId w:val="14"/>
        </w:numPr>
        <w:rPr>
          <w:rFonts w:cstheme="minorHAnsi"/>
          <w:color w:val="222222"/>
          <w:shd w:val="clear" w:color="auto" w:fill="FFFFFF"/>
        </w:rPr>
      </w:pPr>
      <w:r w:rsidRPr="00D42ADD">
        <w:rPr>
          <w:rFonts w:cstheme="minorHAnsi"/>
          <w:color w:val="222222"/>
          <w:shd w:val="clear" w:color="auto" w:fill="FFFFFF"/>
        </w:rPr>
        <w:t>DHS Authorities data</w:t>
      </w:r>
      <w:r w:rsidR="00A63008">
        <w:rPr>
          <w:rFonts w:cstheme="minorHAnsi"/>
          <w:color w:val="222222"/>
          <w:shd w:val="clear" w:color="auto" w:fill="FFFFFF"/>
        </w:rPr>
        <w:t>, including information on hepatitis C virus genotype and the cirrhotic status of the patient</w:t>
      </w:r>
      <w:r w:rsidRPr="00D42ADD">
        <w:rPr>
          <w:rFonts w:cstheme="minorHAnsi"/>
          <w:color w:val="222222"/>
          <w:shd w:val="clear" w:color="auto" w:fill="FFFFFF"/>
        </w:rPr>
        <w:t>.</w:t>
      </w:r>
    </w:p>
    <w:p w14:paraId="1EF151F2" w14:textId="77777777" w:rsidR="004408C7" w:rsidRPr="00D42ADD" w:rsidRDefault="004408C7" w:rsidP="00EF5D3B">
      <w:pPr>
        <w:pStyle w:val="NoSpacing"/>
        <w:numPr>
          <w:ilvl w:val="0"/>
          <w:numId w:val="14"/>
        </w:numPr>
        <w:rPr>
          <w:rFonts w:cstheme="minorHAnsi"/>
        </w:rPr>
      </w:pPr>
      <w:r w:rsidRPr="00D42ADD">
        <w:rPr>
          <w:rFonts w:cstheme="minorHAnsi"/>
          <w:color w:val="222222"/>
          <w:shd w:val="clear" w:color="auto" w:fill="FFFFFF"/>
        </w:rPr>
        <w:t>Aboriginal Health Services data.</w:t>
      </w:r>
    </w:p>
    <w:p w14:paraId="2AE16B96" w14:textId="77777777" w:rsidR="005C6661" w:rsidRDefault="005C6661" w:rsidP="00EF5D3B">
      <w:pPr>
        <w:pStyle w:val="Heading3"/>
      </w:pPr>
      <w:r>
        <w:t>Key Findings</w:t>
      </w:r>
    </w:p>
    <w:p w14:paraId="24E91596" w14:textId="77777777" w:rsidR="00660E47" w:rsidRDefault="00511D9B" w:rsidP="00EF5D3B">
      <w:pPr>
        <w:pStyle w:val="ListParagraph"/>
        <w:numPr>
          <w:ilvl w:val="0"/>
          <w:numId w:val="15"/>
        </w:numPr>
      </w:pPr>
      <w:r>
        <w:t xml:space="preserve">Over the first two years of listing (1 March 2016 to 28 February 2018), a total of 56,356 patients were supplied a DAA medicine. </w:t>
      </w:r>
      <w:r w:rsidR="00660E47">
        <w:t xml:space="preserve">As at </w:t>
      </w:r>
      <w:r w:rsidR="007B4478">
        <w:t xml:space="preserve">30 April 2018, </w:t>
      </w:r>
      <w:r w:rsidR="00484DE1">
        <w:t xml:space="preserve">58,941 </w:t>
      </w:r>
      <w:r w:rsidR="00660E47">
        <w:t xml:space="preserve">patients </w:t>
      </w:r>
      <w:r w:rsidR="003A051B">
        <w:t>ha</w:t>
      </w:r>
      <w:r w:rsidR="007B4478">
        <w:t>d</w:t>
      </w:r>
      <w:r w:rsidR="003A051B">
        <w:t xml:space="preserve"> received a DAA medicine.</w:t>
      </w:r>
      <w:r w:rsidR="00E2188B">
        <w:t xml:space="preserve"> Th</w:t>
      </w:r>
      <w:r w:rsidR="00744419">
        <w:t xml:space="preserve">e number of patients treated </w:t>
      </w:r>
      <w:r w:rsidR="00E2188B">
        <w:t>was more than an</w:t>
      </w:r>
      <w:r w:rsidR="00BB63C5">
        <w:t>ticipated at the time when the DAA medicines were first listed</w:t>
      </w:r>
      <w:r w:rsidR="00E2188B">
        <w:t>.</w:t>
      </w:r>
    </w:p>
    <w:p w14:paraId="1CEDE8E5" w14:textId="77777777" w:rsidR="00511D9B" w:rsidRDefault="0069792F" w:rsidP="00EF5D3B">
      <w:pPr>
        <w:pStyle w:val="ListParagraph"/>
        <w:numPr>
          <w:ilvl w:val="0"/>
          <w:numId w:val="15"/>
        </w:numPr>
      </w:pPr>
      <w:r>
        <w:lastRenderedPageBreak/>
        <w:t>There was a high initial uptake</w:t>
      </w:r>
      <w:r w:rsidR="00DF7D0F">
        <w:t xml:space="preserve"> averaging 4,400 incident patients per month during the first four months of listing. </w:t>
      </w:r>
      <w:r w:rsidR="00DB6880">
        <w:t>By December 2017, the number of initiators to DAA therapy had stabilised to an average of around 1,280 patients per month.</w:t>
      </w:r>
    </w:p>
    <w:p w14:paraId="6E0C6504" w14:textId="48D8E61F" w:rsidR="007751CA" w:rsidRDefault="00DD30D2" w:rsidP="00EF5D3B">
      <w:pPr>
        <w:pStyle w:val="ListParagraph"/>
        <w:numPr>
          <w:ilvl w:val="0"/>
          <w:numId w:val="15"/>
        </w:numPr>
      </w:pPr>
      <w:r>
        <w:t xml:space="preserve">The majority of patients were dispensed the full number of </w:t>
      </w:r>
      <w:r w:rsidR="00A56F9C">
        <w:t xml:space="preserve">original and repeat </w:t>
      </w:r>
      <w:r>
        <w:t xml:space="preserve">prescriptions </w:t>
      </w:r>
      <w:r w:rsidR="00A56F9C">
        <w:t xml:space="preserve">for their allocated DAA regimen </w:t>
      </w:r>
      <w:r>
        <w:t>that the prescriber had applied for when seeking an Authority approval</w:t>
      </w:r>
      <w:r w:rsidR="00F635A1">
        <w:t xml:space="preserve">. Based on a </w:t>
      </w:r>
      <w:r w:rsidR="009A7BCB">
        <w:t>six-month</w:t>
      </w:r>
      <w:r w:rsidR="00F635A1">
        <w:t xml:space="preserve"> cohort of patients issued with an approved Authority between 1 January to 30 June 2017, 94.3 </w:t>
      </w:r>
      <w:r w:rsidR="00724AAF">
        <w:t>percent</w:t>
      </w:r>
      <w:r w:rsidR="00F635A1">
        <w:t xml:space="preserve"> were dispensed a full course of their approved DAA regimen.</w:t>
      </w:r>
      <w:r w:rsidR="00F774F4">
        <w:t xml:space="preserve"> </w:t>
      </w:r>
      <w:r w:rsidR="00392122">
        <w:t>While the majority of patients were supplied their full course of treatment, it cannot be determined from the PBS data whether the patient was fully compliant in taking all their prescribed medicine.</w:t>
      </w:r>
    </w:p>
    <w:p w14:paraId="6C8C43C2" w14:textId="3A763CF0" w:rsidR="006572C8" w:rsidRPr="006572C8" w:rsidRDefault="006572C8" w:rsidP="00EF5D3B">
      <w:pPr>
        <w:pStyle w:val="ListParagraph"/>
        <w:numPr>
          <w:ilvl w:val="0"/>
          <w:numId w:val="15"/>
        </w:numPr>
      </w:pPr>
      <w:r w:rsidRPr="006572C8">
        <w:t>Initially the most commonly prescribed DAA regimen was</w:t>
      </w:r>
      <w:r w:rsidR="0081765B">
        <w:t xml:space="preserve"> daclatasvir with sofosbuvir.</w:t>
      </w:r>
      <w:r w:rsidR="00704E0B">
        <w:t xml:space="preserve"> </w:t>
      </w:r>
      <w:r w:rsidR="004E1FE3">
        <w:t xml:space="preserve">As at April 2018, sofosbuvir with velpatasvir </w:t>
      </w:r>
      <w:r w:rsidR="009A7BCB">
        <w:t>wa</w:t>
      </w:r>
      <w:r w:rsidR="004E1FE3">
        <w:t xml:space="preserve">s the most </w:t>
      </w:r>
      <w:r w:rsidR="0081765B">
        <w:t>commonly prescribed regimen</w:t>
      </w:r>
      <w:r w:rsidR="004E1FE3">
        <w:t>.</w:t>
      </w:r>
    </w:p>
    <w:p w14:paraId="5C106CAD" w14:textId="77777777" w:rsidR="00D50401" w:rsidRDefault="006572C8" w:rsidP="00EF5D3B">
      <w:pPr>
        <w:pStyle w:val="ListParagraph"/>
        <w:numPr>
          <w:ilvl w:val="0"/>
          <w:numId w:val="15"/>
        </w:numPr>
      </w:pPr>
      <w:r>
        <w:t>D</w:t>
      </w:r>
      <w:r w:rsidR="00D50401">
        <w:t xml:space="preserve">uring the initial year of listing (March 2016 to February 2017), the DAA regimens were mostly prescribed by specialists (67.7 </w:t>
      </w:r>
      <w:r w:rsidR="00724AAF">
        <w:t>percent</w:t>
      </w:r>
      <w:r w:rsidR="00D50401">
        <w:t xml:space="preserve">). Over time, the </w:t>
      </w:r>
      <w:r w:rsidR="00D6527B">
        <w:t xml:space="preserve">number of general practitioners </w:t>
      </w:r>
      <w:r w:rsidR="00D50401">
        <w:t xml:space="preserve">prescribing DAA regimens had increased. During the first quarter of 2018, the highest proportion of prescribing was by general practitioners (57.0 </w:t>
      </w:r>
      <w:r w:rsidR="00724AAF">
        <w:t>percent</w:t>
      </w:r>
      <w:r w:rsidR="00D50401">
        <w:t>).</w:t>
      </w:r>
    </w:p>
    <w:p w14:paraId="7D2604C8" w14:textId="77777777" w:rsidR="00F635A1" w:rsidRDefault="00F635A1" w:rsidP="00EF5D3B"/>
    <w:p w14:paraId="369267FD" w14:textId="77777777" w:rsidR="00BB0D1A" w:rsidRDefault="00BB0D1A" w:rsidP="00EF5D3B">
      <w:pPr>
        <w:spacing w:line="276" w:lineRule="auto"/>
        <w:rPr>
          <w:rFonts w:eastAsiaTheme="majorEastAsia" w:cstheme="majorBidi"/>
          <w:b/>
          <w:bCs/>
          <w:sz w:val="32"/>
          <w:szCs w:val="26"/>
        </w:rPr>
      </w:pPr>
      <w:r>
        <w:br w:type="page"/>
      </w:r>
    </w:p>
    <w:p w14:paraId="29AC2E27" w14:textId="77777777" w:rsidR="00E677DD" w:rsidRPr="00CF5E22" w:rsidRDefault="00E677DD" w:rsidP="00EF5D3B">
      <w:pPr>
        <w:pStyle w:val="Heading1"/>
      </w:pPr>
      <w:r w:rsidRPr="00CF5E22">
        <w:t xml:space="preserve">Purpose of </w:t>
      </w:r>
      <w:r w:rsidR="00D151EB" w:rsidRPr="00CF5E22">
        <w:t>analysis</w:t>
      </w:r>
    </w:p>
    <w:p w14:paraId="4D734E75" w14:textId="77777777" w:rsidR="007D31EB" w:rsidRPr="00167CF3" w:rsidRDefault="007D31EB" w:rsidP="00EF5D3B">
      <w:pPr>
        <w:spacing w:after="0"/>
      </w:pPr>
      <w:r>
        <w:t xml:space="preserve">To review the utilisation of direct acting antiviral </w:t>
      </w:r>
      <w:r w:rsidR="00C137EC">
        <w:t xml:space="preserve">(DAA) </w:t>
      </w:r>
      <w:r>
        <w:t xml:space="preserve">medicines listed on the PBS for the treatment of </w:t>
      </w:r>
      <w:r>
        <w:rPr>
          <w:color w:val="000000"/>
        </w:rPr>
        <w:t>chronic hepatitis C</w:t>
      </w:r>
      <w:r>
        <w:t xml:space="preserve">. </w:t>
      </w:r>
    </w:p>
    <w:p w14:paraId="5B95B27F" w14:textId="77777777" w:rsidR="006537D9" w:rsidRPr="005E22C2" w:rsidRDefault="00736041" w:rsidP="00EF5D3B">
      <w:pPr>
        <w:pStyle w:val="Heading1"/>
        <w:spacing w:before="240"/>
      </w:pPr>
      <w:r w:rsidRPr="005E22C2">
        <w:t>Background</w:t>
      </w:r>
    </w:p>
    <w:p w14:paraId="18EDA3BB" w14:textId="77777777" w:rsidR="00EE2BBB" w:rsidRPr="007247B9" w:rsidRDefault="00EE2BBB" w:rsidP="00EF5D3B">
      <w:pPr>
        <w:pStyle w:val="Heading2"/>
      </w:pPr>
      <w:r w:rsidRPr="007247B9">
        <w:t>Clinical situation</w:t>
      </w:r>
    </w:p>
    <w:p w14:paraId="6FAEFE7E" w14:textId="50D9A984" w:rsidR="00E00298" w:rsidRDefault="00933396" w:rsidP="00EF5D3B">
      <w:r>
        <w:t>Hepatitis C is a type of liver inflammation caused by a virus</w:t>
      </w:r>
      <w:r w:rsidR="009A1473">
        <w:t>. C</w:t>
      </w:r>
      <w:r w:rsidR="008108FB" w:rsidRPr="008108FB">
        <w:t xml:space="preserve">hronic infection </w:t>
      </w:r>
      <w:r w:rsidR="009A1473">
        <w:t>with the virus</w:t>
      </w:r>
      <w:r>
        <w:t xml:space="preserve"> may lead to</w:t>
      </w:r>
      <w:r w:rsidR="008108FB" w:rsidRPr="008108FB">
        <w:t xml:space="preserve"> severe </w:t>
      </w:r>
      <w:r>
        <w:t xml:space="preserve">health </w:t>
      </w:r>
      <w:r w:rsidR="008108FB" w:rsidRPr="008108FB">
        <w:t xml:space="preserve">complications, including </w:t>
      </w:r>
      <w:r w:rsidR="0011135F">
        <w:t xml:space="preserve">irreversible scarring on the </w:t>
      </w:r>
      <w:r w:rsidR="008108FB" w:rsidRPr="008108FB">
        <w:t xml:space="preserve">liver </w:t>
      </w:r>
      <w:r w:rsidR="0011135F">
        <w:t>(</w:t>
      </w:r>
      <w:r w:rsidR="008108FB" w:rsidRPr="008108FB">
        <w:t>cirrhosis</w:t>
      </w:r>
      <w:r w:rsidR="0011135F">
        <w:t>)</w:t>
      </w:r>
      <w:r w:rsidR="008108FB" w:rsidRPr="008108FB">
        <w:t xml:space="preserve"> and cancer</w:t>
      </w:r>
      <w:r w:rsidR="00632B34">
        <w:t xml:space="preserve"> o</w:t>
      </w:r>
      <w:r w:rsidR="002706CB">
        <w:t xml:space="preserve">f the liver </w:t>
      </w:r>
      <w:sdt>
        <w:sdtPr>
          <w:id w:val="-2094840364"/>
          <w:citation/>
        </w:sdtPr>
        <w:sdtEndPr/>
        <w:sdtContent>
          <w:r w:rsidR="002706CB">
            <w:fldChar w:fldCharType="begin"/>
          </w:r>
          <w:r w:rsidR="00312984">
            <w:instrText xml:space="preserve">CITATION Kho16 \l 3081 </w:instrText>
          </w:r>
          <w:r w:rsidR="002706CB">
            <w:fldChar w:fldCharType="separate"/>
          </w:r>
          <w:r w:rsidR="00384DCC">
            <w:rPr>
              <w:noProof/>
            </w:rPr>
            <w:t>(Khoo, A. and Tse, E., 2016)</w:t>
          </w:r>
          <w:r w:rsidR="002706CB">
            <w:fldChar w:fldCharType="end"/>
          </w:r>
        </w:sdtContent>
      </w:sdt>
      <w:r w:rsidR="00632B34">
        <w:t>.</w:t>
      </w:r>
      <w:r w:rsidR="008108FB" w:rsidRPr="008108FB">
        <w:t xml:space="preserve"> </w:t>
      </w:r>
      <w:r w:rsidR="008108FB">
        <w:t>At the beginning of 2016 it was estimated that around 230,000 Australians were livin</w:t>
      </w:r>
      <w:r>
        <w:t>g with hepatitis C</w:t>
      </w:r>
      <w:r w:rsidR="002706CB">
        <w:t xml:space="preserve"> </w:t>
      </w:r>
      <w:sdt>
        <w:sdtPr>
          <w:id w:val="1212700054"/>
          <w:citation/>
        </w:sdtPr>
        <w:sdtEndPr/>
        <w:sdtContent>
          <w:r w:rsidR="002706CB">
            <w:fldChar w:fldCharType="begin"/>
          </w:r>
          <w:r w:rsidR="002706CB">
            <w:instrText xml:space="preserve">CITATION The16 \l 3081 </w:instrText>
          </w:r>
          <w:r w:rsidR="002706CB">
            <w:fldChar w:fldCharType="separate"/>
          </w:r>
          <w:r w:rsidR="00384DCC">
            <w:rPr>
              <w:noProof/>
            </w:rPr>
            <w:t>(The Kirby Institute, 2016)</w:t>
          </w:r>
          <w:r w:rsidR="002706CB">
            <w:fldChar w:fldCharType="end"/>
          </w:r>
        </w:sdtContent>
      </w:sdt>
      <w:r w:rsidR="00064823">
        <w:t xml:space="preserve">. </w:t>
      </w:r>
      <w:r w:rsidR="00407D87">
        <w:t>As at August 2018 i</w:t>
      </w:r>
      <w:r w:rsidR="0049109F">
        <w:t xml:space="preserve">t has been </w:t>
      </w:r>
      <w:r w:rsidR="00BD23EB">
        <w:t xml:space="preserve">estimated that there are around </w:t>
      </w:r>
      <w:r w:rsidR="00C80B0B">
        <w:t xml:space="preserve">170,000 people </w:t>
      </w:r>
      <w:r w:rsidR="00BD23EB">
        <w:t xml:space="preserve">who </w:t>
      </w:r>
      <w:r w:rsidR="00C80B0B">
        <w:t>are still living with chronic hepatitis C.</w:t>
      </w:r>
      <w:r w:rsidR="00BD23EB">
        <w:rPr>
          <w:rStyle w:val="FootnoteReference"/>
        </w:rPr>
        <w:footnoteReference w:id="1"/>
      </w:r>
    </w:p>
    <w:p w14:paraId="27662581" w14:textId="77777777" w:rsidR="00EE6704" w:rsidRDefault="00EE6704" w:rsidP="00EF5D3B">
      <w:r>
        <w:t>The aim of drug treatment is to achieve a virological response where the hepatitis C virus is not detected in the blood. When the virus remains undetectable for at least 12 weeks after completing drug treatment, it is considered that a sustained virologic response (SVR) has been achieved.</w:t>
      </w:r>
    </w:p>
    <w:p w14:paraId="14B997EA" w14:textId="7A9BECE4" w:rsidR="00755B95" w:rsidRDefault="00EE6704" w:rsidP="00EF5D3B">
      <w:r>
        <w:t xml:space="preserve">The availability of DAA medicines has had important implications for the treatment of hepatitis C. DAA therapy has a high efficacy in achieving </w:t>
      </w:r>
      <w:r w:rsidR="00AE35F0">
        <w:t>SVRs</w:t>
      </w:r>
      <w:r>
        <w:t xml:space="preserve"> </w:t>
      </w:r>
      <w:r w:rsidR="00C469AB">
        <w:t xml:space="preserve">with </w:t>
      </w:r>
      <w:r>
        <w:t>improved safety when compared to earlier therapy options</w:t>
      </w:r>
      <w:r w:rsidR="00724AAF">
        <w:t xml:space="preserve">. </w:t>
      </w:r>
      <w:r w:rsidR="009319A3">
        <w:t xml:space="preserve">The first drug regimen listed on the PBS to treat </w:t>
      </w:r>
      <w:r w:rsidR="00133423">
        <w:t>the hepatitis C virus (</w:t>
      </w:r>
      <w:r w:rsidR="009319A3">
        <w:t>HCV</w:t>
      </w:r>
      <w:r w:rsidR="00133423">
        <w:t>)</w:t>
      </w:r>
      <w:r w:rsidR="009319A3">
        <w:t xml:space="preserve"> was p</w:t>
      </w:r>
      <w:r>
        <w:t>egylated interferon plus ribavirin</w:t>
      </w:r>
      <w:r w:rsidR="009319A3">
        <w:t xml:space="preserve">. This regimen is associated with suboptimal SVR rates in genotype 1 patients (around 30 percent, </w:t>
      </w:r>
      <w:sdt>
        <w:sdtPr>
          <w:id w:val="-125398811"/>
          <w:citation/>
        </w:sdtPr>
        <w:sdtEndPr/>
        <w:sdtContent>
          <w:r w:rsidR="001C0725">
            <w:fldChar w:fldCharType="begin"/>
          </w:r>
          <w:r w:rsidR="00312984">
            <w:instrText xml:space="preserve">CITATION Her16 \l 3081 </w:instrText>
          </w:r>
          <w:r w:rsidR="001C0725">
            <w:fldChar w:fldCharType="separate"/>
          </w:r>
          <w:r w:rsidR="00384DCC">
            <w:rPr>
              <w:noProof/>
            </w:rPr>
            <w:t>(Herzer, K. and Gerken, G., 2016)</w:t>
          </w:r>
          <w:r w:rsidR="001C0725">
            <w:fldChar w:fldCharType="end"/>
          </w:r>
        </w:sdtContent>
      </w:sdt>
      <w:r w:rsidR="00A87133">
        <w:t xml:space="preserve"> and</w:t>
      </w:r>
      <w:r w:rsidR="009319A3">
        <w:t xml:space="preserve"> modest SVR rates for other genotypes 2 to 6, ranging from around 50</w:t>
      </w:r>
      <w:r w:rsidR="00AE35F0">
        <w:t> </w:t>
      </w:r>
      <w:r w:rsidR="009319A3">
        <w:t xml:space="preserve">percent to 78 percent </w:t>
      </w:r>
      <w:sdt>
        <w:sdtPr>
          <w:id w:val="-2013055588"/>
          <w:citation/>
        </w:sdtPr>
        <w:sdtEndPr/>
        <w:sdtContent>
          <w:r w:rsidR="00D25817">
            <w:fldChar w:fldCharType="begin"/>
          </w:r>
          <w:r w:rsidR="007567AB">
            <w:instrText xml:space="preserve">CITATION Pub \l 3081 </w:instrText>
          </w:r>
          <w:r w:rsidR="00D25817">
            <w:fldChar w:fldCharType="separate"/>
          </w:r>
          <w:r w:rsidR="00384DCC">
            <w:rPr>
              <w:noProof/>
            </w:rPr>
            <w:t>(Public Summary Document, sofosbuvir, March, 2015)</w:t>
          </w:r>
          <w:r w:rsidR="00D25817">
            <w:fldChar w:fldCharType="end"/>
          </w:r>
        </w:sdtContent>
      </w:sdt>
      <w:r w:rsidR="001C0725">
        <w:t>. The addition of the first generation DAA medicines, telaprevir and boceprevir, improved the effectiveness of pegylated interferon plus ribavirin therapy</w:t>
      </w:r>
      <w:r w:rsidR="00A87133">
        <w:t xml:space="preserve"> in treating genotype 1 patients with SVR rates between 55 to 75 percent </w:t>
      </w:r>
      <w:sdt>
        <w:sdtPr>
          <w:id w:val="-1842532404"/>
          <w:citation/>
        </w:sdtPr>
        <w:sdtEndPr/>
        <w:sdtContent>
          <w:r w:rsidR="00A87133">
            <w:fldChar w:fldCharType="begin"/>
          </w:r>
          <w:r w:rsidR="00A87133">
            <w:instrText xml:space="preserve"> CITATION Pub \l 3081 </w:instrText>
          </w:r>
          <w:r w:rsidR="00A87133">
            <w:fldChar w:fldCharType="separate"/>
          </w:r>
          <w:r w:rsidR="00384DCC">
            <w:rPr>
              <w:noProof/>
            </w:rPr>
            <w:t>(Public Summary Document, sofosbuvir, March, 2015)</w:t>
          </w:r>
          <w:r w:rsidR="00A87133">
            <w:fldChar w:fldCharType="end"/>
          </w:r>
        </w:sdtContent>
      </w:sdt>
      <w:r w:rsidR="00A87133">
        <w:t>.</w:t>
      </w:r>
      <w:r w:rsidR="001A177E">
        <w:t xml:space="preserve"> However</w:t>
      </w:r>
      <w:r w:rsidR="00AE35F0">
        <w:t>,</w:t>
      </w:r>
      <w:r w:rsidR="001A177E">
        <w:t xml:space="preserve"> these regimens were restricted to only treating genotype 1 patients and the high incidence of adverse events from the interferon component remained. </w:t>
      </w:r>
      <w:r w:rsidR="0060289E">
        <w:t>The new generation of DAA therapy is reported to achieve high real world SVR rates at 12 weeks (over 90 percent) across all genotypes and in individuals with cirrhosis and for people who had previously been treated</w:t>
      </w:r>
      <w:sdt>
        <w:sdtPr>
          <w:id w:val="1748312078"/>
          <w:citation/>
        </w:sdtPr>
        <w:sdtEndPr/>
        <w:sdtContent>
          <w:r w:rsidR="004E0117">
            <w:fldChar w:fldCharType="begin"/>
          </w:r>
          <w:r w:rsidR="004E0117">
            <w:instrText xml:space="preserve">CITATION The172 \l 3081 </w:instrText>
          </w:r>
          <w:r w:rsidR="004E0117">
            <w:fldChar w:fldCharType="separate"/>
          </w:r>
          <w:r w:rsidR="00384DCC">
            <w:rPr>
              <w:noProof/>
            </w:rPr>
            <w:t xml:space="preserve"> (The Kirby Institute, 2017c)</w:t>
          </w:r>
          <w:r w:rsidR="004E0117">
            <w:fldChar w:fldCharType="end"/>
          </w:r>
        </w:sdtContent>
      </w:sdt>
      <w:r w:rsidR="0060289E">
        <w:t>.</w:t>
      </w:r>
    </w:p>
    <w:p w14:paraId="2F059B84" w14:textId="77777777" w:rsidR="008B08DD" w:rsidRPr="00C7760D" w:rsidRDefault="00A52918" w:rsidP="00EF5D3B">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52BD094" w14:textId="77777777" w:rsidR="00A906C0" w:rsidRDefault="00C7760D" w:rsidP="00EF5D3B">
      <w:pPr>
        <w:sectPr w:rsidR="00A906C0" w:rsidSect="00051F26">
          <w:headerReference w:type="even" r:id="rId8"/>
          <w:headerReference w:type="default" r:id="rId9"/>
          <w:footerReference w:type="even" r:id="rId10"/>
          <w:footerReference w:type="default" r:id="rId11"/>
          <w:headerReference w:type="first" r:id="rId12"/>
          <w:footerReference w:type="first" r:id="rId13"/>
          <w:pgSz w:w="11906" w:h="16838"/>
          <w:pgMar w:top="1644" w:right="1361" w:bottom="1644" w:left="1588" w:header="709" w:footer="709" w:gutter="0"/>
          <w:cols w:space="708"/>
          <w:docGrid w:linePitch="360"/>
        </w:sectPr>
      </w:pPr>
      <w:r>
        <w:t>The registered indications for the DAA medicines are summarised in Table 1.</w:t>
      </w:r>
    </w:p>
    <w:p w14:paraId="7CED6506" w14:textId="77777777" w:rsidR="00A906C0" w:rsidRPr="00D50C1D" w:rsidRDefault="00653D77" w:rsidP="00D50C1D">
      <w:pPr>
        <w:rPr>
          <w:b/>
          <w:snapToGrid w:val="0"/>
        </w:rPr>
      </w:pPr>
      <w:r w:rsidRPr="00D50C1D">
        <w:rPr>
          <w:b/>
          <w:snapToGrid w:val="0"/>
        </w:rPr>
        <w:t>Table 1</w:t>
      </w:r>
      <w:r w:rsidR="00A906C0" w:rsidRPr="00D50C1D">
        <w:rPr>
          <w:b/>
          <w:snapToGrid w:val="0"/>
        </w:rPr>
        <w:t xml:space="preserve">: Summary of </w:t>
      </w:r>
      <w:r w:rsidR="00447AE2" w:rsidRPr="00D50C1D">
        <w:rPr>
          <w:b/>
          <w:snapToGrid w:val="0"/>
        </w:rPr>
        <w:t xml:space="preserve">registered </w:t>
      </w:r>
      <w:r w:rsidR="00A906C0" w:rsidRPr="00D50C1D">
        <w:rPr>
          <w:b/>
          <w:snapToGrid w:val="0"/>
        </w:rPr>
        <w:t>indications</w:t>
      </w:r>
      <w:r w:rsidR="00F12DAB" w:rsidRPr="00D50C1D">
        <w:rPr>
          <w:b/>
          <w:snapToGrid w:val="0"/>
        </w:rPr>
        <w:t>, mechanism of actions</w:t>
      </w:r>
      <w:r w:rsidR="00447AE2" w:rsidRPr="00D50C1D">
        <w:rPr>
          <w:b/>
          <w:snapToGrid w:val="0"/>
        </w:rPr>
        <w:t xml:space="preserve"> and eligibility criteria</w:t>
      </w:r>
      <w:r w:rsidR="00A906C0" w:rsidRPr="00D50C1D">
        <w:rPr>
          <w:b/>
          <w:snapToGrid w:val="0"/>
        </w:rPr>
        <w:t xml:space="preserve"> for PBS listed DAA regimens</w:t>
      </w:r>
      <w:r w:rsidR="00FB4594" w:rsidRPr="00D50C1D">
        <w:rPr>
          <w:b/>
          <w:snapToGrid w:val="0"/>
        </w:rPr>
        <w:t xml:space="preserve"> as at August</w:t>
      </w:r>
      <w:r w:rsidR="00F329B2" w:rsidRPr="00D50C1D">
        <w:rPr>
          <w:b/>
          <w:snapToGrid w:val="0"/>
        </w:rPr>
        <w:t xml:space="preserve"> 2018</w:t>
      </w:r>
    </w:p>
    <w:tbl>
      <w:tblPr>
        <w:tblStyle w:val="TableGrid"/>
        <w:tblW w:w="14170" w:type="dxa"/>
        <w:tblLayout w:type="fixed"/>
        <w:tblLook w:val="04A0" w:firstRow="1" w:lastRow="0" w:firstColumn="1" w:lastColumn="0" w:noHBand="0" w:noVBand="1"/>
        <w:tblCaption w:val="Table 1"/>
        <w:tblDescription w:val="Summary of registered indications for listings on the PBS for the treatment of hepatitis C."/>
      </w:tblPr>
      <w:tblGrid>
        <w:gridCol w:w="1271"/>
        <w:gridCol w:w="1276"/>
        <w:gridCol w:w="1276"/>
        <w:gridCol w:w="1134"/>
        <w:gridCol w:w="1275"/>
        <w:gridCol w:w="1418"/>
        <w:gridCol w:w="1417"/>
        <w:gridCol w:w="1418"/>
        <w:gridCol w:w="1559"/>
        <w:gridCol w:w="2126"/>
      </w:tblGrid>
      <w:tr w:rsidR="00C73D31" w:rsidRPr="006C2D4E" w14:paraId="3864703A" w14:textId="77777777" w:rsidTr="009463B7">
        <w:trPr>
          <w:trHeight w:val="913"/>
          <w:tblHeader/>
        </w:trPr>
        <w:tc>
          <w:tcPr>
            <w:tcW w:w="1271" w:type="dxa"/>
            <w:tcBorders>
              <w:top w:val="single" w:sz="4" w:space="0" w:color="auto"/>
              <w:left w:val="single" w:sz="4" w:space="0" w:color="auto"/>
            </w:tcBorders>
            <w:shd w:val="clear" w:color="auto" w:fill="BFBFBF" w:themeFill="background1" w:themeFillShade="BF"/>
          </w:tcPr>
          <w:p w14:paraId="3A499E47" w14:textId="77777777" w:rsidR="00C73D31" w:rsidRPr="006C2D4E" w:rsidRDefault="00C73D31" w:rsidP="00DD148D">
            <w:pPr>
              <w:rPr>
                <w:rStyle w:val="TableBold"/>
                <w:rFonts w:cstheme="minorHAnsi"/>
                <w:color w:val="000000" w:themeColor="text1"/>
                <w:sz w:val="18"/>
                <w:szCs w:val="18"/>
              </w:rPr>
            </w:pPr>
          </w:p>
        </w:tc>
        <w:tc>
          <w:tcPr>
            <w:tcW w:w="1276" w:type="dxa"/>
            <w:tcBorders>
              <w:top w:val="single" w:sz="4" w:space="0" w:color="auto"/>
            </w:tcBorders>
            <w:shd w:val="clear" w:color="auto" w:fill="BFBFBF" w:themeFill="background1" w:themeFillShade="BF"/>
          </w:tcPr>
          <w:p w14:paraId="3549D074"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Sofosbuvir</w:t>
            </w:r>
          </w:p>
          <w:p w14:paraId="6BCEB0A1"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with </w:t>
            </w:r>
          </w:p>
          <w:p w14:paraId="735AFD0E"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RBV </w:t>
            </w:r>
          </w:p>
          <w:p w14:paraId="04AB09EF" w14:textId="77777777" w:rsidR="00C73D31" w:rsidRPr="006C2D4E" w:rsidRDefault="00C73D31" w:rsidP="00DD148D">
            <w:pPr>
              <w:jc w:val="center"/>
              <w:rPr>
                <w:rStyle w:val="TableBold"/>
                <w:rFonts w:cstheme="minorHAnsi"/>
                <w:color w:val="000000" w:themeColor="text1"/>
                <w:sz w:val="18"/>
                <w:szCs w:val="18"/>
              </w:rPr>
            </w:pPr>
          </w:p>
        </w:tc>
        <w:tc>
          <w:tcPr>
            <w:tcW w:w="1276" w:type="dxa"/>
            <w:tcBorders>
              <w:top w:val="single" w:sz="4" w:space="0" w:color="auto"/>
            </w:tcBorders>
            <w:shd w:val="clear" w:color="auto" w:fill="BFBFBF" w:themeFill="background1" w:themeFillShade="BF"/>
          </w:tcPr>
          <w:p w14:paraId="30A8D571"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Sofosbuvir with PEG</w:t>
            </w:r>
          </w:p>
          <w:p w14:paraId="58110BB1"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with </w:t>
            </w:r>
          </w:p>
          <w:p w14:paraId="20FA759F"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RBV </w:t>
            </w:r>
          </w:p>
          <w:p w14:paraId="437F12F4" w14:textId="77777777" w:rsidR="00C73D31" w:rsidRPr="006C2D4E" w:rsidRDefault="00C73D31" w:rsidP="00DD148D">
            <w:pPr>
              <w:jc w:val="center"/>
              <w:rPr>
                <w:rStyle w:val="TableBold"/>
                <w:rFonts w:cstheme="minorHAnsi"/>
                <w:color w:val="000000" w:themeColor="text1"/>
                <w:sz w:val="18"/>
                <w:szCs w:val="18"/>
              </w:rPr>
            </w:pPr>
          </w:p>
        </w:tc>
        <w:tc>
          <w:tcPr>
            <w:tcW w:w="1134" w:type="dxa"/>
            <w:tcBorders>
              <w:top w:val="single" w:sz="4" w:space="0" w:color="auto"/>
            </w:tcBorders>
            <w:shd w:val="clear" w:color="auto" w:fill="BFBFBF" w:themeFill="background1" w:themeFillShade="BF"/>
          </w:tcPr>
          <w:p w14:paraId="7D06EB56"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Ledipasvir with sofosbuvir</w:t>
            </w:r>
          </w:p>
        </w:tc>
        <w:tc>
          <w:tcPr>
            <w:tcW w:w="1275" w:type="dxa"/>
            <w:tcBorders>
              <w:top w:val="single" w:sz="4" w:space="0" w:color="auto"/>
            </w:tcBorders>
            <w:shd w:val="clear" w:color="auto" w:fill="BFBFBF" w:themeFill="background1" w:themeFillShade="BF"/>
          </w:tcPr>
          <w:p w14:paraId="0D7F3423"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Daclatasvir</w:t>
            </w:r>
          </w:p>
          <w:p w14:paraId="63FFD9C9"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with</w:t>
            </w:r>
          </w:p>
          <w:p w14:paraId="6952E143"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sofosbuvir</w:t>
            </w:r>
          </w:p>
          <w:p w14:paraId="2B98C11A" w14:textId="77777777" w:rsidR="00C73D31" w:rsidRPr="006C2D4E" w:rsidRDefault="00C73D31" w:rsidP="00DD148D">
            <w:pPr>
              <w:jc w:val="center"/>
              <w:rPr>
                <w:rStyle w:val="TableBold"/>
                <w:rFonts w:cstheme="minorHAnsi"/>
                <w:color w:val="000000" w:themeColor="text1"/>
                <w:sz w:val="18"/>
                <w:szCs w:val="18"/>
              </w:rPr>
            </w:pPr>
          </w:p>
        </w:tc>
        <w:tc>
          <w:tcPr>
            <w:tcW w:w="1418" w:type="dxa"/>
            <w:tcBorders>
              <w:top w:val="single" w:sz="4" w:space="0" w:color="auto"/>
            </w:tcBorders>
            <w:shd w:val="clear" w:color="auto" w:fill="BFBFBF" w:themeFill="background1" w:themeFillShade="BF"/>
          </w:tcPr>
          <w:p w14:paraId="1E34BC4B"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Paritaprevir with ritonavir with ombitasvir and dasbuvir±RBV</w:t>
            </w:r>
          </w:p>
        </w:tc>
        <w:tc>
          <w:tcPr>
            <w:tcW w:w="1417" w:type="dxa"/>
            <w:tcBorders>
              <w:top w:val="single" w:sz="4" w:space="0" w:color="auto"/>
            </w:tcBorders>
            <w:shd w:val="clear" w:color="auto" w:fill="BFBFBF" w:themeFill="background1" w:themeFillShade="BF"/>
          </w:tcPr>
          <w:p w14:paraId="68284569"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Ribavirin</w:t>
            </w:r>
          </w:p>
        </w:tc>
        <w:tc>
          <w:tcPr>
            <w:tcW w:w="1418" w:type="dxa"/>
            <w:tcBorders>
              <w:top w:val="single" w:sz="4" w:space="0" w:color="auto"/>
            </w:tcBorders>
            <w:shd w:val="clear" w:color="auto" w:fill="BFBFBF" w:themeFill="background1" w:themeFillShade="BF"/>
          </w:tcPr>
          <w:p w14:paraId="6BFBC7E0"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Grazoprevir with elbasvir±RBV</w:t>
            </w:r>
          </w:p>
        </w:tc>
        <w:tc>
          <w:tcPr>
            <w:tcW w:w="1559" w:type="dxa"/>
            <w:tcBorders>
              <w:top w:val="single" w:sz="4" w:space="0" w:color="auto"/>
            </w:tcBorders>
            <w:shd w:val="clear" w:color="auto" w:fill="BFBFBF" w:themeFill="background1" w:themeFillShade="BF"/>
          </w:tcPr>
          <w:p w14:paraId="352FCA72"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Sofosbuvir </w:t>
            </w:r>
          </w:p>
          <w:p w14:paraId="05764AD0"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with </w:t>
            </w:r>
          </w:p>
          <w:p w14:paraId="2620C769"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velpatasvir</w:t>
            </w:r>
          </w:p>
        </w:tc>
        <w:tc>
          <w:tcPr>
            <w:tcW w:w="2126" w:type="dxa"/>
            <w:tcBorders>
              <w:top w:val="single" w:sz="4" w:space="0" w:color="auto"/>
            </w:tcBorders>
            <w:shd w:val="clear" w:color="auto" w:fill="BFBFBF" w:themeFill="background1" w:themeFillShade="BF"/>
          </w:tcPr>
          <w:p w14:paraId="528EC350"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Glecaprevir </w:t>
            </w:r>
          </w:p>
          <w:p w14:paraId="49E7A86E"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 xml:space="preserve">with </w:t>
            </w:r>
          </w:p>
          <w:p w14:paraId="57357208" w14:textId="77777777" w:rsidR="00C73D31" w:rsidRPr="006C2D4E" w:rsidRDefault="00C73D31" w:rsidP="00DD148D">
            <w:pPr>
              <w:jc w:val="center"/>
              <w:rPr>
                <w:rStyle w:val="TableBold"/>
                <w:rFonts w:cstheme="minorHAnsi"/>
                <w:color w:val="000000" w:themeColor="text1"/>
                <w:sz w:val="18"/>
                <w:szCs w:val="18"/>
              </w:rPr>
            </w:pPr>
            <w:r w:rsidRPr="006C2D4E">
              <w:rPr>
                <w:rStyle w:val="TableBold"/>
                <w:rFonts w:cstheme="minorHAnsi"/>
                <w:color w:val="000000" w:themeColor="text1"/>
                <w:sz w:val="18"/>
                <w:szCs w:val="18"/>
              </w:rPr>
              <w:t>pibrentasvir</w:t>
            </w:r>
          </w:p>
        </w:tc>
      </w:tr>
      <w:tr w:rsidR="00C73D31" w:rsidRPr="006C2D4E" w14:paraId="09AEA2DE" w14:textId="77777777" w:rsidTr="009463B7">
        <w:trPr>
          <w:trHeight w:val="225"/>
        </w:trPr>
        <w:tc>
          <w:tcPr>
            <w:tcW w:w="1271" w:type="dxa"/>
          </w:tcPr>
          <w:p w14:paraId="00323A50" w14:textId="77777777" w:rsidR="00C73D31" w:rsidRPr="006C2D4E" w:rsidRDefault="00C73D31" w:rsidP="00DD148D">
            <w:pPr>
              <w:rPr>
                <w:rStyle w:val="TableText"/>
                <w:rFonts w:cstheme="minorHAnsi"/>
                <w:b/>
                <w:color w:val="000000" w:themeColor="text1"/>
                <w:sz w:val="18"/>
                <w:szCs w:val="18"/>
                <w:vertAlign w:val="superscript"/>
              </w:rPr>
            </w:pPr>
            <w:r w:rsidRPr="006C2D4E">
              <w:rPr>
                <w:rStyle w:val="TableText"/>
                <w:rFonts w:cstheme="minorHAnsi"/>
                <w:b/>
                <w:color w:val="000000" w:themeColor="text1"/>
                <w:sz w:val="18"/>
                <w:szCs w:val="18"/>
              </w:rPr>
              <w:t>ARTG start date</w:t>
            </w:r>
            <w:r w:rsidRPr="006C2D4E">
              <w:rPr>
                <w:rStyle w:val="TableText"/>
                <w:rFonts w:cstheme="minorHAnsi"/>
                <w:b/>
                <w:color w:val="000000" w:themeColor="text1"/>
                <w:sz w:val="18"/>
                <w:szCs w:val="18"/>
                <w:vertAlign w:val="superscript"/>
              </w:rPr>
              <w:t>1</w:t>
            </w:r>
          </w:p>
        </w:tc>
        <w:tc>
          <w:tcPr>
            <w:tcW w:w="1276" w:type="dxa"/>
          </w:tcPr>
          <w:p w14:paraId="21F3CF5A"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30/06/2014</w:t>
            </w:r>
          </w:p>
        </w:tc>
        <w:tc>
          <w:tcPr>
            <w:tcW w:w="1276" w:type="dxa"/>
          </w:tcPr>
          <w:p w14:paraId="216683B2"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30/06/2014</w:t>
            </w:r>
          </w:p>
        </w:tc>
        <w:tc>
          <w:tcPr>
            <w:tcW w:w="1134" w:type="dxa"/>
          </w:tcPr>
          <w:p w14:paraId="74D6F6EA"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13/05/2015</w:t>
            </w:r>
          </w:p>
        </w:tc>
        <w:tc>
          <w:tcPr>
            <w:tcW w:w="1275" w:type="dxa"/>
          </w:tcPr>
          <w:p w14:paraId="75CB5223"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25/06/2015</w:t>
            </w:r>
          </w:p>
        </w:tc>
        <w:tc>
          <w:tcPr>
            <w:tcW w:w="1418" w:type="dxa"/>
          </w:tcPr>
          <w:p w14:paraId="141AEE8C"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10/07/2015</w:t>
            </w:r>
          </w:p>
        </w:tc>
        <w:tc>
          <w:tcPr>
            <w:tcW w:w="1417" w:type="dxa"/>
          </w:tcPr>
          <w:p w14:paraId="683E1EA3"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15/03/2016</w:t>
            </w:r>
          </w:p>
        </w:tc>
        <w:tc>
          <w:tcPr>
            <w:tcW w:w="1418" w:type="dxa"/>
          </w:tcPr>
          <w:p w14:paraId="322A52BE"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29/08/2016</w:t>
            </w:r>
          </w:p>
        </w:tc>
        <w:tc>
          <w:tcPr>
            <w:tcW w:w="1559" w:type="dxa"/>
          </w:tcPr>
          <w:p w14:paraId="1CB522B6"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19/12/2016</w:t>
            </w:r>
          </w:p>
        </w:tc>
        <w:tc>
          <w:tcPr>
            <w:tcW w:w="2126" w:type="dxa"/>
          </w:tcPr>
          <w:p w14:paraId="6C0151DE" w14:textId="77777777" w:rsidR="00C73D31" w:rsidRPr="006C2D4E" w:rsidRDefault="00C73D31" w:rsidP="00DD148D">
            <w:pPr>
              <w:jc w:val="center"/>
              <w:rPr>
                <w:rFonts w:cstheme="minorHAnsi"/>
                <w:color w:val="000000" w:themeColor="text1"/>
                <w:sz w:val="18"/>
                <w:szCs w:val="18"/>
              </w:rPr>
            </w:pPr>
            <w:r w:rsidRPr="006C2D4E">
              <w:rPr>
                <w:rFonts w:cstheme="minorHAnsi"/>
                <w:color w:val="000000" w:themeColor="text1"/>
                <w:sz w:val="18"/>
                <w:szCs w:val="18"/>
              </w:rPr>
              <w:t>02/01/2018</w:t>
            </w:r>
          </w:p>
        </w:tc>
      </w:tr>
      <w:tr w:rsidR="00C73D31" w:rsidRPr="006C2D4E" w14:paraId="117DE76A" w14:textId="77777777" w:rsidTr="009463B7">
        <w:trPr>
          <w:trHeight w:val="1826"/>
        </w:trPr>
        <w:tc>
          <w:tcPr>
            <w:tcW w:w="1271" w:type="dxa"/>
          </w:tcPr>
          <w:p w14:paraId="0BAAE3D0" w14:textId="77777777" w:rsidR="00C73D31" w:rsidRPr="006C2D4E" w:rsidRDefault="00C73D31" w:rsidP="00DD148D">
            <w:pPr>
              <w:rPr>
                <w:rStyle w:val="TableText"/>
                <w:rFonts w:cstheme="minorHAnsi"/>
                <w:b/>
                <w:color w:val="000000" w:themeColor="text1"/>
                <w:sz w:val="18"/>
                <w:szCs w:val="18"/>
                <w:vertAlign w:val="superscript"/>
              </w:rPr>
            </w:pPr>
            <w:r w:rsidRPr="006C2D4E">
              <w:rPr>
                <w:rStyle w:val="TableText"/>
                <w:rFonts w:cstheme="minorHAnsi"/>
                <w:b/>
                <w:color w:val="000000" w:themeColor="text1"/>
                <w:sz w:val="18"/>
                <w:szCs w:val="18"/>
              </w:rPr>
              <w:t>Registered indication</w:t>
            </w:r>
            <w:r w:rsidRPr="006C2D4E">
              <w:rPr>
                <w:rStyle w:val="TableText"/>
                <w:rFonts w:cstheme="minorHAnsi"/>
                <w:b/>
                <w:color w:val="000000" w:themeColor="text1"/>
                <w:sz w:val="18"/>
                <w:szCs w:val="18"/>
                <w:vertAlign w:val="superscript"/>
              </w:rPr>
              <w:t>1</w:t>
            </w:r>
          </w:p>
        </w:tc>
        <w:tc>
          <w:tcPr>
            <w:tcW w:w="1276" w:type="dxa"/>
          </w:tcPr>
          <w:p w14:paraId="35F248C7"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adults with chronic hepatitis C (CHC) infection as a component of a combination antiviral treatment regimen.</w:t>
            </w:r>
          </w:p>
        </w:tc>
        <w:tc>
          <w:tcPr>
            <w:tcW w:w="1276" w:type="dxa"/>
          </w:tcPr>
          <w:p w14:paraId="2ADEC632"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adults with chronic hepatitis C (CHC) infection as a component of a combination antiviral treatment regimen.</w:t>
            </w:r>
          </w:p>
        </w:tc>
        <w:tc>
          <w:tcPr>
            <w:tcW w:w="1134" w:type="dxa"/>
          </w:tcPr>
          <w:p w14:paraId="3F664614"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chronic hepatitis C (CHC) infection in adults.</w:t>
            </w:r>
          </w:p>
        </w:tc>
        <w:tc>
          <w:tcPr>
            <w:tcW w:w="1275" w:type="dxa"/>
          </w:tcPr>
          <w:p w14:paraId="519B45E8"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Use in combination with other medicinal products for the treatment of chronic hepatitis C virus (HCV) infection in adults.</w:t>
            </w:r>
          </w:p>
        </w:tc>
        <w:tc>
          <w:tcPr>
            <w:tcW w:w="1418" w:type="dxa"/>
          </w:tcPr>
          <w:p w14:paraId="4CD5AA8D"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genotype 1 chronic hepatitis C infection, including patients with compensated cirrhosis.</w:t>
            </w:r>
          </w:p>
        </w:tc>
        <w:tc>
          <w:tcPr>
            <w:tcW w:w="1417" w:type="dxa"/>
          </w:tcPr>
          <w:p w14:paraId="3BFCB1D3"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Use in combination with other oral agents for the treatment of chronic hepatitis C (CHC) in adults.</w:t>
            </w:r>
          </w:p>
        </w:tc>
        <w:tc>
          <w:tcPr>
            <w:tcW w:w="1418" w:type="dxa"/>
          </w:tcPr>
          <w:p w14:paraId="683EB3E2"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Chronic Hepatitis C genotype 1 or 4 infection in adults.</w:t>
            </w:r>
          </w:p>
        </w:tc>
        <w:tc>
          <w:tcPr>
            <w:tcW w:w="1559" w:type="dxa"/>
          </w:tcPr>
          <w:p w14:paraId="4887C2D6"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chronic hepatitis C virus (HCV) infection (genotype 1, 2, 3, 4, 5 or 6) in adults.</w:t>
            </w:r>
          </w:p>
        </w:tc>
        <w:tc>
          <w:tcPr>
            <w:tcW w:w="2126" w:type="dxa"/>
          </w:tcPr>
          <w:p w14:paraId="1B4A6E80" w14:textId="77777777" w:rsidR="00C73D31" w:rsidRPr="006C2D4E" w:rsidRDefault="00C73D31" w:rsidP="00DD148D">
            <w:pPr>
              <w:rPr>
                <w:rFonts w:cstheme="minorHAnsi"/>
                <w:color w:val="000000" w:themeColor="text1"/>
                <w:sz w:val="18"/>
                <w:szCs w:val="18"/>
              </w:rPr>
            </w:pPr>
            <w:r w:rsidRPr="006C2D4E">
              <w:rPr>
                <w:rFonts w:cstheme="minorHAnsi"/>
                <w:color w:val="000000" w:themeColor="text1"/>
                <w:sz w:val="18"/>
                <w:szCs w:val="18"/>
              </w:rPr>
              <w:t>Treatment of adult patients with chronic hepatitis C virus (HCV) genotype 1, 2, 3, 4, 5, or 6 infection with or without compensated cirrhosis. This includes patients with HCV genotype 1 infection who were previously treated with either a regimen of an NS5A inhibitor or with an NS3/4A protease inhibitor but not both classes of inhibitors</w:t>
            </w:r>
          </w:p>
        </w:tc>
      </w:tr>
      <w:tr w:rsidR="00C73D31" w:rsidRPr="006C2D4E" w14:paraId="76D61616" w14:textId="77777777" w:rsidTr="009463B7">
        <w:trPr>
          <w:trHeight w:val="1362"/>
        </w:trPr>
        <w:tc>
          <w:tcPr>
            <w:tcW w:w="1271" w:type="dxa"/>
            <w:tcBorders>
              <w:bottom w:val="single" w:sz="4" w:space="0" w:color="auto"/>
            </w:tcBorders>
          </w:tcPr>
          <w:p w14:paraId="262388DA" w14:textId="77777777" w:rsidR="00C73D31" w:rsidRPr="006C2D4E" w:rsidRDefault="00C73D31" w:rsidP="00DD148D">
            <w:pPr>
              <w:rPr>
                <w:rStyle w:val="TableText"/>
                <w:rFonts w:cstheme="minorHAnsi"/>
                <w:color w:val="000000" w:themeColor="text1"/>
                <w:sz w:val="18"/>
                <w:szCs w:val="18"/>
                <w:vertAlign w:val="superscript"/>
              </w:rPr>
            </w:pPr>
            <w:r w:rsidRPr="006C2D4E">
              <w:rPr>
                <w:rStyle w:val="TableText"/>
                <w:rFonts w:cstheme="minorHAnsi"/>
                <w:b/>
                <w:color w:val="000000" w:themeColor="text1"/>
                <w:sz w:val="18"/>
                <w:szCs w:val="18"/>
              </w:rPr>
              <w:t>Mechanism of action</w:t>
            </w:r>
            <w:r w:rsidRPr="006C2D4E">
              <w:rPr>
                <w:rStyle w:val="TableText"/>
                <w:rFonts w:cstheme="minorHAnsi"/>
                <w:b/>
                <w:color w:val="000000" w:themeColor="text1"/>
                <w:sz w:val="18"/>
                <w:szCs w:val="18"/>
                <w:vertAlign w:val="superscript"/>
              </w:rPr>
              <w:t>2</w:t>
            </w:r>
          </w:p>
        </w:tc>
        <w:tc>
          <w:tcPr>
            <w:tcW w:w="1276" w:type="dxa"/>
            <w:tcBorders>
              <w:bottom w:val="single" w:sz="4" w:space="0" w:color="auto"/>
            </w:tcBorders>
          </w:tcPr>
          <w:p w14:paraId="3C45E7A4"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NS5B RNA polymerase inhibitor + nucleoside analogue</w:t>
            </w:r>
          </w:p>
        </w:tc>
        <w:tc>
          <w:tcPr>
            <w:tcW w:w="1276" w:type="dxa"/>
            <w:tcBorders>
              <w:bottom w:val="single" w:sz="4" w:space="0" w:color="auto"/>
            </w:tcBorders>
          </w:tcPr>
          <w:p w14:paraId="60D44D40"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NS5B RNA polymerase inhibitor + nucleoside analogue</w:t>
            </w:r>
          </w:p>
        </w:tc>
        <w:tc>
          <w:tcPr>
            <w:tcW w:w="1134" w:type="dxa"/>
            <w:tcBorders>
              <w:bottom w:val="single" w:sz="4" w:space="0" w:color="auto"/>
            </w:tcBorders>
          </w:tcPr>
          <w:p w14:paraId="4BA485D0"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NS5B RNA polymerase inhibitor + NS5A inhibitor</w:t>
            </w:r>
          </w:p>
        </w:tc>
        <w:tc>
          <w:tcPr>
            <w:tcW w:w="1275" w:type="dxa"/>
            <w:tcBorders>
              <w:bottom w:val="single" w:sz="4" w:space="0" w:color="auto"/>
            </w:tcBorders>
          </w:tcPr>
          <w:p w14:paraId="01AE562E"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NS5B replication complex inhibitor + NS5A inhibitor</w:t>
            </w:r>
          </w:p>
        </w:tc>
        <w:tc>
          <w:tcPr>
            <w:tcW w:w="1418" w:type="dxa"/>
            <w:tcBorders>
              <w:bottom w:val="single" w:sz="4" w:space="0" w:color="auto"/>
            </w:tcBorders>
          </w:tcPr>
          <w:p w14:paraId="182CDF7B"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NS3-4A protease inhibitor + NS5A inhibitor + non-nucleoside inhibitor of NS5B RNA polymerase</w:t>
            </w:r>
          </w:p>
        </w:tc>
        <w:tc>
          <w:tcPr>
            <w:tcW w:w="1417" w:type="dxa"/>
            <w:tcBorders>
              <w:bottom w:val="single" w:sz="4" w:space="0" w:color="auto"/>
            </w:tcBorders>
          </w:tcPr>
          <w:p w14:paraId="0C863114"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Nucleoside analogue</w:t>
            </w:r>
          </w:p>
        </w:tc>
        <w:tc>
          <w:tcPr>
            <w:tcW w:w="1418" w:type="dxa"/>
            <w:tcBorders>
              <w:bottom w:val="single" w:sz="4" w:space="0" w:color="auto"/>
            </w:tcBorders>
          </w:tcPr>
          <w:p w14:paraId="13158A02"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NS5A inhibitor + NS3/4A protease inhibitor</w:t>
            </w:r>
          </w:p>
        </w:tc>
        <w:tc>
          <w:tcPr>
            <w:tcW w:w="1559" w:type="dxa"/>
            <w:tcBorders>
              <w:bottom w:val="single" w:sz="4" w:space="0" w:color="auto"/>
            </w:tcBorders>
          </w:tcPr>
          <w:p w14:paraId="3C5C3BFA"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NS5B RNA polymerase inhibitor+ NS5A inhibitor</w:t>
            </w:r>
          </w:p>
        </w:tc>
        <w:tc>
          <w:tcPr>
            <w:tcW w:w="2126" w:type="dxa"/>
            <w:tcBorders>
              <w:bottom w:val="single" w:sz="4" w:space="0" w:color="auto"/>
            </w:tcBorders>
          </w:tcPr>
          <w:p w14:paraId="3975CA13"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NS5A inhibitor + NS3/4A protease inhibitor</w:t>
            </w:r>
          </w:p>
        </w:tc>
      </w:tr>
      <w:tr w:rsidR="00D24C11" w:rsidRPr="006C2D4E" w14:paraId="565A4485" w14:textId="77777777" w:rsidTr="009463B7">
        <w:trPr>
          <w:trHeight w:val="225"/>
        </w:trPr>
        <w:tc>
          <w:tcPr>
            <w:tcW w:w="1271" w:type="dxa"/>
            <w:tcBorders>
              <w:top w:val="single" w:sz="4" w:space="0" w:color="auto"/>
              <w:left w:val="single" w:sz="4" w:space="0" w:color="auto"/>
              <w:bottom w:val="single" w:sz="4" w:space="0" w:color="auto"/>
              <w:right w:val="nil"/>
            </w:tcBorders>
            <w:shd w:val="clear" w:color="auto" w:fill="D9D9D9" w:themeFill="background1" w:themeFillShade="D9"/>
          </w:tcPr>
          <w:p w14:paraId="0E1A4C5F" w14:textId="77777777" w:rsidR="00D24C11" w:rsidRPr="006C2D4E" w:rsidRDefault="00D24C11" w:rsidP="00DD148D">
            <w:pPr>
              <w:rPr>
                <w:rStyle w:val="TableText"/>
                <w:rFonts w:cstheme="minorHAnsi"/>
                <w:color w:val="000000" w:themeColor="text1"/>
                <w:sz w:val="18"/>
                <w:szCs w:val="18"/>
              </w:rPr>
            </w:pPr>
            <w:r w:rsidRPr="006C2D4E">
              <w:rPr>
                <w:rStyle w:val="TableText"/>
                <w:rFonts w:cstheme="minorHAnsi"/>
                <w:b/>
                <w:color w:val="000000" w:themeColor="text1"/>
                <w:sz w:val="18"/>
                <w:szCs w:val="18"/>
              </w:rPr>
              <w:t>Drug regimen subsidy by HCV genotype</w:t>
            </w:r>
            <w:r w:rsidRPr="006C2D4E">
              <w:rPr>
                <w:rStyle w:val="TableText"/>
                <w:rFonts w:cstheme="minorHAnsi"/>
                <w:b/>
                <w:color w:val="000000" w:themeColor="text1"/>
                <w:sz w:val="18"/>
                <w:szCs w:val="18"/>
                <w:vertAlign w:val="superscript"/>
              </w:rPr>
              <w:t>3</w:t>
            </w:r>
            <w:r w:rsidRPr="006C2D4E">
              <w:rPr>
                <w:rStyle w:val="TableText"/>
                <w:rFonts w:cstheme="minorHAnsi"/>
                <w:b/>
                <w:color w:val="000000" w:themeColor="text1"/>
                <w:sz w:val="18"/>
                <w:szCs w:val="18"/>
              </w:rPr>
              <w:t>:</w:t>
            </w:r>
          </w:p>
        </w:tc>
        <w:tc>
          <w:tcPr>
            <w:tcW w:w="1276" w:type="dxa"/>
            <w:tcBorders>
              <w:top w:val="single" w:sz="4" w:space="0" w:color="auto"/>
              <w:left w:val="nil"/>
              <w:bottom w:val="single" w:sz="4" w:space="0" w:color="auto"/>
              <w:right w:val="nil"/>
            </w:tcBorders>
            <w:shd w:val="clear" w:color="auto" w:fill="D9D9D9" w:themeFill="background1" w:themeFillShade="D9"/>
          </w:tcPr>
          <w:p w14:paraId="21F08E16" w14:textId="77777777" w:rsidR="00D24C11" w:rsidRPr="006C2D4E" w:rsidRDefault="00D24C11" w:rsidP="00DD148D">
            <w:pPr>
              <w:jc w:val="center"/>
              <w:rPr>
                <w:rStyle w:val="TableText"/>
                <w:rFonts w:cstheme="minorHAnsi"/>
                <w:color w:val="000000" w:themeColor="text1"/>
                <w:sz w:val="18"/>
                <w:szCs w:val="18"/>
              </w:rPr>
            </w:pPr>
          </w:p>
        </w:tc>
        <w:tc>
          <w:tcPr>
            <w:tcW w:w="1276" w:type="dxa"/>
            <w:tcBorders>
              <w:top w:val="single" w:sz="4" w:space="0" w:color="auto"/>
              <w:left w:val="nil"/>
              <w:bottom w:val="single" w:sz="4" w:space="0" w:color="auto"/>
              <w:right w:val="nil"/>
            </w:tcBorders>
            <w:shd w:val="clear" w:color="auto" w:fill="D9D9D9" w:themeFill="background1" w:themeFillShade="D9"/>
          </w:tcPr>
          <w:p w14:paraId="2487B6F6" w14:textId="77777777" w:rsidR="00D24C11" w:rsidRPr="006C2D4E" w:rsidRDefault="00D24C11" w:rsidP="00DD148D">
            <w:pPr>
              <w:jc w:val="center"/>
              <w:rPr>
                <w:rStyle w:val="TableText"/>
                <w:rFonts w:cstheme="minorHAnsi"/>
                <w:b/>
                <w:color w:val="000000" w:themeColor="text1"/>
                <w:sz w:val="18"/>
                <w:szCs w:val="18"/>
              </w:rPr>
            </w:pPr>
          </w:p>
        </w:tc>
        <w:tc>
          <w:tcPr>
            <w:tcW w:w="1134" w:type="dxa"/>
            <w:tcBorders>
              <w:top w:val="single" w:sz="4" w:space="0" w:color="auto"/>
              <w:left w:val="nil"/>
              <w:bottom w:val="single" w:sz="4" w:space="0" w:color="auto"/>
              <w:right w:val="nil"/>
            </w:tcBorders>
            <w:shd w:val="clear" w:color="auto" w:fill="D9D9D9" w:themeFill="background1" w:themeFillShade="D9"/>
          </w:tcPr>
          <w:p w14:paraId="0582D476" w14:textId="77777777" w:rsidR="00D24C11" w:rsidRPr="006C2D4E" w:rsidRDefault="00D24C11" w:rsidP="00DD148D">
            <w:pPr>
              <w:jc w:val="center"/>
              <w:rPr>
                <w:rStyle w:val="TableText"/>
                <w:rFonts w:cstheme="minorHAnsi"/>
                <w:b/>
                <w:color w:val="000000" w:themeColor="text1"/>
                <w:sz w:val="18"/>
                <w:szCs w:val="18"/>
              </w:rPr>
            </w:pPr>
          </w:p>
        </w:tc>
        <w:tc>
          <w:tcPr>
            <w:tcW w:w="1275" w:type="dxa"/>
            <w:tcBorders>
              <w:top w:val="single" w:sz="4" w:space="0" w:color="auto"/>
              <w:left w:val="nil"/>
              <w:bottom w:val="single" w:sz="4" w:space="0" w:color="auto"/>
              <w:right w:val="nil"/>
            </w:tcBorders>
            <w:shd w:val="clear" w:color="auto" w:fill="D9D9D9" w:themeFill="background1" w:themeFillShade="D9"/>
          </w:tcPr>
          <w:p w14:paraId="071D6539" w14:textId="77777777" w:rsidR="00D24C11" w:rsidRPr="006C2D4E" w:rsidRDefault="00D24C11" w:rsidP="00DD148D">
            <w:pPr>
              <w:jc w:val="center"/>
              <w:rPr>
                <w:rStyle w:val="TableText"/>
                <w:rFonts w:cstheme="minorHAnsi"/>
                <w:b/>
                <w:color w:val="000000" w:themeColor="text1"/>
                <w:sz w:val="18"/>
                <w:szCs w:val="18"/>
              </w:rPr>
            </w:pPr>
          </w:p>
        </w:tc>
        <w:tc>
          <w:tcPr>
            <w:tcW w:w="1418" w:type="dxa"/>
            <w:tcBorders>
              <w:top w:val="single" w:sz="4" w:space="0" w:color="auto"/>
              <w:left w:val="nil"/>
              <w:bottom w:val="single" w:sz="4" w:space="0" w:color="auto"/>
              <w:right w:val="nil"/>
            </w:tcBorders>
            <w:shd w:val="clear" w:color="auto" w:fill="D9D9D9" w:themeFill="background1" w:themeFillShade="D9"/>
          </w:tcPr>
          <w:p w14:paraId="0DC0F195" w14:textId="77777777" w:rsidR="00D24C11" w:rsidRPr="006C2D4E" w:rsidRDefault="00D24C11" w:rsidP="00DD148D">
            <w:pPr>
              <w:jc w:val="center"/>
              <w:rPr>
                <w:rStyle w:val="TableText"/>
                <w:rFonts w:cstheme="minorHAnsi"/>
                <w:b/>
                <w:color w:val="000000" w:themeColor="text1"/>
                <w:sz w:val="18"/>
                <w:szCs w:val="18"/>
              </w:rPr>
            </w:pPr>
          </w:p>
        </w:tc>
        <w:tc>
          <w:tcPr>
            <w:tcW w:w="1417" w:type="dxa"/>
            <w:tcBorders>
              <w:top w:val="single" w:sz="4" w:space="0" w:color="auto"/>
              <w:left w:val="nil"/>
              <w:bottom w:val="single" w:sz="4" w:space="0" w:color="auto"/>
              <w:right w:val="nil"/>
            </w:tcBorders>
            <w:shd w:val="clear" w:color="auto" w:fill="D9D9D9" w:themeFill="background1" w:themeFillShade="D9"/>
          </w:tcPr>
          <w:p w14:paraId="3E00AB9C" w14:textId="77777777" w:rsidR="00D24C11" w:rsidRPr="006C2D4E" w:rsidRDefault="00D24C11" w:rsidP="00DD148D">
            <w:pPr>
              <w:jc w:val="center"/>
              <w:rPr>
                <w:rStyle w:val="TableText"/>
                <w:rFonts w:cstheme="minorHAnsi"/>
                <w:b/>
                <w:color w:val="000000" w:themeColor="text1"/>
                <w:sz w:val="18"/>
                <w:szCs w:val="18"/>
              </w:rPr>
            </w:pPr>
          </w:p>
        </w:tc>
        <w:tc>
          <w:tcPr>
            <w:tcW w:w="1418" w:type="dxa"/>
            <w:tcBorders>
              <w:top w:val="single" w:sz="4" w:space="0" w:color="auto"/>
              <w:left w:val="nil"/>
              <w:bottom w:val="single" w:sz="4" w:space="0" w:color="auto"/>
              <w:right w:val="nil"/>
            </w:tcBorders>
            <w:shd w:val="clear" w:color="auto" w:fill="D9D9D9" w:themeFill="background1" w:themeFillShade="D9"/>
          </w:tcPr>
          <w:p w14:paraId="3AC44847" w14:textId="77777777" w:rsidR="00D24C11" w:rsidRPr="006C2D4E" w:rsidRDefault="00D24C11" w:rsidP="00DD148D">
            <w:pPr>
              <w:jc w:val="center"/>
              <w:rPr>
                <w:rStyle w:val="TableText"/>
                <w:rFonts w:cstheme="minorHAnsi"/>
                <w:b/>
                <w:color w:val="000000" w:themeColor="text1"/>
                <w:sz w:val="18"/>
                <w:szCs w:val="18"/>
              </w:rPr>
            </w:pPr>
          </w:p>
        </w:tc>
        <w:tc>
          <w:tcPr>
            <w:tcW w:w="1559" w:type="dxa"/>
            <w:tcBorders>
              <w:top w:val="single" w:sz="4" w:space="0" w:color="auto"/>
              <w:left w:val="nil"/>
              <w:bottom w:val="single" w:sz="4" w:space="0" w:color="auto"/>
              <w:right w:val="nil"/>
            </w:tcBorders>
            <w:shd w:val="clear" w:color="auto" w:fill="D9D9D9" w:themeFill="background1" w:themeFillShade="D9"/>
          </w:tcPr>
          <w:p w14:paraId="1715A602" w14:textId="77777777" w:rsidR="00D24C11" w:rsidRPr="006C2D4E" w:rsidRDefault="00D24C11" w:rsidP="00DD148D">
            <w:pPr>
              <w:jc w:val="center"/>
              <w:rPr>
                <w:rStyle w:val="TableText"/>
                <w:rFonts w:cstheme="minorHAnsi"/>
                <w:b/>
                <w:color w:val="000000" w:themeColor="text1"/>
                <w:sz w:val="18"/>
                <w:szCs w:val="18"/>
              </w:rPr>
            </w:pP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tcPr>
          <w:p w14:paraId="348E68E1" w14:textId="77777777" w:rsidR="00D24C11" w:rsidRPr="006C2D4E" w:rsidRDefault="00D24C11" w:rsidP="00DD148D">
            <w:pPr>
              <w:jc w:val="center"/>
              <w:rPr>
                <w:rStyle w:val="TableText"/>
                <w:rFonts w:cstheme="minorHAnsi"/>
                <w:b/>
                <w:color w:val="000000" w:themeColor="text1"/>
                <w:sz w:val="18"/>
                <w:szCs w:val="18"/>
              </w:rPr>
            </w:pPr>
          </w:p>
        </w:tc>
      </w:tr>
      <w:tr w:rsidR="00C73D31" w:rsidRPr="006C2D4E" w14:paraId="37D6D35F" w14:textId="77777777" w:rsidTr="009463B7">
        <w:trPr>
          <w:trHeight w:val="225"/>
        </w:trPr>
        <w:tc>
          <w:tcPr>
            <w:tcW w:w="1271" w:type="dxa"/>
            <w:tcBorders>
              <w:top w:val="single" w:sz="4" w:space="0" w:color="auto"/>
            </w:tcBorders>
          </w:tcPr>
          <w:p w14:paraId="600398C7"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Genotype 1</w:t>
            </w:r>
          </w:p>
        </w:tc>
        <w:tc>
          <w:tcPr>
            <w:tcW w:w="1276" w:type="dxa"/>
            <w:tcBorders>
              <w:top w:val="single" w:sz="4" w:space="0" w:color="auto"/>
            </w:tcBorders>
          </w:tcPr>
          <w:p w14:paraId="0508EAC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6" w:type="dxa"/>
            <w:tcBorders>
              <w:top w:val="single" w:sz="4" w:space="0" w:color="auto"/>
            </w:tcBorders>
          </w:tcPr>
          <w:p w14:paraId="42249283"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134" w:type="dxa"/>
            <w:tcBorders>
              <w:top w:val="single" w:sz="4" w:space="0" w:color="auto"/>
            </w:tcBorders>
          </w:tcPr>
          <w:p w14:paraId="101595D7"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275" w:type="dxa"/>
            <w:tcBorders>
              <w:top w:val="single" w:sz="4" w:space="0" w:color="auto"/>
            </w:tcBorders>
          </w:tcPr>
          <w:p w14:paraId="27222250"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418" w:type="dxa"/>
            <w:tcBorders>
              <w:top w:val="single" w:sz="4" w:space="0" w:color="auto"/>
            </w:tcBorders>
          </w:tcPr>
          <w:p w14:paraId="638B1C4B"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7" w:type="dxa"/>
            <w:tcBorders>
              <w:top w:val="single" w:sz="4" w:space="0" w:color="auto"/>
            </w:tcBorders>
          </w:tcPr>
          <w:p w14:paraId="6AC96327"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8" w:type="dxa"/>
            <w:tcBorders>
              <w:top w:val="single" w:sz="4" w:space="0" w:color="auto"/>
            </w:tcBorders>
          </w:tcPr>
          <w:p w14:paraId="4AEDBD50"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559" w:type="dxa"/>
            <w:tcBorders>
              <w:top w:val="single" w:sz="4" w:space="0" w:color="auto"/>
            </w:tcBorders>
          </w:tcPr>
          <w:p w14:paraId="1D848081"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2126" w:type="dxa"/>
            <w:tcBorders>
              <w:top w:val="single" w:sz="4" w:space="0" w:color="auto"/>
            </w:tcBorders>
          </w:tcPr>
          <w:p w14:paraId="7F42918D"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r>
      <w:tr w:rsidR="00C73D31" w:rsidRPr="006C2D4E" w14:paraId="240EC00D" w14:textId="77777777" w:rsidTr="009463B7">
        <w:trPr>
          <w:trHeight w:val="225"/>
        </w:trPr>
        <w:tc>
          <w:tcPr>
            <w:tcW w:w="1271" w:type="dxa"/>
          </w:tcPr>
          <w:p w14:paraId="4777B4CF"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Genotype 2</w:t>
            </w:r>
          </w:p>
        </w:tc>
        <w:tc>
          <w:tcPr>
            <w:tcW w:w="1276" w:type="dxa"/>
          </w:tcPr>
          <w:p w14:paraId="5660461C"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276" w:type="dxa"/>
          </w:tcPr>
          <w:p w14:paraId="466E8301"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134" w:type="dxa"/>
          </w:tcPr>
          <w:p w14:paraId="18A4873F"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5" w:type="dxa"/>
          </w:tcPr>
          <w:p w14:paraId="7AE5331B"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8" w:type="dxa"/>
          </w:tcPr>
          <w:p w14:paraId="45E68DF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7" w:type="dxa"/>
          </w:tcPr>
          <w:p w14:paraId="38E2146D"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8" w:type="dxa"/>
          </w:tcPr>
          <w:p w14:paraId="54367A8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559" w:type="dxa"/>
          </w:tcPr>
          <w:p w14:paraId="49087513"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2126" w:type="dxa"/>
          </w:tcPr>
          <w:p w14:paraId="64802B6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r>
      <w:tr w:rsidR="00C73D31" w:rsidRPr="006C2D4E" w14:paraId="65BCFC9F" w14:textId="77777777" w:rsidTr="009463B7">
        <w:trPr>
          <w:trHeight w:val="225"/>
        </w:trPr>
        <w:tc>
          <w:tcPr>
            <w:tcW w:w="1271" w:type="dxa"/>
          </w:tcPr>
          <w:p w14:paraId="64EA8930"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Genotype 3</w:t>
            </w:r>
          </w:p>
        </w:tc>
        <w:tc>
          <w:tcPr>
            <w:tcW w:w="1276" w:type="dxa"/>
          </w:tcPr>
          <w:p w14:paraId="149DE7CF"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276" w:type="dxa"/>
          </w:tcPr>
          <w:p w14:paraId="08D29CDC"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134" w:type="dxa"/>
          </w:tcPr>
          <w:p w14:paraId="12D8614B"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5" w:type="dxa"/>
          </w:tcPr>
          <w:p w14:paraId="121924A9"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418" w:type="dxa"/>
          </w:tcPr>
          <w:p w14:paraId="69A01386"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7" w:type="dxa"/>
          </w:tcPr>
          <w:p w14:paraId="3D19FB5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8" w:type="dxa"/>
          </w:tcPr>
          <w:p w14:paraId="28CCBFA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559" w:type="dxa"/>
          </w:tcPr>
          <w:p w14:paraId="51E24615"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2126" w:type="dxa"/>
          </w:tcPr>
          <w:p w14:paraId="70A78598"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r>
      <w:tr w:rsidR="00C73D31" w:rsidRPr="006C2D4E" w14:paraId="59170641" w14:textId="77777777" w:rsidTr="009463B7">
        <w:trPr>
          <w:trHeight w:val="210"/>
        </w:trPr>
        <w:tc>
          <w:tcPr>
            <w:tcW w:w="1271" w:type="dxa"/>
          </w:tcPr>
          <w:p w14:paraId="1E3448E3"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Genotype 4</w:t>
            </w:r>
          </w:p>
        </w:tc>
        <w:tc>
          <w:tcPr>
            <w:tcW w:w="1276" w:type="dxa"/>
          </w:tcPr>
          <w:p w14:paraId="56DD003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6" w:type="dxa"/>
          </w:tcPr>
          <w:p w14:paraId="775EDA7B"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134" w:type="dxa"/>
          </w:tcPr>
          <w:p w14:paraId="0CF094FA"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5" w:type="dxa"/>
          </w:tcPr>
          <w:p w14:paraId="048FEAB4"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8" w:type="dxa"/>
          </w:tcPr>
          <w:p w14:paraId="202BB17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7" w:type="dxa"/>
          </w:tcPr>
          <w:p w14:paraId="4744E7CB"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8" w:type="dxa"/>
          </w:tcPr>
          <w:p w14:paraId="397D395A"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559" w:type="dxa"/>
          </w:tcPr>
          <w:p w14:paraId="140E0D09"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2126" w:type="dxa"/>
          </w:tcPr>
          <w:p w14:paraId="7A16D5DA"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r>
      <w:tr w:rsidR="00C73D31" w:rsidRPr="006C2D4E" w14:paraId="5386CC21" w14:textId="77777777" w:rsidTr="009463B7">
        <w:trPr>
          <w:trHeight w:val="225"/>
        </w:trPr>
        <w:tc>
          <w:tcPr>
            <w:tcW w:w="1271" w:type="dxa"/>
          </w:tcPr>
          <w:p w14:paraId="6357C168"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Genotype 5</w:t>
            </w:r>
          </w:p>
        </w:tc>
        <w:tc>
          <w:tcPr>
            <w:tcW w:w="1276" w:type="dxa"/>
          </w:tcPr>
          <w:p w14:paraId="38A38BC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6" w:type="dxa"/>
          </w:tcPr>
          <w:p w14:paraId="7536E2DA"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134" w:type="dxa"/>
          </w:tcPr>
          <w:p w14:paraId="55A9CBEA"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5" w:type="dxa"/>
          </w:tcPr>
          <w:p w14:paraId="6E00C09F"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8" w:type="dxa"/>
          </w:tcPr>
          <w:p w14:paraId="2DEA9431"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7" w:type="dxa"/>
          </w:tcPr>
          <w:p w14:paraId="1B43DC2B"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8" w:type="dxa"/>
          </w:tcPr>
          <w:p w14:paraId="15621239"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559" w:type="dxa"/>
          </w:tcPr>
          <w:p w14:paraId="6E61DBD0"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2126" w:type="dxa"/>
          </w:tcPr>
          <w:p w14:paraId="3B3AA2DD"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r>
      <w:tr w:rsidR="00C73D31" w:rsidRPr="006C2D4E" w14:paraId="210EBD22" w14:textId="77777777" w:rsidTr="009463B7">
        <w:trPr>
          <w:trHeight w:val="225"/>
        </w:trPr>
        <w:tc>
          <w:tcPr>
            <w:tcW w:w="1271" w:type="dxa"/>
          </w:tcPr>
          <w:p w14:paraId="7551F1A4" w14:textId="77777777" w:rsidR="00C73D31" w:rsidRPr="006C2D4E" w:rsidRDefault="00C73D31" w:rsidP="00DD148D">
            <w:pPr>
              <w:rPr>
                <w:rStyle w:val="TableText"/>
                <w:rFonts w:cstheme="minorHAnsi"/>
                <w:color w:val="000000" w:themeColor="text1"/>
                <w:sz w:val="18"/>
                <w:szCs w:val="18"/>
              </w:rPr>
            </w:pPr>
            <w:r w:rsidRPr="006C2D4E">
              <w:rPr>
                <w:rStyle w:val="TableText"/>
                <w:rFonts w:cstheme="minorHAnsi"/>
                <w:color w:val="000000" w:themeColor="text1"/>
                <w:sz w:val="18"/>
                <w:szCs w:val="18"/>
              </w:rPr>
              <w:t>Genotype 6</w:t>
            </w:r>
          </w:p>
        </w:tc>
        <w:tc>
          <w:tcPr>
            <w:tcW w:w="1276" w:type="dxa"/>
          </w:tcPr>
          <w:p w14:paraId="63B010B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6" w:type="dxa"/>
          </w:tcPr>
          <w:p w14:paraId="747F4613"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134" w:type="dxa"/>
          </w:tcPr>
          <w:p w14:paraId="51B04D2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275" w:type="dxa"/>
          </w:tcPr>
          <w:p w14:paraId="738D7E01"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8" w:type="dxa"/>
          </w:tcPr>
          <w:p w14:paraId="1627D138"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417" w:type="dxa"/>
          </w:tcPr>
          <w:p w14:paraId="109217B4"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1418" w:type="dxa"/>
          </w:tcPr>
          <w:p w14:paraId="4FA41D5F"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No</w:t>
            </w:r>
          </w:p>
        </w:tc>
        <w:tc>
          <w:tcPr>
            <w:tcW w:w="1559" w:type="dxa"/>
          </w:tcPr>
          <w:p w14:paraId="66079C34"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c>
          <w:tcPr>
            <w:tcW w:w="2126" w:type="dxa"/>
          </w:tcPr>
          <w:p w14:paraId="4D0056C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b/>
                <w:color w:val="000000" w:themeColor="text1"/>
                <w:sz w:val="18"/>
                <w:szCs w:val="18"/>
              </w:rPr>
              <w:t>Yes</w:t>
            </w:r>
          </w:p>
        </w:tc>
      </w:tr>
      <w:tr w:rsidR="00C73D31" w:rsidRPr="006C2D4E" w14:paraId="4D244D6F" w14:textId="77777777" w:rsidTr="009463B7">
        <w:trPr>
          <w:trHeight w:val="225"/>
        </w:trPr>
        <w:tc>
          <w:tcPr>
            <w:tcW w:w="1271" w:type="dxa"/>
          </w:tcPr>
          <w:p w14:paraId="4D7A7FD7" w14:textId="77777777" w:rsidR="00C73D31" w:rsidRPr="006C2D4E" w:rsidRDefault="00C73D31" w:rsidP="00DD148D">
            <w:pPr>
              <w:rPr>
                <w:rStyle w:val="TableText"/>
                <w:rFonts w:cstheme="minorHAnsi"/>
                <w:b/>
                <w:color w:val="000000" w:themeColor="text1"/>
                <w:sz w:val="18"/>
                <w:szCs w:val="18"/>
                <w:vertAlign w:val="superscript"/>
              </w:rPr>
            </w:pPr>
            <w:r w:rsidRPr="006C2D4E">
              <w:rPr>
                <w:rStyle w:val="TableText"/>
                <w:rFonts w:cstheme="minorHAnsi"/>
                <w:b/>
                <w:color w:val="000000" w:themeColor="text1"/>
                <w:sz w:val="18"/>
                <w:szCs w:val="18"/>
              </w:rPr>
              <w:t>Cirrhotic patients</w:t>
            </w:r>
            <w:r w:rsidRPr="006C2D4E">
              <w:rPr>
                <w:rStyle w:val="TableText"/>
                <w:rFonts w:cstheme="minorHAnsi"/>
                <w:b/>
                <w:color w:val="000000" w:themeColor="text1"/>
                <w:sz w:val="18"/>
                <w:szCs w:val="18"/>
                <w:vertAlign w:val="superscript"/>
              </w:rPr>
              <w:t>3</w:t>
            </w:r>
          </w:p>
        </w:tc>
        <w:tc>
          <w:tcPr>
            <w:tcW w:w="1276" w:type="dxa"/>
          </w:tcPr>
          <w:p w14:paraId="6F8747AD"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276" w:type="dxa"/>
          </w:tcPr>
          <w:p w14:paraId="33D59941"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134" w:type="dxa"/>
          </w:tcPr>
          <w:p w14:paraId="2465318D"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275" w:type="dxa"/>
          </w:tcPr>
          <w:p w14:paraId="592AA704"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418" w:type="dxa"/>
          </w:tcPr>
          <w:p w14:paraId="54563884"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417" w:type="dxa"/>
          </w:tcPr>
          <w:p w14:paraId="0AC307A8"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418" w:type="dxa"/>
          </w:tcPr>
          <w:p w14:paraId="77097A7D"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1559" w:type="dxa"/>
          </w:tcPr>
          <w:p w14:paraId="41AD1209"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c>
          <w:tcPr>
            <w:tcW w:w="2126" w:type="dxa"/>
          </w:tcPr>
          <w:p w14:paraId="2799AA3A" w14:textId="77777777" w:rsidR="00C73D31" w:rsidRPr="006C2D4E" w:rsidRDefault="00C73D31" w:rsidP="00DD148D">
            <w:pPr>
              <w:jc w:val="center"/>
              <w:rPr>
                <w:rStyle w:val="TableText"/>
                <w:rFonts w:cstheme="minorHAnsi"/>
                <w:b/>
                <w:color w:val="000000" w:themeColor="text1"/>
                <w:sz w:val="18"/>
                <w:szCs w:val="18"/>
              </w:rPr>
            </w:pPr>
            <w:r w:rsidRPr="006C2D4E">
              <w:rPr>
                <w:rStyle w:val="TableText"/>
                <w:rFonts w:cstheme="minorHAnsi"/>
                <w:b/>
                <w:color w:val="000000" w:themeColor="text1"/>
                <w:sz w:val="18"/>
                <w:szCs w:val="18"/>
              </w:rPr>
              <w:t>Yes</w:t>
            </w:r>
          </w:p>
        </w:tc>
      </w:tr>
      <w:tr w:rsidR="00C73D31" w:rsidRPr="006C2D4E" w14:paraId="2A5F70E4" w14:textId="77777777" w:rsidTr="009463B7">
        <w:trPr>
          <w:trHeight w:val="928"/>
        </w:trPr>
        <w:tc>
          <w:tcPr>
            <w:tcW w:w="1271" w:type="dxa"/>
          </w:tcPr>
          <w:p w14:paraId="04BB776A" w14:textId="77777777" w:rsidR="00C73D31" w:rsidRPr="006C2D4E" w:rsidRDefault="00C73D31" w:rsidP="00DD148D">
            <w:pPr>
              <w:rPr>
                <w:rStyle w:val="TableBold"/>
                <w:rFonts w:cstheme="minorHAnsi"/>
                <w:color w:val="000000" w:themeColor="text1"/>
                <w:sz w:val="18"/>
                <w:szCs w:val="18"/>
                <w:vertAlign w:val="superscript"/>
              </w:rPr>
            </w:pPr>
            <w:r w:rsidRPr="006C2D4E">
              <w:rPr>
                <w:rStyle w:val="TableBold"/>
                <w:rFonts w:cstheme="minorHAnsi"/>
                <w:color w:val="000000" w:themeColor="text1"/>
                <w:sz w:val="18"/>
                <w:szCs w:val="18"/>
              </w:rPr>
              <w:t>Use in pregnancy</w:t>
            </w:r>
            <w:r w:rsidRPr="006C2D4E">
              <w:rPr>
                <w:rStyle w:val="TableBold"/>
                <w:rFonts w:cstheme="minorHAnsi"/>
                <w:color w:val="000000" w:themeColor="text1"/>
                <w:sz w:val="18"/>
                <w:szCs w:val="18"/>
                <w:vertAlign w:val="superscript"/>
              </w:rPr>
              <w:t>2,4</w:t>
            </w:r>
          </w:p>
        </w:tc>
        <w:tc>
          <w:tcPr>
            <w:tcW w:w="1276" w:type="dxa"/>
          </w:tcPr>
          <w:p w14:paraId="26E0DA0D"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B1 or</w:t>
            </w:r>
          </w:p>
          <w:p w14:paraId="1B19F593"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X when used with RBV</w:t>
            </w:r>
          </w:p>
        </w:tc>
        <w:tc>
          <w:tcPr>
            <w:tcW w:w="1276" w:type="dxa"/>
          </w:tcPr>
          <w:p w14:paraId="4DEEBB81"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B1 or</w:t>
            </w:r>
          </w:p>
          <w:p w14:paraId="5A9C190E"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X when used with RBV</w:t>
            </w:r>
          </w:p>
        </w:tc>
        <w:tc>
          <w:tcPr>
            <w:tcW w:w="1134" w:type="dxa"/>
          </w:tcPr>
          <w:p w14:paraId="317A1C15"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B1</w:t>
            </w:r>
          </w:p>
        </w:tc>
        <w:tc>
          <w:tcPr>
            <w:tcW w:w="1275" w:type="dxa"/>
          </w:tcPr>
          <w:p w14:paraId="34941DFB"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B3</w:t>
            </w:r>
          </w:p>
        </w:tc>
        <w:tc>
          <w:tcPr>
            <w:tcW w:w="1418" w:type="dxa"/>
          </w:tcPr>
          <w:p w14:paraId="314F038C"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B3 or</w:t>
            </w:r>
          </w:p>
          <w:p w14:paraId="3F47D1C6"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X when used with RBV</w:t>
            </w:r>
          </w:p>
        </w:tc>
        <w:tc>
          <w:tcPr>
            <w:tcW w:w="1417" w:type="dxa"/>
          </w:tcPr>
          <w:p w14:paraId="41477072"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X</w:t>
            </w:r>
          </w:p>
          <w:p w14:paraId="6CB1A53F" w14:textId="77777777" w:rsidR="00C73D31" w:rsidRPr="006C2D4E" w:rsidRDefault="00C73D31" w:rsidP="00DD148D">
            <w:pPr>
              <w:jc w:val="center"/>
              <w:rPr>
                <w:rStyle w:val="TableText"/>
                <w:rFonts w:cstheme="minorHAnsi"/>
                <w:color w:val="000000" w:themeColor="text1"/>
                <w:sz w:val="18"/>
                <w:szCs w:val="18"/>
              </w:rPr>
            </w:pPr>
          </w:p>
        </w:tc>
        <w:tc>
          <w:tcPr>
            <w:tcW w:w="1418" w:type="dxa"/>
          </w:tcPr>
          <w:p w14:paraId="761D47F0"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B1 or Category X when used with RBV</w:t>
            </w:r>
          </w:p>
        </w:tc>
        <w:tc>
          <w:tcPr>
            <w:tcW w:w="1559" w:type="dxa"/>
          </w:tcPr>
          <w:p w14:paraId="5C5DAB4F"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B1</w:t>
            </w:r>
          </w:p>
          <w:p w14:paraId="1081EFE9" w14:textId="77777777" w:rsidR="00C73D31" w:rsidRPr="006C2D4E" w:rsidRDefault="00C73D31" w:rsidP="00DD148D">
            <w:pPr>
              <w:jc w:val="center"/>
              <w:rPr>
                <w:rStyle w:val="TableText"/>
                <w:rFonts w:cstheme="minorHAnsi"/>
                <w:color w:val="000000" w:themeColor="text1"/>
                <w:sz w:val="18"/>
                <w:szCs w:val="18"/>
              </w:rPr>
            </w:pPr>
          </w:p>
        </w:tc>
        <w:tc>
          <w:tcPr>
            <w:tcW w:w="2126" w:type="dxa"/>
          </w:tcPr>
          <w:p w14:paraId="63DD7AEF" w14:textId="77777777" w:rsidR="00C73D31" w:rsidRPr="006C2D4E" w:rsidRDefault="00C73D31" w:rsidP="00DD148D">
            <w:pPr>
              <w:jc w:val="center"/>
              <w:rPr>
                <w:rStyle w:val="TableText"/>
                <w:rFonts w:cstheme="minorHAnsi"/>
                <w:color w:val="000000" w:themeColor="text1"/>
                <w:sz w:val="18"/>
                <w:szCs w:val="18"/>
              </w:rPr>
            </w:pPr>
            <w:r w:rsidRPr="006C2D4E">
              <w:rPr>
                <w:rStyle w:val="TableText"/>
                <w:rFonts w:cstheme="minorHAnsi"/>
                <w:color w:val="000000" w:themeColor="text1"/>
                <w:sz w:val="18"/>
                <w:szCs w:val="18"/>
              </w:rPr>
              <w:t>Category B1</w:t>
            </w:r>
          </w:p>
          <w:p w14:paraId="42C212FE" w14:textId="77777777" w:rsidR="00C73D31" w:rsidRPr="006C2D4E" w:rsidRDefault="00C73D31" w:rsidP="00DD148D">
            <w:pPr>
              <w:jc w:val="center"/>
              <w:rPr>
                <w:rStyle w:val="TableText"/>
                <w:rFonts w:cstheme="minorHAnsi"/>
                <w:color w:val="000000" w:themeColor="text1"/>
                <w:sz w:val="18"/>
                <w:szCs w:val="18"/>
              </w:rPr>
            </w:pPr>
          </w:p>
        </w:tc>
      </w:tr>
    </w:tbl>
    <w:p w14:paraId="2A7AB3C5" w14:textId="77777777" w:rsidR="00D2411C" w:rsidRDefault="00D2411C" w:rsidP="00EF5D3B">
      <w:pPr>
        <w:spacing w:after="0"/>
        <w:rPr>
          <w:sz w:val="20"/>
          <w:szCs w:val="20"/>
        </w:rPr>
      </w:pPr>
    </w:p>
    <w:p w14:paraId="404F5758" w14:textId="4DBCDB29" w:rsidR="00D2411C" w:rsidRDefault="00D2411C" w:rsidP="00EF5D3B">
      <w:pPr>
        <w:spacing w:after="0"/>
        <w:rPr>
          <w:sz w:val="20"/>
          <w:szCs w:val="20"/>
        </w:rPr>
      </w:pPr>
      <w:r>
        <w:rPr>
          <w:sz w:val="20"/>
          <w:szCs w:val="20"/>
        </w:rPr>
        <w:t>Note</w:t>
      </w:r>
      <w:r w:rsidR="00F1611D">
        <w:rPr>
          <w:sz w:val="20"/>
          <w:szCs w:val="20"/>
        </w:rPr>
        <w:t>:</w:t>
      </w:r>
    </w:p>
    <w:p w14:paraId="3ED6AF73" w14:textId="77777777" w:rsidR="00044772" w:rsidRDefault="00044772" w:rsidP="00EF5D3B">
      <w:pPr>
        <w:spacing w:after="0"/>
        <w:rPr>
          <w:sz w:val="20"/>
          <w:szCs w:val="20"/>
        </w:rPr>
      </w:pPr>
      <w:r>
        <w:rPr>
          <w:sz w:val="20"/>
          <w:szCs w:val="20"/>
        </w:rPr>
        <w:t xml:space="preserve">ARTG, Australian Register of Therapeutic Goods; </w:t>
      </w:r>
      <w:r w:rsidR="004106C4">
        <w:rPr>
          <w:sz w:val="20"/>
          <w:szCs w:val="20"/>
        </w:rPr>
        <w:t>NS, Nonstructural protein; RBV, ribavirin.</w:t>
      </w:r>
    </w:p>
    <w:p w14:paraId="4D159882" w14:textId="77777777" w:rsidR="00CC49D6" w:rsidRDefault="00D2411C" w:rsidP="00EF5D3B">
      <w:pPr>
        <w:spacing w:after="0"/>
        <w:contextualSpacing/>
        <w:rPr>
          <w:sz w:val="20"/>
          <w:szCs w:val="20"/>
        </w:rPr>
      </w:pPr>
      <w:r>
        <w:rPr>
          <w:vertAlign w:val="superscript"/>
        </w:rPr>
        <w:t xml:space="preserve">1 </w:t>
      </w:r>
      <w:r w:rsidR="00CC49D6" w:rsidRPr="00EB5E6F">
        <w:rPr>
          <w:sz w:val="20"/>
          <w:szCs w:val="20"/>
        </w:rPr>
        <w:t>Australian Register of Therapeutic Goods</w:t>
      </w:r>
      <w:r w:rsidR="003702FD">
        <w:rPr>
          <w:sz w:val="20"/>
          <w:szCs w:val="20"/>
        </w:rPr>
        <w:t>, accessed in July</w:t>
      </w:r>
      <w:r w:rsidR="00CC49D6" w:rsidRPr="0055395D">
        <w:rPr>
          <w:sz w:val="20"/>
          <w:szCs w:val="20"/>
        </w:rPr>
        <w:t xml:space="preserve"> 2018.</w:t>
      </w:r>
    </w:p>
    <w:p w14:paraId="508882E0" w14:textId="77777777" w:rsidR="00215DC8" w:rsidRPr="00215DC8" w:rsidRDefault="00215DC8" w:rsidP="00EF5D3B">
      <w:pPr>
        <w:spacing w:after="0"/>
        <w:contextualSpacing/>
        <w:rPr>
          <w:rFonts w:cstheme="minorHAnsi"/>
          <w:sz w:val="20"/>
          <w:szCs w:val="20"/>
          <w:lang w:eastAsia="en-US"/>
        </w:rPr>
      </w:pPr>
      <w:r>
        <w:rPr>
          <w:rFonts w:cstheme="minorHAnsi"/>
          <w:sz w:val="20"/>
          <w:szCs w:val="20"/>
          <w:vertAlign w:val="superscript"/>
        </w:rPr>
        <w:t xml:space="preserve">2 </w:t>
      </w:r>
      <w:r w:rsidRPr="00215DC8">
        <w:rPr>
          <w:rFonts w:cstheme="minorHAnsi"/>
          <w:sz w:val="20"/>
          <w:szCs w:val="20"/>
        </w:rPr>
        <w:t xml:space="preserve">The current Product Information (PI) available from </w:t>
      </w:r>
      <w:r w:rsidRPr="00EB5E6F">
        <w:rPr>
          <w:rFonts w:cstheme="minorHAnsi"/>
          <w:sz w:val="20"/>
          <w:szCs w:val="20"/>
        </w:rPr>
        <w:t>the TGA (Product Information)</w:t>
      </w:r>
      <w:r w:rsidRPr="00215DC8">
        <w:rPr>
          <w:rFonts w:cstheme="minorHAnsi"/>
          <w:sz w:val="20"/>
          <w:szCs w:val="20"/>
        </w:rPr>
        <w:t>.</w:t>
      </w:r>
    </w:p>
    <w:p w14:paraId="2011A870" w14:textId="77777777" w:rsidR="00900ABD" w:rsidRDefault="00D02013" w:rsidP="00EF5D3B">
      <w:pPr>
        <w:pStyle w:val="Heading1"/>
        <w:shd w:val="clear" w:color="auto" w:fill="FFFFFF"/>
        <w:spacing w:before="0" w:after="0"/>
        <w:contextualSpacing/>
        <w:rPr>
          <w:rFonts w:eastAsiaTheme="minorHAnsi" w:cstheme="minorHAnsi"/>
          <w:b w:val="0"/>
          <w:bCs w:val="0"/>
          <w:iCs/>
          <w:snapToGrid w:val="0"/>
          <w:sz w:val="20"/>
          <w:szCs w:val="18"/>
          <w:lang w:eastAsia="en-US"/>
        </w:rPr>
      </w:pPr>
      <w:r>
        <w:rPr>
          <w:rFonts w:eastAsiaTheme="minorHAnsi" w:cstheme="minorHAnsi"/>
          <w:b w:val="0"/>
          <w:bCs w:val="0"/>
          <w:iCs/>
          <w:snapToGrid w:val="0"/>
          <w:sz w:val="20"/>
          <w:szCs w:val="18"/>
          <w:vertAlign w:val="superscript"/>
          <w:lang w:eastAsia="en-US"/>
        </w:rPr>
        <w:t>3</w:t>
      </w:r>
      <w:r w:rsidR="00900ABD" w:rsidRPr="008D5D3F">
        <w:rPr>
          <w:rFonts w:eastAsiaTheme="minorHAnsi" w:cstheme="minorHAnsi"/>
          <w:b w:val="0"/>
          <w:bCs w:val="0"/>
          <w:iCs/>
          <w:snapToGrid w:val="0"/>
          <w:sz w:val="20"/>
          <w:szCs w:val="18"/>
          <w:vertAlign w:val="superscript"/>
          <w:lang w:eastAsia="en-US"/>
        </w:rPr>
        <w:t xml:space="preserve"> </w:t>
      </w:r>
      <w:r w:rsidR="00900ABD" w:rsidRPr="00EB5E6F">
        <w:rPr>
          <w:rFonts w:eastAsiaTheme="minorHAnsi" w:cstheme="minorHAnsi"/>
          <w:b w:val="0"/>
          <w:bCs w:val="0"/>
          <w:iCs/>
          <w:snapToGrid w:val="0"/>
          <w:sz w:val="20"/>
          <w:szCs w:val="18"/>
          <w:lang w:eastAsia="en-US"/>
        </w:rPr>
        <w:t>General Statement for Drugs for the Treatment of Hepatitis C</w:t>
      </w:r>
      <w:r w:rsidR="0099140A">
        <w:rPr>
          <w:rFonts w:eastAsiaTheme="minorHAnsi" w:cstheme="minorHAnsi"/>
          <w:b w:val="0"/>
          <w:bCs w:val="0"/>
          <w:iCs/>
          <w:snapToGrid w:val="0"/>
          <w:sz w:val="20"/>
          <w:szCs w:val="18"/>
          <w:lang w:eastAsia="en-US"/>
        </w:rPr>
        <w:t>, accessed in August</w:t>
      </w:r>
      <w:r w:rsidR="00900ABD" w:rsidRPr="008D5D3F">
        <w:rPr>
          <w:rFonts w:eastAsiaTheme="minorHAnsi" w:cstheme="minorHAnsi"/>
          <w:b w:val="0"/>
          <w:bCs w:val="0"/>
          <w:iCs/>
          <w:snapToGrid w:val="0"/>
          <w:sz w:val="20"/>
          <w:szCs w:val="18"/>
          <w:lang w:eastAsia="en-US"/>
        </w:rPr>
        <w:t xml:space="preserve"> 2018.</w:t>
      </w:r>
    </w:p>
    <w:p w14:paraId="60779B17" w14:textId="77777777" w:rsidR="00AD3779" w:rsidRPr="0027134F" w:rsidRDefault="001D2216" w:rsidP="00EF5D3B">
      <w:pPr>
        <w:pStyle w:val="TableHeading0"/>
        <w:spacing w:before="0" w:after="0"/>
        <w:rPr>
          <w:rFonts w:asciiTheme="minorHAnsi" w:eastAsiaTheme="minorHAnsi" w:hAnsiTheme="minorHAnsi" w:cstheme="minorHAnsi"/>
          <w:b w:val="0"/>
          <w:bCs w:val="0"/>
          <w:iCs/>
          <w:snapToGrid w:val="0"/>
          <w:szCs w:val="18"/>
        </w:rPr>
      </w:pPr>
      <w:r w:rsidRPr="0027134F">
        <w:rPr>
          <w:rFonts w:asciiTheme="minorHAnsi" w:eastAsiaTheme="minorEastAsia" w:hAnsiTheme="minorHAnsi" w:cstheme="minorHAnsi"/>
          <w:b w:val="0"/>
          <w:bCs w:val="0"/>
          <w:vertAlign w:val="superscript"/>
          <w:lang w:eastAsia="en-AU"/>
        </w:rPr>
        <w:t xml:space="preserve">4 </w:t>
      </w:r>
      <w:r w:rsidR="00662A2C" w:rsidRPr="0027134F">
        <w:rPr>
          <w:rFonts w:asciiTheme="minorHAnsi" w:eastAsiaTheme="minorHAnsi" w:hAnsiTheme="minorHAnsi" w:cstheme="minorHAnsi"/>
          <w:b w:val="0"/>
          <w:bCs w:val="0"/>
          <w:iCs/>
          <w:snapToGrid w:val="0"/>
          <w:szCs w:val="18"/>
        </w:rPr>
        <w:t xml:space="preserve">The following definitions are based on the </w:t>
      </w:r>
      <w:r w:rsidR="00662A2C" w:rsidRPr="00EB5E6F">
        <w:rPr>
          <w:rFonts w:asciiTheme="minorHAnsi" w:eastAsiaTheme="minorHAnsi" w:hAnsiTheme="minorHAnsi" w:cstheme="minorHAnsi"/>
          <w:b w:val="0"/>
          <w:bCs w:val="0"/>
          <w:iCs/>
          <w:snapToGrid w:val="0"/>
          <w:szCs w:val="18"/>
        </w:rPr>
        <w:t>Australian categorisation system for prescribing medicines in pregnancy</w:t>
      </w:r>
      <w:r w:rsidR="00EB249F" w:rsidRPr="0027134F">
        <w:rPr>
          <w:rFonts w:asciiTheme="minorHAnsi" w:eastAsiaTheme="minorHAnsi" w:hAnsiTheme="minorHAnsi" w:cstheme="minorHAnsi"/>
          <w:b w:val="0"/>
          <w:bCs w:val="0"/>
          <w:iCs/>
          <w:snapToGrid w:val="0"/>
          <w:szCs w:val="18"/>
        </w:rPr>
        <w:t>:</w:t>
      </w:r>
    </w:p>
    <w:p w14:paraId="6785A95B" w14:textId="77777777" w:rsidR="00662A2C" w:rsidRPr="0027134F" w:rsidRDefault="00662A2C" w:rsidP="00EF5D3B">
      <w:pPr>
        <w:pStyle w:val="TableHeading0"/>
        <w:spacing w:before="0" w:after="0"/>
        <w:rPr>
          <w:rFonts w:asciiTheme="minorHAnsi" w:eastAsiaTheme="minorHAnsi" w:hAnsiTheme="minorHAnsi" w:cstheme="minorHAnsi"/>
          <w:b w:val="0"/>
          <w:bCs w:val="0"/>
          <w:iCs/>
          <w:snapToGrid w:val="0"/>
          <w:szCs w:val="18"/>
        </w:rPr>
      </w:pPr>
      <w:r w:rsidRPr="0027134F">
        <w:rPr>
          <w:rFonts w:asciiTheme="minorHAnsi" w:eastAsiaTheme="minorHAnsi" w:hAnsiTheme="minorHAnsi" w:cstheme="minorHAnsi"/>
          <w:b w:val="0"/>
          <w:bCs w:val="0"/>
          <w:iCs/>
          <w:snapToGrid w:val="0"/>
          <w:szCs w:val="18"/>
        </w:rPr>
        <w:t>Category B1 = Drugs which have been taken by only a limited number of pregnant women and women of childbearing age, without an increase in the frequency of malformation or other direct or indirect harmful effects on the human fetus having been observed.</w:t>
      </w:r>
      <w:r w:rsidR="004D5C69" w:rsidRPr="0027134F">
        <w:rPr>
          <w:rFonts w:asciiTheme="minorHAnsi" w:eastAsiaTheme="minorHAnsi" w:hAnsiTheme="minorHAnsi" w:cstheme="minorHAnsi"/>
          <w:b w:val="0"/>
          <w:bCs w:val="0"/>
          <w:iCs/>
          <w:snapToGrid w:val="0"/>
          <w:szCs w:val="18"/>
        </w:rPr>
        <w:t xml:space="preserve"> Studies in animals have not shown evidence of an increased occurrence of fetal damage.</w:t>
      </w:r>
    </w:p>
    <w:p w14:paraId="0DBEE666" w14:textId="77777777" w:rsidR="00662A2C" w:rsidRPr="0027134F" w:rsidRDefault="00D8429B" w:rsidP="00EF5D3B">
      <w:pPr>
        <w:pStyle w:val="TableHeading0"/>
        <w:spacing w:before="0" w:after="0"/>
        <w:rPr>
          <w:rFonts w:asciiTheme="minorHAnsi" w:eastAsiaTheme="minorHAnsi" w:hAnsiTheme="minorHAnsi" w:cstheme="minorHAnsi"/>
          <w:b w:val="0"/>
          <w:bCs w:val="0"/>
          <w:iCs/>
          <w:snapToGrid w:val="0"/>
          <w:szCs w:val="18"/>
        </w:rPr>
      </w:pPr>
      <w:r w:rsidRPr="0027134F">
        <w:rPr>
          <w:rFonts w:asciiTheme="minorHAnsi" w:eastAsiaTheme="minorHAnsi" w:hAnsiTheme="minorHAnsi" w:cstheme="minorHAnsi"/>
          <w:b w:val="0"/>
          <w:bCs w:val="0"/>
          <w:iCs/>
          <w:snapToGrid w:val="0"/>
          <w:szCs w:val="18"/>
        </w:rPr>
        <w:t xml:space="preserve">Category B3 = </w:t>
      </w:r>
      <w:r w:rsidR="004D5C69" w:rsidRPr="0027134F">
        <w:rPr>
          <w:rFonts w:asciiTheme="minorHAnsi" w:eastAsiaTheme="minorHAnsi" w:hAnsiTheme="minorHAnsi" w:cstheme="minorHAnsi"/>
          <w:b w:val="0"/>
          <w:bCs w:val="0"/>
          <w:iCs/>
          <w:snapToGrid w:val="0"/>
          <w:szCs w:val="18"/>
        </w:rPr>
        <w:t>As per Category B1 in terms of human studies but</w:t>
      </w:r>
      <w:r w:rsidRPr="0027134F">
        <w:rPr>
          <w:rFonts w:asciiTheme="minorHAnsi" w:eastAsiaTheme="minorHAnsi" w:hAnsiTheme="minorHAnsi" w:cstheme="minorHAnsi"/>
          <w:b w:val="0"/>
          <w:bCs w:val="0"/>
          <w:iCs/>
          <w:snapToGrid w:val="0"/>
          <w:szCs w:val="18"/>
        </w:rPr>
        <w:t xml:space="preserve"> studies in animals have shown evidence of an increased occurrence of fetal damage, the significance of which is considered uncertain in humans.</w:t>
      </w:r>
    </w:p>
    <w:p w14:paraId="73839F8E" w14:textId="72E0D58F" w:rsidR="00A906C0" w:rsidRPr="00F1611D" w:rsidRDefault="004D5C69" w:rsidP="00F1611D">
      <w:pPr>
        <w:pStyle w:val="TableHeading0"/>
        <w:spacing w:before="0" w:after="0"/>
        <w:rPr>
          <w:rFonts w:asciiTheme="minorHAnsi" w:eastAsiaTheme="minorHAnsi" w:hAnsiTheme="minorHAnsi" w:cstheme="minorHAnsi"/>
          <w:b w:val="0"/>
          <w:bCs w:val="0"/>
          <w:iCs/>
          <w:snapToGrid w:val="0"/>
          <w:szCs w:val="18"/>
        </w:rPr>
      </w:pPr>
      <w:r w:rsidRPr="0027134F">
        <w:rPr>
          <w:rFonts w:asciiTheme="minorHAnsi" w:eastAsiaTheme="minorHAnsi" w:hAnsiTheme="minorHAnsi" w:cstheme="minorHAnsi"/>
          <w:b w:val="0"/>
          <w:bCs w:val="0"/>
          <w:iCs/>
          <w:snapToGrid w:val="0"/>
          <w:szCs w:val="18"/>
        </w:rPr>
        <w:t>Category X = Drugs which have a high risk of causing permanent damage to the fetus which should not be used in pregnancy or when there is a possibility of pregnancy.</w:t>
      </w:r>
    </w:p>
    <w:p w14:paraId="1B8CF729" w14:textId="77777777" w:rsidR="00A906C0" w:rsidRDefault="00A906C0" w:rsidP="00EF5D3B">
      <w:pPr>
        <w:sectPr w:rsidR="00A906C0" w:rsidSect="00A906C0">
          <w:pgSz w:w="16838" w:h="11906" w:orient="landscape"/>
          <w:pgMar w:top="1588" w:right="1644" w:bottom="1361" w:left="1644" w:header="709" w:footer="709" w:gutter="0"/>
          <w:cols w:space="708"/>
          <w:docGrid w:linePitch="360"/>
        </w:sectPr>
      </w:pPr>
    </w:p>
    <w:p w14:paraId="09F29B04" w14:textId="77777777" w:rsidR="006B709B" w:rsidRDefault="006B709B" w:rsidP="00EF5D3B">
      <w:pPr>
        <w:pStyle w:val="Heading2"/>
      </w:pPr>
      <w:r>
        <w:t>Dosage and administration</w:t>
      </w:r>
    </w:p>
    <w:p w14:paraId="3B31A7FE" w14:textId="77777777" w:rsidR="00AE3BA7" w:rsidRDefault="00AE3BA7" w:rsidP="00EF5D3B">
      <w:r>
        <w:t xml:space="preserve">The dose and frequency of administration of direct acting antiviral therapy listed on the PBS is </w:t>
      </w:r>
      <w:r w:rsidR="00584FCF">
        <w:t xml:space="preserve">summarised in </w:t>
      </w:r>
      <w:r w:rsidR="00E63020">
        <w:t xml:space="preserve">Appendix </w:t>
      </w:r>
      <w:r w:rsidR="00356421">
        <w:t>1.</w:t>
      </w:r>
    </w:p>
    <w:p w14:paraId="7B06964F" w14:textId="77777777" w:rsidR="00F91050" w:rsidRDefault="00A81BD6" w:rsidP="00EF5D3B">
      <w:r>
        <w:t xml:space="preserve">Direct acting antiviral </w:t>
      </w:r>
      <w:r w:rsidR="00AE3BA7">
        <w:t>therapy is</w:t>
      </w:r>
      <w:r>
        <w:t xml:space="preserve"> administered orally</w:t>
      </w:r>
      <w:r w:rsidR="00E73EAE">
        <w:t>.</w:t>
      </w:r>
    </w:p>
    <w:p w14:paraId="46C14923" w14:textId="77777777" w:rsidR="009E134C" w:rsidRPr="00B50A15" w:rsidRDefault="009E134C" w:rsidP="00EF5D3B">
      <w:pPr>
        <w:rPr>
          <w:highlight w:val="yellow"/>
        </w:rPr>
      </w:pPr>
      <w:r>
        <w:t>The duration of each drug regimen depending on a patient</w:t>
      </w:r>
      <w:r w:rsidR="00F7153B">
        <w:t>’</w:t>
      </w:r>
      <w:r>
        <w:t>s HCV genotype, cirrhotic</w:t>
      </w:r>
      <w:r w:rsidR="006B5F78">
        <w:t xml:space="preserve"> status</w:t>
      </w:r>
      <w:r w:rsidR="00357B77">
        <w:t xml:space="preserve"> and </w:t>
      </w:r>
      <w:r>
        <w:t xml:space="preserve">prior therapy received is set out in the </w:t>
      </w:r>
      <w:r w:rsidRPr="00EB5E6F">
        <w:rPr>
          <w:i/>
        </w:rPr>
        <w:t>General Statement for Drugs for the Treatment of Hepatitis C</w:t>
      </w:r>
      <w:r>
        <w:rPr>
          <w:i/>
        </w:rPr>
        <w:t xml:space="preserve">. </w:t>
      </w:r>
      <w:r w:rsidR="00B50A15">
        <w:t>The duration of subsidised therapy is consistent with the recommended treatment time for the medicines in their respective Product Information.</w:t>
      </w:r>
    </w:p>
    <w:p w14:paraId="001FA80C" w14:textId="77777777" w:rsidR="00DF0B13" w:rsidRPr="007247B9" w:rsidDel="00EE2BBB" w:rsidRDefault="00DF0B13" w:rsidP="00EF5D3B">
      <w:pPr>
        <w:pStyle w:val="Heading2"/>
      </w:pPr>
      <w:r w:rsidRPr="007247B9" w:rsidDel="00EE2BBB">
        <w:t>PBS listing details</w:t>
      </w:r>
      <w:r w:rsidR="00B42BCE">
        <w:t xml:space="preserve"> (as at July 2018</w:t>
      </w:r>
      <w:r w:rsidR="00D151EB" w:rsidDel="00EE2BBB">
        <w:t>)</w:t>
      </w:r>
    </w:p>
    <w:p w14:paraId="597E9027" w14:textId="77777777" w:rsidR="00B42BCE" w:rsidRDefault="00E246BF" w:rsidP="00EF5D3B">
      <w:pPr>
        <w:rPr>
          <w:highlight w:val="yellow"/>
        </w:rPr>
      </w:pPr>
      <w:r>
        <w:t>A summary of th</w:t>
      </w:r>
      <w:r w:rsidR="00A73E88">
        <w:t>e PBS listings is provided at Appendix</w:t>
      </w:r>
      <w:r>
        <w:t xml:space="preserve"> </w:t>
      </w:r>
      <w:r w:rsidR="00506CB3">
        <w:t>2</w:t>
      </w:r>
      <w:r>
        <w:t>.</w:t>
      </w:r>
    </w:p>
    <w:p w14:paraId="676D000F" w14:textId="77777777" w:rsidR="004C3186" w:rsidDel="00EE2BBB" w:rsidRDefault="004C3186" w:rsidP="00EF5D3B">
      <w:pPr>
        <w:pStyle w:val="Heading3"/>
      </w:pPr>
      <w:r w:rsidDel="00EE2BBB">
        <w:t>Restriction</w:t>
      </w:r>
      <w:r w:rsidR="003D630B">
        <w:t xml:space="preserve"> and </w:t>
      </w:r>
      <w:r w:rsidR="001D519C">
        <w:t xml:space="preserve">medicine </w:t>
      </w:r>
      <w:r w:rsidR="003D630B">
        <w:t>supply arrangements</w:t>
      </w:r>
    </w:p>
    <w:p w14:paraId="5BA82A25" w14:textId="6A9E94DD" w:rsidR="000D5FDD" w:rsidRPr="006775F1" w:rsidDel="00EE2BBB" w:rsidRDefault="008C0BFF" w:rsidP="00EF5D3B">
      <w:r w:rsidRPr="008C0BFF">
        <w:t xml:space="preserve">The </w:t>
      </w:r>
      <w:r w:rsidRPr="008C0BFF">
        <w:rPr>
          <w:i/>
        </w:rPr>
        <w:t>General Statement for Drugs for the Treatment of Hepatitis C</w:t>
      </w:r>
      <w:r>
        <w:t xml:space="preserve"> </w:t>
      </w:r>
      <w:r w:rsidR="00DC5CEF">
        <w:t xml:space="preserve">(the ‘Statement’) </w:t>
      </w:r>
      <w:r>
        <w:t xml:space="preserve">sets out the </w:t>
      </w:r>
      <w:r w:rsidRPr="008C0BFF">
        <w:t xml:space="preserve">criteria to determine patient eligibility for subsidisation under the PBS for </w:t>
      </w:r>
      <w:r w:rsidR="001760DE">
        <w:t xml:space="preserve">the treatment of </w:t>
      </w:r>
      <w:r w:rsidR="003B3CCE">
        <w:t>chronic hepatitis C (</w:t>
      </w:r>
      <w:r w:rsidR="001760DE">
        <w:t>CHC</w:t>
      </w:r>
      <w:r w:rsidR="003B3CCE">
        <w:t>)</w:t>
      </w:r>
      <w:r w:rsidR="001760DE">
        <w:t xml:space="preserve"> infection</w:t>
      </w:r>
      <w:r w:rsidRPr="008C0BFF">
        <w:t>.</w:t>
      </w:r>
      <w:r>
        <w:t xml:space="preserve"> </w:t>
      </w:r>
      <w:r w:rsidR="00F84807">
        <w:t xml:space="preserve">The Statement includes matrices to identify patient eligibility for the available drug regimens based on the </w:t>
      </w:r>
      <w:r w:rsidR="00B41808">
        <w:t>HCV</w:t>
      </w:r>
      <w:r w:rsidR="00F84807">
        <w:t xml:space="preserve"> genotype, and the patient’s cirrhotic status and treatment history. </w:t>
      </w:r>
      <w:r w:rsidR="0090454A">
        <w:t xml:space="preserve">Patients must be aged 18 years or older. </w:t>
      </w:r>
      <w:r w:rsidR="002157FE">
        <w:t xml:space="preserve">A copy of the Statement as at August 2018 is provided at Appendix </w:t>
      </w:r>
      <w:r w:rsidR="00506CB3">
        <w:t>3</w:t>
      </w:r>
      <w:r w:rsidR="002157FE">
        <w:t xml:space="preserve">. </w:t>
      </w:r>
      <w:r w:rsidR="00E63020">
        <w:t xml:space="preserve">Previous and </w:t>
      </w:r>
      <w:r w:rsidR="00602182">
        <w:t>any subsequent</w:t>
      </w:r>
      <w:r w:rsidR="002157FE">
        <w:t xml:space="preserve"> versions can be accessed from </w:t>
      </w:r>
      <w:r w:rsidR="000D5FDD">
        <w:t xml:space="preserve">the </w:t>
      </w:r>
      <w:r w:rsidR="000D5FDD" w:rsidRPr="00EB5E6F" w:rsidDel="00EE2BBB">
        <w:t>PBS website.</w:t>
      </w:r>
    </w:p>
    <w:p w14:paraId="5D65C074" w14:textId="77777777" w:rsidR="007D663E" w:rsidRDefault="00C92A36" w:rsidP="00EF5D3B">
      <w:r w:rsidRPr="00C92A36">
        <w:t xml:space="preserve">The medicines </w:t>
      </w:r>
      <w:r>
        <w:t xml:space="preserve">for CHC </w:t>
      </w:r>
      <w:r w:rsidRPr="00C92A36">
        <w:t xml:space="preserve">are available </w:t>
      </w:r>
      <w:r>
        <w:t xml:space="preserve">as Authority Required listings </w:t>
      </w:r>
      <w:r w:rsidRPr="00C92A36">
        <w:t>through both the</w:t>
      </w:r>
      <w:r w:rsidR="00D13748">
        <w:t xml:space="preserve"> PBS General Schedule (‘S</w:t>
      </w:r>
      <w:r w:rsidRPr="00C92A36">
        <w:t>85’) and the Section 100 (</w:t>
      </w:r>
      <w:r>
        <w:t>‘</w:t>
      </w:r>
      <w:r w:rsidRPr="00C92A36">
        <w:t>S100</w:t>
      </w:r>
      <w:r>
        <w:t>’</w:t>
      </w:r>
      <w:r w:rsidRPr="00C92A36">
        <w:t>) Highly Specialised Drugs (HSD) Program</w:t>
      </w:r>
      <w:r>
        <w:t xml:space="preserve">. This does not include the HSD Community Access arrangements. </w:t>
      </w:r>
      <w:r w:rsidR="0020239D">
        <w:t xml:space="preserve">Further details about the listing arrangements for the DAA medicines are available in the hepatitis C factsheet for </w:t>
      </w:r>
      <w:r w:rsidR="0020239D" w:rsidRPr="00EB5E6F">
        <w:t>community-based prescribers</w:t>
      </w:r>
      <w:r w:rsidR="0020239D">
        <w:t xml:space="preserve"> and </w:t>
      </w:r>
      <w:r w:rsidR="0020239D" w:rsidRPr="00EB5E6F">
        <w:t>hospital prescribers</w:t>
      </w:r>
      <w:r w:rsidR="0020239D">
        <w:t xml:space="preserve">. </w:t>
      </w:r>
    </w:p>
    <w:p w14:paraId="23951B60" w14:textId="77777777" w:rsidR="00D06D89" w:rsidRDefault="00C92A36" w:rsidP="00EF5D3B">
      <w:r>
        <w:t>Patient</w:t>
      </w:r>
      <w:r w:rsidRPr="00C92A36">
        <w:t xml:space="preserve"> eligibility is the same</w:t>
      </w:r>
      <w:r w:rsidR="00D13748">
        <w:t xml:space="preserve"> for both the S85 and S100 listings</w:t>
      </w:r>
      <w:r w:rsidR="00724AAF">
        <w:t xml:space="preserve">. </w:t>
      </w:r>
      <w:r w:rsidR="006C6F95">
        <w:t xml:space="preserve">People in custodial settings are able to access </w:t>
      </w:r>
      <w:r w:rsidR="00643925">
        <w:t xml:space="preserve">DAA medicines for the treatment of CHC under the </w:t>
      </w:r>
      <w:r w:rsidR="006C6F95">
        <w:t xml:space="preserve">HSD </w:t>
      </w:r>
      <w:r w:rsidR="00643925">
        <w:t>program</w:t>
      </w:r>
      <w:r w:rsidR="006C6F95">
        <w:t xml:space="preserve">. </w:t>
      </w:r>
      <w:r w:rsidR="00E0390D">
        <w:t xml:space="preserve">It is a matter for the state and territory justice and health departments to establish arrangements for the supply of </w:t>
      </w:r>
      <w:r w:rsidR="00643925">
        <w:t>these</w:t>
      </w:r>
      <w:r w:rsidR="00E0390D">
        <w:t xml:space="preserve"> medicines to prisoners.</w:t>
      </w:r>
      <w:r w:rsidR="00C615E2">
        <w:rPr>
          <w:rStyle w:val="FootnoteReference"/>
        </w:rPr>
        <w:footnoteReference w:id="2"/>
      </w:r>
      <w:r w:rsidR="00E0390D">
        <w:t xml:space="preserve"> </w:t>
      </w:r>
    </w:p>
    <w:p w14:paraId="2A4807AB" w14:textId="77777777" w:rsidR="00454C44" w:rsidRDefault="00745DBF" w:rsidP="00EF5D3B">
      <w:r>
        <w:t>If more than one medicine is prescribed as part of a course of treatment, a separate authority prescription must be authorised for each medicine for PBS subsidy. A</w:t>
      </w:r>
      <w:r w:rsidR="00602182">
        <w:t>n original</w:t>
      </w:r>
      <w:r>
        <w:t xml:space="preserve"> prescription can be written for a full course of treatment. Prescribers can apply for the appropriate number of repeats to cover the duration of the relevant treatment course. If a prescription is issued under the S85 General Schedule, the medicine can be dispensed by approved pharmacists in the community. </w:t>
      </w:r>
      <w:r w:rsidR="00697473">
        <w:t>Prescriptions written under S100 HSD arrangements in a public hospital must be dispensed by a section 94 approved hospital authority.</w:t>
      </w:r>
      <w:r w:rsidR="0060487E">
        <w:t xml:space="preserve"> </w:t>
      </w:r>
    </w:p>
    <w:p w14:paraId="285B0423" w14:textId="77777777" w:rsidR="00784E29" w:rsidRDefault="00784E29" w:rsidP="00EF5D3B">
      <w:r>
        <w:t>At the time of an Authority application, information about the patient’s hepatitis C virus genotype and cirrhotic status (either cirrhotic or non-cirrhotic) must be provided.</w:t>
      </w:r>
    </w:p>
    <w:p w14:paraId="46BA8476" w14:textId="77777777" w:rsidR="0099151C" w:rsidRDefault="00AF2836" w:rsidP="00EF5D3B">
      <w:r>
        <w:t>P</w:t>
      </w:r>
      <w:r w:rsidR="00DC5CEF">
        <w:t xml:space="preserve">eginterferon alfa-2a </w:t>
      </w:r>
      <w:r w:rsidR="00BC5E02">
        <w:t xml:space="preserve">and ribavirin are </w:t>
      </w:r>
      <w:r w:rsidR="00DC5CEF">
        <w:t xml:space="preserve">listed on the PBS for </w:t>
      </w:r>
      <w:r>
        <w:t xml:space="preserve">use as part of a DAA regimen for </w:t>
      </w:r>
      <w:r w:rsidR="00DC5CEF">
        <w:t>the treatment of chronic hepatitis C. Peginterferon alfa-2a is available as an Authority Required Section 100 Highly Specialised Drug listing with treatment limited to a maximum duration of 12 weeks.</w:t>
      </w:r>
      <w:r>
        <w:t xml:space="preserve"> Ribavirin has Authority Required S100 and General Schedule listings and is limited to a maximum treatment duration of 24 weeks.</w:t>
      </w:r>
    </w:p>
    <w:p w14:paraId="7C788339" w14:textId="77777777" w:rsidR="00074AA2" w:rsidRPr="008C0BFF" w:rsidRDefault="00BE37E2" w:rsidP="00EF5D3B">
      <w:r>
        <w:t>A</w:t>
      </w:r>
      <w:r w:rsidR="00074AA2" w:rsidRPr="00074AA2">
        <w:t xml:space="preserve">ll medical practitioners, including general practitioners, who are experienced in the treatment of CHC </w:t>
      </w:r>
      <w:r w:rsidR="00AC1E13" w:rsidRPr="00074AA2">
        <w:t>infection,</w:t>
      </w:r>
      <w:r w:rsidR="00074AA2" w:rsidRPr="00074AA2">
        <w:t xml:space="preserve"> can prescribe the hepatitis C medicines.  All other medical practitioners may prescribe under the PBS in consultation with a gastroenterologist, hepatologist, or infectious disease physician experienced in the treatment of CHC infection. </w:t>
      </w:r>
      <w:r w:rsidR="00C6682E">
        <w:t xml:space="preserve">From </w:t>
      </w:r>
      <w:r w:rsidR="00074AA2" w:rsidRPr="00074AA2">
        <w:t>1 June 2017 authorised nurse practitioners experienced in treating CHC infection have been able to prescribe the hepatitis C medicines under the General Schedule. All other nurse practitioners may prescribe under the PBS General Schedule in consultation with a gastroenterologist, hepatologist, or infectious disease physician</w:t>
      </w:r>
      <w:r w:rsidR="00065FF2">
        <w:t xml:space="preserve"> if in accordance with state and territory requirements</w:t>
      </w:r>
      <w:r w:rsidR="00074AA2" w:rsidRPr="00074AA2">
        <w:t>. For further information</w:t>
      </w:r>
      <w:r w:rsidR="00265127">
        <w:t xml:space="preserve"> about eligible prescribers</w:t>
      </w:r>
      <w:r w:rsidR="00074AA2" w:rsidRPr="00074AA2">
        <w:t xml:space="preserve">, refer to the </w:t>
      </w:r>
      <w:r w:rsidR="00074AA2" w:rsidRPr="00EB5E6F">
        <w:t>Hepatitis C Medicines – Fact Sheet for Community Based Prescribers</w:t>
      </w:r>
      <w:r w:rsidR="00074AA2" w:rsidRPr="00074AA2">
        <w:t>.</w:t>
      </w:r>
    </w:p>
    <w:p w14:paraId="364F122D" w14:textId="77777777" w:rsidR="009C35F2" w:rsidRDefault="009C35F2" w:rsidP="00EF5D3B">
      <w:pPr>
        <w:pStyle w:val="Heading3"/>
      </w:pPr>
      <w:r w:rsidRPr="00675BB1" w:rsidDel="00EE2BBB">
        <w:t>Date of listing on PBS</w:t>
      </w:r>
    </w:p>
    <w:tbl>
      <w:tblPr>
        <w:tblStyle w:val="TableGrid"/>
        <w:tblW w:w="0" w:type="auto"/>
        <w:tblLook w:val="04A0" w:firstRow="1" w:lastRow="0" w:firstColumn="1" w:lastColumn="0" w:noHBand="0" w:noVBand="1"/>
        <w:tblCaption w:val="Date of listing on PBS"/>
        <w:tblDescription w:val="Summary of listings on the PBS for the treatment of chronic hepatitis C"/>
      </w:tblPr>
      <w:tblGrid>
        <w:gridCol w:w="6204"/>
        <w:gridCol w:w="1701"/>
      </w:tblGrid>
      <w:tr w:rsidR="00161620" w:rsidRPr="00D8500E" w14:paraId="50EE8C76" w14:textId="77777777" w:rsidTr="0099210C">
        <w:trPr>
          <w:tblHeader/>
        </w:trPr>
        <w:tc>
          <w:tcPr>
            <w:tcW w:w="6204" w:type="dxa"/>
            <w:shd w:val="clear" w:color="auto" w:fill="BFBFBF" w:themeFill="background1" w:themeFillShade="BF"/>
          </w:tcPr>
          <w:p w14:paraId="1279148E" w14:textId="77777777" w:rsidR="00161620" w:rsidRPr="00D8500E" w:rsidRDefault="00161620" w:rsidP="00EF5D3B">
            <w:pPr>
              <w:jc w:val="center"/>
              <w:rPr>
                <w:b/>
                <w:sz w:val="20"/>
                <w:szCs w:val="20"/>
              </w:rPr>
            </w:pPr>
            <w:r w:rsidRPr="00D8500E">
              <w:rPr>
                <w:b/>
                <w:sz w:val="20"/>
                <w:szCs w:val="20"/>
              </w:rPr>
              <w:t>Drug name</w:t>
            </w:r>
          </w:p>
        </w:tc>
        <w:tc>
          <w:tcPr>
            <w:tcW w:w="1701" w:type="dxa"/>
            <w:shd w:val="clear" w:color="auto" w:fill="BFBFBF" w:themeFill="background1" w:themeFillShade="BF"/>
          </w:tcPr>
          <w:p w14:paraId="4A1634A5" w14:textId="77777777" w:rsidR="00161620" w:rsidRPr="00D8500E" w:rsidRDefault="00161620" w:rsidP="00EF5D3B">
            <w:pPr>
              <w:jc w:val="center"/>
              <w:rPr>
                <w:b/>
                <w:sz w:val="20"/>
                <w:szCs w:val="20"/>
              </w:rPr>
            </w:pPr>
            <w:r w:rsidRPr="00D8500E">
              <w:rPr>
                <w:b/>
                <w:sz w:val="20"/>
                <w:szCs w:val="20"/>
              </w:rPr>
              <w:t>Listing date</w:t>
            </w:r>
          </w:p>
        </w:tc>
      </w:tr>
      <w:tr w:rsidR="00161620" w:rsidRPr="0077079D" w14:paraId="60884A78" w14:textId="77777777" w:rsidTr="00BA2239">
        <w:tc>
          <w:tcPr>
            <w:tcW w:w="6204" w:type="dxa"/>
          </w:tcPr>
          <w:p w14:paraId="6A8F61A2" w14:textId="77777777" w:rsidR="00161620" w:rsidRPr="0077079D" w:rsidRDefault="00161620" w:rsidP="00EF5D3B">
            <w:pPr>
              <w:rPr>
                <w:sz w:val="20"/>
                <w:szCs w:val="20"/>
              </w:rPr>
            </w:pPr>
            <w:r>
              <w:rPr>
                <w:sz w:val="20"/>
                <w:szCs w:val="20"/>
              </w:rPr>
              <w:t>Daclatasvir</w:t>
            </w:r>
          </w:p>
        </w:tc>
        <w:tc>
          <w:tcPr>
            <w:tcW w:w="1701" w:type="dxa"/>
          </w:tcPr>
          <w:p w14:paraId="19A16ABB" w14:textId="77777777" w:rsidR="00161620" w:rsidRPr="0077079D" w:rsidRDefault="00161620" w:rsidP="00EF5D3B">
            <w:pPr>
              <w:jc w:val="center"/>
              <w:rPr>
                <w:sz w:val="20"/>
                <w:szCs w:val="20"/>
              </w:rPr>
            </w:pPr>
            <w:r>
              <w:rPr>
                <w:sz w:val="20"/>
                <w:szCs w:val="20"/>
              </w:rPr>
              <w:t>1 March 2016</w:t>
            </w:r>
          </w:p>
        </w:tc>
      </w:tr>
      <w:tr w:rsidR="00161620" w:rsidRPr="0077079D" w14:paraId="21B66569" w14:textId="77777777" w:rsidTr="00BA2239">
        <w:tc>
          <w:tcPr>
            <w:tcW w:w="6204" w:type="dxa"/>
          </w:tcPr>
          <w:p w14:paraId="679DC2D2" w14:textId="77777777" w:rsidR="00161620" w:rsidRPr="007B5E4F" w:rsidRDefault="00161620" w:rsidP="00EF5D3B">
            <w:pPr>
              <w:rPr>
                <w:sz w:val="20"/>
                <w:szCs w:val="20"/>
              </w:rPr>
            </w:pPr>
            <w:r w:rsidRPr="007B5E4F">
              <w:rPr>
                <w:sz w:val="20"/>
                <w:szCs w:val="20"/>
              </w:rPr>
              <w:t>Ledipasvir with sofosbuvir</w:t>
            </w:r>
          </w:p>
        </w:tc>
        <w:tc>
          <w:tcPr>
            <w:tcW w:w="1701" w:type="dxa"/>
          </w:tcPr>
          <w:p w14:paraId="2A47DB57" w14:textId="77777777" w:rsidR="00161620" w:rsidRDefault="00161620" w:rsidP="00EF5D3B">
            <w:pPr>
              <w:jc w:val="center"/>
              <w:rPr>
                <w:sz w:val="20"/>
                <w:szCs w:val="20"/>
              </w:rPr>
            </w:pPr>
            <w:r>
              <w:rPr>
                <w:sz w:val="20"/>
                <w:szCs w:val="20"/>
              </w:rPr>
              <w:t>1 March 2016</w:t>
            </w:r>
          </w:p>
        </w:tc>
      </w:tr>
      <w:tr w:rsidR="00161620" w:rsidRPr="0077079D" w14:paraId="763E049E" w14:textId="77777777" w:rsidTr="00BA2239">
        <w:tc>
          <w:tcPr>
            <w:tcW w:w="6204" w:type="dxa"/>
          </w:tcPr>
          <w:p w14:paraId="6D5D2796" w14:textId="77777777" w:rsidR="00161620" w:rsidRPr="007B5E4F" w:rsidRDefault="00161620" w:rsidP="00EF5D3B">
            <w:pPr>
              <w:rPr>
                <w:sz w:val="20"/>
                <w:szCs w:val="20"/>
              </w:rPr>
            </w:pPr>
            <w:r w:rsidRPr="007B5E4F">
              <w:rPr>
                <w:sz w:val="20"/>
                <w:szCs w:val="20"/>
              </w:rPr>
              <w:t>Ribavirin</w:t>
            </w:r>
          </w:p>
        </w:tc>
        <w:tc>
          <w:tcPr>
            <w:tcW w:w="1701" w:type="dxa"/>
          </w:tcPr>
          <w:p w14:paraId="29C49968" w14:textId="77777777" w:rsidR="00161620" w:rsidRDefault="00161620" w:rsidP="00EF5D3B">
            <w:pPr>
              <w:jc w:val="center"/>
              <w:rPr>
                <w:sz w:val="20"/>
                <w:szCs w:val="20"/>
              </w:rPr>
            </w:pPr>
            <w:r>
              <w:rPr>
                <w:sz w:val="20"/>
                <w:szCs w:val="20"/>
              </w:rPr>
              <w:t>1 March 2016</w:t>
            </w:r>
          </w:p>
        </w:tc>
      </w:tr>
      <w:tr w:rsidR="00161620" w:rsidRPr="0077079D" w14:paraId="5C124A72" w14:textId="77777777" w:rsidTr="00BA2239">
        <w:tc>
          <w:tcPr>
            <w:tcW w:w="6204" w:type="dxa"/>
          </w:tcPr>
          <w:p w14:paraId="4444196F" w14:textId="77777777" w:rsidR="00161620" w:rsidRPr="007B5E4F" w:rsidRDefault="00161620" w:rsidP="00EF5D3B">
            <w:pPr>
              <w:rPr>
                <w:sz w:val="20"/>
                <w:szCs w:val="20"/>
              </w:rPr>
            </w:pPr>
            <w:r w:rsidRPr="007B5E4F">
              <w:rPr>
                <w:sz w:val="20"/>
                <w:szCs w:val="20"/>
              </w:rPr>
              <w:t>Sofosbuvir</w:t>
            </w:r>
          </w:p>
        </w:tc>
        <w:tc>
          <w:tcPr>
            <w:tcW w:w="1701" w:type="dxa"/>
          </w:tcPr>
          <w:p w14:paraId="039090DE" w14:textId="77777777" w:rsidR="00161620" w:rsidRDefault="00161620" w:rsidP="00EF5D3B">
            <w:pPr>
              <w:jc w:val="center"/>
              <w:rPr>
                <w:sz w:val="20"/>
                <w:szCs w:val="20"/>
              </w:rPr>
            </w:pPr>
            <w:r>
              <w:rPr>
                <w:sz w:val="20"/>
                <w:szCs w:val="20"/>
              </w:rPr>
              <w:t>1 March 2016</w:t>
            </w:r>
          </w:p>
        </w:tc>
      </w:tr>
      <w:tr w:rsidR="00161620" w:rsidRPr="0077079D" w14:paraId="437F5A83" w14:textId="77777777" w:rsidTr="00BA2239">
        <w:tc>
          <w:tcPr>
            <w:tcW w:w="6204" w:type="dxa"/>
          </w:tcPr>
          <w:p w14:paraId="44BEE14A" w14:textId="77777777" w:rsidR="00161620" w:rsidRPr="0077079D" w:rsidRDefault="00161620" w:rsidP="00EF5D3B">
            <w:pPr>
              <w:rPr>
                <w:sz w:val="20"/>
                <w:szCs w:val="20"/>
              </w:rPr>
            </w:pPr>
            <w:r w:rsidRPr="007B5E4F">
              <w:rPr>
                <w:sz w:val="20"/>
                <w:szCs w:val="20"/>
              </w:rPr>
              <w:t>Paritaprevir with ritonavir with ombitasvir and dasabuvir</w:t>
            </w:r>
          </w:p>
        </w:tc>
        <w:tc>
          <w:tcPr>
            <w:tcW w:w="1701" w:type="dxa"/>
          </w:tcPr>
          <w:p w14:paraId="69D5A09B" w14:textId="77777777" w:rsidR="00161620" w:rsidRPr="0077079D" w:rsidRDefault="00161620" w:rsidP="00EF5D3B">
            <w:pPr>
              <w:jc w:val="center"/>
              <w:rPr>
                <w:sz w:val="20"/>
                <w:szCs w:val="20"/>
              </w:rPr>
            </w:pPr>
            <w:r>
              <w:rPr>
                <w:sz w:val="20"/>
                <w:szCs w:val="20"/>
              </w:rPr>
              <w:t>1 May 2016</w:t>
            </w:r>
          </w:p>
        </w:tc>
      </w:tr>
      <w:tr w:rsidR="00161620" w:rsidRPr="0077079D" w14:paraId="64595828" w14:textId="77777777" w:rsidTr="00BA2239">
        <w:tc>
          <w:tcPr>
            <w:tcW w:w="6204" w:type="dxa"/>
          </w:tcPr>
          <w:p w14:paraId="07C02544" w14:textId="77777777" w:rsidR="00161620" w:rsidRPr="0077079D" w:rsidRDefault="00161620" w:rsidP="00EF5D3B">
            <w:pPr>
              <w:rPr>
                <w:sz w:val="20"/>
                <w:szCs w:val="20"/>
              </w:rPr>
            </w:pPr>
            <w:r w:rsidRPr="007B5E4F">
              <w:rPr>
                <w:sz w:val="20"/>
                <w:szCs w:val="20"/>
              </w:rPr>
              <w:t>Paritaprevir with ritonavir with ombitasvir and dasabuvir and ribavirin</w:t>
            </w:r>
          </w:p>
        </w:tc>
        <w:tc>
          <w:tcPr>
            <w:tcW w:w="1701" w:type="dxa"/>
          </w:tcPr>
          <w:p w14:paraId="716254BA" w14:textId="77777777" w:rsidR="00161620" w:rsidRPr="0077079D" w:rsidRDefault="00161620" w:rsidP="00EF5D3B">
            <w:pPr>
              <w:jc w:val="center"/>
              <w:rPr>
                <w:sz w:val="20"/>
                <w:szCs w:val="20"/>
              </w:rPr>
            </w:pPr>
            <w:r>
              <w:rPr>
                <w:sz w:val="20"/>
                <w:szCs w:val="20"/>
              </w:rPr>
              <w:t>1 May 2016</w:t>
            </w:r>
          </w:p>
        </w:tc>
      </w:tr>
      <w:tr w:rsidR="00161620" w:rsidRPr="0077079D" w14:paraId="26DC4F0A" w14:textId="77777777" w:rsidTr="00BA2239">
        <w:tc>
          <w:tcPr>
            <w:tcW w:w="6204" w:type="dxa"/>
          </w:tcPr>
          <w:p w14:paraId="5297E8A5" w14:textId="77777777" w:rsidR="00161620" w:rsidRPr="0077079D" w:rsidRDefault="00161620" w:rsidP="00EF5D3B">
            <w:pPr>
              <w:rPr>
                <w:sz w:val="20"/>
                <w:szCs w:val="20"/>
              </w:rPr>
            </w:pPr>
            <w:r w:rsidRPr="007B5E4F">
              <w:rPr>
                <w:sz w:val="20"/>
                <w:szCs w:val="20"/>
              </w:rPr>
              <w:t>Grazoprevir with elbasvir</w:t>
            </w:r>
          </w:p>
        </w:tc>
        <w:tc>
          <w:tcPr>
            <w:tcW w:w="1701" w:type="dxa"/>
          </w:tcPr>
          <w:p w14:paraId="28C4F449" w14:textId="77777777" w:rsidR="00161620" w:rsidRPr="0077079D" w:rsidRDefault="00161620" w:rsidP="00EF5D3B">
            <w:pPr>
              <w:jc w:val="center"/>
              <w:rPr>
                <w:sz w:val="20"/>
                <w:szCs w:val="20"/>
              </w:rPr>
            </w:pPr>
            <w:r>
              <w:rPr>
                <w:sz w:val="20"/>
                <w:szCs w:val="20"/>
              </w:rPr>
              <w:t>1 January 2017</w:t>
            </w:r>
          </w:p>
        </w:tc>
      </w:tr>
      <w:tr w:rsidR="00161620" w:rsidRPr="0077079D" w14:paraId="31EC4EB7" w14:textId="77777777" w:rsidTr="00BA2239">
        <w:tc>
          <w:tcPr>
            <w:tcW w:w="6204" w:type="dxa"/>
          </w:tcPr>
          <w:p w14:paraId="6CD10726" w14:textId="77777777" w:rsidR="00161620" w:rsidRPr="0077079D" w:rsidRDefault="00161620" w:rsidP="00EF5D3B">
            <w:pPr>
              <w:rPr>
                <w:sz w:val="20"/>
                <w:szCs w:val="20"/>
              </w:rPr>
            </w:pPr>
            <w:r w:rsidRPr="007B5E4F">
              <w:rPr>
                <w:sz w:val="20"/>
                <w:szCs w:val="20"/>
              </w:rPr>
              <w:t>Sofosbuvir with velpatasvir</w:t>
            </w:r>
          </w:p>
        </w:tc>
        <w:tc>
          <w:tcPr>
            <w:tcW w:w="1701" w:type="dxa"/>
          </w:tcPr>
          <w:p w14:paraId="2A0C38D0" w14:textId="77777777" w:rsidR="00161620" w:rsidRPr="0077079D" w:rsidRDefault="00161620" w:rsidP="00EF5D3B">
            <w:pPr>
              <w:jc w:val="center"/>
              <w:rPr>
                <w:sz w:val="20"/>
                <w:szCs w:val="20"/>
              </w:rPr>
            </w:pPr>
            <w:r>
              <w:rPr>
                <w:sz w:val="20"/>
                <w:szCs w:val="20"/>
              </w:rPr>
              <w:t>1 August 2017</w:t>
            </w:r>
          </w:p>
        </w:tc>
      </w:tr>
      <w:tr w:rsidR="00C1677B" w:rsidRPr="0077079D" w14:paraId="423B1EDF" w14:textId="77777777" w:rsidTr="00BA2239">
        <w:tc>
          <w:tcPr>
            <w:tcW w:w="6204" w:type="dxa"/>
          </w:tcPr>
          <w:p w14:paraId="5194A370" w14:textId="77777777" w:rsidR="00C1677B" w:rsidRPr="007B5E4F" w:rsidRDefault="00C1677B" w:rsidP="00EF5D3B">
            <w:pPr>
              <w:rPr>
                <w:sz w:val="20"/>
                <w:szCs w:val="20"/>
              </w:rPr>
            </w:pPr>
            <w:r w:rsidRPr="00C1677B">
              <w:rPr>
                <w:sz w:val="20"/>
                <w:szCs w:val="20"/>
              </w:rPr>
              <w:t>Glecaprevir with pibrentasvir</w:t>
            </w:r>
          </w:p>
        </w:tc>
        <w:tc>
          <w:tcPr>
            <w:tcW w:w="1701" w:type="dxa"/>
          </w:tcPr>
          <w:p w14:paraId="4E4EDB2D" w14:textId="77777777" w:rsidR="00C1677B" w:rsidRDefault="00C1677B" w:rsidP="00EF5D3B">
            <w:pPr>
              <w:jc w:val="center"/>
              <w:rPr>
                <w:sz w:val="20"/>
                <w:szCs w:val="20"/>
              </w:rPr>
            </w:pPr>
            <w:r>
              <w:rPr>
                <w:sz w:val="20"/>
                <w:szCs w:val="20"/>
              </w:rPr>
              <w:t>1 August 2018</w:t>
            </w:r>
          </w:p>
        </w:tc>
      </w:tr>
    </w:tbl>
    <w:p w14:paraId="711C1C76" w14:textId="77777777" w:rsidR="00E40053" w:rsidRPr="00E40053" w:rsidRDefault="00675BB1" w:rsidP="00EF5D3B">
      <w:pPr>
        <w:pStyle w:val="Heading3"/>
      </w:pPr>
      <w:r w:rsidRPr="00675BB1" w:rsidDel="00EE2BBB">
        <w:t>Changes to listing</w:t>
      </w:r>
    </w:p>
    <w:p w14:paraId="5E7CD7B2" w14:textId="77777777" w:rsidR="00FB56DB" w:rsidRPr="00133441" w:rsidRDefault="00755B95" w:rsidP="00EF5D3B">
      <w:pPr>
        <w:pStyle w:val="Default"/>
        <w:spacing w:after="200"/>
        <w:rPr>
          <w:rFonts w:cs="Arial"/>
          <w:szCs w:val="22"/>
        </w:rPr>
      </w:pPr>
      <w:r>
        <w:t xml:space="preserve">In November 2016 the PBAC recommended amending the </w:t>
      </w:r>
      <w:r w:rsidR="00133441" w:rsidRPr="00133441">
        <w:t>Statement</w:t>
      </w:r>
      <w:r w:rsidR="007A37C2">
        <w:t xml:space="preserve"> </w:t>
      </w:r>
      <w:r w:rsidR="00B71D66">
        <w:rPr>
          <w:rFonts w:ascii="Arial" w:eastAsiaTheme="minorEastAsia" w:hAnsi="Arial" w:cs="Arial"/>
          <w:sz w:val="20"/>
          <w:szCs w:val="20"/>
          <w:lang w:eastAsia="en-AU"/>
        </w:rPr>
        <w:t>t</w:t>
      </w:r>
      <w:r w:rsidR="00B71D66" w:rsidRPr="00335E9A">
        <w:rPr>
          <w:rFonts w:asciiTheme="minorHAnsi" w:eastAsiaTheme="minorEastAsia" w:hAnsiTheme="minorHAnsi" w:cstheme="minorBidi"/>
          <w:color w:val="auto"/>
          <w:lang w:eastAsia="en-AU"/>
        </w:rPr>
        <w:t>o remove</w:t>
      </w:r>
      <w:r w:rsidRPr="00335E9A">
        <w:rPr>
          <w:rFonts w:asciiTheme="minorHAnsi" w:eastAsiaTheme="minorEastAsia" w:hAnsiTheme="minorHAnsi" w:cstheme="minorBidi"/>
          <w:color w:val="auto"/>
          <w:lang w:eastAsia="en-AU"/>
        </w:rPr>
        <w:t xml:space="preserve"> </w:t>
      </w:r>
      <w:r w:rsidR="00B71D66" w:rsidRPr="00335E9A">
        <w:rPr>
          <w:rFonts w:asciiTheme="minorHAnsi" w:eastAsiaTheme="minorEastAsia" w:hAnsiTheme="minorHAnsi" w:cstheme="minorBidi"/>
          <w:color w:val="auto"/>
          <w:lang w:eastAsia="en-AU"/>
        </w:rPr>
        <w:t>the criteria</w:t>
      </w:r>
      <w:r w:rsidRPr="00335E9A">
        <w:rPr>
          <w:rFonts w:asciiTheme="minorHAnsi" w:eastAsiaTheme="minorEastAsia" w:hAnsiTheme="minorHAnsi" w:cstheme="minorBidi"/>
          <w:color w:val="auto"/>
          <w:lang w:eastAsia="en-AU"/>
        </w:rPr>
        <w:t xml:space="preserve"> for treatment experienced patients </w:t>
      </w:r>
      <w:r w:rsidR="00B71D66" w:rsidRPr="00335E9A">
        <w:rPr>
          <w:rFonts w:asciiTheme="minorHAnsi" w:eastAsiaTheme="minorEastAsia" w:hAnsiTheme="minorHAnsi" w:cstheme="minorBidi"/>
          <w:color w:val="auto"/>
          <w:lang w:eastAsia="en-AU"/>
        </w:rPr>
        <w:t>requiring them to have</w:t>
      </w:r>
      <w:r w:rsidRPr="00335E9A">
        <w:rPr>
          <w:rFonts w:asciiTheme="minorHAnsi" w:eastAsiaTheme="minorEastAsia" w:hAnsiTheme="minorHAnsi" w:cstheme="minorBidi"/>
          <w:color w:val="auto"/>
          <w:lang w:eastAsia="en-AU"/>
        </w:rPr>
        <w:t xml:space="preserve"> failed prior treatment with peginterferon containing regimens</w:t>
      </w:r>
      <w:r w:rsidR="00B71D66" w:rsidRPr="00335E9A">
        <w:rPr>
          <w:rFonts w:asciiTheme="minorHAnsi" w:eastAsiaTheme="minorEastAsia" w:hAnsiTheme="minorHAnsi" w:cstheme="minorBidi"/>
          <w:color w:val="auto"/>
          <w:lang w:eastAsia="en-AU"/>
        </w:rPr>
        <w:t xml:space="preserve"> before accessing interferon-free drug regimens</w:t>
      </w:r>
      <w:r w:rsidRPr="00335E9A">
        <w:rPr>
          <w:rFonts w:asciiTheme="minorHAnsi" w:eastAsiaTheme="minorEastAsia" w:hAnsiTheme="minorHAnsi" w:cstheme="minorBidi"/>
          <w:color w:val="auto"/>
          <w:lang w:eastAsia="en-AU"/>
        </w:rPr>
        <w:t xml:space="preserve">. </w:t>
      </w:r>
      <w:r w:rsidR="00335E9A" w:rsidRPr="00335E9A">
        <w:rPr>
          <w:rFonts w:asciiTheme="minorHAnsi" w:eastAsiaTheme="minorEastAsia" w:hAnsiTheme="minorHAnsi" w:cstheme="minorBidi"/>
          <w:color w:val="auto"/>
          <w:lang w:eastAsia="en-AU"/>
        </w:rPr>
        <w:t xml:space="preserve">The amendments to the Statement were effective </w:t>
      </w:r>
      <w:r w:rsidR="00335E9A" w:rsidRPr="00142429">
        <w:rPr>
          <w:rFonts w:asciiTheme="minorHAnsi" w:eastAsiaTheme="minorEastAsia" w:hAnsiTheme="minorHAnsi" w:cstheme="minorBidi"/>
          <w:color w:val="auto"/>
          <w:lang w:eastAsia="en-AU"/>
        </w:rPr>
        <w:t xml:space="preserve">from </w:t>
      </w:r>
      <w:r w:rsidR="00C87D91" w:rsidRPr="00142429">
        <w:rPr>
          <w:rFonts w:cs="Arial"/>
          <w:szCs w:val="22"/>
        </w:rPr>
        <w:t>1 February 2017.</w:t>
      </w:r>
    </w:p>
    <w:p w14:paraId="766BB92D" w14:textId="77777777" w:rsidR="00E40053" w:rsidRPr="009E2A9E" w:rsidRDefault="009E2A9E" w:rsidP="00EF5D3B">
      <w:r w:rsidRPr="009E2A9E">
        <w:t>From 1 June 2017 the treatment criteria were change</w:t>
      </w:r>
      <w:r w:rsidR="00F7153B">
        <w:t>d</w:t>
      </w:r>
      <w:r w:rsidRPr="009E2A9E">
        <w:t xml:space="preserve"> to allow n</w:t>
      </w:r>
      <w:r w:rsidR="00E40053" w:rsidRPr="009E2A9E">
        <w:t xml:space="preserve">urse practitioners </w:t>
      </w:r>
      <w:r w:rsidRPr="0080700D">
        <w:t>to prescribe DAA medicines under the General Schedule only</w:t>
      </w:r>
      <w:r w:rsidRPr="009E2A9E">
        <w:t>.</w:t>
      </w:r>
    </w:p>
    <w:p w14:paraId="1DABFAAC" w14:textId="77777777" w:rsidR="00BF544D" w:rsidRPr="002F61CA" w:rsidDel="00EE2BBB" w:rsidRDefault="00BF544D" w:rsidP="00EF5D3B">
      <w:r w:rsidRPr="002F61CA" w:rsidDel="00EE2BBB">
        <w:t xml:space="preserve">Current PBS listing details are available from </w:t>
      </w:r>
      <w:r w:rsidDel="00EE2BBB">
        <w:t xml:space="preserve">the </w:t>
      </w:r>
      <w:hyperlink r:id="rId14" w:history="1">
        <w:r w:rsidRPr="00B41808" w:rsidDel="00EE2BBB">
          <w:rPr>
            <w:rStyle w:val="Hyperlink"/>
          </w:rPr>
          <w:t>PBS website</w:t>
        </w:r>
      </w:hyperlink>
      <w:r w:rsidDel="00EE2BBB">
        <w:t>.</w:t>
      </w:r>
    </w:p>
    <w:p w14:paraId="69BC4DC2" w14:textId="77777777" w:rsidR="00736041" w:rsidRPr="005E22C2" w:rsidRDefault="00394AEE" w:rsidP="00EF5D3B">
      <w:pPr>
        <w:pStyle w:val="Heading2"/>
      </w:pPr>
      <w:r>
        <w:t>Relevant aspects of</w:t>
      </w:r>
      <w:r w:rsidR="00736041" w:rsidRPr="005E22C2">
        <w:t xml:space="preserve"> consideration</w:t>
      </w:r>
      <w:r>
        <w:t xml:space="preserve"> by the Pharmaceutical Benefits Advisory Committee (PBAC)</w:t>
      </w:r>
    </w:p>
    <w:p w14:paraId="77FFEAEF" w14:textId="77777777" w:rsidR="0047355D" w:rsidRPr="00080071" w:rsidRDefault="0047355D" w:rsidP="00080071">
      <w:pPr>
        <w:pStyle w:val="Heading3"/>
        <w:rPr>
          <w:i w:val="0"/>
        </w:rPr>
      </w:pPr>
      <w:r w:rsidRPr="00080071">
        <w:rPr>
          <w:i w:val="0"/>
        </w:rPr>
        <w:t>February 2014 stakeholder meeting</w:t>
      </w:r>
    </w:p>
    <w:p w14:paraId="2FE4BC66" w14:textId="77777777" w:rsidR="00E55E70" w:rsidRDefault="00E55E70" w:rsidP="00EF5D3B">
      <w:r>
        <w:t xml:space="preserve">The PBAC held a stakeholder meeting on 25 February 2014 to inform the Committee about the following aspects of the treatment of the hepatitis C virus: new therapy options and </w:t>
      </w:r>
      <w:r w:rsidR="002B568E">
        <w:t xml:space="preserve">their implications on the </w:t>
      </w:r>
      <w:r>
        <w:t xml:space="preserve">models of care; the number of affected patients and </w:t>
      </w:r>
      <w:r w:rsidR="002B568E">
        <w:t xml:space="preserve">priority </w:t>
      </w:r>
      <w:r>
        <w:t>treatment populations; considerations for data collection; and diagnostic testing requirements.</w:t>
      </w:r>
      <w:r w:rsidR="00060073">
        <w:t xml:space="preserve"> </w:t>
      </w:r>
    </w:p>
    <w:p w14:paraId="751C6C58" w14:textId="4D0C297F" w:rsidR="00E66306" w:rsidRDefault="00E66306" w:rsidP="00EF5D3B">
      <w:r>
        <w:t xml:space="preserve">The difficulty in estimating the number of patients who were likely to be treated with the new generation of DAA therapy was discussed. On the one hand, greater prescribing was expected </w:t>
      </w:r>
      <w:r w:rsidR="00F47DE9">
        <w:t>compared to the available interferon-based therapies as the DAAs involved</w:t>
      </w:r>
      <w:r>
        <w:t xml:space="preserve"> shorter treatment durations, </w:t>
      </w:r>
      <w:r w:rsidR="00F47DE9">
        <w:t xml:space="preserve">had </w:t>
      </w:r>
      <w:r>
        <w:t>better tolerability</w:t>
      </w:r>
      <w:r w:rsidR="00F47DE9">
        <w:t xml:space="preserve">, achieved greater gains in </w:t>
      </w:r>
      <w:r>
        <w:t>SVR</w:t>
      </w:r>
      <w:r w:rsidR="00F47DE9">
        <w:t xml:space="preserve"> </w:t>
      </w:r>
      <w:r w:rsidR="00486A8D">
        <w:t xml:space="preserve">rates </w:t>
      </w:r>
      <w:r>
        <w:t xml:space="preserve">and </w:t>
      </w:r>
      <w:r w:rsidR="00F47DE9">
        <w:t>could be prescribed by general practitioners</w:t>
      </w:r>
      <w:r>
        <w:t xml:space="preserve">. </w:t>
      </w:r>
      <w:r w:rsidR="008A7A74">
        <w:t>However</w:t>
      </w:r>
      <w:r w:rsidR="001E0379">
        <w:t>,</w:t>
      </w:r>
      <w:r w:rsidR="008A7A74">
        <w:t xml:space="preserve"> there were also </w:t>
      </w:r>
      <w:r>
        <w:t>potential constraints on use</w:t>
      </w:r>
      <w:r w:rsidR="007F64AD">
        <w:t xml:space="preserve"> </w:t>
      </w:r>
      <w:r w:rsidR="00486A8D">
        <w:t xml:space="preserve">of </w:t>
      </w:r>
      <w:r w:rsidR="007F64AD">
        <w:t>DAA therapy</w:t>
      </w:r>
      <w:r>
        <w:t xml:space="preserve">. </w:t>
      </w:r>
      <w:r w:rsidR="008A7A74">
        <w:t xml:space="preserve">Participants noted that </w:t>
      </w:r>
      <w:r w:rsidR="00AE0378">
        <w:t xml:space="preserve">the registered indications of the DAAs would limit </w:t>
      </w:r>
      <w:r w:rsidR="008A7A74">
        <w:t>their use to certain genotypes. The need to assess</w:t>
      </w:r>
      <w:r w:rsidR="00B0452B">
        <w:t xml:space="preserve"> disease severity</w:t>
      </w:r>
      <w:r w:rsidR="00F47DE9">
        <w:t xml:space="preserve"> in order to </w:t>
      </w:r>
      <w:r w:rsidR="00052229">
        <w:t>prescribe appropriate DAA thera</w:t>
      </w:r>
      <w:r w:rsidR="00F47DE9">
        <w:t>py</w:t>
      </w:r>
      <w:r w:rsidR="008A7A74">
        <w:t>,</w:t>
      </w:r>
      <w:r w:rsidR="00B0452B">
        <w:t xml:space="preserve"> including cirrhotic status and genotype</w:t>
      </w:r>
      <w:r w:rsidR="008A7A74">
        <w:t>,</w:t>
      </w:r>
      <w:r w:rsidR="00B0452B">
        <w:t xml:space="preserve"> w</w:t>
      </w:r>
      <w:r w:rsidR="0067691E">
        <w:t>as</w:t>
      </w:r>
      <w:r w:rsidR="00B0452B">
        <w:t xml:space="preserve"> </w:t>
      </w:r>
      <w:r w:rsidR="008A7A74">
        <w:t xml:space="preserve">considered to be </w:t>
      </w:r>
      <w:r w:rsidR="000A7AA5">
        <w:t>likely rate-limitin</w:t>
      </w:r>
      <w:r w:rsidR="008A7A74">
        <w:t>g.</w:t>
      </w:r>
      <w:r w:rsidR="000A7AA5">
        <w:t xml:space="preserve"> </w:t>
      </w:r>
      <w:r w:rsidR="00F47DE9">
        <w:t xml:space="preserve">Clinicians </w:t>
      </w:r>
      <w:r w:rsidR="0067691E">
        <w:t xml:space="preserve">stated that it would take </w:t>
      </w:r>
      <w:r w:rsidR="000B2486">
        <w:t xml:space="preserve">time </w:t>
      </w:r>
      <w:r w:rsidR="0067691E">
        <w:t xml:space="preserve">for the current </w:t>
      </w:r>
      <w:r w:rsidR="000B2486">
        <w:t>S100 listing model</w:t>
      </w:r>
      <w:r w:rsidR="0067691E">
        <w:t xml:space="preserve"> of care </w:t>
      </w:r>
      <w:r w:rsidR="00623102">
        <w:t xml:space="preserve">involved for prescribing interferon-based therapy </w:t>
      </w:r>
      <w:r w:rsidR="0067691E">
        <w:t xml:space="preserve">to </w:t>
      </w:r>
      <w:r w:rsidR="000B2486">
        <w:t xml:space="preserve">transition to </w:t>
      </w:r>
      <w:r w:rsidR="00623102">
        <w:t xml:space="preserve">a </w:t>
      </w:r>
      <w:r w:rsidR="000B2486">
        <w:t>wider</w:t>
      </w:r>
      <w:r w:rsidR="00623102">
        <w:t>,</w:t>
      </w:r>
      <w:r w:rsidR="000B2486">
        <w:t xml:space="preserve"> community based access</w:t>
      </w:r>
      <w:r w:rsidR="00623102">
        <w:t xml:space="preserve"> model enabled by the </w:t>
      </w:r>
      <w:r w:rsidR="0067691E">
        <w:t xml:space="preserve">newer DAA therapies. </w:t>
      </w:r>
      <w:r w:rsidR="00762570">
        <w:t xml:space="preserve">Social barriers to the uptake of treatment, including </w:t>
      </w:r>
      <w:r w:rsidR="0067691E">
        <w:t xml:space="preserve">the </w:t>
      </w:r>
      <w:r w:rsidR="00762570" w:rsidRPr="00CF0E91">
        <w:t>stigmatisation</w:t>
      </w:r>
      <w:r w:rsidR="0067691E">
        <w:t xml:space="preserve"> of some patients such as injecting drug users,</w:t>
      </w:r>
      <w:r w:rsidR="00762570" w:rsidRPr="00CF0E91">
        <w:t xml:space="preserve"> </w:t>
      </w:r>
      <w:r w:rsidR="00762570">
        <w:t xml:space="preserve">were also discussed. </w:t>
      </w:r>
      <w:r w:rsidR="00D02949">
        <w:t xml:space="preserve">Overall, it was estimated that between 10,000 to 15,000 patients could be treated with DAA therapy </w:t>
      </w:r>
      <w:r w:rsidR="0067691E">
        <w:t>within</w:t>
      </w:r>
      <w:r w:rsidR="00D02949">
        <w:t xml:space="preserve"> the next 3 to 4 years</w:t>
      </w:r>
      <w:r w:rsidR="00385E8A">
        <w:t xml:space="preserve"> if it were listed on the PBS.</w:t>
      </w:r>
      <w:r w:rsidR="002B568E">
        <w:t xml:space="preserve"> It was noted that around 4,000 patients per year were treated with interferon-based drug regimens at the time.</w:t>
      </w:r>
      <w:r w:rsidR="00036808">
        <w:t xml:space="preserve"> </w:t>
      </w:r>
      <w:r w:rsidR="002B5C84">
        <w:t>It was also noted that some</w:t>
      </w:r>
      <w:r w:rsidR="00036808">
        <w:t xml:space="preserve"> genotype 1 patients </w:t>
      </w:r>
      <w:r w:rsidR="002B5C84">
        <w:t>were delaying</w:t>
      </w:r>
      <w:r w:rsidR="00036808">
        <w:t xml:space="preserve"> interferon-based therapy in anticipation of future interferon-free drug regimens.</w:t>
      </w:r>
    </w:p>
    <w:p w14:paraId="5E755D42" w14:textId="66A0B870" w:rsidR="00623102" w:rsidRDefault="00155291" w:rsidP="00EF5D3B">
      <w:r>
        <w:t>Clinicians considered that the rate of re-infections was likely to be low</w:t>
      </w:r>
      <w:r w:rsidR="002B5C84">
        <w:t>;</w:t>
      </w:r>
      <w:r>
        <w:t xml:space="preserve"> estimated to be 2 to 3 </w:t>
      </w:r>
      <w:r w:rsidR="00724AAF">
        <w:t>percent</w:t>
      </w:r>
      <w:r>
        <w:t xml:space="preserve"> annually.</w:t>
      </w:r>
    </w:p>
    <w:p w14:paraId="57879F64" w14:textId="2FF2C616" w:rsidR="00611A05" w:rsidRDefault="00E55E70" w:rsidP="00EF5D3B">
      <w:r>
        <w:t xml:space="preserve">For further details, refer to the </w:t>
      </w:r>
      <w:r w:rsidRPr="00EB5E6F">
        <w:t>record of the meeting</w:t>
      </w:r>
      <w:r>
        <w:t xml:space="preserve"> on the </w:t>
      </w:r>
      <w:hyperlink r:id="rId15" w:history="1">
        <w:r w:rsidRPr="004C3345">
          <w:rPr>
            <w:rStyle w:val="Hyperlink"/>
          </w:rPr>
          <w:t>PBS website</w:t>
        </w:r>
      </w:hyperlink>
      <w:r>
        <w:t>.</w:t>
      </w:r>
    </w:p>
    <w:p w14:paraId="08FAA72F" w14:textId="77777777" w:rsidR="000C03AA" w:rsidRDefault="000C03AA" w:rsidP="00EF5D3B">
      <w:pPr>
        <w:spacing w:after="0"/>
        <w:contextualSpacing/>
        <w:rPr>
          <w:b/>
        </w:rPr>
      </w:pPr>
      <w:r>
        <w:rPr>
          <w:b/>
        </w:rPr>
        <w:t>March 2015 recommendation</w:t>
      </w:r>
      <w:r w:rsidR="00B82B58">
        <w:rPr>
          <w:b/>
        </w:rPr>
        <w:t>s</w:t>
      </w:r>
      <w:r>
        <w:rPr>
          <w:b/>
        </w:rPr>
        <w:t xml:space="preserve"> for sofosbuvir</w:t>
      </w:r>
      <w:r w:rsidR="00B82B58">
        <w:rPr>
          <w:b/>
        </w:rPr>
        <w:t xml:space="preserve"> and sofosbuvir plus ledipasvir</w:t>
      </w:r>
    </w:p>
    <w:p w14:paraId="12EC601D" w14:textId="77777777" w:rsidR="00866B1A" w:rsidRPr="000C03AA" w:rsidRDefault="00866B1A" w:rsidP="00EF5D3B">
      <w:pPr>
        <w:spacing w:after="0"/>
        <w:contextualSpacing/>
        <w:rPr>
          <w:b/>
        </w:rPr>
      </w:pPr>
    </w:p>
    <w:p w14:paraId="112FE831" w14:textId="77777777" w:rsidR="00986BDB" w:rsidRDefault="00986BDB" w:rsidP="00EF5D3B">
      <w:pPr>
        <w:spacing w:after="0"/>
        <w:contextualSpacing/>
      </w:pPr>
      <w:r>
        <w:t xml:space="preserve">Sofosbuvir </w:t>
      </w:r>
      <w:r w:rsidR="00866B1A">
        <w:t>and sofosbuvir plus ledipasvir were</w:t>
      </w:r>
      <w:r>
        <w:t xml:space="preserve"> recommended by the PBAC in March 2015 for the following Authority Required listings:</w:t>
      </w:r>
    </w:p>
    <w:p w14:paraId="75EB675B" w14:textId="77777777" w:rsidR="00D32AD3" w:rsidRDefault="00D32AD3" w:rsidP="00EF5D3B">
      <w:pPr>
        <w:pStyle w:val="ListParagraph"/>
        <w:numPr>
          <w:ilvl w:val="0"/>
          <w:numId w:val="1"/>
        </w:numPr>
        <w:spacing w:after="0"/>
      </w:pPr>
      <w:r>
        <w:t xml:space="preserve">12 week regimen </w:t>
      </w:r>
      <w:r w:rsidR="00EC2C4D">
        <w:t xml:space="preserve">of sofosbuvir </w:t>
      </w:r>
      <w:r>
        <w:t xml:space="preserve">in combination with peg-interferon and ribavirin for genotype 1 </w:t>
      </w:r>
      <w:r w:rsidR="00F87AEE">
        <w:t xml:space="preserve">on the basis of cost-effectiveness </w:t>
      </w:r>
      <w:r w:rsidR="00A77BA9">
        <w:t xml:space="preserve">of the treatment </w:t>
      </w:r>
      <w:r w:rsidR="00F87AEE">
        <w:t>over no treatment and non-inferior efficacy with sofosbuvir plus ledipasvir.</w:t>
      </w:r>
    </w:p>
    <w:p w14:paraId="62E8F9CE" w14:textId="77777777" w:rsidR="00A77BA9" w:rsidRDefault="00A77BA9" w:rsidP="00EF5D3B">
      <w:pPr>
        <w:pStyle w:val="ListParagraph"/>
        <w:numPr>
          <w:ilvl w:val="0"/>
          <w:numId w:val="1"/>
        </w:numPr>
        <w:spacing w:after="0"/>
      </w:pPr>
      <w:r>
        <w:t>12 week regimen</w:t>
      </w:r>
      <w:r w:rsidR="00EC2C4D">
        <w:t xml:space="preserve"> of sofosbuvir</w:t>
      </w:r>
      <w:r>
        <w:t xml:space="preserve"> in combination with ribavirin for genotype 2</w:t>
      </w:r>
      <w:r w:rsidRPr="00A77BA9">
        <w:t xml:space="preserve"> </w:t>
      </w:r>
      <w:r>
        <w:t>on the basis of cost-effectiveness of the treatment over no treatment.</w:t>
      </w:r>
    </w:p>
    <w:p w14:paraId="1EC43578" w14:textId="77777777" w:rsidR="00A77BA9" w:rsidRDefault="00A77BA9" w:rsidP="00EF5D3B">
      <w:pPr>
        <w:pStyle w:val="ListParagraph"/>
        <w:numPr>
          <w:ilvl w:val="0"/>
          <w:numId w:val="1"/>
        </w:numPr>
        <w:spacing w:after="0"/>
      </w:pPr>
      <w:r>
        <w:t>24 week regimen</w:t>
      </w:r>
      <w:r w:rsidR="00EC2C4D">
        <w:t xml:space="preserve"> of sofosbuvir</w:t>
      </w:r>
      <w:r>
        <w:t xml:space="preserve"> in combination with ribavirin for genotype 3 on the basis of cost-effectiveness of the treatment over no treatment.</w:t>
      </w:r>
    </w:p>
    <w:p w14:paraId="68440A11" w14:textId="77777777" w:rsidR="009851D7" w:rsidRPr="00866B1A" w:rsidRDefault="00477562" w:rsidP="00EF5D3B">
      <w:pPr>
        <w:pStyle w:val="ListParagraph"/>
        <w:numPr>
          <w:ilvl w:val="0"/>
          <w:numId w:val="1"/>
        </w:numPr>
        <w:spacing w:after="0"/>
        <w:jc w:val="both"/>
        <w:rPr>
          <w:bCs/>
          <w:szCs w:val="22"/>
          <w:lang w:val="en-GB"/>
        </w:rPr>
      </w:pPr>
      <w:r w:rsidRPr="006A627D">
        <w:rPr>
          <w:bCs/>
          <w:szCs w:val="22"/>
          <w:lang w:val="en-GB"/>
        </w:rPr>
        <w:t>12 week regimen</w:t>
      </w:r>
      <w:r w:rsidR="00EC2C4D">
        <w:t xml:space="preserve"> of sofosbuvir</w:t>
      </w:r>
      <w:r w:rsidRPr="006A627D">
        <w:rPr>
          <w:bCs/>
          <w:szCs w:val="22"/>
          <w:lang w:val="en-GB"/>
        </w:rPr>
        <w:t xml:space="preserve"> </w:t>
      </w:r>
      <w:r>
        <w:t>in combination with peg-interferon and ribavirin for genotypes 3, 4, 5 and 6 on the basis of cost-effectiveness of the treatment over no treatment.</w:t>
      </w:r>
    </w:p>
    <w:p w14:paraId="15432756" w14:textId="77777777" w:rsidR="00866B1A" w:rsidRPr="00466BD1" w:rsidRDefault="00EC2C4D" w:rsidP="00EF5D3B">
      <w:pPr>
        <w:pStyle w:val="ListParagraph"/>
        <w:numPr>
          <w:ilvl w:val="0"/>
          <w:numId w:val="1"/>
        </w:numPr>
        <w:spacing w:after="0"/>
        <w:ind w:left="357" w:hanging="357"/>
        <w:jc w:val="both"/>
        <w:rPr>
          <w:bCs/>
          <w:szCs w:val="22"/>
          <w:lang w:val="en-GB"/>
        </w:rPr>
      </w:pPr>
      <w:r>
        <w:rPr>
          <w:bCs/>
          <w:szCs w:val="22"/>
          <w:lang w:val="en-GB"/>
        </w:rPr>
        <w:t xml:space="preserve">8 week </w:t>
      </w:r>
      <w:r w:rsidR="00657DA0">
        <w:rPr>
          <w:bCs/>
          <w:szCs w:val="22"/>
          <w:lang w:val="en-GB"/>
        </w:rPr>
        <w:t xml:space="preserve">(non-hepatic cirrhosis) </w:t>
      </w:r>
      <w:r>
        <w:rPr>
          <w:bCs/>
          <w:szCs w:val="22"/>
          <w:lang w:val="en-GB"/>
        </w:rPr>
        <w:t xml:space="preserve">and 12 week </w:t>
      </w:r>
      <w:r w:rsidR="00657DA0">
        <w:rPr>
          <w:bCs/>
          <w:szCs w:val="22"/>
          <w:lang w:val="en-GB"/>
        </w:rPr>
        <w:t xml:space="preserve">(with hepatic cirrhosis) </w:t>
      </w:r>
      <w:r>
        <w:rPr>
          <w:bCs/>
          <w:szCs w:val="22"/>
          <w:lang w:val="en-GB"/>
        </w:rPr>
        <w:t xml:space="preserve">regimens of sofosbuvir with ledipasvir </w:t>
      </w:r>
      <w:r w:rsidR="00466BD1">
        <w:rPr>
          <w:bCs/>
          <w:szCs w:val="22"/>
          <w:lang w:val="en-GB"/>
        </w:rPr>
        <w:t xml:space="preserve">for genotype 1 on the basis of </w:t>
      </w:r>
      <w:r w:rsidR="00466BD1">
        <w:t>cost-effectiveness of the treatment over no treatment.</w:t>
      </w:r>
    </w:p>
    <w:p w14:paraId="4C48DD11" w14:textId="77777777" w:rsidR="00466BD1" w:rsidRDefault="00DF5DAE" w:rsidP="00EF5D3B">
      <w:pPr>
        <w:spacing w:before="200"/>
        <w:jc w:val="both"/>
        <w:rPr>
          <w:bCs/>
          <w:szCs w:val="22"/>
          <w:lang w:val="en-GB"/>
        </w:rPr>
      </w:pPr>
      <w:r>
        <w:rPr>
          <w:bCs/>
          <w:szCs w:val="22"/>
          <w:lang w:val="en-GB"/>
        </w:rPr>
        <w:t xml:space="preserve">PBAC recommended </w:t>
      </w:r>
      <w:r w:rsidR="00466BD1">
        <w:rPr>
          <w:bCs/>
          <w:szCs w:val="22"/>
          <w:lang w:val="en-GB"/>
        </w:rPr>
        <w:t xml:space="preserve">the </w:t>
      </w:r>
      <w:r>
        <w:rPr>
          <w:bCs/>
          <w:szCs w:val="22"/>
          <w:lang w:val="en-GB"/>
        </w:rPr>
        <w:t xml:space="preserve">listing </w:t>
      </w:r>
      <w:r w:rsidR="00466BD1">
        <w:rPr>
          <w:bCs/>
          <w:szCs w:val="22"/>
          <w:lang w:val="en-GB"/>
        </w:rPr>
        <w:t>of these medicines on</w:t>
      </w:r>
      <w:r>
        <w:rPr>
          <w:bCs/>
          <w:szCs w:val="22"/>
          <w:lang w:val="en-GB"/>
        </w:rPr>
        <w:t xml:space="preserve"> </w:t>
      </w:r>
      <w:r w:rsidR="00CC6233">
        <w:rPr>
          <w:bCs/>
          <w:szCs w:val="22"/>
          <w:lang w:val="en-GB"/>
        </w:rPr>
        <w:t xml:space="preserve">the </w:t>
      </w:r>
      <w:r>
        <w:rPr>
          <w:bCs/>
          <w:szCs w:val="22"/>
          <w:lang w:val="en-GB"/>
        </w:rPr>
        <w:t xml:space="preserve">General Schedule to facilitate </w:t>
      </w:r>
      <w:r w:rsidR="00FA27E3">
        <w:rPr>
          <w:bCs/>
          <w:szCs w:val="22"/>
          <w:lang w:val="en-GB"/>
        </w:rPr>
        <w:t>the role of primary care in prescribing.</w:t>
      </w:r>
      <w:r w:rsidR="005C6BDF">
        <w:rPr>
          <w:bCs/>
          <w:szCs w:val="22"/>
          <w:lang w:val="en-GB"/>
        </w:rPr>
        <w:t xml:space="preserve"> </w:t>
      </w:r>
      <w:r w:rsidR="00466BD1">
        <w:rPr>
          <w:bCs/>
          <w:szCs w:val="22"/>
          <w:lang w:val="en-GB"/>
        </w:rPr>
        <w:t xml:space="preserve">PBAC considered that some patients will still need to be clinically managed through the hospital system. PBAC also considered that prescribing would continue to be delivered through specialist clinics </w:t>
      </w:r>
      <w:r w:rsidR="00833624">
        <w:rPr>
          <w:bCs/>
          <w:szCs w:val="22"/>
          <w:lang w:val="en-GB"/>
        </w:rPr>
        <w:t xml:space="preserve">in the short-term </w:t>
      </w:r>
      <w:r w:rsidR="00466BD1">
        <w:rPr>
          <w:bCs/>
          <w:szCs w:val="22"/>
          <w:lang w:val="en-GB"/>
        </w:rPr>
        <w:t xml:space="preserve">until prescribers in other settings became familiar with the DAA medicines. PBAC was of the view that nurse practitioner prescribing would be appropriate in a shared care model. </w:t>
      </w:r>
    </w:p>
    <w:p w14:paraId="2255B250" w14:textId="714482E3" w:rsidR="009851D7" w:rsidRDefault="005C6BDF" w:rsidP="00EF5D3B">
      <w:pPr>
        <w:jc w:val="both"/>
        <w:rPr>
          <w:szCs w:val="22"/>
        </w:rPr>
      </w:pPr>
      <w:r>
        <w:rPr>
          <w:bCs/>
          <w:szCs w:val="22"/>
          <w:lang w:val="en-GB"/>
        </w:rPr>
        <w:t xml:space="preserve">PBAC </w:t>
      </w:r>
      <w:r w:rsidR="00BE3E55">
        <w:rPr>
          <w:bCs/>
          <w:szCs w:val="22"/>
          <w:lang w:val="en-GB"/>
        </w:rPr>
        <w:t xml:space="preserve">noted </w:t>
      </w:r>
      <w:r>
        <w:rPr>
          <w:bCs/>
          <w:szCs w:val="22"/>
          <w:lang w:val="en-GB"/>
        </w:rPr>
        <w:t>DUSC’s estimate of 61,500 patients treated over the first five years of listing</w:t>
      </w:r>
      <w:r w:rsidR="00BE3E55">
        <w:rPr>
          <w:bCs/>
          <w:szCs w:val="22"/>
          <w:lang w:val="en-GB"/>
        </w:rPr>
        <w:t xml:space="preserve"> </w:t>
      </w:r>
      <w:r w:rsidR="00BE3E55" w:rsidRPr="009D0D03">
        <w:rPr>
          <w:szCs w:val="22"/>
        </w:rPr>
        <w:t>based on treatment targets in the Fourth National</w:t>
      </w:r>
      <w:r w:rsidR="00BE3E55">
        <w:rPr>
          <w:szCs w:val="22"/>
        </w:rPr>
        <w:t xml:space="preserve"> Hepatitis C Strategy 2014-2017, advice from the Australian Liver Association</w:t>
      </w:r>
      <w:r w:rsidR="00BE3E55" w:rsidRPr="009D0D03">
        <w:rPr>
          <w:szCs w:val="22"/>
        </w:rPr>
        <w:t xml:space="preserve"> and </w:t>
      </w:r>
      <w:r w:rsidR="00BE3E55">
        <w:rPr>
          <w:szCs w:val="22"/>
        </w:rPr>
        <w:t xml:space="preserve">the </w:t>
      </w:r>
      <w:r w:rsidR="00BE3E55" w:rsidRPr="009D0D03">
        <w:rPr>
          <w:szCs w:val="22"/>
        </w:rPr>
        <w:t>February 2014 Stakeholder meeting</w:t>
      </w:r>
      <w:r>
        <w:rPr>
          <w:bCs/>
          <w:szCs w:val="22"/>
          <w:lang w:val="en-GB"/>
        </w:rPr>
        <w:t>.</w:t>
      </w:r>
      <w:r w:rsidR="00BE3E55" w:rsidRPr="00BE3E55">
        <w:rPr>
          <w:bCs/>
          <w:szCs w:val="22"/>
        </w:rPr>
        <w:t xml:space="preserve"> </w:t>
      </w:r>
      <w:r w:rsidR="003352F4">
        <w:rPr>
          <w:bCs/>
          <w:szCs w:val="22"/>
        </w:rPr>
        <w:t>PBAC noted advice from</w:t>
      </w:r>
      <w:r w:rsidR="00D34F72">
        <w:rPr>
          <w:bCs/>
          <w:szCs w:val="22"/>
        </w:rPr>
        <w:t xml:space="preserve"> the Australian Liver Association</w:t>
      </w:r>
      <w:r w:rsidR="003352F4">
        <w:rPr>
          <w:bCs/>
          <w:szCs w:val="22"/>
        </w:rPr>
        <w:t xml:space="preserve"> which estimated there were around 233,000 people living with HCV</w:t>
      </w:r>
      <w:r w:rsidR="002B5C84">
        <w:rPr>
          <w:bCs/>
          <w:szCs w:val="22"/>
        </w:rPr>
        <w:t>,</w:t>
      </w:r>
      <w:r w:rsidR="003352F4">
        <w:rPr>
          <w:bCs/>
          <w:szCs w:val="22"/>
        </w:rPr>
        <w:t xml:space="preserve"> of wh</w:t>
      </w:r>
      <w:r w:rsidR="002B5C84">
        <w:rPr>
          <w:bCs/>
          <w:szCs w:val="22"/>
        </w:rPr>
        <w:t>om</w:t>
      </w:r>
      <w:r w:rsidR="003352F4">
        <w:rPr>
          <w:bCs/>
          <w:szCs w:val="22"/>
        </w:rPr>
        <w:t xml:space="preserve"> 193,000 were diagnosed. </w:t>
      </w:r>
      <w:r w:rsidR="00466BD1">
        <w:rPr>
          <w:bCs/>
          <w:szCs w:val="22"/>
        </w:rPr>
        <w:t xml:space="preserve">PBAC considered it was uncertain how many people living with CHC would seek therapy. </w:t>
      </w:r>
      <w:r w:rsidR="00BE3E55" w:rsidRPr="00991494">
        <w:rPr>
          <w:szCs w:val="22"/>
        </w:rPr>
        <w:t xml:space="preserve">PBAC </w:t>
      </w:r>
      <w:r w:rsidR="003352F4">
        <w:rPr>
          <w:szCs w:val="22"/>
        </w:rPr>
        <w:t>noted</w:t>
      </w:r>
      <w:r w:rsidR="00BE3E55" w:rsidRPr="00991494">
        <w:rPr>
          <w:szCs w:val="22"/>
        </w:rPr>
        <w:t xml:space="preserve"> there would be a significant opportunity cost to the </w:t>
      </w:r>
      <w:r w:rsidR="003352F4">
        <w:rPr>
          <w:szCs w:val="22"/>
        </w:rPr>
        <w:t xml:space="preserve">government as the uptake of DAA medicines would be higher than the existing interferon-based drug regimens. </w:t>
      </w:r>
    </w:p>
    <w:p w14:paraId="4CA6786F" w14:textId="77E3CDFF" w:rsidR="00FF3B6D" w:rsidRDefault="003352F4" w:rsidP="00EF5D3B">
      <w:r>
        <w:t xml:space="preserve">PBAC considered that the existing listings to treat CHC, including ribavirin and </w:t>
      </w:r>
      <w:r w:rsidR="00BE3E55" w:rsidRPr="001F512E">
        <w:rPr>
          <w:szCs w:val="22"/>
        </w:rPr>
        <w:t>peginterferon alone and in combination with telaprevi</w:t>
      </w:r>
      <w:r>
        <w:rPr>
          <w:szCs w:val="22"/>
        </w:rPr>
        <w:t>r, boceprevir or simeprevir, were</w:t>
      </w:r>
      <w:r w:rsidR="00BE3E55" w:rsidRPr="001F512E">
        <w:rPr>
          <w:szCs w:val="22"/>
        </w:rPr>
        <w:t xml:space="preserve"> no long</w:t>
      </w:r>
      <w:r>
        <w:rPr>
          <w:szCs w:val="22"/>
        </w:rPr>
        <w:t>er cost-effective, particularly because of their</w:t>
      </w:r>
      <w:r w:rsidR="00BE3E55" w:rsidRPr="001F512E">
        <w:rPr>
          <w:szCs w:val="22"/>
        </w:rPr>
        <w:t xml:space="preserve"> higher rate of adverse effects</w:t>
      </w:r>
      <w:r>
        <w:rPr>
          <w:szCs w:val="22"/>
        </w:rPr>
        <w:t>. The PBAC recommended that t</w:t>
      </w:r>
      <w:r w:rsidR="00BE3E55" w:rsidRPr="001F512E">
        <w:rPr>
          <w:szCs w:val="22"/>
        </w:rPr>
        <w:t xml:space="preserve">he Minister may wish to review the listing of these </w:t>
      </w:r>
      <w:r>
        <w:rPr>
          <w:szCs w:val="22"/>
        </w:rPr>
        <w:t>drugs</w:t>
      </w:r>
      <w:r w:rsidR="00BE3E55" w:rsidRPr="001F512E">
        <w:rPr>
          <w:szCs w:val="22"/>
        </w:rPr>
        <w:t xml:space="preserve">. </w:t>
      </w:r>
      <w:r w:rsidR="005371F1">
        <w:rPr>
          <w:szCs w:val="22"/>
        </w:rPr>
        <w:t>Boceprevir and telaprevir were subsequently delisted from the PBS from 1 May 2017 and 1</w:t>
      </w:r>
      <w:r w:rsidR="00D3508D">
        <w:rPr>
          <w:szCs w:val="22"/>
        </w:rPr>
        <w:t> </w:t>
      </w:r>
      <w:r w:rsidR="005371F1">
        <w:rPr>
          <w:szCs w:val="22"/>
        </w:rPr>
        <w:t>September</w:t>
      </w:r>
      <w:r w:rsidR="00D3508D">
        <w:rPr>
          <w:szCs w:val="22"/>
        </w:rPr>
        <w:t> </w:t>
      </w:r>
      <w:r w:rsidR="005371F1">
        <w:rPr>
          <w:szCs w:val="22"/>
        </w:rPr>
        <w:t xml:space="preserve">2015, respectively. </w:t>
      </w:r>
      <w:r w:rsidR="00CA7EF1">
        <w:rPr>
          <w:szCs w:val="22"/>
        </w:rPr>
        <w:t>Simeprevir was recommended by PBAC in November 2015 for use in combination with sofosbuvir for genotype 1 CHC</w:t>
      </w:r>
      <w:r w:rsidR="00714A48">
        <w:rPr>
          <w:szCs w:val="22"/>
        </w:rPr>
        <w:t>, but did not proceed to PBS listing</w:t>
      </w:r>
      <w:r w:rsidR="00CA7EF1">
        <w:rPr>
          <w:szCs w:val="22"/>
        </w:rPr>
        <w:t xml:space="preserve">. </w:t>
      </w:r>
    </w:p>
    <w:p w14:paraId="29671E35" w14:textId="1880A67F" w:rsidR="007A1E7C" w:rsidRPr="00A41D7C" w:rsidRDefault="00B34A5F" w:rsidP="00EF5D3B">
      <w:r>
        <w:t xml:space="preserve">For further details refer to </w:t>
      </w:r>
      <w:r w:rsidRPr="00F65F0D">
        <w:t xml:space="preserve">the </w:t>
      </w:r>
      <w:r>
        <w:t xml:space="preserve">Public Summary Documents </w:t>
      </w:r>
      <w:r w:rsidR="00FF3B6D">
        <w:t xml:space="preserve">for </w:t>
      </w:r>
      <w:hyperlink r:id="rId16" w:history="1">
        <w:r w:rsidR="00FF3B6D" w:rsidRPr="0016520B">
          <w:rPr>
            <w:rStyle w:val="Hyperlink"/>
          </w:rPr>
          <w:t>sofosbuvir</w:t>
        </w:r>
      </w:hyperlink>
      <w:r>
        <w:t xml:space="preserve"> and </w:t>
      </w:r>
      <w:hyperlink r:id="rId17" w:history="1">
        <w:r w:rsidRPr="0016520B">
          <w:rPr>
            <w:rStyle w:val="Hyperlink"/>
          </w:rPr>
          <w:t>sofosbuvir plus ledipasvir</w:t>
        </w:r>
      </w:hyperlink>
      <w:r w:rsidRPr="00F65F0D">
        <w:t xml:space="preserve"> from the </w:t>
      </w:r>
      <w:r>
        <w:t>March 2015 PBAC meeting.</w:t>
      </w:r>
    </w:p>
    <w:p w14:paraId="73FE8F99" w14:textId="77777777" w:rsidR="005034F0" w:rsidRDefault="005034F0" w:rsidP="00EF5D3B">
      <w:pPr>
        <w:rPr>
          <w:szCs w:val="22"/>
        </w:rPr>
      </w:pPr>
      <w:r>
        <w:rPr>
          <w:b/>
        </w:rPr>
        <w:t>March and November 2015 recommendations for daclatasvir</w:t>
      </w:r>
    </w:p>
    <w:p w14:paraId="07D7D134" w14:textId="20850D91" w:rsidR="005034F0" w:rsidRDefault="005034F0" w:rsidP="00EF5D3B">
      <w:pPr>
        <w:rPr>
          <w:szCs w:val="22"/>
        </w:rPr>
      </w:pPr>
      <w:r>
        <w:rPr>
          <w:szCs w:val="22"/>
        </w:rPr>
        <w:t xml:space="preserve">At its March 2015 meeting, the PBAC recommended an Authority Required listing for </w:t>
      </w:r>
      <w:r w:rsidRPr="006F393A">
        <w:rPr>
          <w:szCs w:val="22"/>
        </w:rPr>
        <w:t>daclatasv</w:t>
      </w:r>
      <w:r>
        <w:rPr>
          <w:szCs w:val="22"/>
        </w:rPr>
        <w:t>i</w:t>
      </w:r>
      <w:r w:rsidRPr="006F393A">
        <w:rPr>
          <w:szCs w:val="22"/>
        </w:rPr>
        <w:t xml:space="preserve">r in combination with sofosbuvir </w:t>
      </w:r>
      <w:r>
        <w:rPr>
          <w:szCs w:val="22"/>
        </w:rPr>
        <w:t xml:space="preserve">for </w:t>
      </w:r>
      <w:r w:rsidR="00103DF6">
        <w:rPr>
          <w:szCs w:val="22"/>
        </w:rPr>
        <w:t>genotype</w:t>
      </w:r>
      <w:r w:rsidRPr="006F393A">
        <w:rPr>
          <w:szCs w:val="22"/>
        </w:rPr>
        <w:t xml:space="preserve"> 1 </w:t>
      </w:r>
      <w:r>
        <w:rPr>
          <w:szCs w:val="22"/>
        </w:rPr>
        <w:t xml:space="preserve">treatment naïve non-cirrhotic patients and </w:t>
      </w:r>
      <w:r w:rsidR="00103DF6">
        <w:rPr>
          <w:szCs w:val="22"/>
        </w:rPr>
        <w:t>genotype</w:t>
      </w:r>
      <w:r>
        <w:rPr>
          <w:szCs w:val="22"/>
        </w:rPr>
        <w:t xml:space="preserve"> 3 </w:t>
      </w:r>
      <w:r w:rsidR="002B5C84">
        <w:rPr>
          <w:szCs w:val="22"/>
        </w:rPr>
        <w:t>CHC</w:t>
      </w:r>
      <w:r>
        <w:rPr>
          <w:szCs w:val="22"/>
        </w:rPr>
        <w:t xml:space="preserve"> patients. The listings were</w:t>
      </w:r>
      <w:r w:rsidRPr="002131A1">
        <w:rPr>
          <w:szCs w:val="22"/>
        </w:rPr>
        <w:t xml:space="preserve"> recommended on the basis of acceptable cost effectiveness over no treatment, </w:t>
      </w:r>
      <w:r>
        <w:rPr>
          <w:szCs w:val="22"/>
        </w:rPr>
        <w:t xml:space="preserve">with </w:t>
      </w:r>
      <w:r w:rsidRPr="002131A1">
        <w:rPr>
          <w:szCs w:val="22"/>
        </w:rPr>
        <w:t xml:space="preserve">the price of a course of treatment </w:t>
      </w:r>
      <w:r>
        <w:rPr>
          <w:szCs w:val="22"/>
        </w:rPr>
        <w:t>to</w:t>
      </w:r>
      <w:r w:rsidRPr="002131A1">
        <w:rPr>
          <w:szCs w:val="22"/>
        </w:rPr>
        <w:t xml:space="preserve"> be the same as </w:t>
      </w:r>
      <w:r>
        <w:rPr>
          <w:szCs w:val="22"/>
        </w:rPr>
        <w:t xml:space="preserve">the price of a </w:t>
      </w:r>
      <w:r w:rsidRPr="002131A1">
        <w:rPr>
          <w:szCs w:val="22"/>
        </w:rPr>
        <w:t>course</w:t>
      </w:r>
      <w:r>
        <w:rPr>
          <w:szCs w:val="22"/>
        </w:rPr>
        <w:t xml:space="preserve"> of treatment with ledipasvir with </w:t>
      </w:r>
      <w:r w:rsidRPr="002131A1">
        <w:rPr>
          <w:szCs w:val="22"/>
        </w:rPr>
        <w:t>sofosbuvir</w:t>
      </w:r>
      <w:r w:rsidR="00724AAF">
        <w:rPr>
          <w:szCs w:val="22"/>
        </w:rPr>
        <w:t xml:space="preserve">. </w:t>
      </w:r>
    </w:p>
    <w:p w14:paraId="7D816BAA" w14:textId="01680CB5" w:rsidR="005034F0" w:rsidRDefault="005034F0" w:rsidP="00EF5D3B">
      <w:r>
        <w:rPr>
          <w:szCs w:val="22"/>
        </w:rPr>
        <w:t xml:space="preserve">In November 2015, the PBAC recommended to expand the Authority Required listing of daclatasvir in combination with sofosbuvir for the treatment of all patients with </w:t>
      </w:r>
      <w:r w:rsidR="00103DF6">
        <w:rPr>
          <w:szCs w:val="22"/>
        </w:rPr>
        <w:t>genotype</w:t>
      </w:r>
      <w:r>
        <w:rPr>
          <w:szCs w:val="22"/>
        </w:rPr>
        <w:t xml:space="preserve"> 1 and </w:t>
      </w:r>
      <w:r w:rsidR="00103DF6">
        <w:rPr>
          <w:szCs w:val="22"/>
        </w:rPr>
        <w:t>genotype</w:t>
      </w:r>
      <w:r>
        <w:rPr>
          <w:szCs w:val="22"/>
        </w:rPr>
        <w:t xml:space="preserve"> 3 </w:t>
      </w:r>
      <w:r w:rsidR="002B5C84">
        <w:rPr>
          <w:szCs w:val="22"/>
        </w:rPr>
        <w:t>CHC</w:t>
      </w:r>
      <w:r>
        <w:rPr>
          <w:szCs w:val="22"/>
        </w:rPr>
        <w:t xml:space="preserve">. </w:t>
      </w:r>
      <w:r>
        <w:t>The PBAC considered that there was no basis on which to make a cost effectiveness recommendation for daclatasvir in combination with sofosbuvir over ledipasvir/sofosbuvir (</w:t>
      </w:r>
      <w:r w:rsidR="00103DF6">
        <w:t>genotype</w:t>
      </w:r>
      <w:r>
        <w:t xml:space="preserve"> 1) or sofosbuvir in combination with ribavirin (</w:t>
      </w:r>
      <w:r w:rsidR="00103DF6">
        <w:t>genotype</w:t>
      </w:r>
      <w:r>
        <w:t xml:space="preserve"> 3). The expanded listings for daclatasvir in combination with sofosbuvir were expected to substitute directly for other CHC treatment regimens and were not anticipated to have an additional financial impact.</w:t>
      </w:r>
    </w:p>
    <w:p w14:paraId="690C464D" w14:textId="299A96C2" w:rsidR="005034F0" w:rsidRDefault="005034F0" w:rsidP="00EF5D3B">
      <w:r>
        <w:t xml:space="preserve">For further details refer to the </w:t>
      </w:r>
      <w:r w:rsidRPr="005A3AA6">
        <w:t>Public Summary Document</w:t>
      </w:r>
      <w:r>
        <w:t>s</w:t>
      </w:r>
      <w:r w:rsidRPr="005A3AA6">
        <w:t xml:space="preserve"> for daclatasvir from the </w:t>
      </w:r>
      <w:hyperlink r:id="rId18" w:history="1">
        <w:r w:rsidRPr="00265E12">
          <w:rPr>
            <w:rStyle w:val="Hyperlink"/>
          </w:rPr>
          <w:t>March 2015</w:t>
        </w:r>
      </w:hyperlink>
      <w:r>
        <w:t xml:space="preserve"> and </w:t>
      </w:r>
      <w:hyperlink r:id="rId19" w:history="1">
        <w:r w:rsidRPr="00265E12">
          <w:rPr>
            <w:rStyle w:val="Hyperlink"/>
          </w:rPr>
          <w:t>November 2015</w:t>
        </w:r>
      </w:hyperlink>
      <w:r w:rsidRPr="005A3AA6">
        <w:t xml:space="preserve"> PBAC meeting</w:t>
      </w:r>
      <w:r>
        <w:t>s.</w:t>
      </w:r>
    </w:p>
    <w:p w14:paraId="16F1E765" w14:textId="77777777" w:rsidR="005034F0" w:rsidRPr="00A55ED9" w:rsidRDefault="00A55ED9" w:rsidP="00EF5D3B">
      <w:pPr>
        <w:rPr>
          <w:b/>
        </w:rPr>
      </w:pPr>
      <w:r w:rsidRPr="00A55ED9">
        <w:rPr>
          <w:b/>
        </w:rPr>
        <w:t>November 2015 recommendation for simeprevir with sofosbuvir</w:t>
      </w:r>
    </w:p>
    <w:p w14:paraId="5946C4FD" w14:textId="77777777" w:rsidR="00A55ED9" w:rsidRDefault="00551DD9" w:rsidP="00EF5D3B">
      <w:pPr>
        <w:rPr>
          <w:bCs/>
          <w:szCs w:val="22"/>
          <w:lang w:val="en-GB"/>
        </w:rPr>
      </w:pPr>
      <w:r>
        <w:rPr>
          <w:szCs w:val="22"/>
        </w:rPr>
        <w:t xml:space="preserve">At its November 2015 meeting </w:t>
      </w:r>
      <w:r w:rsidRPr="006F393A">
        <w:rPr>
          <w:bCs/>
          <w:szCs w:val="22"/>
          <w:lang w:val="en-GB"/>
        </w:rPr>
        <w:t xml:space="preserve">the Authority Required listing of </w:t>
      </w:r>
      <w:r>
        <w:t>simeprevir in combination with sofosbuvir</w:t>
      </w:r>
      <w:r w:rsidRPr="006F393A">
        <w:rPr>
          <w:bCs/>
          <w:szCs w:val="22"/>
        </w:rPr>
        <w:t xml:space="preserve"> for the treatment of patients with genotype 1 </w:t>
      </w:r>
      <w:r>
        <w:rPr>
          <w:bCs/>
          <w:szCs w:val="22"/>
        </w:rPr>
        <w:t>CHC</w:t>
      </w:r>
      <w:r w:rsidRPr="006F393A">
        <w:rPr>
          <w:bCs/>
          <w:szCs w:val="22"/>
        </w:rPr>
        <w:t xml:space="preserve"> infection</w:t>
      </w:r>
      <w:r>
        <w:rPr>
          <w:bCs/>
          <w:szCs w:val="22"/>
        </w:rPr>
        <w:t xml:space="preserve">. It was recommended that </w:t>
      </w:r>
      <w:r w:rsidRPr="006F393A">
        <w:rPr>
          <w:bCs/>
          <w:szCs w:val="22"/>
          <w:lang w:val="en-GB"/>
        </w:rPr>
        <w:t xml:space="preserve">the price of a course of treatment </w:t>
      </w:r>
      <w:r>
        <w:rPr>
          <w:bCs/>
          <w:szCs w:val="22"/>
        </w:rPr>
        <w:t xml:space="preserve">with this drug regimen </w:t>
      </w:r>
      <w:r w:rsidRPr="006F393A">
        <w:rPr>
          <w:bCs/>
          <w:szCs w:val="22"/>
          <w:lang w:val="en-GB"/>
        </w:rPr>
        <w:t xml:space="preserve">should be the same as the price of a </w:t>
      </w:r>
      <w:r>
        <w:rPr>
          <w:bCs/>
          <w:szCs w:val="22"/>
          <w:lang w:val="en-GB"/>
        </w:rPr>
        <w:t>course of treatment with ledipasvir plus sofosbuvir.</w:t>
      </w:r>
      <w:r w:rsidR="005E209F">
        <w:rPr>
          <w:bCs/>
          <w:szCs w:val="22"/>
          <w:lang w:val="en-GB"/>
        </w:rPr>
        <w:t xml:space="preserve"> </w:t>
      </w:r>
    </w:p>
    <w:p w14:paraId="0AFFF9B3" w14:textId="542D4D04" w:rsidR="005C0A4D" w:rsidRPr="005C0A4D" w:rsidRDefault="005C0A4D" w:rsidP="00EF5D3B">
      <w:r>
        <w:t xml:space="preserve">For further details refer to the </w:t>
      </w:r>
      <w:hyperlink r:id="rId20" w:history="1">
        <w:r w:rsidRPr="00265E12">
          <w:rPr>
            <w:rStyle w:val="Hyperlink"/>
          </w:rPr>
          <w:t>Public Summary Document for simeprevir with sofosbuvir from the November</w:t>
        </w:r>
        <w:r w:rsidR="00B165E9" w:rsidRPr="00265E12">
          <w:rPr>
            <w:rStyle w:val="Hyperlink"/>
          </w:rPr>
          <w:t xml:space="preserve"> </w:t>
        </w:r>
        <w:r w:rsidRPr="00265E12">
          <w:rPr>
            <w:rStyle w:val="Hyperlink"/>
          </w:rPr>
          <w:t>2015 PBAC meeting</w:t>
        </w:r>
      </w:hyperlink>
      <w:r>
        <w:t>.</w:t>
      </w:r>
    </w:p>
    <w:p w14:paraId="191B0F10" w14:textId="77777777" w:rsidR="00F60C9D" w:rsidRPr="00DA19C8" w:rsidRDefault="00F60C9D" w:rsidP="00EF5D3B">
      <w:pPr>
        <w:rPr>
          <w:b/>
        </w:rPr>
      </w:pPr>
      <w:r w:rsidRPr="00DA19C8">
        <w:rPr>
          <w:b/>
        </w:rPr>
        <w:t>July 2016 recommendations for ribavirin</w:t>
      </w:r>
    </w:p>
    <w:p w14:paraId="3E1D93C8" w14:textId="15855B5B" w:rsidR="00F60C9D" w:rsidRDefault="00F60C9D" w:rsidP="00EF5D3B">
      <w:pPr>
        <w:rPr>
          <w:szCs w:val="22"/>
        </w:rPr>
      </w:pPr>
      <w:r w:rsidRPr="00DA19C8">
        <w:rPr>
          <w:szCs w:val="22"/>
        </w:rPr>
        <w:t xml:space="preserve">At its July 2016 meeting, the PBAC recommended the listing of ribavirin in combination with daclatasvir and sofosbuvir as a 12 week treatment course for the treatment of </w:t>
      </w:r>
      <w:r w:rsidR="00103DF6">
        <w:rPr>
          <w:szCs w:val="22"/>
        </w:rPr>
        <w:t>genotype</w:t>
      </w:r>
      <w:r w:rsidRPr="00DA19C8">
        <w:rPr>
          <w:szCs w:val="22"/>
        </w:rPr>
        <w:t xml:space="preserve"> 3 CHC in treatment naïve and treatment experienced cirrhotic patients. The PBAC also recommended </w:t>
      </w:r>
      <w:r>
        <w:rPr>
          <w:szCs w:val="22"/>
        </w:rPr>
        <w:t xml:space="preserve">the use of ribavirin as part of a </w:t>
      </w:r>
      <w:r w:rsidRPr="00DA19C8">
        <w:rPr>
          <w:szCs w:val="22"/>
        </w:rPr>
        <w:t xml:space="preserve">daclatasvir </w:t>
      </w:r>
      <w:r>
        <w:rPr>
          <w:szCs w:val="22"/>
        </w:rPr>
        <w:t>plus</w:t>
      </w:r>
      <w:r w:rsidRPr="00DA19C8">
        <w:rPr>
          <w:szCs w:val="22"/>
        </w:rPr>
        <w:t xml:space="preserve"> sofosbuvir 24 week regimen </w:t>
      </w:r>
      <w:r>
        <w:rPr>
          <w:szCs w:val="22"/>
        </w:rPr>
        <w:t xml:space="preserve">in </w:t>
      </w:r>
      <w:r w:rsidR="00103DF6">
        <w:rPr>
          <w:szCs w:val="22"/>
        </w:rPr>
        <w:t>genotype</w:t>
      </w:r>
      <w:r>
        <w:rPr>
          <w:szCs w:val="22"/>
        </w:rPr>
        <w:t xml:space="preserve"> 3 patients </w:t>
      </w:r>
      <w:r w:rsidRPr="00DA19C8">
        <w:rPr>
          <w:szCs w:val="22"/>
        </w:rPr>
        <w:t xml:space="preserve">when clinically appropriate, </w:t>
      </w:r>
      <w:r>
        <w:rPr>
          <w:szCs w:val="22"/>
        </w:rPr>
        <w:t>such as in</w:t>
      </w:r>
      <w:r w:rsidRPr="00DA19C8">
        <w:rPr>
          <w:szCs w:val="22"/>
        </w:rPr>
        <w:t xml:space="preserve"> patients with decompensated liver disease.</w:t>
      </w:r>
    </w:p>
    <w:p w14:paraId="0FBB37A0" w14:textId="1C03A2D0" w:rsidR="00F60C9D" w:rsidRDefault="00F60C9D" w:rsidP="00EF5D3B">
      <w:pPr>
        <w:rPr>
          <w:szCs w:val="22"/>
        </w:rPr>
      </w:pPr>
      <w:r>
        <w:rPr>
          <w:szCs w:val="22"/>
        </w:rPr>
        <w:t>The PBAC considered that the changes to the listing of ribavirin would not have an</w:t>
      </w:r>
      <w:r w:rsidRPr="00B148ED">
        <w:rPr>
          <w:szCs w:val="22"/>
        </w:rPr>
        <w:t xml:space="preserve"> impact on the cost to Government</w:t>
      </w:r>
      <w:r>
        <w:rPr>
          <w:szCs w:val="22"/>
        </w:rPr>
        <w:t xml:space="preserve">. The PBAC noted there would be </w:t>
      </w:r>
      <w:r w:rsidRPr="00B148ED">
        <w:rPr>
          <w:szCs w:val="22"/>
        </w:rPr>
        <w:t xml:space="preserve">a small number of patients </w:t>
      </w:r>
      <w:r>
        <w:rPr>
          <w:szCs w:val="22"/>
        </w:rPr>
        <w:t xml:space="preserve">with </w:t>
      </w:r>
      <w:r w:rsidR="00103DF6">
        <w:rPr>
          <w:szCs w:val="22"/>
        </w:rPr>
        <w:t>genotype</w:t>
      </w:r>
      <w:r>
        <w:rPr>
          <w:szCs w:val="22"/>
        </w:rPr>
        <w:t xml:space="preserve"> 3</w:t>
      </w:r>
      <w:r w:rsidRPr="00B148ED">
        <w:rPr>
          <w:szCs w:val="22"/>
        </w:rPr>
        <w:t xml:space="preserve"> disease </w:t>
      </w:r>
      <w:r>
        <w:rPr>
          <w:szCs w:val="22"/>
        </w:rPr>
        <w:t xml:space="preserve">who </w:t>
      </w:r>
      <w:r w:rsidRPr="00B148ED">
        <w:rPr>
          <w:szCs w:val="22"/>
        </w:rPr>
        <w:t>would have ribavirin added to their treatment regimen</w:t>
      </w:r>
      <w:r>
        <w:rPr>
          <w:szCs w:val="22"/>
        </w:rPr>
        <w:t xml:space="preserve">. The PBAC considered there would also be a </w:t>
      </w:r>
      <w:r w:rsidRPr="00B148ED">
        <w:rPr>
          <w:szCs w:val="22"/>
        </w:rPr>
        <w:t xml:space="preserve">small number </w:t>
      </w:r>
      <w:r>
        <w:rPr>
          <w:szCs w:val="22"/>
        </w:rPr>
        <w:t xml:space="preserve">of patients who </w:t>
      </w:r>
      <w:r w:rsidRPr="00B148ED">
        <w:rPr>
          <w:szCs w:val="22"/>
        </w:rPr>
        <w:t>would now be treated with a 12</w:t>
      </w:r>
      <w:r w:rsidR="00103DF6">
        <w:rPr>
          <w:szCs w:val="22"/>
        </w:rPr>
        <w:noBreakHyphen/>
      </w:r>
      <w:r w:rsidRPr="00B148ED">
        <w:rPr>
          <w:szCs w:val="22"/>
        </w:rPr>
        <w:t>week treatment course o</w:t>
      </w:r>
      <w:r>
        <w:rPr>
          <w:szCs w:val="22"/>
        </w:rPr>
        <w:t>f ribavirin with daclatasvir plus</w:t>
      </w:r>
      <w:r w:rsidRPr="00B148ED">
        <w:rPr>
          <w:szCs w:val="22"/>
        </w:rPr>
        <w:t xml:space="preserve"> sofosbuvir in place of the currently subsidised 24 week tre</w:t>
      </w:r>
      <w:r>
        <w:rPr>
          <w:szCs w:val="22"/>
        </w:rPr>
        <w:t>atment course of daclatasvir plus</w:t>
      </w:r>
      <w:r w:rsidRPr="00B148ED">
        <w:rPr>
          <w:szCs w:val="22"/>
        </w:rPr>
        <w:t xml:space="preserve"> sofosbuvir.</w:t>
      </w:r>
    </w:p>
    <w:p w14:paraId="1C51B20B" w14:textId="01A8AAAD" w:rsidR="00F60C9D" w:rsidRDefault="00F60C9D" w:rsidP="00EF5D3B">
      <w:pPr>
        <w:rPr>
          <w:szCs w:val="22"/>
        </w:rPr>
      </w:pPr>
      <w:r>
        <w:rPr>
          <w:szCs w:val="22"/>
        </w:rPr>
        <w:t xml:space="preserve">For further details refer to the Public Summary Documents for </w:t>
      </w:r>
      <w:r w:rsidR="00456277">
        <w:rPr>
          <w:szCs w:val="22"/>
        </w:rPr>
        <w:t>ribavirin</w:t>
      </w:r>
      <w:r>
        <w:rPr>
          <w:szCs w:val="22"/>
        </w:rPr>
        <w:t xml:space="preserve"> for the </w:t>
      </w:r>
      <w:hyperlink r:id="rId21" w:history="1">
        <w:r w:rsidRPr="005E1544">
          <w:rPr>
            <w:rStyle w:val="Hyperlink"/>
            <w:szCs w:val="22"/>
          </w:rPr>
          <w:t>400 mg and 600 mg strengths</w:t>
        </w:r>
      </w:hyperlink>
      <w:r>
        <w:rPr>
          <w:szCs w:val="22"/>
        </w:rPr>
        <w:t xml:space="preserve"> and </w:t>
      </w:r>
      <w:hyperlink r:id="rId22" w:history="1">
        <w:r w:rsidRPr="005E1544">
          <w:rPr>
            <w:rStyle w:val="Hyperlink"/>
            <w:szCs w:val="22"/>
          </w:rPr>
          <w:t>200 mg</w:t>
        </w:r>
      </w:hyperlink>
      <w:r w:rsidRPr="00EB5E6F">
        <w:rPr>
          <w:szCs w:val="22"/>
        </w:rPr>
        <w:t xml:space="preserve"> strength</w:t>
      </w:r>
      <w:r>
        <w:rPr>
          <w:szCs w:val="22"/>
        </w:rPr>
        <w:t>.</w:t>
      </w:r>
    </w:p>
    <w:p w14:paraId="05281D53" w14:textId="77777777" w:rsidR="00295600" w:rsidRPr="00295600" w:rsidRDefault="00295600" w:rsidP="00EF5D3B">
      <w:pPr>
        <w:pStyle w:val="Heading1"/>
        <w:shd w:val="clear" w:color="auto" w:fill="FFFFFF"/>
        <w:spacing w:before="0" w:after="330"/>
        <w:rPr>
          <w:rFonts w:eastAsiaTheme="minorEastAsia" w:cstheme="minorBidi"/>
          <w:bCs w:val="0"/>
          <w:sz w:val="24"/>
          <w:szCs w:val="24"/>
        </w:rPr>
      </w:pPr>
      <w:r w:rsidRPr="00295600">
        <w:rPr>
          <w:rFonts w:eastAsiaTheme="minorEastAsia" w:cstheme="minorBidi"/>
          <w:bCs w:val="0"/>
          <w:sz w:val="24"/>
          <w:szCs w:val="24"/>
        </w:rPr>
        <w:t xml:space="preserve">July 2015 </w:t>
      </w:r>
      <w:r w:rsidR="009C097C">
        <w:rPr>
          <w:rFonts w:eastAsiaTheme="minorEastAsia" w:cstheme="minorBidi"/>
          <w:bCs w:val="0"/>
          <w:sz w:val="24"/>
          <w:szCs w:val="24"/>
        </w:rPr>
        <w:t>recommendation</w:t>
      </w:r>
      <w:r w:rsidRPr="00295600">
        <w:rPr>
          <w:rFonts w:eastAsiaTheme="minorEastAsia" w:cstheme="minorBidi"/>
          <w:bCs w:val="0"/>
          <w:sz w:val="24"/>
          <w:szCs w:val="24"/>
        </w:rPr>
        <w:t xml:space="preserve"> for </w:t>
      </w:r>
      <w:r w:rsidR="00FE3B67">
        <w:rPr>
          <w:rFonts w:eastAsiaTheme="minorEastAsia" w:cstheme="minorBidi"/>
          <w:bCs w:val="0"/>
          <w:sz w:val="24"/>
          <w:szCs w:val="24"/>
        </w:rPr>
        <w:t>p</w:t>
      </w:r>
      <w:r w:rsidRPr="00295600">
        <w:rPr>
          <w:rFonts w:eastAsiaTheme="minorEastAsia" w:cstheme="minorBidi"/>
          <w:bCs w:val="0"/>
          <w:sz w:val="24"/>
          <w:szCs w:val="24"/>
        </w:rPr>
        <w:t>aritaprevir with ritonavir, ombitasvir and dasabuvir</w:t>
      </w:r>
    </w:p>
    <w:p w14:paraId="6EF9BE02" w14:textId="69C65CBB" w:rsidR="00263291" w:rsidRDefault="00FE3B67" w:rsidP="00EF5D3B">
      <w:pPr>
        <w:rPr>
          <w:bCs/>
          <w:szCs w:val="22"/>
        </w:rPr>
      </w:pPr>
      <w:r>
        <w:rPr>
          <w:bCs/>
          <w:szCs w:val="22"/>
          <w:lang w:val="en-GB"/>
        </w:rPr>
        <w:t xml:space="preserve">At its July 2015 meeting, the </w:t>
      </w:r>
      <w:r w:rsidRPr="006F393A">
        <w:rPr>
          <w:bCs/>
          <w:szCs w:val="22"/>
          <w:lang w:val="en-GB"/>
        </w:rPr>
        <w:t xml:space="preserve">PBAC recommended the Authority Required listing of </w:t>
      </w:r>
      <w:r>
        <w:t xml:space="preserve">paritaprevir and ritonavir and </w:t>
      </w:r>
      <w:r w:rsidRPr="006F393A">
        <w:t>ombitasvir plus dasabuvir (</w:t>
      </w:r>
      <w:r w:rsidRPr="006F393A">
        <w:rPr>
          <w:bCs/>
          <w:szCs w:val="22"/>
        </w:rPr>
        <w:t xml:space="preserve">Viekira PAK) and </w:t>
      </w:r>
      <w:r>
        <w:t xml:space="preserve">paritaprevir and ritonavir and </w:t>
      </w:r>
      <w:r w:rsidRPr="006F393A">
        <w:t>ombitasvir plus dasabuvir with ribavirin</w:t>
      </w:r>
      <w:r w:rsidRPr="006F393A">
        <w:rPr>
          <w:bCs/>
          <w:szCs w:val="22"/>
        </w:rPr>
        <w:t xml:space="preserve"> (Viekira PAK-RBV) for the treatment of patients with </w:t>
      </w:r>
      <w:r w:rsidR="00103DF6">
        <w:rPr>
          <w:bCs/>
          <w:szCs w:val="22"/>
        </w:rPr>
        <w:t>genotype</w:t>
      </w:r>
      <w:r w:rsidRPr="006F393A">
        <w:rPr>
          <w:bCs/>
          <w:szCs w:val="22"/>
        </w:rPr>
        <w:t xml:space="preserve"> 1 </w:t>
      </w:r>
      <w:r>
        <w:rPr>
          <w:bCs/>
          <w:szCs w:val="22"/>
        </w:rPr>
        <w:t xml:space="preserve">CHC. The listings were recommended on the basis of </w:t>
      </w:r>
      <w:r w:rsidRPr="006F393A">
        <w:rPr>
          <w:bCs/>
          <w:szCs w:val="22"/>
        </w:rPr>
        <w:t xml:space="preserve">non-inferior efficacy and safety </w:t>
      </w:r>
      <w:r>
        <w:rPr>
          <w:bCs/>
          <w:szCs w:val="22"/>
        </w:rPr>
        <w:t>with ledipasvir plus s</w:t>
      </w:r>
      <w:r w:rsidRPr="006F393A">
        <w:rPr>
          <w:bCs/>
          <w:szCs w:val="22"/>
        </w:rPr>
        <w:t>ofosbuvir</w:t>
      </w:r>
      <w:r>
        <w:rPr>
          <w:bCs/>
          <w:szCs w:val="22"/>
        </w:rPr>
        <w:t>.</w:t>
      </w:r>
      <w:r w:rsidR="000E7D50">
        <w:rPr>
          <w:bCs/>
          <w:szCs w:val="22"/>
        </w:rPr>
        <w:t xml:space="preserve"> </w:t>
      </w:r>
    </w:p>
    <w:p w14:paraId="7DFB5027" w14:textId="2ECA5C75" w:rsidR="00AA68C3" w:rsidRPr="00AA68C3" w:rsidRDefault="000E7D50" w:rsidP="00EF5D3B">
      <w:pPr>
        <w:rPr>
          <w:bCs/>
          <w:szCs w:val="22"/>
          <w:lang w:val="en-GB"/>
        </w:rPr>
      </w:pPr>
      <w:r>
        <w:rPr>
          <w:bCs/>
          <w:szCs w:val="22"/>
          <w:lang w:val="en-GB"/>
        </w:rPr>
        <w:t>It was recommended that t</w:t>
      </w:r>
      <w:r w:rsidRPr="006F393A">
        <w:rPr>
          <w:bCs/>
          <w:szCs w:val="22"/>
          <w:lang w:val="en-GB"/>
        </w:rPr>
        <w:t xml:space="preserve">he price of a course of treatment </w:t>
      </w:r>
      <w:r w:rsidRPr="006F393A">
        <w:rPr>
          <w:bCs/>
          <w:szCs w:val="22"/>
        </w:rPr>
        <w:t>for Viekira PAK / Viekira PAK-RBV</w:t>
      </w:r>
      <w:r w:rsidRPr="006F393A">
        <w:rPr>
          <w:bCs/>
          <w:szCs w:val="22"/>
          <w:lang w:val="en-GB"/>
        </w:rPr>
        <w:t xml:space="preserve"> should be the same as the price of a course of treatment with </w:t>
      </w:r>
      <w:r>
        <w:rPr>
          <w:bCs/>
          <w:szCs w:val="22"/>
          <w:lang w:val="en-GB"/>
        </w:rPr>
        <w:t>ledipasvir plus sofosbuvir</w:t>
      </w:r>
      <w:r w:rsidRPr="006F393A">
        <w:rPr>
          <w:bCs/>
          <w:szCs w:val="22"/>
          <w:lang w:val="en-GB"/>
        </w:rPr>
        <w:t xml:space="preserve"> for </w:t>
      </w:r>
      <w:r>
        <w:rPr>
          <w:bCs/>
          <w:szCs w:val="22"/>
          <w:lang w:val="en-GB"/>
        </w:rPr>
        <w:t xml:space="preserve">treatment naïve, non-cirrhotic </w:t>
      </w:r>
      <w:r w:rsidR="00103DF6">
        <w:rPr>
          <w:bCs/>
          <w:szCs w:val="22"/>
          <w:lang w:val="en-GB"/>
        </w:rPr>
        <w:t>genotype</w:t>
      </w:r>
      <w:r w:rsidRPr="006F393A">
        <w:rPr>
          <w:bCs/>
          <w:szCs w:val="22"/>
          <w:lang w:val="en-GB"/>
        </w:rPr>
        <w:t xml:space="preserve"> 1 patients.</w:t>
      </w:r>
    </w:p>
    <w:p w14:paraId="2D3EEB12" w14:textId="1F1BDD5F" w:rsidR="00977670" w:rsidRDefault="00977670" w:rsidP="00EF5D3B">
      <w:r>
        <w:t xml:space="preserve">For further details refer to the </w:t>
      </w:r>
      <w:hyperlink r:id="rId23" w:history="1">
        <w:r w:rsidRPr="000D5051">
          <w:rPr>
            <w:rStyle w:val="Hyperlink"/>
          </w:rPr>
          <w:t>Public Summary Document from the July 2015 PBAC meeting</w:t>
        </w:r>
      </w:hyperlink>
      <w:r>
        <w:t>.</w:t>
      </w:r>
    </w:p>
    <w:p w14:paraId="61CCD19A" w14:textId="77777777" w:rsidR="004C0078" w:rsidRPr="00A90453" w:rsidRDefault="00A90453" w:rsidP="00EF5D3B">
      <w:pPr>
        <w:rPr>
          <w:b/>
          <w:bCs/>
        </w:rPr>
      </w:pPr>
      <w:r w:rsidRPr="00A90453">
        <w:rPr>
          <w:b/>
          <w:bCs/>
        </w:rPr>
        <w:t>July 2016 recommendation for grazoprevir plus elbasvir</w:t>
      </w:r>
    </w:p>
    <w:p w14:paraId="0991E667" w14:textId="429E91D8" w:rsidR="004C0078" w:rsidRDefault="004309B1" w:rsidP="00EF5D3B">
      <w:r>
        <w:t xml:space="preserve">At its July 2016 meeting, the PBAC </w:t>
      </w:r>
      <w:r w:rsidRPr="002C3191">
        <w:rPr>
          <w:bCs/>
        </w:rPr>
        <w:t xml:space="preserve">recommended the listing of </w:t>
      </w:r>
      <w:r w:rsidRPr="004309B1">
        <w:rPr>
          <w:bCs/>
        </w:rPr>
        <w:t>grazoprevir plus elbasvir</w:t>
      </w:r>
      <w:r w:rsidRPr="002C3191">
        <w:rPr>
          <w:bCs/>
        </w:rPr>
        <w:t xml:space="preserve"> </w:t>
      </w:r>
      <w:r>
        <w:rPr>
          <w:bCs/>
        </w:rPr>
        <w:t>with or without ribavirin</w:t>
      </w:r>
      <w:r w:rsidRPr="002C3191">
        <w:rPr>
          <w:bCs/>
        </w:rPr>
        <w:t xml:space="preserve"> for the treatment of treatment-naïve and treatment experienced </w:t>
      </w:r>
      <w:r>
        <w:rPr>
          <w:bCs/>
        </w:rPr>
        <w:t xml:space="preserve">CHC patients with </w:t>
      </w:r>
      <w:r w:rsidR="00103DF6">
        <w:rPr>
          <w:bCs/>
        </w:rPr>
        <w:t>genotype</w:t>
      </w:r>
      <w:r w:rsidRPr="002C3191">
        <w:rPr>
          <w:bCs/>
        </w:rPr>
        <w:t xml:space="preserve">s 1, 4 and 6 on a cost minimisation basis with </w:t>
      </w:r>
      <w:r>
        <w:rPr>
          <w:bCs/>
        </w:rPr>
        <w:t xml:space="preserve">ledipasvir with sofosbuvir for </w:t>
      </w:r>
      <w:r w:rsidR="00103DF6">
        <w:rPr>
          <w:bCs/>
        </w:rPr>
        <w:t>genotype</w:t>
      </w:r>
      <w:r>
        <w:rPr>
          <w:bCs/>
        </w:rPr>
        <w:t xml:space="preserve"> 1</w:t>
      </w:r>
      <w:r w:rsidRPr="002C3191">
        <w:rPr>
          <w:bCs/>
        </w:rPr>
        <w:t xml:space="preserve"> disease and on a cost-minimisation basis with </w:t>
      </w:r>
      <w:r>
        <w:rPr>
          <w:bCs/>
        </w:rPr>
        <w:t xml:space="preserve">sofosbuvir plus peginterferon plus ribavirin for </w:t>
      </w:r>
      <w:r w:rsidR="00103DF6">
        <w:rPr>
          <w:bCs/>
        </w:rPr>
        <w:t>genotype</w:t>
      </w:r>
      <w:r w:rsidRPr="002C3191">
        <w:rPr>
          <w:bCs/>
        </w:rPr>
        <w:t xml:space="preserve"> 4 and 6 disease.</w:t>
      </w:r>
    </w:p>
    <w:p w14:paraId="3D40AEA5" w14:textId="3F90D74D" w:rsidR="00393732" w:rsidRDefault="00EE0882" w:rsidP="00EF5D3B">
      <w:r>
        <w:rPr>
          <w:bCs/>
        </w:rPr>
        <w:t xml:space="preserve">The </w:t>
      </w:r>
      <w:r w:rsidRPr="002C3191">
        <w:rPr>
          <w:bCs/>
        </w:rPr>
        <w:t xml:space="preserve">PBAC rejected the requested listing of </w:t>
      </w:r>
      <w:r w:rsidRPr="004309B1">
        <w:rPr>
          <w:bCs/>
        </w:rPr>
        <w:t>grazoprevir plus elbasvir</w:t>
      </w:r>
      <w:r w:rsidRPr="002C3191">
        <w:rPr>
          <w:bCs/>
        </w:rPr>
        <w:t xml:space="preserve"> and </w:t>
      </w:r>
      <w:r>
        <w:rPr>
          <w:bCs/>
        </w:rPr>
        <w:t xml:space="preserve">sofosbuvir </w:t>
      </w:r>
      <w:r w:rsidRPr="002C3191">
        <w:rPr>
          <w:bCs/>
        </w:rPr>
        <w:t>for treatment</w:t>
      </w:r>
      <w:r w:rsidRPr="002C3191">
        <w:rPr>
          <w:bCs/>
        </w:rPr>
        <w:noBreakHyphen/>
        <w:t>naï</w:t>
      </w:r>
      <w:r>
        <w:rPr>
          <w:bCs/>
        </w:rPr>
        <w:t xml:space="preserve">ve </w:t>
      </w:r>
      <w:r w:rsidR="00103DF6">
        <w:rPr>
          <w:bCs/>
        </w:rPr>
        <w:t>genotype</w:t>
      </w:r>
      <w:r w:rsidRPr="002C3191">
        <w:rPr>
          <w:bCs/>
        </w:rPr>
        <w:t xml:space="preserve"> 3 CHC as it considered there was insufficient data to support recommending listing for this </w:t>
      </w:r>
      <w:r>
        <w:rPr>
          <w:bCs/>
        </w:rPr>
        <w:t xml:space="preserve">patient </w:t>
      </w:r>
      <w:r w:rsidRPr="002C3191">
        <w:rPr>
          <w:bCs/>
        </w:rPr>
        <w:t>group.</w:t>
      </w:r>
    </w:p>
    <w:p w14:paraId="7578D6BD" w14:textId="4D08C92A" w:rsidR="00F94988" w:rsidRDefault="00F94988" w:rsidP="00EF5D3B">
      <w:r>
        <w:t xml:space="preserve">For further details refer to the </w:t>
      </w:r>
      <w:hyperlink r:id="rId24" w:history="1">
        <w:r w:rsidRPr="00E36A60">
          <w:rPr>
            <w:rStyle w:val="Hyperlink"/>
          </w:rPr>
          <w:t>Public Summary Document from the July 2016 PBAC meeting.</w:t>
        </w:r>
      </w:hyperlink>
    </w:p>
    <w:p w14:paraId="37D318F5" w14:textId="77777777" w:rsidR="00295600" w:rsidRDefault="00AA68C3" w:rsidP="00EF5D3B">
      <w:pPr>
        <w:rPr>
          <w:b/>
          <w:bCs/>
        </w:rPr>
      </w:pPr>
      <w:r w:rsidRPr="00AA68C3">
        <w:rPr>
          <w:b/>
          <w:bCs/>
        </w:rPr>
        <w:t xml:space="preserve">November 2016 </w:t>
      </w:r>
      <w:r w:rsidR="009C097C">
        <w:rPr>
          <w:b/>
          <w:bCs/>
        </w:rPr>
        <w:t>recommendation</w:t>
      </w:r>
      <w:r w:rsidRPr="00AA68C3">
        <w:rPr>
          <w:b/>
          <w:bCs/>
        </w:rPr>
        <w:t xml:space="preserve"> for </w:t>
      </w:r>
      <w:r w:rsidR="009C097C" w:rsidRPr="009C097C">
        <w:rPr>
          <w:b/>
          <w:bCs/>
        </w:rPr>
        <w:t>paritaprevir with ritonavir and ombitasvir, in combination with ribavirin</w:t>
      </w:r>
    </w:p>
    <w:p w14:paraId="38713211" w14:textId="7BBB604C" w:rsidR="00AA68C3" w:rsidRDefault="004C0078" w:rsidP="00EF5D3B">
      <w:pPr>
        <w:rPr>
          <w:szCs w:val="22"/>
        </w:rPr>
      </w:pPr>
      <w:r w:rsidRPr="004C0078">
        <w:rPr>
          <w:szCs w:val="22"/>
        </w:rPr>
        <w:t xml:space="preserve">The PBAC </w:t>
      </w:r>
      <w:r w:rsidR="00367B82">
        <w:rPr>
          <w:szCs w:val="22"/>
        </w:rPr>
        <w:t xml:space="preserve">(November 2016) </w:t>
      </w:r>
      <w:r w:rsidRPr="004C0078">
        <w:rPr>
          <w:szCs w:val="22"/>
        </w:rPr>
        <w:t>recommended the Authority Required General Schedule and Section 100 listing of paritaprevir with ritonavir and ombitasvir, in combination with ribavirin for treatment n</w:t>
      </w:r>
      <w:r w:rsidR="00D656BB">
        <w:rPr>
          <w:szCs w:val="22"/>
        </w:rPr>
        <w:t xml:space="preserve">aïve and treatment experienced </w:t>
      </w:r>
      <w:r w:rsidR="00103DF6">
        <w:rPr>
          <w:szCs w:val="22"/>
        </w:rPr>
        <w:t>genotype</w:t>
      </w:r>
      <w:r w:rsidRPr="004C0078">
        <w:rPr>
          <w:szCs w:val="22"/>
        </w:rPr>
        <w:t xml:space="preserve"> 4 CHC infection on a cost-minimisation basis with </w:t>
      </w:r>
      <w:r w:rsidRPr="00961B75">
        <w:rPr>
          <w:szCs w:val="22"/>
        </w:rPr>
        <w:t>grazoprevir with elbasvir with or without RBV</w:t>
      </w:r>
      <w:r w:rsidR="001B26ED">
        <w:rPr>
          <w:szCs w:val="22"/>
        </w:rPr>
        <w:t>.</w:t>
      </w:r>
    </w:p>
    <w:p w14:paraId="699A7F74" w14:textId="77777777" w:rsidR="0003635A" w:rsidRDefault="00833624" w:rsidP="00EF5D3B">
      <w:pPr>
        <w:rPr>
          <w:szCs w:val="22"/>
        </w:rPr>
      </w:pPr>
      <w:r>
        <w:rPr>
          <w:szCs w:val="22"/>
        </w:rPr>
        <w:t>At the time of writing (August 2018) t</w:t>
      </w:r>
      <w:r w:rsidR="0003635A">
        <w:rPr>
          <w:szCs w:val="22"/>
        </w:rPr>
        <w:t>his regimen has not proceeded to a listing on the PBS.</w:t>
      </w:r>
    </w:p>
    <w:p w14:paraId="671877B4" w14:textId="777BA5A5" w:rsidR="001B26ED" w:rsidRDefault="001B26ED" w:rsidP="00EF5D3B">
      <w:r>
        <w:t xml:space="preserve">For further details refer to the </w:t>
      </w:r>
      <w:hyperlink r:id="rId25" w:history="1">
        <w:r w:rsidRPr="00E77D41">
          <w:rPr>
            <w:rStyle w:val="Hyperlink"/>
          </w:rPr>
          <w:t>Public Summary Document from the November 2016 PBAC meeting</w:t>
        </w:r>
      </w:hyperlink>
      <w:r>
        <w:t>.</w:t>
      </w:r>
    </w:p>
    <w:p w14:paraId="30B52A2E" w14:textId="77777777" w:rsidR="001B26ED" w:rsidRPr="00AC6EA3" w:rsidRDefault="00AC6EA3" w:rsidP="00EF5D3B">
      <w:pPr>
        <w:rPr>
          <w:b/>
          <w:bCs/>
        </w:rPr>
      </w:pPr>
      <w:r w:rsidRPr="00AC6EA3">
        <w:rPr>
          <w:b/>
          <w:bCs/>
        </w:rPr>
        <w:t>November 2016 recommendation for sofosbuvir with velpatasvir</w:t>
      </w:r>
    </w:p>
    <w:p w14:paraId="311FEEDE" w14:textId="77777777" w:rsidR="002856DE" w:rsidRDefault="002856DE" w:rsidP="00EF5D3B">
      <w:pPr>
        <w:spacing w:after="0"/>
        <w:contextualSpacing/>
        <w:jc w:val="both"/>
        <w:rPr>
          <w:bCs/>
          <w:szCs w:val="22"/>
          <w:lang w:val="en-GB"/>
        </w:rPr>
      </w:pPr>
      <w:r>
        <w:rPr>
          <w:bCs/>
          <w:szCs w:val="22"/>
          <w:lang w:val="en-GB"/>
        </w:rPr>
        <w:t xml:space="preserve">At its November 2016 meeting, the PBAC recommended Authority Required General Schedule and Section 100 listings of sofosbuvir </w:t>
      </w:r>
      <w:r w:rsidR="00C50B2B">
        <w:rPr>
          <w:bCs/>
          <w:szCs w:val="22"/>
          <w:lang w:val="en-GB"/>
        </w:rPr>
        <w:t>with</w:t>
      </w:r>
      <w:r>
        <w:rPr>
          <w:bCs/>
          <w:szCs w:val="22"/>
          <w:lang w:val="en-GB"/>
        </w:rPr>
        <w:t xml:space="preserve"> velpatasvir for the treatment of CHC infection for patients with:</w:t>
      </w:r>
    </w:p>
    <w:p w14:paraId="311B916B" w14:textId="77777777" w:rsidR="002856DE" w:rsidRPr="00D71286" w:rsidRDefault="002856DE" w:rsidP="00EF5D3B">
      <w:pPr>
        <w:pStyle w:val="ListParagraph"/>
        <w:numPr>
          <w:ilvl w:val="0"/>
          <w:numId w:val="5"/>
        </w:numPr>
        <w:spacing w:after="0"/>
        <w:jc w:val="both"/>
        <w:rPr>
          <w:bCs/>
        </w:rPr>
      </w:pPr>
      <w:r w:rsidRPr="00D71286">
        <w:rPr>
          <w:bCs/>
        </w:rPr>
        <w:t xml:space="preserve">Genotypes 1-6 and no cirrhosis; and </w:t>
      </w:r>
    </w:p>
    <w:p w14:paraId="09A67663" w14:textId="77777777" w:rsidR="001B26ED" w:rsidRPr="0064460C" w:rsidRDefault="00D71286" w:rsidP="00EF5D3B">
      <w:pPr>
        <w:pStyle w:val="ListParagraph"/>
        <w:numPr>
          <w:ilvl w:val="0"/>
          <w:numId w:val="5"/>
        </w:numPr>
        <w:spacing w:after="0"/>
        <w:jc w:val="both"/>
        <w:rPr>
          <w:bCs/>
          <w:szCs w:val="22"/>
          <w:lang w:val="en-GB"/>
        </w:rPr>
      </w:pPr>
      <w:r w:rsidRPr="00D71286">
        <w:rPr>
          <w:bCs/>
        </w:rPr>
        <w:t xml:space="preserve">For use with or without ribavirin for </w:t>
      </w:r>
      <w:r w:rsidR="002856DE" w:rsidRPr="00D71286">
        <w:rPr>
          <w:bCs/>
        </w:rPr>
        <w:t>patients with genotypes 1-6 and cirrhosis.</w:t>
      </w:r>
    </w:p>
    <w:p w14:paraId="52187680" w14:textId="77777777" w:rsidR="0064460C" w:rsidRDefault="0064460C" w:rsidP="00EF5D3B">
      <w:pPr>
        <w:pStyle w:val="ListParagraph"/>
        <w:spacing w:after="0"/>
        <w:ind w:left="360"/>
        <w:jc w:val="both"/>
        <w:rPr>
          <w:bCs/>
          <w:szCs w:val="22"/>
          <w:lang w:val="en-GB"/>
        </w:rPr>
      </w:pPr>
    </w:p>
    <w:p w14:paraId="0F86F1BB" w14:textId="77777777" w:rsidR="00062475" w:rsidRDefault="00062475" w:rsidP="00EF5D3B">
      <w:pPr>
        <w:pStyle w:val="ListParagraph"/>
        <w:spacing w:after="0"/>
        <w:ind w:left="0"/>
        <w:jc w:val="both"/>
        <w:rPr>
          <w:bCs/>
        </w:rPr>
      </w:pPr>
      <w:r>
        <w:rPr>
          <w:bCs/>
        </w:rPr>
        <w:t xml:space="preserve">It was anticipated that there may be a prescriber preference for </w:t>
      </w:r>
      <w:r>
        <w:rPr>
          <w:bCs/>
          <w:szCs w:val="22"/>
          <w:lang w:val="en-GB"/>
        </w:rPr>
        <w:t xml:space="preserve">sofosbuvir with velpatasvir as it could act against all genotypes. </w:t>
      </w:r>
    </w:p>
    <w:p w14:paraId="46F4559F" w14:textId="77777777" w:rsidR="00BB70F8" w:rsidRPr="0064460C" w:rsidRDefault="00BB70F8" w:rsidP="00EF5D3B">
      <w:pPr>
        <w:pStyle w:val="ListParagraph"/>
        <w:spacing w:after="0"/>
        <w:ind w:left="360"/>
        <w:jc w:val="both"/>
        <w:rPr>
          <w:bCs/>
          <w:szCs w:val="22"/>
          <w:lang w:val="en-GB"/>
        </w:rPr>
      </w:pPr>
    </w:p>
    <w:p w14:paraId="26858191" w14:textId="0EB388DA" w:rsidR="00D71286" w:rsidRDefault="00D71286" w:rsidP="00EF5D3B">
      <w:r>
        <w:t xml:space="preserve">For further details refer to the </w:t>
      </w:r>
      <w:hyperlink r:id="rId26" w:history="1">
        <w:r w:rsidRPr="00DC1117">
          <w:rPr>
            <w:rStyle w:val="Hyperlink"/>
          </w:rPr>
          <w:t>Public Summary Document from the November 2016 PBAC meeting.</w:t>
        </w:r>
      </w:hyperlink>
    </w:p>
    <w:p w14:paraId="6AC8521E" w14:textId="77777777" w:rsidR="002D314F" w:rsidRPr="00AC6EA3" w:rsidRDefault="002D314F" w:rsidP="00EF5D3B">
      <w:pPr>
        <w:rPr>
          <w:b/>
          <w:bCs/>
        </w:rPr>
      </w:pPr>
      <w:r>
        <w:rPr>
          <w:b/>
          <w:bCs/>
        </w:rPr>
        <w:t>November 2017</w:t>
      </w:r>
      <w:r w:rsidRPr="00AC6EA3">
        <w:rPr>
          <w:b/>
          <w:bCs/>
        </w:rPr>
        <w:t xml:space="preserve"> recommendation for </w:t>
      </w:r>
      <w:r w:rsidRPr="002D314F">
        <w:rPr>
          <w:b/>
          <w:bCs/>
        </w:rPr>
        <w:t>glecaprevir with pibrentasvir</w:t>
      </w:r>
    </w:p>
    <w:p w14:paraId="22033CD1" w14:textId="5E5BA892" w:rsidR="002D314F" w:rsidRDefault="002D314F" w:rsidP="00EF5D3B">
      <w:pPr>
        <w:rPr>
          <w:bCs/>
        </w:rPr>
      </w:pPr>
      <w:r>
        <w:t xml:space="preserve">At its November 2017 meeting, the PBAC recommended </w:t>
      </w:r>
      <w:r w:rsidRPr="00521709">
        <w:rPr>
          <w:bCs/>
        </w:rPr>
        <w:t xml:space="preserve">the Authority Required General Schedule and Section 100 listing of glecaprevir with pibrentasvir for the treatment of </w:t>
      </w:r>
      <w:r w:rsidR="000D0F63">
        <w:rPr>
          <w:bCs/>
        </w:rPr>
        <w:t>CHC</w:t>
      </w:r>
      <w:r w:rsidRPr="00521709">
        <w:rPr>
          <w:bCs/>
        </w:rPr>
        <w:t xml:space="preserve"> infection for treatment naïve and treatment experienced patients (including those with prior </w:t>
      </w:r>
      <w:r w:rsidR="00B46179">
        <w:rPr>
          <w:bCs/>
        </w:rPr>
        <w:t>non</w:t>
      </w:r>
      <w:r w:rsidR="00B165E9">
        <w:rPr>
          <w:bCs/>
        </w:rPr>
        <w:noBreakHyphen/>
      </w:r>
      <w:r w:rsidR="00B46179">
        <w:rPr>
          <w:bCs/>
        </w:rPr>
        <w:t>structural protein 5A (</w:t>
      </w:r>
      <w:r w:rsidRPr="00521709">
        <w:rPr>
          <w:bCs/>
        </w:rPr>
        <w:t>NS5A</w:t>
      </w:r>
      <w:r w:rsidR="00B46179">
        <w:rPr>
          <w:bCs/>
        </w:rPr>
        <w:t>)</w:t>
      </w:r>
      <w:r w:rsidRPr="00521709">
        <w:rPr>
          <w:bCs/>
        </w:rPr>
        <w:t xml:space="preserve"> treatment) with genotypes 1-6, with or without cirrhosis.</w:t>
      </w:r>
      <w:r>
        <w:rPr>
          <w:bCs/>
        </w:rPr>
        <w:t xml:space="preserve"> </w:t>
      </w:r>
      <w:r w:rsidRPr="00521709">
        <w:rPr>
          <w:bCs/>
        </w:rPr>
        <w:t xml:space="preserve">The PBAC considered </w:t>
      </w:r>
      <w:r>
        <w:rPr>
          <w:bCs/>
        </w:rPr>
        <w:t>is was reasonable to add</w:t>
      </w:r>
      <w:r w:rsidRPr="00521709">
        <w:rPr>
          <w:bCs/>
        </w:rPr>
        <w:t xml:space="preserve"> a footnote in the </w:t>
      </w:r>
      <w:r w:rsidRPr="00EF7FEF">
        <w:rPr>
          <w:bCs/>
          <w:i/>
        </w:rPr>
        <w:t>General Statement</w:t>
      </w:r>
      <w:r w:rsidRPr="00521709">
        <w:rPr>
          <w:bCs/>
        </w:rPr>
        <w:t xml:space="preserve"> </w:t>
      </w:r>
      <w:r>
        <w:rPr>
          <w:bCs/>
        </w:rPr>
        <w:t>that glecaprevir with pibrentasvir was</w:t>
      </w:r>
      <w:r w:rsidRPr="00521709">
        <w:rPr>
          <w:bCs/>
        </w:rPr>
        <w:t xml:space="preserve"> appropriate for NS5A treatment experienced patients requiring treatment for 16 weeks.</w:t>
      </w:r>
      <w:r>
        <w:rPr>
          <w:bCs/>
        </w:rPr>
        <w:t xml:space="preserve"> </w:t>
      </w:r>
    </w:p>
    <w:p w14:paraId="7140D166" w14:textId="77777777" w:rsidR="002D314F" w:rsidRDefault="00026BE4" w:rsidP="00EF5D3B">
      <w:pPr>
        <w:rPr>
          <w:rFonts w:cs="Arial"/>
          <w:bCs/>
          <w:snapToGrid w:val="0"/>
          <w:lang w:eastAsia="en-US"/>
        </w:rPr>
      </w:pPr>
      <w:r>
        <w:rPr>
          <w:rFonts w:cs="Arial"/>
          <w:bCs/>
          <w:snapToGrid w:val="0"/>
          <w:lang w:eastAsia="en-US"/>
        </w:rPr>
        <w:t>The PBAC</w:t>
      </w:r>
      <w:r w:rsidR="002D314F" w:rsidRPr="00521709">
        <w:rPr>
          <w:rFonts w:cs="Arial"/>
          <w:bCs/>
          <w:snapToGrid w:val="0"/>
          <w:lang w:eastAsia="en-US"/>
        </w:rPr>
        <w:t xml:space="preserve"> considered that the listing of glecaprevir with pibrentasvir </w:t>
      </w:r>
      <w:r>
        <w:rPr>
          <w:rFonts w:cs="Arial"/>
          <w:bCs/>
          <w:snapToGrid w:val="0"/>
          <w:lang w:eastAsia="en-US"/>
        </w:rPr>
        <w:t xml:space="preserve">would </w:t>
      </w:r>
      <w:r w:rsidR="002D314F" w:rsidRPr="00521709">
        <w:rPr>
          <w:rFonts w:cs="Arial"/>
          <w:bCs/>
          <w:snapToGrid w:val="0"/>
          <w:lang w:eastAsia="en-US"/>
        </w:rPr>
        <w:t>not increase the cost to the Government.</w:t>
      </w:r>
    </w:p>
    <w:p w14:paraId="5EAE2E17" w14:textId="5C65957C" w:rsidR="00026BE4" w:rsidRDefault="00026BE4" w:rsidP="00EF5D3B">
      <w:r>
        <w:t xml:space="preserve">For further details refer to the </w:t>
      </w:r>
      <w:hyperlink r:id="rId27" w:history="1">
        <w:r w:rsidRPr="006163D2">
          <w:rPr>
            <w:rStyle w:val="Hyperlink"/>
          </w:rPr>
          <w:t>Public Summary Document from the November 2017 PBAC meeting</w:t>
        </w:r>
      </w:hyperlink>
      <w:r w:rsidR="007730C8">
        <w:t>.</w:t>
      </w:r>
    </w:p>
    <w:p w14:paraId="5B2B01E5" w14:textId="77777777" w:rsidR="000F2F51" w:rsidRDefault="00ED633B" w:rsidP="00EF5D3B">
      <w:pPr>
        <w:pStyle w:val="Heading2"/>
      </w:pPr>
      <w:r>
        <w:t>A</w:t>
      </w:r>
      <w:r w:rsidR="000F2F51">
        <w:t xml:space="preserve">pproach </w:t>
      </w:r>
      <w:r>
        <w:t xml:space="preserve">taken to </w:t>
      </w:r>
      <w:r w:rsidR="000F2F51">
        <w:t>estimat</w:t>
      </w:r>
      <w:r>
        <w:t>e</w:t>
      </w:r>
      <w:r w:rsidR="000F2F51">
        <w:t xml:space="preserve"> utilisation</w:t>
      </w:r>
    </w:p>
    <w:p w14:paraId="1BF48A5B" w14:textId="77777777" w:rsidR="004855EB" w:rsidRPr="004855EB" w:rsidRDefault="004855EB" w:rsidP="00EF5D3B">
      <w:pPr>
        <w:rPr>
          <w:vertAlign w:val="superscript"/>
        </w:rPr>
      </w:pPr>
      <w:r>
        <w:t xml:space="preserve">In its recommendation of sofosbuvir in March 2015, the PBAC considered that the DUSC estimate of </w:t>
      </w:r>
      <w:r>
        <w:rPr>
          <w:bCs/>
          <w:szCs w:val="22"/>
        </w:rPr>
        <w:t>approximately 60,</w:t>
      </w:r>
      <w:r w:rsidRPr="009D0D03">
        <w:rPr>
          <w:bCs/>
          <w:szCs w:val="22"/>
        </w:rPr>
        <w:t xml:space="preserve">000 </w:t>
      </w:r>
      <w:r>
        <w:rPr>
          <w:bCs/>
          <w:szCs w:val="22"/>
        </w:rPr>
        <w:t xml:space="preserve">treated </w:t>
      </w:r>
      <w:r w:rsidRPr="009D0D03">
        <w:rPr>
          <w:bCs/>
          <w:szCs w:val="22"/>
        </w:rPr>
        <w:t xml:space="preserve">patients </w:t>
      </w:r>
      <w:r>
        <w:rPr>
          <w:szCs w:val="22"/>
        </w:rPr>
        <w:t>over 5 years was reasonable based on the available evidence at the time.</w:t>
      </w:r>
      <w:r>
        <w:rPr>
          <w:rStyle w:val="FootnoteReference"/>
          <w:szCs w:val="22"/>
        </w:rPr>
        <w:footnoteReference w:id="3"/>
      </w:r>
      <w:r>
        <w:rPr>
          <w:szCs w:val="22"/>
        </w:rPr>
        <w:t xml:space="preserve"> When considering the DUSC </w:t>
      </w:r>
      <w:r w:rsidR="00550EF8">
        <w:rPr>
          <w:szCs w:val="22"/>
        </w:rPr>
        <w:t>advice</w:t>
      </w:r>
      <w:r>
        <w:rPr>
          <w:szCs w:val="22"/>
        </w:rPr>
        <w:t xml:space="preserve">, the PBAC noted the modelling work of </w:t>
      </w:r>
      <w:r w:rsidR="00DF5CD4">
        <w:t xml:space="preserve">Sievert et al. 2014 </w:t>
      </w:r>
      <w:r>
        <w:rPr>
          <w:szCs w:val="22"/>
        </w:rPr>
        <w:t xml:space="preserve">which projected </w:t>
      </w:r>
      <w:r w:rsidRPr="00D3497A">
        <w:rPr>
          <w:szCs w:val="22"/>
        </w:rPr>
        <w:t>up to 13,500 people (in</w:t>
      </w:r>
      <w:r>
        <w:rPr>
          <w:szCs w:val="22"/>
        </w:rPr>
        <w:t>cluding all fibrosis stages) could be</w:t>
      </w:r>
      <w:r w:rsidRPr="00D3497A">
        <w:rPr>
          <w:szCs w:val="22"/>
        </w:rPr>
        <w:t xml:space="preserve"> treated annually by 2018</w:t>
      </w:r>
      <w:r>
        <w:rPr>
          <w:szCs w:val="22"/>
        </w:rPr>
        <w:t>.</w:t>
      </w:r>
      <w:r>
        <w:rPr>
          <w:szCs w:val="22"/>
          <w:vertAlign w:val="superscript"/>
        </w:rPr>
        <w:t>2</w:t>
      </w:r>
      <w:r>
        <w:rPr>
          <w:szCs w:val="22"/>
        </w:rPr>
        <w:t xml:space="preserve"> The PBAC considered it was not clear how many people living with CHC would </w:t>
      </w:r>
      <w:r w:rsidRPr="009D0D03">
        <w:rPr>
          <w:szCs w:val="22"/>
        </w:rPr>
        <w:t>seek treatment</w:t>
      </w:r>
      <w:r>
        <w:rPr>
          <w:szCs w:val="22"/>
        </w:rPr>
        <w:t xml:space="preserve"> and this would partly depend on the level of management of patients through specialist liver clinics versus community care settings.</w:t>
      </w:r>
      <w:r>
        <w:rPr>
          <w:szCs w:val="22"/>
          <w:vertAlign w:val="superscript"/>
        </w:rPr>
        <w:t>2</w:t>
      </w:r>
    </w:p>
    <w:p w14:paraId="0F6C8893" w14:textId="3A22D87C" w:rsidR="008962F4" w:rsidRDefault="008962F4" w:rsidP="00EF5D3B">
      <w:r>
        <w:t xml:space="preserve">At its February 2015 meeting, DUSC developed the following estimates for the number of patients treated with DAA medicines. </w:t>
      </w:r>
      <w:r w:rsidR="006F6BF5">
        <w:t>These estimates took into account</w:t>
      </w:r>
      <w:r w:rsidR="002D62F2">
        <w:t>:</w:t>
      </w:r>
      <w:r w:rsidR="006F6BF5">
        <w:t xml:space="preserve"> </w:t>
      </w:r>
      <w:r w:rsidR="00820278">
        <w:t xml:space="preserve">advice from the </w:t>
      </w:r>
      <w:hyperlink r:id="rId28" w:history="1">
        <w:r w:rsidR="00820278" w:rsidRPr="00752C80">
          <w:rPr>
            <w:rStyle w:val="Hyperlink"/>
          </w:rPr>
          <w:t xml:space="preserve">February </w:t>
        </w:r>
        <w:r w:rsidR="00CA3CD7" w:rsidRPr="00752C80">
          <w:rPr>
            <w:rStyle w:val="Hyperlink"/>
          </w:rPr>
          <w:t xml:space="preserve">2014 </w:t>
        </w:r>
        <w:r w:rsidR="00752C80" w:rsidRPr="00752C80">
          <w:rPr>
            <w:rStyle w:val="Hyperlink"/>
          </w:rPr>
          <w:t>stakeholder</w:t>
        </w:r>
        <w:r w:rsidR="00CA3CD7" w:rsidRPr="00752C80">
          <w:rPr>
            <w:rStyle w:val="Hyperlink"/>
          </w:rPr>
          <w:t xml:space="preserve"> meeting</w:t>
        </w:r>
      </w:hyperlink>
      <w:r w:rsidR="00CA3CD7">
        <w:t xml:space="preserve"> that</w:t>
      </w:r>
      <w:r w:rsidR="00820278">
        <w:t xml:space="preserve"> within the health </w:t>
      </w:r>
      <w:r w:rsidR="00820278" w:rsidRPr="00820278">
        <w:t>sy</w:t>
      </w:r>
      <w:r w:rsidR="00820278">
        <w:t>stem’s capacity at the time, a maximum of up to 15,000</w:t>
      </w:r>
      <w:r w:rsidR="00820278" w:rsidRPr="00820278">
        <w:t xml:space="preserve"> </w:t>
      </w:r>
      <w:r w:rsidR="00820278">
        <w:t xml:space="preserve">might be treated per year; advice from the Australian Liver Association that </w:t>
      </w:r>
      <w:r w:rsidR="00820278" w:rsidRPr="00820278">
        <w:t xml:space="preserve">immediate treatment with the newer generation </w:t>
      </w:r>
      <w:r w:rsidR="00820278">
        <w:t>DAA medicines</w:t>
      </w:r>
      <w:r w:rsidR="00820278" w:rsidRPr="00820278">
        <w:t xml:space="preserve"> </w:t>
      </w:r>
      <w:r w:rsidR="00820278">
        <w:t>would likely</w:t>
      </w:r>
      <w:r w:rsidR="00820278" w:rsidRPr="00820278">
        <w:t xml:space="preserve"> be prioritised to patients with advanced fibrosis, who are at a greater risk of developing liver-related complications, before being prescribed to the broader </w:t>
      </w:r>
      <w:r w:rsidR="00820278">
        <w:t xml:space="preserve">CHC </w:t>
      </w:r>
      <w:r w:rsidR="00820278" w:rsidRPr="00820278">
        <w:t>population</w:t>
      </w:r>
      <w:r w:rsidR="00984239">
        <w:t xml:space="preserve">; </w:t>
      </w:r>
      <w:r w:rsidR="002D62F2" w:rsidRPr="00CA3CD7">
        <w:t>estimates of the number of patients warehoused from existing therapy in anticipation of the availability of the newer generation DAA medicines</w:t>
      </w:r>
      <w:r w:rsidR="00984239">
        <w:t xml:space="preserve">; and treatment targets set in the </w:t>
      </w:r>
      <w:r w:rsidR="00984239" w:rsidRPr="00984239">
        <w:rPr>
          <w:i/>
        </w:rPr>
        <w:t>Fourth National Hepatitis C Strategy 2014-2017</w:t>
      </w:r>
      <w:r w:rsidR="00984239">
        <w:t>.</w:t>
      </w:r>
    </w:p>
    <w:p w14:paraId="51C015C4" w14:textId="77777777" w:rsidR="00EF0330" w:rsidRPr="00787C6D" w:rsidRDefault="00787C6D" w:rsidP="00EF5D3B">
      <w:pPr>
        <w:rPr>
          <w:b/>
          <w:u w:val="single"/>
        </w:rPr>
      </w:pPr>
      <w:r w:rsidRPr="00787C6D">
        <w:rPr>
          <w:b/>
          <w:u w:val="single"/>
        </w:rPr>
        <w:t>Committee</w:t>
      </w:r>
      <w:r w:rsidR="00EF0330" w:rsidRPr="00787C6D">
        <w:rPr>
          <w:b/>
          <w:u w:val="single"/>
        </w:rPr>
        <w:t>-in-confidence</w:t>
      </w:r>
    </w:p>
    <w:p w14:paraId="510FDA0B" w14:textId="77777777" w:rsidR="001A49A9" w:rsidRPr="00EB5E6F" w:rsidRDefault="00EB5E6F" w:rsidP="00EF5D3B">
      <w:pPr>
        <w:rPr>
          <w:highlight w:val="black"/>
        </w:rPr>
      </w:pPr>
      <w:r>
        <w:rPr>
          <w:noProof/>
          <w:color w:val="000000"/>
          <w:highlight w:val="black"/>
        </w:rPr>
        <w:t>'''''''' ''''''''''''''' '''''''''''''''''''' ''''''''' '''''''''''''''''''''' ''''''''''' '''''' ''''''' ''''''''''' ''''''''''''''''' '''' '''''''''''' ''''''''''''''' ''''''''' ''''''' '''''''' ''''''' '''''''''' '''' '''''''''''' ''''' ''''''''''' '''''' ''''''' ''''''''''''''''''''' ''' ''''''' ''''''''''''''' ''''' ''''''''''''''' '''''''' ''''''''''' '''''''''''''' ''''''''''''''' '''''' ''''''''' ''''''''''''''''''''' ''''''' '''''''''''''' '''' ''''''''''''''''''' ''''''''''''''''' '''''''' '''''''''''''''''''' '''' '''''''''' ''''''''''''''''' ''''''''''''''''''' '''''''''''''''' '''' ''''''' ''''''''''' ''''''''''' ''''''''''''''''' '''''' '''''''''''' ''''''''''' '''''''''''' '''''''' ''''''''''''''' ''''''''''''''' '''''''''''''''''' ''''''''''''</w:t>
      </w:r>
    </w:p>
    <w:p w14:paraId="682CA9AA" w14:textId="77777777" w:rsidR="001A49A9" w:rsidRPr="00EB5E6F" w:rsidRDefault="00EB5E6F" w:rsidP="00EF5D3B">
      <w:pPr>
        <w:spacing w:after="0"/>
        <w:rPr>
          <w:b/>
          <w:highlight w:val="black"/>
        </w:rPr>
      </w:pPr>
      <w:r>
        <w:rPr>
          <w:b/>
          <w:noProof/>
          <w:color w:val="000000"/>
          <w:highlight w:val="black"/>
        </w:rPr>
        <w:t>'''''''' '''''''''''''' '''''''''''' '''''''''''''''''' ''''''''''</w:t>
      </w:r>
    </w:p>
    <w:tbl>
      <w:tblPr>
        <w:tblStyle w:val="TableGrid"/>
        <w:tblW w:w="0" w:type="auto"/>
        <w:tblLook w:val="04A0" w:firstRow="1" w:lastRow="0" w:firstColumn="1" w:lastColumn="0" w:noHBand="0" w:noVBand="1"/>
        <w:tblCaption w:val="Estimates of use of PBS listings to treat hepatitis C"/>
        <w:tblDescription w:val="Table has been redacted as it includes commercial in confidence information."/>
      </w:tblPr>
      <w:tblGrid>
        <w:gridCol w:w="1695"/>
        <w:gridCol w:w="1695"/>
        <w:gridCol w:w="1695"/>
        <w:gridCol w:w="1695"/>
        <w:gridCol w:w="1695"/>
      </w:tblGrid>
      <w:tr w:rsidR="001A49A9" w:rsidRPr="008C097E" w14:paraId="2D0C350D" w14:textId="77777777" w:rsidTr="0099210C">
        <w:trPr>
          <w:tblHeader/>
        </w:trPr>
        <w:tc>
          <w:tcPr>
            <w:tcW w:w="1695" w:type="dxa"/>
          </w:tcPr>
          <w:p w14:paraId="1475DE83" w14:textId="77777777" w:rsidR="001A49A9" w:rsidRPr="00EB5E6F" w:rsidRDefault="00EB5E6F" w:rsidP="00EF5D3B">
            <w:pPr>
              <w:pStyle w:val="BodyText"/>
              <w:widowControl/>
              <w:rPr>
                <w:highlight w:val="black"/>
              </w:rPr>
            </w:pPr>
            <w:r>
              <w:rPr>
                <w:noProof/>
                <w:color w:val="000000"/>
                <w:highlight w:val="black"/>
              </w:rPr>
              <w:t>'''''''''' '''</w:t>
            </w:r>
          </w:p>
        </w:tc>
        <w:tc>
          <w:tcPr>
            <w:tcW w:w="1695" w:type="dxa"/>
          </w:tcPr>
          <w:p w14:paraId="08E615D2" w14:textId="77777777" w:rsidR="001A49A9" w:rsidRPr="00EB5E6F" w:rsidRDefault="00EB5E6F" w:rsidP="00EF5D3B">
            <w:pPr>
              <w:pStyle w:val="BodyText"/>
              <w:widowControl/>
              <w:rPr>
                <w:highlight w:val="black"/>
              </w:rPr>
            </w:pPr>
            <w:r>
              <w:rPr>
                <w:noProof/>
                <w:color w:val="000000"/>
                <w:highlight w:val="black"/>
              </w:rPr>
              <w:t>''''''''' '''</w:t>
            </w:r>
          </w:p>
        </w:tc>
        <w:tc>
          <w:tcPr>
            <w:tcW w:w="1695" w:type="dxa"/>
          </w:tcPr>
          <w:p w14:paraId="7DDFBEAD" w14:textId="77777777" w:rsidR="001A49A9" w:rsidRPr="00EB5E6F" w:rsidRDefault="00EB5E6F" w:rsidP="00EF5D3B">
            <w:pPr>
              <w:pStyle w:val="BodyText"/>
              <w:widowControl/>
              <w:rPr>
                <w:highlight w:val="black"/>
              </w:rPr>
            </w:pPr>
            <w:r>
              <w:rPr>
                <w:noProof/>
                <w:color w:val="000000"/>
                <w:highlight w:val="black"/>
              </w:rPr>
              <w:t>''''''''' '''</w:t>
            </w:r>
          </w:p>
        </w:tc>
        <w:tc>
          <w:tcPr>
            <w:tcW w:w="1695" w:type="dxa"/>
          </w:tcPr>
          <w:p w14:paraId="0BA2E531" w14:textId="77777777" w:rsidR="001A49A9" w:rsidRPr="00EB5E6F" w:rsidRDefault="00EB5E6F" w:rsidP="00EF5D3B">
            <w:pPr>
              <w:pStyle w:val="BodyText"/>
              <w:widowControl/>
              <w:rPr>
                <w:highlight w:val="black"/>
              </w:rPr>
            </w:pPr>
            <w:r>
              <w:rPr>
                <w:noProof/>
                <w:color w:val="000000"/>
                <w:highlight w:val="black"/>
              </w:rPr>
              <w:t>''''''''' '''</w:t>
            </w:r>
          </w:p>
        </w:tc>
        <w:tc>
          <w:tcPr>
            <w:tcW w:w="1695" w:type="dxa"/>
          </w:tcPr>
          <w:p w14:paraId="033F4379" w14:textId="77777777" w:rsidR="001A49A9" w:rsidRPr="00EB5E6F" w:rsidRDefault="00EB5E6F" w:rsidP="00EF5D3B">
            <w:pPr>
              <w:pStyle w:val="BodyText"/>
              <w:widowControl/>
              <w:rPr>
                <w:highlight w:val="black"/>
              </w:rPr>
            </w:pPr>
            <w:r>
              <w:rPr>
                <w:noProof/>
                <w:color w:val="000000"/>
                <w:highlight w:val="black"/>
              </w:rPr>
              <w:t>''''''''' '''</w:t>
            </w:r>
          </w:p>
        </w:tc>
      </w:tr>
      <w:tr w:rsidR="001A49A9" w:rsidRPr="008C097E" w14:paraId="3CFD2721" w14:textId="77777777" w:rsidTr="007A44B5">
        <w:tc>
          <w:tcPr>
            <w:tcW w:w="1695" w:type="dxa"/>
          </w:tcPr>
          <w:p w14:paraId="485C0120" w14:textId="77777777" w:rsidR="001A49A9" w:rsidRPr="00EB5E6F" w:rsidRDefault="00EB5E6F" w:rsidP="00EF5D3B">
            <w:pPr>
              <w:pStyle w:val="BodyText"/>
              <w:widowControl/>
              <w:rPr>
                <w:b w:val="0"/>
                <w:highlight w:val="black"/>
              </w:rPr>
            </w:pPr>
            <w:r>
              <w:rPr>
                <w:b w:val="0"/>
                <w:noProof/>
                <w:color w:val="000000"/>
                <w:highlight w:val="black"/>
              </w:rPr>
              <w:t xml:space="preserve">''''''''''''''''' </w:t>
            </w:r>
          </w:p>
        </w:tc>
        <w:tc>
          <w:tcPr>
            <w:tcW w:w="1695" w:type="dxa"/>
          </w:tcPr>
          <w:p w14:paraId="0CA40B75" w14:textId="77777777" w:rsidR="001A49A9" w:rsidRPr="00EB5E6F" w:rsidRDefault="00EB5E6F" w:rsidP="00EF5D3B">
            <w:pPr>
              <w:pStyle w:val="BodyText"/>
              <w:widowControl/>
              <w:rPr>
                <w:b w:val="0"/>
                <w:highlight w:val="black"/>
              </w:rPr>
            </w:pPr>
            <w:r>
              <w:rPr>
                <w:b w:val="0"/>
                <w:noProof/>
                <w:color w:val="000000"/>
                <w:highlight w:val="black"/>
              </w:rPr>
              <w:t xml:space="preserve">'''''''''''''''' </w:t>
            </w:r>
          </w:p>
        </w:tc>
        <w:tc>
          <w:tcPr>
            <w:tcW w:w="1695" w:type="dxa"/>
          </w:tcPr>
          <w:p w14:paraId="0C585163" w14:textId="77777777" w:rsidR="001A49A9" w:rsidRPr="00EB5E6F" w:rsidRDefault="00EB5E6F" w:rsidP="00EF5D3B">
            <w:pPr>
              <w:pStyle w:val="BodyText"/>
              <w:widowControl/>
              <w:rPr>
                <w:b w:val="0"/>
                <w:highlight w:val="black"/>
              </w:rPr>
            </w:pPr>
            <w:r>
              <w:rPr>
                <w:b w:val="0"/>
                <w:noProof/>
                <w:color w:val="000000"/>
                <w:highlight w:val="black"/>
              </w:rPr>
              <w:t xml:space="preserve">''''''''''''''''' </w:t>
            </w:r>
          </w:p>
        </w:tc>
        <w:tc>
          <w:tcPr>
            <w:tcW w:w="1695" w:type="dxa"/>
          </w:tcPr>
          <w:p w14:paraId="3336FA30" w14:textId="77777777" w:rsidR="001A49A9" w:rsidRPr="00EB5E6F" w:rsidRDefault="00EB5E6F" w:rsidP="00EF5D3B">
            <w:pPr>
              <w:pStyle w:val="BodyText"/>
              <w:widowControl/>
              <w:rPr>
                <w:b w:val="0"/>
                <w:highlight w:val="black"/>
              </w:rPr>
            </w:pPr>
            <w:r>
              <w:rPr>
                <w:b w:val="0"/>
                <w:noProof/>
                <w:color w:val="000000"/>
                <w:highlight w:val="black"/>
              </w:rPr>
              <w:t xml:space="preserve">'''''''''''''''''' </w:t>
            </w:r>
          </w:p>
        </w:tc>
        <w:tc>
          <w:tcPr>
            <w:tcW w:w="1695" w:type="dxa"/>
          </w:tcPr>
          <w:p w14:paraId="5F28D841" w14:textId="77777777" w:rsidR="001A49A9" w:rsidRPr="00EB5E6F" w:rsidRDefault="00EB5E6F" w:rsidP="00EF5D3B">
            <w:pPr>
              <w:pStyle w:val="BodyText"/>
              <w:widowControl/>
              <w:rPr>
                <w:b w:val="0"/>
                <w:highlight w:val="black"/>
              </w:rPr>
            </w:pPr>
            <w:r>
              <w:rPr>
                <w:b w:val="0"/>
                <w:noProof/>
                <w:color w:val="000000"/>
                <w:highlight w:val="black"/>
              </w:rPr>
              <w:t xml:space="preserve">''''''''''''''''' </w:t>
            </w:r>
          </w:p>
        </w:tc>
      </w:tr>
    </w:tbl>
    <w:p w14:paraId="56D2FDF2" w14:textId="77777777" w:rsidR="001A49A9" w:rsidRPr="00EB5E6F" w:rsidRDefault="00EB5E6F" w:rsidP="00EF5D3B">
      <w:pPr>
        <w:rPr>
          <w:sz w:val="20"/>
          <w:szCs w:val="20"/>
          <w:highlight w:val="black"/>
        </w:rPr>
      </w:pPr>
      <w:r>
        <w:rPr>
          <w:noProof/>
          <w:color w:val="000000"/>
          <w:sz w:val="20"/>
          <w:szCs w:val="20"/>
          <w:highlight w:val="black"/>
        </w:rPr>
        <w:t>''''''''''''''' '''''''''''''''' '''''''''''''''' '''''''''''''''''' ''''''''''''' ''''''''''''' ''''''''''</w:t>
      </w:r>
    </w:p>
    <w:p w14:paraId="77650866" w14:textId="77777777" w:rsidR="001A49A9" w:rsidRPr="00EB5E6F" w:rsidRDefault="00EB5E6F" w:rsidP="00EF5D3B">
      <w:pPr>
        <w:rPr>
          <w:highlight w:val="black"/>
        </w:rPr>
      </w:pPr>
      <w:r>
        <w:rPr>
          <w:noProof/>
          <w:color w:val="000000"/>
          <w:highlight w:val="black"/>
        </w:rPr>
        <w:t>''''''''''' ''''' '''''' '''''''''''' '''' ''''''' '''''''''''''''''' '''''''' '''''''''''''''''''''' ''' '''''''' ''''''''''''''' ''''''' ''''''''''''''' ''''''''' ''''''''''' '''''''''''' '''''''''''''' ''''''''''''' ''''' ''''''''''''''''''''' '''''' ''''''''''''''''''' '''''''''''' ''''''' ''''''''''' ''''''''' ''''' '''''''''''' ''''''' '''''''''''''''''''''' '''''' '''''' ''''''''''''' '''' ''''''' '''''''''''''''''''''' ''''' ''''''''''''''' ''''''''' '''''''''''''''' ''''' ''''''' ''''''''' ''''''''' '''''' '''''''''''''''' ''''''''''''''''''' ''''''''''' ''''''''' '''' ''''''''''''''</w:t>
      </w:r>
    </w:p>
    <w:p w14:paraId="7A0028F0" w14:textId="77777777" w:rsidR="004F52C6" w:rsidRPr="00EB5E6F" w:rsidRDefault="00EB5E6F" w:rsidP="00EF5D3B">
      <w:pPr>
        <w:spacing w:after="0"/>
        <w:rPr>
          <w:highlight w:val="black"/>
        </w:rPr>
      </w:pPr>
      <w:r>
        <w:rPr>
          <w:b/>
          <w:noProof/>
          <w:color w:val="000000"/>
          <w:highlight w:val="black"/>
        </w:rPr>
        <w:t>''''''''''''''''''''' '''''' ''''''' ''''''''''''''''''''' '''' ''''''''''''''' '''''''' ''''''''''''''' '''' '''''''' ''''''' '''''''''</w:t>
      </w:r>
    </w:p>
    <w:tbl>
      <w:tblPr>
        <w:tblStyle w:val="TableGrid"/>
        <w:tblW w:w="0" w:type="auto"/>
        <w:tblLook w:val="04A0" w:firstRow="1" w:lastRow="0" w:firstColumn="1" w:lastColumn="0" w:noHBand="0" w:noVBand="1"/>
        <w:tblCaption w:val="Projected use of hepatitis C medicines"/>
        <w:tblDescription w:val="Projected use of hepatitis C medicines at the time of first listing. Redacted as this table contains commercial-in-confidence information"/>
      </w:tblPr>
      <w:tblGrid>
        <w:gridCol w:w="1695"/>
        <w:gridCol w:w="1695"/>
        <w:gridCol w:w="1695"/>
        <w:gridCol w:w="1695"/>
        <w:gridCol w:w="1695"/>
      </w:tblGrid>
      <w:tr w:rsidR="004667CC" w:rsidRPr="008C097E" w14:paraId="075BB803" w14:textId="77777777" w:rsidTr="0099210C">
        <w:trPr>
          <w:tblHeader/>
        </w:trPr>
        <w:tc>
          <w:tcPr>
            <w:tcW w:w="1695" w:type="dxa"/>
          </w:tcPr>
          <w:p w14:paraId="732F7100" w14:textId="77777777" w:rsidR="004667CC" w:rsidRPr="00EB5E6F" w:rsidRDefault="00EB5E6F" w:rsidP="00EF5D3B">
            <w:pPr>
              <w:pStyle w:val="BodyText"/>
              <w:widowControl/>
              <w:rPr>
                <w:highlight w:val="black"/>
              </w:rPr>
            </w:pPr>
            <w:r>
              <w:rPr>
                <w:noProof/>
                <w:color w:val="000000"/>
                <w:highlight w:val="black"/>
              </w:rPr>
              <w:t>''''''''' '''</w:t>
            </w:r>
          </w:p>
        </w:tc>
        <w:tc>
          <w:tcPr>
            <w:tcW w:w="1695" w:type="dxa"/>
          </w:tcPr>
          <w:p w14:paraId="7E0F09E7" w14:textId="77777777" w:rsidR="004667CC" w:rsidRPr="00EB5E6F" w:rsidRDefault="00EB5E6F" w:rsidP="00EF5D3B">
            <w:pPr>
              <w:pStyle w:val="BodyText"/>
              <w:widowControl/>
              <w:rPr>
                <w:highlight w:val="black"/>
              </w:rPr>
            </w:pPr>
            <w:r>
              <w:rPr>
                <w:noProof/>
                <w:color w:val="000000"/>
                <w:highlight w:val="black"/>
              </w:rPr>
              <w:t>'''''''''' '''</w:t>
            </w:r>
          </w:p>
        </w:tc>
        <w:tc>
          <w:tcPr>
            <w:tcW w:w="1695" w:type="dxa"/>
          </w:tcPr>
          <w:p w14:paraId="21FBDB54" w14:textId="77777777" w:rsidR="004667CC" w:rsidRPr="00EB5E6F" w:rsidRDefault="00EB5E6F" w:rsidP="00EF5D3B">
            <w:pPr>
              <w:pStyle w:val="BodyText"/>
              <w:widowControl/>
              <w:rPr>
                <w:highlight w:val="black"/>
              </w:rPr>
            </w:pPr>
            <w:r>
              <w:rPr>
                <w:noProof/>
                <w:color w:val="000000"/>
                <w:highlight w:val="black"/>
              </w:rPr>
              <w:t>''''''''' '''</w:t>
            </w:r>
          </w:p>
        </w:tc>
        <w:tc>
          <w:tcPr>
            <w:tcW w:w="1695" w:type="dxa"/>
          </w:tcPr>
          <w:p w14:paraId="5619FB75" w14:textId="77777777" w:rsidR="004667CC" w:rsidRPr="00EB5E6F" w:rsidRDefault="00EB5E6F" w:rsidP="00EF5D3B">
            <w:pPr>
              <w:pStyle w:val="BodyText"/>
              <w:widowControl/>
              <w:rPr>
                <w:highlight w:val="black"/>
              </w:rPr>
            </w:pPr>
            <w:r>
              <w:rPr>
                <w:noProof/>
                <w:color w:val="000000"/>
                <w:highlight w:val="black"/>
              </w:rPr>
              <w:t>'''''''''' '''</w:t>
            </w:r>
          </w:p>
        </w:tc>
        <w:tc>
          <w:tcPr>
            <w:tcW w:w="1695" w:type="dxa"/>
          </w:tcPr>
          <w:p w14:paraId="3DD09E75" w14:textId="77777777" w:rsidR="004667CC" w:rsidRPr="00EB5E6F" w:rsidRDefault="00EB5E6F" w:rsidP="00EF5D3B">
            <w:pPr>
              <w:pStyle w:val="BodyText"/>
              <w:widowControl/>
              <w:rPr>
                <w:highlight w:val="black"/>
              </w:rPr>
            </w:pPr>
            <w:r>
              <w:rPr>
                <w:noProof/>
                <w:color w:val="000000"/>
                <w:highlight w:val="black"/>
              </w:rPr>
              <w:t>'''''''''' '''</w:t>
            </w:r>
          </w:p>
        </w:tc>
      </w:tr>
      <w:tr w:rsidR="004667CC" w:rsidRPr="008C097E" w14:paraId="5C9D772B" w14:textId="77777777" w:rsidTr="007A44B5">
        <w:tc>
          <w:tcPr>
            <w:tcW w:w="1695" w:type="dxa"/>
          </w:tcPr>
          <w:p w14:paraId="64AF05D5" w14:textId="77777777" w:rsidR="004667CC" w:rsidRPr="00EB5E6F" w:rsidRDefault="00EB5E6F" w:rsidP="00EF5D3B">
            <w:pPr>
              <w:jc w:val="center"/>
              <w:rPr>
                <w:rFonts w:ascii="Arial" w:eastAsia="Times New Roman" w:hAnsi="Arial" w:cs="Times New Roman"/>
                <w:snapToGrid w:val="0"/>
                <w:sz w:val="20"/>
                <w:szCs w:val="20"/>
                <w:highlight w:val="black"/>
                <w:lang w:eastAsia="en-US"/>
              </w:rPr>
            </w:pPr>
            <w:r>
              <w:rPr>
                <w:rFonts w:ascii="Arial" w:eastAsia="Times New Roman" w:hAnsi="Arial" w:cs="Times New Roman"/>
                <w:noProof/>
                <w:snapToGrid w:val="0"/>
                <w:color w:val="000000"/>
                <w:sz w:val="20"/>
                <w:szCs w:val="20"/>
                <w:highlight w:val="black"/>
                <w:lang w:eastAsia="en-US"/>
              </w:rPr>
              <w:t>'''''''''''</w:t>
            </w:r>
          </w:p>
        </w:tc>
        <w:tc>
          <w:tcPr>
            <w:tcW w:w="1695" w:type="dxa"/>
          </w:tcPr>
          <w:p w14:paraId="297FA5CE" w14:textId="77777777" w:rsidR="004667CC" w:rsidRPr="00EB5E6F" w:rsidRDefault="00EB5E6F" w:rsidP="00EF5D3B">
            <w:pPr>
              <w:jc w:val="center"/>
              <w:rPr>
                <w:rFonts w:ascii="Arial" w:eastAsia="Times New Roman" w:hAnsi="Arial" w:cs="Times New Roman"/>
                <w:snapToGrid w:val="0"/>
                <w:sz w:val="20"/>
                <w:szCs w:val="20"/>
                <w:highlight w:val="black"/>
                <w:lang w:eastAsia="en-US"/>
              </w:rPr>
            </w:pPr>
            <w:r>
              <w:rPr>
                <w:rFonts w:ascii="Arial" w:eastAsia="Times New Roman" w:hAnsi="Arial" w:cs="Times New Roman"/>
                <w:noProof/>
                <w:snapToGrid w:val="0"/>
                <w:color w:val="000000"/>
                <w:sz w:val="20"/>
                <w:szCs w:val="20"/>
                <w:highlight w:val="black"/>
                <w:lang w:eastAsia="en-US"/>
              </w:rPr>
              <w:t>'''''''''''''''''</w:t>
            </w:r>
          </w:p>
        </w:tc>
        <w:tc>
          <w:tcPr>
            <w:tcW w:w="1695" w:type="dxa"/>
          </w:tcPr>
          <w:p w14:paraId="2108991E" w14:textId="77777777" w:rsidR="004667CC" w:rsidRPr="00EB5E6F" w:rsidRDefault="00EB5E6F" w:rsidP="00EF5D3B">
            <w:pPr>
              <w:jc w:val="center"/>
              <w:rPr>
                <w:rFonts w:ascii="Arial" w:eastAsia="Times New Roman" w:hAnsi="Arial" w:cs="Times New Roman"/>
                <w:snapToGrid w:val="0"/>
                <w:sz w:val="20"/>
                <w:szCs w:val="20"/>
                <w:highlight w:val="black"/>
                <w:lang w:eastAsia="en-US"/>
              </w:rPr>
            </w:pPr>
            <w:r>
              <w:rPr>
                <w:rFonts w:ascii="Arial" w:eastAsia="Times New Roman" w:hAnsi="Arial" w:cs="Times New Roman"/>
                <w:noProof/>
                <w:snapToGrid w:val="0"/>
                <w:color w:val="000000"/>
                <w:sz w:val="20"/>
                <w:szCs w:val="20"/>
                <w:highlight w:val="black"/>
                <w:lang w:eastAsia="en-US"/>
              </w:rPr>
              <w:t>'''''''''''</w:t>
            </w:r>
          </w:p>
        </w:tc>
        <w:tc>
          <w:tcPr>
            <w:tcW w:w="1695" w:type="dxa"/>
          </w:tcPr>
          <w:p w14:paraId="61E6E019" w14:textId="77777777" w:rsidR="004667CC" w:rsidRPr="00EB5E6F" w:rsidRDefault="00EB5E6F" w:rsidP="00EF5D3B">
            <w:pPr>
              <w:jc w:val="center"/>
              <w:rPr>
                <w:rFonts w:ascii="Arial" w:eastAsia="Times New Roman" w:hAnsi="Arial" w:cs="Times New Roman"/>
                <w:snapToGrid w:val="0"/>
                <w:sz w:val="20"/>
                <w:szCs w:val="20"/>
                <w:highlight w:val="black"/>
                <w:lang w:eastAsia="en-US"/>
              </w:rPr>
            </w:pPr>
            <w:r>
              <w:rPr>
                <w:rFonts w:ascii="Arial" w:eastAsia="Times New Roman" w:hAnsi="Arial" w:cs="Times New Roman"/>
                <w:noProof/>
                <w:snapToGrid w:val="0"/>
                <w:color w:val="000000"/>
                <w:sz w:val="20"/>
                <w:szCs w:val="20"/>
                <w:highlight w:val="black"/>
                <w:lang w:eastAsia="en-US"/>
              </w:rPr>
              <w:t>'''''''''''''</w:t>
            </w:r>
          </w:p>
        </w:tc>
        <w:tc>
          <w:tcPr>
            <w:tcW w:w="1695" w:type="dxa"/>
          </w:tcPr>
          <w:p w14:paraId="713014DE" w14:textId="77777777" w:rsidR="004667CC" w:rsidRPr="00EB5E6F" w:rsidRDefault="00EB5E6F" w:rsidP="00EF5D3B">
            <w:pPr>
              <w:jc w:val="center"/>
              <w:rPr>
                <w:rFonts w:ascii="Arial" w:eastAsia="Times New Roman" w:hAnsi="Arial" w:cs="Times New Roman"/>
                <w:snapToGrid w:val="0"/>
                <w:sz w:val="20"/>
                <w:szCs w:val="20"/>
                <w:highlight w:val="black"/>
                <w:lang w:eastAsia="en-US"/>
              </w:rPr>
            </w:pPr>
            <w:r>
              <w:rPr>
                <w:rFonts w:ascii="Arial" w:eastAsia="Times New Roman" w:hAnsi="Arial" w:cs="Times New Roman"/>
                <w:noProof/>
                <w:snapToGrid w:val="0"/>
                <w:color w:val="000000"/>
                <w:sz w:val="20"/>
                <w:szCs w:val="20"/>
                <w:highlight w:val="black"/>
                <w:lang w:eastAsia="en-US"/>
              </w:rPr>
              <w:t>''''''''''''</w:t>
            </w:r>
          </w:p>
        </w:tc>
      </w:tr>
    </w:tbl>
    <w:p w14:paraId="1FF18377" w14:textId="77777777" w:rsidR="004667CC" w:rsidRPr="00EB5E6F" w:rsidRDefault="004667CC" w:rsidP="00EF5D3B">
      <w:pPr>
        <w:spacing w:after="0"/>
        <w:rPr>
          <w:highlight w:val="lightGray"/>
        </w:rPr>
      </w:pPr>
    </w:p>
    <w:p w14:paraId="0F4D33B7" w14:textId="77777777" w:rsidR="00D6370A" w:rsidRPr="00EB5E6F" w:rsidRDefault="00EB5E6F" w:rsidP="00EF5D3B">
      <w:pPr>
        <w:rPr>
          <w:highlight w:val="black"/>
        </w:rPr>
      </w:pPr>
      <w:r>
        <w:rPr>
          <w:noProof/>
          <w:color w:val="000000"/>
          <w:highlight w:val="black"/>
        </w:rPr>
        <w:t>'''''''' ''''''''''''''''' '''''''''''''''''''' '''' ''''''' ''''''''''''''''' ''''''' ''''''''''' '''''' ''''''''''''''''''''''' ''''' '''' '''''''''''''' ''''''''''''''''''' '''' ''''''''''' '''''''''''''''''' '''' '''''''''' '''''''''''''''''' '''' ''''''''''''' ''''''' ''''''''''''''''''''' '''''''' ''''''''''' ''''''' ''''''''''''''''' '''''''' '''''''''''''''''' '''' '''''''''''' '''''''''''''''''' '''''''' '''''' ''''''''''''''' ''''''''''''''''' '''''''''''''</w:t>
      </w:r>
    </w:p>
    <w:p w14:paraId="1FC5B1E6" w14:textId="77777777" w:rsidR="00D6370A" w:rsidRPr="00EB5E6F" w:rsidRDefault="00EB5E6F" w:rsidP="00EF5D3B">
      <w:pPr>
        <w:rPr>
          <w:highlight w:val="black"/>
        </w:rPr>
      </w:pPr>
      <w:r>
        <w:rPr>
          <w:noProof/>
          <w:color w:val="000000"/>
          <w:highlight w:val="black"/>
        </w:rPr>
        <w:t xml:space="preserve">''''' '''''''''''''''' ''''''' '''''''''''''''' '''' '''''''''''''''''''''''''''' ''''''''''''''' ''''''''''' '''''''''''''''' '''' '''''''' '''''''''' ''''''''''''''' '''''''''''''''''''' ''''' '''''''''' ''''''''''''''' ''''''' ''''''''''''''''' ''''''''''''' </w:t>
      </w:r>
    </w:p>
    <w:p w14:paraId="7E4683CA" w14:textId="77777777" w:rsidR="00984239" w:rsidRPr="00E16B07" w:rsidRDefault="008962F4" w:rsidP="00EF5D3B">
      <w:pPr>
        <w:rPr>
          <w:b/>
          <w:u w:val="single"/>
        </w:rPr>
      </w:pPr>
      <w:r w:rsidRPr="00787C6D">
        <w:rPr>
          <w:b/>
          <w:u w:val="single"/>
        </w:rPr>
        <w:t>End comm</w:t>
      </w:r>
      <w:r w:rsidR="00787C6D" w:rsidRPr="00787C6D">
        <w:rPr>
          <w:b/>
          <w:u w:val="single"/>
        </w:rPr>
        <w:t>ittee</w:t>
      </w:r>
      <w:r w:rsidRPr="00787C6D">
        <w:rPr>
          <w:b/>
          <w:u w:val="single"/>
        </w:rPr>
        <w:t>-in-confidence</w:t>
      </w:r>
    </w:p>
    <w:p w14:paraId="723AE845" w14:textId="77777777" w:rsidR="00094DCF" w:rsidRDefault="00ED633B" w:rsidP="00EF5D3B">
      <w:pPr>
        <w:pStyle w:val="Heading2"/>
      </w:pPr>
      <w:r>
        <w:t xml:space="preserve">Previous reviews by </w:t>
      </w:r>
      <w:r w:rsidR="00177B86">
        <w:t xml:space="preserve">the </w:t>
      </w:r>
      <w:r>
        <w:t>DUSC</w:t>
      </w:r>
    </w:p>
    <w:p w14:paraId="58EDA410" w14:textId="2208C538" w:rsidR="00625D77" w:rsidRDefault="00166999" w:rsidP="00EF5D3B">
      <w:r>
        <w:t xml:space="preserve">The utilisation of peginterferon and ribavirin for the treatment of hepatitis C was considered by DUSC in June 2012. The drugs included in the review were part of the </w:t>
      </w:r>
      <w:r w:rsidRPr="009B65A0">
        <w:t>Section</w:t>
      </w:r>
      <w:r w:rsidR="000D0F63">
        <w:t> </w:t>
      </w:r>
      <w:r w:rsidRPr="009B65A0">
        <w:t xml:space="preserve">100 </w:t>
      </w:r>
      <w:r w:rsidR="000D0F63">
        <w:t>HSD</w:t>
      </w:r>
      <w:r w:rsidRPr="009B65A0">
        <w:t xml:space="preserve"> Program.</w:t>
      </w:r>
      <w:r>
        <w:t xml:space="preserve"> At the time of the review, data on scripts</w:t>
      </w:r>
      <w:r w:rsidRPr="009B65A0">
        <w:t xml:space="preserve"> supplied through public hospitals</w:t>
      </w:r>
      <w:r>
        <w:t xml:space="preserve"> was</w:t>
      </w:r>
      <w:r w:rsidRPr="009B65A0">
        <w:t xml:space="preserve"> in aggregated form</w:t>
      </w:r>
      <w:r>
        <w:t>, as such the information available was very limited. It was estimated that as at May 2012 there were around 3,450 patients initiating treatment</w:t>
      </w:r>
      <w:r w:rsidR="005815CF">
        <w:t xml:space="preserve"> per year</w:t>
      </w:r>
      <w:r>
        <w:t>.</w:t>
      </w:r>
    </w:p>
    <w:p w14:paraId="2FBBE38A" w14:textId="77777777" w:rsidR="00E677DD" w:rsidRPr="005E22C2" w:rsidRDefault="00E677DD" w:rsidP="00080071">
      <w:pPr>
        <w:pStyle w:val="Heading1"/>
        <w:spacing w:before="0" w:after="0"/>
      </w:pPr>
      <w:r w:rsidRPr="005E22C2">
        <w:t>Method</w:t>
      </w:r>
      <w:r w:rsidR="001B5D37" w:rsidRPr="005E22C2">
        <w:t>s</w:t>
      </w:r>
    </w:p>
    <w:p w14:paraId="5614E3EC" w14:textId="77777777" w:rsidR="00080071" w:rsidRDefault="00080071" w:rsidP="00080071">
      <w:pPr>
        <w:spacing w:after="0"/>
      </w:pPr>
    </w:p>
    <w:p w14:paraId="7A78B6D0" w14:textId="77777777" w:rsidR="00B109E9" w:rsidRPr="00B109E9" w:rsidRDefault="005643F6" w:rsidP="00080071">
      <w:pPr>
        <w:spacing w:after="0"/>
      </w:pPr>
      <w:r>
        <w:t>Data extraction and analyses</w:t>
      </w:r>
      <w:r w:rsidR="00B109E9">
        <w:t xml:space="preserve"> were undertaken using SAS Enterprise Guide version 7.13.</w:t>
      </w:r>
      <w:r>
        <w:t xml:space="preserve"> </w:t>
      </w:r>
      <w:r w:rsidR="002F0685">
        <w:t>ArcGIS Desktop version 10.5.1 was used for the geospatial analyses.</w:t>
      </w:r>
    </w:p>
    <w:p w14:paraId="040A40DA" w14:textId="77777777" w:rsidR="000D0F63" w:rsidRDefault="000D0F63" w:rsidP="00EF5D3B">
      <w:pPr>
        <w:rPr>
          <w:b/>
          <w:u w:val="single"/>
        </w:rPr>
      </w:pPr>
    </w:p>
    <w:p w14:paraId="1866A544" w14:textId="77777777" w:rsidR="004965B9" w:rsidRPr="00893777" w:rsidRDefault="00893777" w:rsidP="00EF5D3B">
      <w:pPr>
        <w:rPr>
          <w:b/>
          <w:u w:val="single"/>
        </w:rPr>
      </w:pPr>
      <w:r w:rsidRPr="00893777">
        <w:rPr>
          <w:b/>
          <w:u w:val="single"/>
        </w:rPr>
        <w:t>Data sources</w:t>
      </w:r>
    </w:p>
    <w:p w14:paraId="34DEF2C7" w14:textId="77777777" w:rsidR="00587215" w:rsidRDefault="00587215" w:rsidP="00EF5D3B">
      <w:pPr>
        <w:spacing w:after="0"/>
      </w:pPr>
      <w:r w:rsidRPr="00587215">
        <w:t>Data were sourced from the Department of Human Services (DHS)</w:t>
      </w:r>
      <w:r>
        <w:t>,</w:t>
      </w:r>
      <w:r w:rsidRPr="00587215">
        <w:t xml:space="preserve"> including de-identified records of</w:t>
      </w:r>
      <w:r>
        <w:t>:</w:t>
      </w:r>
      <w:r w:rsidRPr="00587215">
        <w:t xml:space="preserve"> </w:t>
      </w:r>
    </w:p>
    <w:p w14:paraId="6814844C" w14:textId="41DC3163" w:rsidR="00666EB7" w:rsidRDefault="00DD17A2" w:rsidP="00EF5D3B">
      <w:pPr>
        <w:pStyle w:val="ListParagraph"/>
        <w:numPr>
          <w:ilvl w:val="0"/>
          <w:numId w:val="6"/>
        </w:numPr>
        <w:spacing w:after="0"/>
      </w:pPr>
      <w:r>
        <w:t>Authority a</w:t>
      </w:r>
      <w:r w:rsidRPr="000546BE">
        <w:t xml:space="preserve">pprovals </w:t>
      </w:r>
      <w:r>
        <w:t xml:space="preserve">for the period from the first date of listing of a </w:t>
      </w:r>
      <w:r w:rsidR="004C5CCE">
        <w:t xml:space="preserve">new generation </w:t>
      </w:r>
      <w:r>
        <w:t>DAA regimen (1</w:t>
      </w:r>
      <w:r w:rsidR="00A71468">
        <w:t> </w:t>
      </w:r>
      <w:r>
        <w:t xml:space="preserve">March 2016) to </w:t>
      </w:r>
      <w:r w:rsidR="006E61CE">
        <w:t xml:space="preserve">30 April 2018. </w:t>
      </w:r>
      <w:r w:rsidR="00666EB7">
        <w:t>The Authorities data provided information on the cirrhotic status and HCV genotype of patients, up to 30 March 2018. The approvals data was also used to identify patients with an Authority approval who did not receive a supply of th</w:t>
      </w:r>
      <w:r w:rsidR="00406FA9">
        <w:t>e approved medicine(s).</w:t>
      </w:r>
    </w:p>
    <w:p w14:paraId="762446CD" w14:textId="77777777" w:rsidR="00FE39A5" w:rsidRDefault="00406FA9" w:rsidP="00EF5D3B">
      <w:pPr>
        <w:pStyle w:val="ListParagraph"/>
        <w:numPr>
          <w:ilvl w:val="0"/>
          <w:numId w:val="6"/>
        </w:numPr>
        <w:spacing w:after="0"/>
      </w:pPr>
      <w:r>
        <w:t>Prescriptions</w:t>
      </w:r>
      <w:r w:rsidR="00587215" w:rsidRPr="00587215">
        <w:t xml:space="preserve"> </w:t>
      </w:r>
      <w:r w:rsidR="008B356C">
        <w:t xml:space="preserve">supplied </w:t>
      </w:r>
      <w:r w:rsidR="00587215" w:rsidRPr="00587215">
        <w:t>under the Pharmaceutical Benefits Scheme (PBS) and Repatriation Pharmaceutica</w:t>
      </w:r>
      <w:r w:rsidR="00587215">
        <w:t>l Benefits Scheme (RPBS).</w:t>
      </w:r>
      <w:r w:rsidR="00001AF6">
        <w:t xml:space="preserve"> </w:t>
      </w:r>
      <w:r w:rsidR="0005066F">
        <w:t>Data was first extracted for DAA drug regimens listed from 1 March 2016</w:t>
      </w:r>
      <w:r w:rsidR="00C17C05">
        <w:t xml:space="preserve"> based on the date of supply</w:t>
      </w:r>
      <w:r w:rsidR="0005066F">
        <w:t>. To identify treatment experienced patients, a list of unique identifiers for patients (PINs) supplied DAA therapy was obtained. All prescription records for earlier listings for hepatitis C, including peginterferon with ribavirin, boceprevir, telaprevir and simeprevir were extracted</w:t>
      </w:r>
      <w:r w:rsidR="00C17C05">
        <w:t xml:space="preserve"> based on the date of supply</w:t>
      </w:r>
      <w:r w:rsidR="0005066F">
        <w:t xml:space="preserve">. Data matching was undertaken to identify all supplies of hepatitis C medicines for patients who had a supply of DAA therapy. </w:t>
      </w:r>
    </w:p>
    <w:p w14:paraId="68BD1597" w14:textId="77777777" w:rsidR="00FE39A5" w:rsidRDefault="005D3CE4" w:rsidP="00EF5D3B">
      <w:pPr>
        <w:spacing w:before="200"/>
      </w:pPr>
      <w:r>
        <w:t xml:space="preserve">The prescriptions records </w:t>
      </w:r>
      <w:r w:rsidR="00C17C05">
        <w:t xml:space="preserve">for DAA therapy </w:t>
      </w:r>
      <w:r>
        <w:t xml:space="preserve">were matched to the Authorities data </w:t>
      </w:r>
      <w:r w:rsidR="005B1ED1">
        <w:t xml:space="preserve">using de-identified PINs </w:t>
      </w:r>
      <w:r>
        <w:t>to obtain the patient’s HCV genotype and cirrhotic status</w:t>
      </w:r>
      <w:r w:rsidR="00511177">
        <w:t xml:space="preserve"> and to quantify the proportion of approved prescriptions subsequently dispensed</w:t>
      </w:r>
      <w:r w:rsidR="00746031">
        <w:t>.</w:t>
      </w:r>
    </w:p>
    <w:p w14:paraId="38F22A15" w14:textId="77777777" w:rsidR="00BC6547" w:rsidRDefault="0005066F" w:rsidP="00EF5D3B">
      <w:r>
        <w:t>The final data analysis set contained all prescription records</w:t>
      </w:r>
      <w:r w:rsidR="003975EC">
        <w:t xml:space="preserve"> for DAA drug regimens supplied since 1 March 2016 </w:t>
      </w:r>
      <w:r w:rsidR="005B1ED1">
        <w:t xml:space="preserve">and the patient’s HCV genotype and cirrhotic status when the DAA regimen was approved, </w:t>
      </w:r>
      <w:r w:rsidR="003975EC">
        <w:t>and any previous supplies for patients supplied a DAA drug regimen of peginterferon with ribavirin, boceprevir, telaprevir or simeprevir.</w:t>
      </w:r>
      <w:r w:rsidR="00C17C05">
        <w:t xml:space="preserve"> The data period was from </w:t>
      </w:r>
      <w:r w:rsidR="00196332">
        <w:t>1 July 2013</w:t>
      </w:r>
      <w:r w:rsidR="00C17C05">
        <w:t xml:space="preserve"> to 30 April 2018 (most complete month of data at the time of the analysis based on the date of supply).</w:t>
      </w:r>
    </w:p>
    <w:p w14:paraId="3D453481" w14:textId="699D8946" w:rsidR="00AC55C9" w:rsidRPr="00A43B9D" w:rsidRDefault="00B75A5F" w:rsidP="00EF5D3B">
      <w:pPr>
        <w:rPr>
          <w:rFonts w:eastAsia="Calibri" w:cs="Times New Roman"/>
        </w:rPr>
      </w:pPr>
      <w:r>
        <w:rPr>
          <w:rFonts w:eastAsia="Calibri" w:cs="Times New Roman"/>
        </w:rPr>
        <w:t xml:space="preserve">Data </w:t>
      </w:r>
      <w:r w:rsidR="00F5147E">
        <w:rPr>
          <w:rFonts w:eastAsia="Calibri" w:cs="Times New Roman"/>
        </w:rPr>
        <w:t xml:space="preserve">were </w:t>
      </w:r>
      <w:r>
        <w:rPr>
          <w:rFonts w:eastAsia="Calibri" w:cs="Times New Roman"/>
        </w:rPr>
        <w:t>obtained on the supply of DAA medicines through Aboriginal Health Services from 1 March 2016 to 30 April 2018. This dataset includes the number of packs supplied and the location (State or Territory) where the medicine was dispensed.</w:t>
      </w:r>
    </w:p>
    <w:p w14:paraId="22FC20A4" w14:textId="77777777" w:rsidR="00B00ABE" w:rsidRPr="00893777" w:rsidRDefault="00B00ABE" w:rsidP="00EF5D3B">
      <w:pPr>
        <w:rPr>
          <w:b/>
          <w:u w:val="single"/>
        </w:rPr>
      </w:pPr>
      <w:r>
        <w:rPr>
          <w:b/>
          <w:u w:val="single"/>
        </w:rPr>
        <w:t>Derivation of patient counts</w:t>
      </w:r>
      <w:r w:rsidR="00AF4D63">
        <w:rPr>
          <w:b/>
          <w:u w:val="single"/>
        </w:rPr>
        <w:t xml:space="preserve"> and prescriber counts</w:t>
      </w:r>
    </w:p>
    <w:p w14:paraId="3D7CFD02" w14:textId="61504FAD" w:rsidR="00C922C7" w:rsidRDefault="00B00ABE" w:rsidP="00EF5D3B">
      <w:pPr>
        <w:rPr>
          <w:rFonts w:eastAsia="Calibri" w:cs="Times New Roman"/>
        </w:rPr>
      </w:pPr>
      <w:r>
        <w:t>Patient counts were based on de-identified unique patient identification numbers (PINs) from the prescription data.</w:t>
      </w:r>
      <w:r w:rsidR="00C922C7">
        <w:t xml:space="preserve"> </w:t>
      </w:r>
      <w:r w:rsidR="00C922C7">
        <w:rPr>
          <w:rFonts w:eastAsia="Calibri" w:cs="Times New Roman"/>
        </w:rPr>
        <w:t>Patient initiation was defined as the date of supply of the first PBS or RPBS prescription.</w:t>
      </w:r>
      <w:r w:rsidR="00D909C8">
        <w:rPr>
          <w:rFonts w:eastAsia="Calibri" w:cs="Times New Roman"/>
        </w:rPr>
        <w:t xml:space="preserve"> </w:t>
      </w:r>
      <w:r w:rsidR="00D909C8" w:rsidRPr="00103409">
        <w:rPr>
          <w:rFonts w:eastAsia="Calibri" w:cs="Times New Roman"/>
        </w:rPr>
        <w:t>From 1 July 2013 there was complete prescription data capture for HSD prescriptions dispensed by public and private hospital pharmacies. Prior to 1 July 2013, most HSD prescriptions supplied through public hospitals were processed through the DHS Offline processing system, for which only aggregated data was available, i.e. the number of packs supplied and the cost per quarter</w:t>
      </w:r>
      <w:r w:rsidR="00724AAF">
        <w:rPr>
          <w:rFonts w:eastAsia="Calibri" w:cs="Times New Roman"/>
        </w:rPr>
        <w:t xml:space="preserve">. </w:t>
      </w:r>
      <w:r w:rsidR="00D909C8" w:rsidRPr="00103409">
        <w:rPr>
          <w:rFonts w:eastAsia="Calibri" w:cs="Times New Roman"/>
        </w:rPr>
        <w:t>Therefore</w:t>
      </w:r>
      <w:r w:rsidR="00103DF6">
        <w:rPr>
          <w:rFonts w:eastAsia="Calibri" w:cs="Times New Roman"/>
        </w:rPr>
        <w:t>,</w:t>
      </w:r>
      <w:r w:rsidR="00D909C8" w:rsidRPr="00103409">
        <w:rPr>
          <w:rFonts w:eastAsia="Calibri" w:cs="Times New Roman"/>
        </w:rPr>
        <w:t xml:space="preserve"> a patient level analysis has not been performed prior to 1 July 2013 as the data are likely to be incomplete. As such, the proportion of patients treated with DAA therapy that had prior treatment may be underestimated.</w:t>
      </w:r>
      <w:r w:rsidR="00D909C8">
        <w:rPr>
          <w:rFonts w:eastAsia="Calibri" w:cs="Times New Roman"/>
        </w:rPr>
        <w:t xml:space="preserve"> </w:t>
      </w:r>
    </w:p>
    <w:p w14:paraId="7F030FDD" w14:textId="0E946514" w:rsidR="001C5FB7" w:rsidRDefault="001C5FB7" w:rsidP="00EF5D3B">
      <w:pPr>
        <w:rPr>
          <w:rFonts w:eastAsia="Calibri" w:cs="Times New Roman"/>
        </w:rPr>
      </w:pPr>
      <w:r>
        <w:rPr>
          <w:rFonts w:eastAsia="Calibri" w:cs="Times New Roman"/>
        </w:rPr>
        <w:t xml:space="preserve">A patient was identified as treatment experienced if they were dispensed </w:t>
      </w:r>
      <w:r w:rsidR="00C305BE">
        <w:rPr>
          <w:rFonts w:eastAsia="Calibri" w:cs="Times New Roman"/>
        </w:rPr>
        <w:t>the following regimens only intended for experienced patients: daclatasvir plus sofosbuvir for 24 weeks; grazoprevir plus elbasvir plus ribavirin for 16 weeks; ledipa</w:t>
      </w:r>
      <w:r w:rsidR="00746031">
        <w:rPr>
          <w:rFonts w:eastAsia="Calibri" w:cs="Times New Roman"/>
        </w:rPr>
        <w:t>s</w:t>
      </w:r>
      <w:r w:rsidR="00C305BE">
        <w:rPr>
          <w:rFonts w:eastAsia="Calibri" w:cs="Times New Roman"/>
        </w:rPr>
        <w:t>vir with sofosbuvir for 24</w:t>
      </w:r>
      <w:r w:rsidR="00E12C7F">
        <w:rPr>
          <w:rFonts w:eastAsia="Calibri" w:cs="Times New Roman"/>
        </w:rPr>
        <w:t> </w:t>
      </w:r>
      <w:r w:rsidR="00C305BE">
        <w:rPr>
          <w:rFonts w:eastAsia="Calibri" w:cs="Times New Roman"/>
        </w:rPr>
        <w:t xml:space="preserve">weeks; daclatasvir plus sofosbuvir plus ribavirin; and </w:t>
      </w:r>
      <w:r w:rsidR="00746031">
        <w:rPr>
          <w:rFonts w:eastAsia="Calibri" w:cs="Times New Roman"/>
        </w:rPr>
        <w:t>p</w:t>
      </w:r>
      <w:r w:rsidR="00C305BE" w:rsidRPr="00C305BE">
        <w:rPr>
          <w:rFonts w:eastAsia="Calibri" w:cs="Times New Roman"/>
        </w:rPr>
        <w:t>aritaprevir with ritonavir with ombitasvir and dasabuvir and ribavirin</w:t>
      </w:r>
      <w:r w:rsidR="00C305BE">
        <w:rPr>
          <w:rFonts w:eastAsia="Calibri" w:cs="Times New Roman"/>
        </w:rPr>
        <w:t xml:space="preserve">. A patient was also classified as treatment experienced if they were supplied </w:t>
      </w:r>
      <w:r>
        <w:rPr>
          <w:rFonts w:eastAsia="Calibri" w:cs="Times New Roman"/>
        </w:rPr>
        <w:t>a new generation DAA after 1 March 2016 and r</w:t>
      </w:r>
      <w:r w:rsidR="00F4250C">
        <w:rPr>
          <w:rFonts w:eastAsia="Calibri" w:cs="Times New Roman"/>
        </w:rPr>
        <w:t>eceived a prior supply of either</w:t>
      </w:r>
      <w:r>
        <w:rPr>
          <w:rFonts w:eastAsia="Calibri" w:cs="Times New Roman"/>
        </w:rPr>
        <w:t xml:space="preserve"> boceprevir, telaprevir, simeprevir, interferon, </w:t>
      </w:r>
      <w:r w:rsidR="00086AFA">
        <w:rPr>
          <w:rFonts w:eastAsia="Calibri" w:cs="Times New Roman"/>
        </w:rPr>
        <w:t xml:space="preserve">peginterferon </w:t>
      </w:r>
      <w:r>
        <w:rPr>
          <w:rFonts w:eastAsia="Calibri" w:cs="Times New Roman"/>
        </w:rPr>
        <w:t>or ribavirin with interferon</w:t>
      </w:r>
      <w:r w:rsidR="002536AF">
        <w:rPr>
          <w:rFonts w:eastAsia="Calibri" w:cs="Times New Roman"/>
        </w:rPr>
        <w:t xml:space="preserve"> </w:t>
      </w:r>
      <w:r w:rsidR="00086AFA">
        <w:rPr>
          <w:rFonts w:eastAsia="Calibri" w:cs="Times New Roman"/>
        </w:rPr>
        <w:t xml:space="preserve">or peginterferon </w:t>
      </w:r>
      <w:r w:rsidR="00FD6CA8">
        <w:rPr>
          <w:rFonts w:eastAsia="Calibri" w:cs="Times New Roman"/>
        </w:rPr>
        <w:t>in the period</w:t>
      </w:r>
      <w:r w:rsidR="002536AF">
        <w:rPr>
          <w:rFonts w:eastAsia="Calibri" w:cs="Times New Roman"/>
        </w:rPr>
        <w:t xml:space="preserve"> between 1 July 2013 to 28</w:t>
      </w:r>
      <w:r w:rsidR="00E12C7F">
        <w:rPr>
          <w:rFonts w:eastAsia="Calibri" w:cs="Times New Roman"/>
        </w:rPr>
        <w:t> </w:t>
      </w:r>
      <w:r w:rsidR="002536AF">
        <w:rPr>
          <w:rFonts w:eastAsia="Calibri" w:cs="Times New Roman"/>
        </w:rPr>
        <w:t>February</w:t>
      </w:r>
      <w:r w:rsidR="00E12C7F">
        <w:rPr>
          <w:rFonts w:eastAsia="Calibri" w:cs="Times New Roman"/>
        </w:rPr>
        <w:t> </w:t>
      </w:r>
      <w:r w:rsidR="002536AF">
        <w:rPr>
          <w:rFonts w:eastAsia="Calibri" w:cs="Times New Roman"/>
        </w:rPr>
        <w:t>2016</w:t>
      </w:r>
      <w:r>
        <w:rPr>
          <w:rFonts w:eastAsia="Calibri" w:cs="Times New Roman"/>
        </w:rPr>
        <w:t xml:space="preserve">. </w:t>
      </w:r>
    </w:p>
    <w:p w14:paraId="1189DFC2" w14:textId="71104287" w:rsidR="00520A9C" w:rsidRDefault="004000E1" w:rsidP="00EF5D3B">
      <w:pPr>
        <w:rPr>
          <w:rFonts w:eastAsia="Calibri" w:cs="Times New Roman"/>
        </w:rPr>
      </w:pPr>
      <w:r>
        <w:rPr>
          <w:rFonts w:eastAsia="Calibri" w:cs="Times New Roman"/>
        </w:rPr>
        <w:t>The number of prescribers was</w:t>
      </w:r>
      <w:r w:rsidR="006D15DE">
        <w:rPr>
          <w:rFonts w:eastAsia="Calibri" w:cs="Times New Roman"/>
        </w:rPr>
        <w:t xml:space="preserve"> based on a unique count of de-i</w:t>
      </w:r>
      <w:r w:rsidR="001A084C">
        <w:rPr>
          <w:rFonts w:eastAsia="Calibri" w:cs="Times New Roman"/>
        </w:rPr>
        <w:t>dentified prescriber identification numbers</w:t>
      </w:r>
      <w:r w:rsidR="006D15DE">
        <w:rPr>
          <w:rFonts w:eastAsia="Calibri" w:cs="Times New Roman"/>
        </w:rPr>
        <w:t>. Prescribers were classified int</w:t>
      </w:r>
      <w:r w:rsidR="003D3E8B">
        <w:rPr>
          <w:rFonts w:eastAsia="Calibri" w:cs="Times New Roman"/>
        </w:rPr>
        <w:t>o major specialties. Further information</w:t>
      </w:r>
      <w:r w:rsidR="006D15DE">
        <w:rPr>
          <w:rFonts w:eastAsia="Calibri" w:cs="Times New Roman"/>
        </w:rPr>
        <w:t xml:space="preserve"> about the classific</w:t>
      </w:r>
      <w:r w:rsidR="00062F3F">
        <w:rPr>
          <w:rFonts w:eastAsia="Calibri" w:cs="Times New Roman"/>
        </w:rPr>
        <w:t>ation</w:t>
      </w:r>
      <w:r w:rsidR="003D3E8B">
        <w:rPr>
          <w:rFonts w:eastAsia="Calibri" w:cs="Times New Roman"/>
        </w:rPr>
        <w:t>s</w:t>
      </w:r>
      <w:r w:rsidR="00062F3F">
        <w:rPr>
          <w:rFonts w:eastAsia="Calibri" w:cs="Times New Roman"/>
        </w:rPr>
        <w:t xml:space="preserve"> is provided at Appendix </w:t>
      </w:r>
      <w:r w:rsidR="00324413">
        <w:rPr>
          <w:rFonts w:eastAsia="Calibri" w:cs="Times New Roman"/>
        </w:rPr>
        <w:t>4</w:t>
      </w:r>
      <w:r w:rsidR="006D15DE">
        <w:rPr>
          <w:rFonts w:eastAsia="Calibri" w:cs="Times New Roman"/>
        </w:rPr>
        <w:t>.</w:t>
      </w:r>
    </w:p>
    <w:p w14:paraId="17D53759" w14:textId="77777777" w:rsidR="00520A9C" w:rsidRDefault="00520A9C">
      <w:pPr>
        <w:spacing w:line="276" w:lineRule="auto"/>
        <w:rPr>
          <w:rFonts w:eastAsia="Calibri" w:cs="Times New Roman"/>
        </w:rPr>
      </w:pPr>
      <w:r>
        <w:rPr>
          <w:rFonts w:eastAsia="Calibri" w:cs="Times New Roman"/>
        </w:rPr>
        <w:br w:type="page"/>
      </w:r>
    </w:p>
    <w:p w14:paraId="56C78C7C" w14:textId="77777777" w:rsidR="007A285C" w:rsidRDefault="007A285C" w:rsidP="00EF5D3B">
      <w:pPr>
        <w:rPr>
          <w:rFonts w:eastAsia="Calibri" w:cs="Times New Roman"/>
        </w:rPr>
      </w:pPr>
      <w:r>
        <w:rPr>
          <w:b/>
          <w:u w:val="single"/>
        </w:rPr>
        <w:t>Co-administration analysis</w:t>
      </w:r>
    </w:p>
    <w:p w14:paraId="40654604" w14:textId="34129923" w:rsidR="007A285C" w:rsidRDefault="007A285C" w:rsidP="00EF5D3B">
      <w:r>
        <w:t xml:space="preserve">Most of the DAA listings are given as part of a drug regimen with other medicines. The </w:t>
      </w:r>
      <w:r w:rsidR="00406FA9" w:rsidRPr="00406FA9">
        <w:t>Statement</w:t>
      </w:r>
      <w:r>
        <w:t xml:space="preserve"> was used to identify the possible combinations of DAA regimens</w:t>
      </w:r>
      <w:r w:rsidR="00762BD8">
        <w:t xml:space="preserve"> (see Appendix</w:t>
      </w:r>
      <w:r w:rsidR="00E12C7F">
        <w:t> </w:t>
      </w:r>
      <w:r w:rsidR="00762BD8">
        <w:t>3)</w:t>
      </w:r>
      <w:r>
        <w:t>. The median number of days to re-supply for the DAAs was 22 days for over 95</w:t>
      </w:r>
      <w:r w:rsidR="00E12C7F">
        <w:t> </w:t>
      </w:r>
      <w:r>
        <w:t xml:space="preserve">percent of prescriptions dispensed between 1 March 2016 to 30 April 2018. </w:t>
      </w:r>
      <w:r>
        <w:rPr>
          <w:rFonts w:eastAsia="Calibri"/>
        </w:rPr>
        <w:t>To allow for potential treatment breaks, it was assumed that the period of a potential treatment break was twice the median days between supplies</w:t>
      </w:r>
      <w:r>
        <w:t xml:space="preserve"> (i.e. 44 days) and this was assumed to be the standard number of coverage days for a prescription for a DAA medicine. </w:t>
      </w:r>
    </w:p>
    <w:p w14:paraId="083BE08C" w14:textId="77777777" w:rsidR="007A285C" w:rsidRDefault="007A285C" w:rsidP="00EF5D3B">
      <w:r>
        <w:t xml:space="preserve">DAA medicines were assumed to be co-administered if there was an overlap in the coverage days from the date each drug was dispensed. The overlap period included a lookback period of 44 days and look forward period of 44 days. </w:t>
      </w:r>
    </w:p>
    <w:p w14:paraId="7C220D35" w14:textId="77777777" w:rsidR="00E902B8" w:rsidRPr="00E902B8" w:rsidRDefault="00E40022" w:rsidP="00EF5D3B">
      <w:pPr>
        <w:rPr>
          <w:b/>
          <w:u w:val="single"/>
        </w:rPr>
      </w:pPr>
      <w:r>
        <w:rPr>
          <w:b/>
          <w:u w:val="single"/>
        </w:rPr>
        <w:t>Analysis of Au</w:t>
      </w:r>
      <w:r w:rsidR="009B2BF7">
        <w:rPr>
          <w:b/>
          <w:u w:val="single"/>
        </w:rPr>
        <w:t>thority approved versus dispensed</w:t>
      </w:r>
      <w:r>
        <w:rPr>
          <w:b/>
          <w:u w:val="single"/>
        </w:rPr>
        <w:t xml:space="preserve"> DAA regimens</w:t>
      </w:r>
    </w:p>
    <w:p w14:paraId="4161ACDB" w14:textId="77777777" w:rsidR="00E40022" w:rsidRDefault="00E902B8" w:rsidP="00EF5D3B">
      <w:r>
        <w:t>A patient’s approved Authority records were</w:t>
      </w:r>
      <w:r w:rsidR="00366635">
        <w:t xml:space="preserve"> matched</w:t>
      </w:r>
      <w:r>
        <w:t xml:space="preserve"> to any associated supply of the medicine by </w:t>
      </w:r>
      <w:r w:rsidR="00366635">
        <w:t xml:space="preserve">linking </w:t>
      </w:r>
      <w:r>
        <w:t>the patient’s unique identifier and Authority approval identifier.</w:t>
      </w:r>
      <w:r w:rsidR="00366635">
        <w:t xml:space="preserve"> </w:t>
      </w:r>
      <w:r w:rsidR="006A11B2">
        <w:t>The mean time between Authority approvals for individual patients was 29 days. The approved regimen was determined by identifying all agents as part of the regimen if there was an overlap in the Authority approval period from the date each drug was approved. The overlap period included a lookback period of 29 days and a look forward period of 29 days.</w:t>
      </w:r>
    </w:p>
    <w:p w14:paraId="5B31181C" w14:textId="58211459" w:rsidR="00B05788" w:rsidRDefault="00B05788" w:rsidP="00EF5D3B">
      <w:r>
        <w:t xml:space="preserve">The planned time on therapy was assumed to be the number of repeats ordered by the prescriber in the approved Authority. The number of prescriptions against a given Authority approval (i.e. scripts supplied under a certain Authority ID) was derived. </w:t>
      </w:r>
      <w:r w:rsidR="00B57C23">
        <w:t xml:space="preserve">A </w:t>
      </w:r>
      <w:r w:rsidR="00E12C7F">
        <w:t>six-month</w:t>
      </w:r>
      <w:r w:rsidR="00B57C23">
        <w:t xml:space="preserve"> cohort </w:t>
      </w:r>
      <w:r w:rsidR="00896490">
        <w:t>issued an Authority</w:t>
      </w:r>
      <w:r w:rsidR="00B57C23">
        <w:t xml:space="preserve"> between 1 January to 30 June 2017 </w:t>
      </w:r>
      <w:r w:rsidR="00896490">
        <w:t xml:space="preserve">was selected </w:t>
      </w:r>
      <w:r w:rsidR="00B57C23">
        <w:t>to all</w:t>
      </w:r>
      <w:r w:rsidR="00896490">
        <w:t>ow at least 10 months of follow-</w:t>
      </w:r>
      <w:r w:rsidR="00B57C23">
        <w:t xml:space="preserve">up </w:t>
      </w:r>
      <w:r w:rsidR="00896490">
        <w:t xml:space="preserve">to 30 April 2018 </w:t>
      </w:r>
      <w:r w:rsidR="00B57C23">
        <w:t xml:space="preserve">to monitor any subsequent supply of medicines. </w:t>
      </w:r>
      <w:r>
        <w:t>A patient was deemed to have received the full course of therapy if the total number of prescriptions matched the original and number of ordered repeats on the Authority.</w:t>
      </w:r>
    </w:p>
    <w:p w14:paraId="0576E01D" w14:textId="77777777" w:rsidR="009B2BF7" w:rsidRDefault="00884503" w:rsidP="00EF5D3B">
      <w:r>
        <w:t>For patients who had an Authority approval in 2017 (January to December)</w:t>
      </w:r>
      <w:r w:rsidR="002147E6">
        <w:t xml:space="preserve">, their approved DAA regimen was compared to the DAA regimen that they were dispensed against the relevant Authority. </w:t>
      </w:r>
    </w:p>
    <w:p w14:paraId="3C806844" w14:textId="77777777" w:rsidR="00241F31" w:rsidRPr="00241F31" w:rsidRDefault="00241F31" w:rsidP="00EF5D3B">
      <w:pPr>
        <w:rPr>
          <w:b/>
          <w:u w:val="single"/>
        </w:rPr>
      </w:pPr>
      <w:r>
        <w:rPr>
          <w:b/>
          <w:u w:val="single"/>
        </w:rPr>
        <w:t xml:space="preserve">Number of </w:t>
      </w:r>
      <w:r w:rsidR="008B2CD1">
        <w:rPr>
          <w:b/>
          <w:u w:val="single"/>
        </w:rPr>
        <w:t xml:space="preserve">annual </w:t>
      </w:r>
      <w:r>
        <w:rPr>
          <w:b/>
          <w:u w:val="single"/>
        </w:rPr>
        <w:t>prescriptions per prescriber</w:t>
      </w:r>
    </w:p>
    <w:p w14:paraId="252CC73B" w14:textId="77777777" w:rsidR="00241F31" w:rsidRDefault="00087CD5" w:rsidP="00EF5D3B">
      <w:r>
        <w:t xml:space="preserve">The number of prescription records was counted for each prescriber from the date of their first prescription </w:t>
      </w:r>
      <w:r w:rsidR="00B2509B">
        <w:t xml:space="preserve">of a DAA medicine </w:t>
      </w:r>
      <w:r>
        <w:t>with a follow-up of 365 days from the date of the first prescription. Prescribers who had a first initiation date after 1 May 2017 were excluded as there was an insufficient follow-up period to the data cut-off date (30 April 2018).</w:t>
      </w:r>
    </w:p>
    <w:p w14:paraId="41E3E3B2" w14:textId="77777777" w:rsidR="00B2509B" w:rsidRDefault="00B2509B" w:rsidP="00EF5D3B">
      <w:r>
        <w:t>Prescribers were categorised as either being a ‘specialist’ or a ‘GP’.</w:t>
      </w:r>
      <w:r w:rsidR="007D689C">
        <w:t xml:space="preserve"> Refer to Appendix 4 for further information about the prescriber classifications.</w:t>
      </w:r>
      <w:r>
        <w:t xml:space="preserve"> </w:t>
      </w:r>
    </w:p>
    <w:p w14:paraId="5EA30585" w14:textId="77777777" w:rsidR="003703AE" w:rsidRPr="007C6DEE" w:rsidRDefault="003367AC" w:rsidP="00EF5D3B">
      <w:pPr>
        <w:rPr>
          <w:b/>
          <w:u w:val="single"/>
        </w:rPr>
      </w:pPr>
      <w:r>
        <w:rPr>
          <w:b/>
          <w:u w:val="single"/>
        </w:rPr>
        <w:t>Geospatial analysis</w:t>
      </w:r>
    </w:p>
    <w:p w14:paraId="2F17A1B3" w14:textId="281CDC1B" w:rsidR="00953F95" w:rsidRDefault="00A115EF" w:rsidP="00EF5D3B">
      <w:r>
        <w:t xml:space="preserve">The geospatial analysis is presented for Statistical Area Level 2 (SA2). SA2 regions </w:t>
      </w:r>
      <w:r w:rsidR="00121787">
        <w:t xml:space="preserve">are medium-sized areas that </w:t>
      </w:r>
      <w:r>
        <w:t>have an average of 10,000 persons and represent communities that interact socially</w:t>
      </w:r>
      <w:sdt>
        <w:sdtPr>
          <w:id w:val="-2139869632"/>
          <w:citation/>
        </w:sdtPr>
        <w:sdtEndPr/>
        <w:sdtContent>
          <w:r w:rsidR="002B1D02">
            <w:fldChar w:fldCharType="begin"/>
          </w:r>
          <w:r w:rsidR="002B1D02">
            <w:instrText xml:space="preserve"> CITATION ABS16 \l 3081 </w:instrText>
          </w:r>
          <w:r w:rsidR="002B1D02">
            <w:fldChar w:fldCharType="separate"/>
          </w:r>
          <w:r w:rsidR="00384DCC">
            <w:rPr>
              <w:noProof/>
            </w:rPr>
            <w:t xml:space="preserve"> (ABS, 2016)</w:t>
          </w:r>
          <w:r w:rsidR="002B1D02">
            <w:fldChar w:fldCharType="end"/>
          </w:r>
        </w:sdtContent>
      </w:sdt>
      <w:r w:rsidR="002B1D02">
        <w:t>.</w:t>
      </w:r>
      <w:r w:rsidR="00121787">
        <w:t xml:space="preserve"> As such, this regional level </w:t>
      </w:r>
      <w:r w:rsidR="00B444D7">
        <w:t>was considered appropriate to investigate</w:t>
      </w:r>
      <w:r w:rsidR="00121787">
        <w:t xml:space="preserve"> whether there were regional differences in the rates of DAA treatment</w:t>
      </w:r>
      <w:r w:rsidR="006B6070">
        <w:t xml:space="preserve"> across Australia</w:t>
      </w:r>
      <w:r w:rsidR="00121787">
        <w:t>.</w:t>
      </w:r>
    </w:p>
    <w:p w14:paraId="38A31676" w14:textId="6D283126" w:rsidR="004F06AB" w:rsidRDefault="003131D5" w:rsidP="00EF5D3B">
      <w:r>
        <w:t xml:space="preserve">The estimated resident </w:t>
      </w:r>
      <w:r w:rsidR="00F0089B">
        <w:t xml:space="preserve">populations in each </w:t>
      </w:r>
      <w:r w:rsidR="00060057">
        <w:t>SA2 region have</w:t>
      </w:r>
      <w:r w:rsidR="00F0089B">
        <w:t xml:space="preserve"> different age and gender structures which may confound comparisons of treatment rates between regions. To account for this, the treatment rates were adjusted using direct standardisation for age and gender.</w:t>
      </w:r>
      <w:r w:rsidR="00023DB3">
        <w:t xml:space="preserve"> The standardisation was done according to </w:t>
      </w:r>
      <w:r w:rsidR="0031605F">
        <w:t>the Australian Bureau of Statistics (ABS) principles on the use of direct standardisation in administrative data collections</w:t>
      </w:r>
      <w:sdt>
        <w:sdtPr>
          <w:id w:val="1398944772"/>
          <w:citation/>
        </w:sdtPr>
        <w:sdtEndPr/>
        <w:sdtContent>
          <w:r w:rsidR="0031605F">
            <w:fldChar w:fldCharType="begin"/>
          </w:r>
          <w:r w:rsidR="0031605F">
            <w:instrText xml:space="preserve"> CITATION Aus12 \l 3081 </w:instrText>
          </w:r>
          <w:r w:rsidR="0031605F">
            <w:fldChar w:fldCharType="separate"/>
          </w:r>
          <w:r w:rsidR="00384DCC">
            <w:rPr>
              <w:noProof/>
            </w:rPr>
            <w:t xml:space="preserve"> (Australian Bureau of Statistics, 2012)</w:t>
          </w:r>
          <w:r w:rsidR="0031605F">
            <w:fldChar w:fldCharType="end"/>
          </w:r>
        </w:sdtContent>
      </w:sdt>
      <w:r w:rsidR="0031605F">
        <w:t xml:space="preserve">. </w:t>
      </w:r>
      <w:r w:rsidR="00E75691">
        <w:t>As recommended by the ABS and Australian Institute of Health and Welfare</w:t>
      </w:r>
      <w:r w:rsidR="002C31A8">
        <w:t xml:space="preserve"> (AIHW)</w:t>
      </w:r>
      <w:r w:rsidR="00CD4772">
        <w:t xml:space="preserve">, </w:t>
      </w:r>
      <w:r w:rsidR="002C31A8">
        <w:t>the estimate</w:t>
      </w:r>
      <w:r w:rsidR="00A047A1">
        <w:t>d</w:t>
      </w:r>
      <w:r w:rsidR="002C31A8">
        <w:t xml:space="preserve"> resident population for each SA2 region in 30 June 2001 </w:t>
      </w:r>
      <w:r w:rsidR="00453DBE">
        <w:t>was used as the standard population.</w:t>
      </w:r>
      <w:r w:rsidR="00A675A1">
        <w:t xml:space="preserve"> </w:t>
      </w:r>
      <w:r w:rsidR="0080371C">
        <w:t>The treatment rate was calculated per 1,000 population</w:t>
      </w:r>
      <w:r w:rsidR="00AB777B">
        <w:t xml:space="preserve"> based on the number of patients treated in 2017</w:t>
      </w:r>
      <w:r w:rsidR="0080371C">
        <w:t xml:space="preserve">. </w:t>
      </w:r>
      <w:r w:rsidR="00014655">
        <w:t>The age and gender adjusted specific treatment rates were compared to the crude tre</w:t>
      </w:r>
      <w:r w:rsidR="00953F95">
        <w:t xml:space="preserve">atment </w:t>
      </w:r>
      <w:r w:rsidR="002E5524">
        <w:t>rates in each SA2 region. The median</w:t>
      </w:r>
      <w:r w:rsidR="00953F95">
        <w:t xml:space="preserve"> difference be</w:t>
      </w:r>
      <w:r w:rsidR="006F0E85">
        <w:t xml:space="preserve">tween the adjusted and </w:t>
      </w:r>
      <w:r w:rsidR="00D82B0D">
        <w:t xml:space="preserve">unadjusted </w:t>
      </w:r>
      <w:r w:rsidR="006F0E85">
        <w:t>crude rate</w:t>
      </w:r>
      <w:r w:rsidR="002E5524">
        <w:t>s across all SA2 regions was 3.6</w:t>
      </w:r>
      <w:r w:rsidR="00953F95">
        <w:t xml:space="preserve"> per 1,000 population.</w:t>
      </w:r>
    </w:p>
    <w:p w14:paraId="63A17CD0" w14:textId="77777777" w:rsidR="00882FC9" w:rsidRDefault="00882FC9" w:rsidP="00EF5D3B">
      <w:r>
        <w:t xml:space="preserve">Mapping was generated for all prescribers and separately for prescribers identified as specialists or general practitioners. </w:t>
      </w:r>
    </w:p>
    <w:p w14:paraId="453E307F" w14:textId="77777777" w:rsidR="00C714D0" w:rsidRDefault="00C714D0" w:rsidP="00EF5D3B">
      <w:pPr>
        <w:pStyle w:val="Heading1"/>
        <w:spacing w:before="240"/>
      </w:pPr>
      <w:r w:rsidRPr="005E22C2">
        <w:t>Results</w:t>
      </w:r>
      <w:r w:rsidR="00086F28">
        <w:t xml:space="preserve"> and Discussion</w:t>
      </w:r>
    </w:p>
    <w:p w14:paraId="7DD7586B" w14:textId="77777777" w:rsidR="00736041" w:rsidRDefault="001B5D37" w:rsidP="00EF5D3B">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967EA5F" w14:textId="77777777" w:rsidR="00070620" w:rsidRPr="005E22C2" w:rsidRDefault="00070620" w:rsidP="00EF5D3B">
      <w:pPr>
        <w:pStyle w:val="Heading3"/>
      </w:pPr>
      <w:r>
        <w:t>Number of incident patients</w:t>
      </w:r>
    </w:p>
    <w:p w14:paraId="32970EC3" w14:textId="464A29A6" w:rsidR="00F300EF" w:rsidRDefault="00016114" w:rsidP="00EF5D3B">
      <w:r>
        <w:t>At the start of 2016 it was estimated that there were 227,310 Australians living with hepatitis C</w:t>
      </w:r>
      <w:sdt>
        <w:sdtPr>
          <w:id w:val="590736764"/>
          <w:citation/>
        </w:sdtPr>
        <w:sdtEndPr/>
        <w:sdtContent>
          <w:r>
            <w:fldChar w:fldCharType="begin"/>
          </w:r>
          <w:r>
            <w:instrText xml:space="preserve"> CITATION The161 \l 3081 </w:instrText>
          </w:r>
          <w:r>
            <w:fldChar w:fldCharType="separate"/>
          </w:r>
          <w:r w:rsidR="00384DCC">
            <w:rPr>
              <w:noProof/>
            </w:rPr>
            <w:t xml:space="preserve"> (The Kirby Institute., 2016)</w:t>
          </w:r>
          <w:r>
            <w:fldChar w:fldCharType="end"/>
          </w:r>
        </w:sdtContent>
      </w:sdt>
      <w:r>
        <w:t xml:space="preserve">. At that time around 4,000 patients per year were accessing the existing PBS interferon-containing drug regimens. It was noted at the February 2014 stakeholder meeting held by PBAC that patients would </w:t>
      </w:r>
      <w:r w:rsidR="00D7023C">
        <w:t>delay starting</w:t>
      </w:r>
      <w:r>
        <w:t xml:space="preserve"> interferon-based therapy in anticipation of the new oral DAA regimens. </w:t>
      </w:r>
      <w:r w:rsidR="00A7581B">
        <w:t xml:space="preserve">As such, it was expected that there would </w:t>
      </w:r>
      <w:r w:rsidR="00F300EF">
        <w:t>be a relatively high uptake during the initial months when the DAAs first listed.</w:t>
      </w:r>
    </w:p>
    <w:p w14:paraId="681E16EB" w14:textId="77777777" w:rsidR="00070620" w:rsidRDefault="00070620" w:rsidP="00EF5D3B">
      <w:r>
        <w:t>In the first month of listing (March 2016), 4,975 patients were first initiated on DAA therapy (Figure 1). The number of first initiations per month remained relatively high during the first four months of listing, averaging 4,400 incident patients per month (Figure 1). In the first year of listing (1 March 2016 to 28 February 2017), 36,118 patients were supplied a DAA medicine. The number of initiators in the second year of listing was lower (n=20,238).</w:t>
      </w:r>
    </w:p>
    <w:p w14:paraId="65622B88" w14:textId="77777777" w:rsidR="00070620" w:rsidRDefault="00070620" w:rsidP="00EF5D3B">
      <w:r>
        <w:t xml:space="preserve">Over the first two years of listing (1 March 2016 to 28 February 2018), a total of 56,356 patients were supplied a DAA medicine. As at 30 April 2018, </w:t>
      </w:r>
      <w:r w:rsidR="00484DE1">
        <w:t xml:space="preserve">58,941 </w:t>
      </w:r>
      <w:r>
        <w:t>patients had received a DAA medicine.</w:t>
      </w:r>
    </w:p>
    <w:p w14:paraId="022CEB68" w14:textId="77777777" w:rsidR="00070620" w:rsidRDefault="00070620" w:rsidP="00EF5D3B">
      <w:pPr>
        <w:rPr>
          <w:highlight w:val="yellow"/>
        </w:rPr>
      </w:pPr>
    </w:p>
    <w:p w14:paraId="104FB6F2" w14:textId="77777777" w:rsidR="00070620" w:rsidRDefault="00070620" w:rsidP="00EF5D3B">
      <w:pPr>
        <w:rPr>
          <w:b/>
        </w:rPr>
      </w:pPr>
      <w:r>
        <w:rPr>
          <w:b/>
          <w:noProof/>
        </w:rPr>
        <w:drawing>
          <wp:inline distT="0" distB="0" distL="0" distR="0" wp14:anchorId="35A9C601" wp14:editId="4D1DD447">
            <wp:extent cx="5429250" cy="2982388"/>
            <wp:effectExtent l="0" t="0" r="0" b="8890"/>
            <wp:docPr id="12" name="Picture 12" descr="Number of incident patients per month"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2775" cy="2984325"/>
                    </a:xfrm>
                    <a:prstGeom prst="rect">
                      <a:avLst/>
                    </a:prstGeom>
                    <a:noFill/>
                  </pic:spPr>
                </pic:pic>
              </a:graphicData>
            </a:graphic>
          </wp:inline>
        </w:drawing>
      </w:r>
    </w:p>
    <w:p w14:paraId="5D2A244D" w14:textId="77777777" w:rsidR="00070620" w:rsidRPr="00CD7E0A" w:rsidRDefault="00070620" w:rsidP="00EF5D3B">
      <w:pPr>
        <w:pStyle w:val="Figuretitle"/>
      </w:pPr>
      <w:r>
        <w:t>Figure 1:</w:t>
      </w:r>
      <w:r w:rsidRPr="00DD18FB">
        <w:t xml:space="preserve"> </w:t>
      </w:r>
      <w:r>
        <w:t>Number of incident patients by month</w:t>
      </w:r>
    </w:p>
    <w:p w14:paraId="34BF8C45" w14:textId="77777777" w:rsidR="00711523" w:rsidRDefault="00711523" w:rsidP="00EF5D3B">
      <w:pPr>
        <w:pStyle w:val="Heading3"/>
      </w:pPr>
      <w:r>
        <w:t>Drug therapy</w:t>
      </w:r>
    </w:p>
    <w:p w14:paraId="3374F4EE" w14:textId="44E203D5" w:rsidR="00711523" w:rsidRDefault="00711523" w:rsidP="00EF5D3B">
      <w:r>
        <w:t xml:space="preserve">The DAA market evolved over time in response to changing patient characteristics and the entry of newer therapies, particularly pan-genotypic drug regimens. During the first months of listing, a larger proportion of patients had cirrhosis (Figure </w:t>
      </w:r>
      <w:r w:rsidR="006471B8">
        <w:t>4</w:t>
      </w:r>
      <w:r>
        <w:t>). Consequently</w:t>
      </w:r>
      <w:r w:rsidR="00530409">
        <w:t>,</w:t>
      </w:r>
      <w:r>
        <w:t xml:space="preserve"> there was a greater representation of drug regimens available at the time to treat cirrhotic patients, including the 24</w:t>
      </w:r>
      <w:r w:rsidR="00530409">
        <w:noBreakHyphen/>
      </w:r>
      <w:r>
        <w:t xml:space="preserve">week regimens of daclatasvir with sofosbuvir and ledipasvir with sofosbuvir (Figure </w:t>
      </w:r>
      <w:r w:rsidR="00E724B3">
        <w:t>2</w:t>
      </w:r>
      <w:r>
        <w:t xml:space="preserve">). As the proportion of patients with cirrhosis decreased over time (Figure </w:t>
      </w:r>
      <w:r w:rsidR="009B1B06">
        <w:t>4</w:t>
      </w:r>
      <w:r>
        <w:t>), the uptake of the 24</w:t>
      </w:r>
      <w:r w:rsidR="00530409">
        <w:noBreakHyphen/>
      </w:r>
      <w:r>
        <w:t xml:space="preserve">week drug regimens subsequently declined (Figure </w:t>
      </w:r>
      <w:r w:rsidR="00E724B3">
        <w:t>2</w:t>
      </w:r>
      <w:r>
        <w:t xml:space="preserve">). </w:t>
      </w:r>
    </w:p>
    <w:p w14:paraId="28E51B57" w14:textId="2DB9E4FC" w:rsidR="00711523" w:rsidRDefault="00711523" w:rsidP="00EF5D3B">
      <w:r>
        <w:t>Sofosbuvir with velpatasvir was the first pan-genotypic drug regimen to be listed on the PBS from 1 August 2017. By late 2017, the majority of patients were first initiated on sofosbuvir with velpatasvir and in April 2018, 70.6 percent of patients were dispensed this drug regimen. The other main drug regimens that patients were first initiated on in April 2018 were grazoprevir with elbasvir (10.2 percent) and the ledipasvir with sofosbuvir 12</w:t>
      </w:r>
      <w:r w:rsidR="00530409">
        <w:noBreakHyphen/>
      </w:r>
      <w:r>
        <w:t xml:space="preserve">week drug regimen (8.0 percent), (Figure </w:t>
      </w:r>
      <w:r w:rsidR="00EE1F72">
        <w:t>2</w:t>
      </w:r>
      <w:r>
        <w:t xml:space="preserve">). </w:t>
      </w:r>
    </w:p>
    <w:p w14:paraId="78569A04" w14:textId="404E320D" w:rsidR="00711523" w:rsidRPr="00BE32FA" w:rsidRDefault="001613BB" w:rsidP="00EF5D3B">
      <w:r>
        <w:rPr>
          <w:szCs w:val="22"/>
        </w:rPr>
        <w:t xml:space="preserve">In its July 2016 recommendation for ribavirin the PBAC noted that </w:t>
      </w:r>
      <w:r w:rsidR="00D22235">
        <w:rPr>
          <w:szCs w:val="22"/>
        </w:rPr>
        <w:t>the addition of this drug to DAA regimens</w:t>
      </w:r>
      <w:r w:rsidR="00BF0157">
        <w:rPr>
          <w:szCs w:val="22"/>
        </w:rPr>
        <w:t xml:space="preserve"> </w:t>
      </w:r>
      <w:r>
        <w:rPr>
          <w:szCs w:val="22"/>
        </w:rPr>
        <w:t xml:space="preserve">would likely be used in a small number of patients mainly with </w:t>
      </w:r>
      <w:r w:rsidR="00103DF6">
        <w:rPr>
          <w:szCs w:val="22"/>
        </w:rPr>
        <w:t>genotype</w:t>
      </w:r>
      <w:r w:rsidR="00BF0157">
        <w:rPr>
          <w:szCs w:val="22"/>
        </w:rPr>
        <w:t> </w:t>
      </w:r>
      <w:r>
        <w:rPr>
          <w:szCs w:val="22"/>
        </w:rPr>
        <w:t xml:space="preserve">3. </w:t>
      </w:r>
      <w:r w:rsidR="00711523">
        <w:t>By April 2018 there was limited use of drug regimens containing ribavirin</w:t>
      </w:r>
      <w:r w:rsidR="00AA7720">
        <w:t xml:space="preserve"> (Figure 2)</w:t>
      </w:r>
      <w:r w:rsidR="00711523">
        <w:t xml:space="preserve">. </w:t>
      </w:r>
    </w:p>
    <w:p w14:paraId="2D5F7B3F" w14:textId="77777777" w:rsidR="00711523" w:rsidRDefault="00711523" w:rsidP="00EF5D3B">
      <w:pPr>
        <w:rPr>
          <w:highlight w:val="yellow"/>
        </w:rPr>
      </w:pPr>
    </w:p>
    <w:p w14:paraId="4307FA07" w14:textId="77777777" w:rsidR="00711523" w:rsidRDefault="00711523" w:rsidP="00EF5D3B">
      <w:pPr>
        <w:rPr>
          <w:highlight w:val="yellow"/>
        </w:rPr>
      </w:pPr>
      <w:r>
        <w:rPr>
          <w:noProof/>
        </w:rPr>
        <w:drawing>
          <wp:inline distT="0" distB="0" distL="0" distR="0" wp14:anchorId="0C657F50" wp14:editId="2CD1D989">
            <wp:extent cx="5895975" cy="3680819"/>
            <wp:effectExtent l="0" t="0" r="0" b="0"/>
            <wp:docPr id="1" name="Picture 1" descr="Number of initiating patients by drug regimen by month"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5553" cy="3680555"/>
                    </a:xfrm>
                    <a:prstGeom prst="rect">
                      <a:avLst/>
                    </a:prstGeom>
                    <a:noFill/>
                  </pic:spPr>
                </pic:pic>
              </a:graphicData>
            </a:graphic>
          </wp:inline>
        </w:drawing>
      </w:r>
    </w:p>
    <w:p w14:paraId="240FA5BA" w14:textId="77777777" w:rsidR="00711523" w:rsidRPr="00226F6C" w:rsidRDefault="00711523" w:rsidP="00EF5D3B">
      <w:pPr>
        <w:pStyle w:val="Figuretitle"/>
      </w:pPr>
      <w:r>
        <w:t xml:space="preserve">Figure </w:t>
      </w:r>
      <w:r w:rsidR="00123108">
        <w:t>2</w:t>
      </w:r>
      <w:r w:rsidR="00E211EF">
        <w:t>:</w:t>
      </w:r>
      <w:r w:rsidRPr="00226F6C">
        <w:t xml:space="preserve"> Number of first initiating patients by drug regimen by month</w:t>
      </w:r>
    </w:p>
    <w:p w14:paraId="0755997B" w14:textId="77777777" w:rsidR="00D81DC9" w:rsidRDefault="001575D5" w:rsidP="00EF5D3B">
      <w:pPr>
        <w:pStyle w:val="Heading3"/>
      </w:pPr>
      <w:r>
        <w:t>Authorised versus actual medicine supply</w:t>
      </w:r>
    </w:p>
    <w:p w14:paraId="79EDAD0A" w14:textId="77777777" w:rsidR="000043BF" w:rsidRDefault="000043BF" w:rsidP="00EF5D3B">
      <w:r>
        <w:t>An analysis of patients issued with an approved Authority who did not receive a subsequent supply of a DAA regimen was undertaken. A cohort of patients issued an approved Authority between 1 January to 30 June 2017 was selected. Any supply of a DAA regimen for the patient up to 30 April 2018 was examined. This allowed a follow up period of at least 10 months</w:t>
      </w:r>
      <w:r w:rsidR="009631A7">
        <w:t xml:space="preserve"> from the date an Authority was </w:t>
      </w:r>
      <w:r w:rsidR="007C77FF">
        <w:t>approved</w:t>
      </w:r>
      <w:r>
        <w:t xml:space="preserve">. </w:t>
      </w:r>
    </w:p>
    <w:p w14:paraId="2E146307" w14:textId="77777777" w:rsidR="002C2EE6" w:rsidRDefault="002C2EE6" w:rsidP="00EF5D3B">
      <w:r>
        <w:t>Of the 10,995 patients in the cohort with an approved Authority, 2.5 percent did not have a record of a subsequent supply of a PBS DAA regimen.</w:t>
      </w:r>
    </w:p>
    <w:p w14:paraId="5F27C9E6" w14:textId="77777777" w:rsidR="00A908CC" w:rsidRDefault="00A908CC" w:rsidP="00EF5D3B">
      <w:r>
        <w:t xml:space="preserve">For the cohort who had an approval and medicine supply (n=10,716), the median time from </w:t>
      </w:r>
      <w:r w:rsidR="001D4F2F">
        <w:t xml:space="preserve">an </w:t>
      </w:r>
      <w:r>
        <w:t>approved Authority to supply was 2 days, and the mean was 10.8 days.</w:t>
      </w:r>
    </w:p>
    <w:p w14:paraId="14796BE7" w14:textId="31FCFBD1" w:rsidR="00B25CCC" w:rsidRDefault="00B25CCC" w:rsidP="00EF5D3B">
      <w:r>
        <w:t xml:space="preserve">An approved Authority can cover a full course of DAA therapy and the number of repeats that the prescriber applied for is recorded in the Authorities data. </w:t>
      </w:r>
      <w:r w:rsidR="00E157CE">
        <w:t>For the six</w:t>
      </w:r>
      <w:r w:rsidR="00530409">
        <w:noBreakHyphen/>
      </w:r>
      <w:r w:rsidR="00E157CE">
        <w:t xml:space="preserve">month initiating cohort between 1 January to 30 June 2017, </w:t>
      </w:r>
      <w:r w:rsidR="006F0499">
        <w:t>a small proportion of patients (5.7</w:t>
      </w:r>
      <w:r w:rsidR="00530409">
        <w:t> </w:t>
      </w:r>
      <w:r w:rsidR="00724AAF">
        <w:t>percent</w:t>
      </w:r>
      <w:r w:rsidR="006F0499">
        <w:t xml:space="preserve"> n=607) were not supplied their full course of therapy as requested on their approved Authority.</w:t>
      </w:r>
      <w:r w:rsidR="0086247D">
        <w:t xml:space="preserve"> </w:t>
      </w:r>
    </w:p>
    <w:p w14:paraId="112D2D40" w14:textId="77777777" w:rsidR="00DD18FB" w:rsidRDefault="00934608" w:rsidP="00EF5D3B">
      <w:pPr>
        <w:pStyle w:val="Heading3"/>
      </w:pPr>
      <w:r>
        <w:t>Patient</w:t>
      </w:r>
      <w:r w:rsidR="00DD18FB">
        <w:t xml:space="preserve"> demographics</w:t>
      </w:r>
      <w:r w:rsidR="00C057CC">
        <w:t xml:space="preserve"> - 2017 snapshot</w:t>
      </w:r>
    </w:p>
    <w:p w14:paraId="0D2DA9CC" w14:textId="0364DD8F" w:rsidR="00934608" w:rsidRDefault="003F4A52" w:rsidP="00EF5D3B">
      <w:r>
        <w:t xml:space="preserve">Patient demographics for 2017 are shown in Table 2. </w:t>
      </w:r>
      <w:r w:rsidR="00934608">
        <w:t xml:space="preserve">For patients first initiating on DAA therapy in 2017, </w:t>
      </w:r>
      <w:r w:rsidR="00DB79E5">
        <w:t>67 percent</w:t>
      </w:r>
      <w:r>
        <w:t xml:space="preserve"> were male</w:t>
      </w:r>
      <w:r w:rsidR="00934608">
        <w:t>. The age at initiation for men and women was similar (47 vs. 4</w:t>
      </w:r>
      <w:r>
        <w:t>8 years, respectively)</w:t>
      </w:r>
      <w:r w:rsidR="00934608">
        <w:t>. Around one-fifth (18 percent) of patients were identified as having cirrhosis at the time of their applicatio</w:t>
      </w:r>
      <w:r>
        <w:t>n to access PBS therapy</w:t>
      </w:r>
      <w:r w:rsidR="00934608">
        <w:t>. Ninety-one percent of patients were either HCV genotype 1 (51 percent) or g</w:t>
      </w:r>
      <w:r>
        <w:t>enotype 3 (40</w:t>
      </w:r>
      <w:r w:rsidR="00530409">
        <w:t> </w:t>
      </w:r>
      <w:r>
        <w:t>percent)</w:t>
      </w:r>
      <w:r w:rsidR="00934608">
        <w:t>. Only a small proportion of patients were eithe</w:t>
      </w:r>
      <w:r>
        <w:t>r genotype 2, 4, 5 or 6</w:t>
      </w:r>
      <w:r w:rsidR="00934608">
        <w:t>.</w:t>
      </w:r>
    </w:p>
    <w:p w14:paraId="2BD7BDC5" w14:textId="77777777" w:rsidR="00DD18FB" w:rsidRDefault="00DB79E5" w:rsidP="00EF5D3B">
      <w:pPr>
        <w:pStyle w:val="Tabletitle"/>
      </w:pPr>
      <w:r>
        <w:t xml:space="preserve">Table </w:t>
      </w:r>
      <w:r w:rsidR="007623DC">
        <w:t>2</w:t>
      </w:r>
      <w:r w:rsidR="00DB7C4F" w:rsidRPr="00704AFB">
        <w:t xml:space="preserve">: </w:t>
      </w:r>
      <w:r w:rsidR="00DB7C4F">
        <w:t xml:space="preserve">PBS client demographics, </w:t>
      </w:r>
      <w:r w:rsidR="00F20F6E">
        <w:t xml:space="preserve">first initiators in </w:t>
      </w:r>
      <w:r w:rsidR="00FF5B78">
        <w:t xml:space="preserve">2017 </w:t>
      </w:r>
    </w:p>
    <w:tbl>
      <w:tblPr>
        <w:tblStyle w:val="TableGrid"/>
        <w:tblW w:w="5394" w:type="dxa"/>
        <w:tblLook w:val="04A0" w:firstRow="1" w:lastRow="0" w:firstColumn="1" w:lastColumn="0" w:noHBand="0" w:noVBand="1"/>
        <w:tblCaption w:val="Table 2"/>
        <w:tblDescription w:val="PBS client demographics for initiators on treatment in 2017"/>
      </w:tblPr>
      <w:tblGrid>
        <w:gridCol w:w="1101"/>
        <w:gridCol w:w="4293"/>
      </w:tblGrid>
      <w:tr w:rsidR="0097796A" w14:paraId="1C9AF471" w14:textId="77777777" w:rsidTr="0099210C">
        <w:trPr>
          <w:tblHeader/>
        </w:trPr>
        <w:tc>
          <w:tcPr>
            <w:tcW w:w="1101" w:type="dxa"/>
            <w:tcBorders>
              <w:top w:val="single" w:sz="4" w:space="0" w:color="auto"/>
              <w:left w:val="single" w:sz="4" w:space="0" w:color="auto"/>
            </w:tcBorders>
            <w:shd w:val="clear" w:color="auto" w:fill="BFBFBF" w:themeFill="background1" w:themeFillShade="BF"/>
          </w:tcPr>
          <w:p w14:paraId="0E97ED0F" w14:textId="77777777" w:rsidR="0097796A" w:rsidRPr="00913B1F" w:rsidRDefault="0097796A" w:rsidP="00EF5D3B">
            <w:pPr>
              <w:rPr>
                <w:sz w:val="20"/>
                <w:szCs w:val="20"/>
              </w:rPr>
            </w:pPr>
          </w:p>
        </w:tc>
        <w:tc>
          <w:tcPr>
            <w:tcW w:w="4293" w:type="dxa"/>
            <w:tcBorders>
              <w:top w:val="single" w:sz="4" w:space="0" w:color="auto"/>
            </w:tcBorders>
            <w:shd w:val="clear" w:color="auto" w:fill="BFBFBF" w:themeFill="background1" w:themeFillShade="BF"/>
          </w:tcPr>
          <w:p w14:paraId="756E1EA7" w14:textId="77777777" w:rsidR="0097796A" w:rsidRPr="00662AE7" w:rsidRDefault="0097796A" w:rsidP="00EF5D3B">
            <w:pPr>
              <w:rPr>
                <w:b/>
                <w:sz w:val="20"/>
                <w:szCs w:val="20"/>
              </w:rPr>
            </w:pPr>
            <w:r w:rsidRPr="00662AE7">
              <w:rPr>
                <w:b/>
                <w:sz w:val="20"/>
                <w:szCs w:val="20"/>
              </w:rPr>
              <w:t>All PBS clients (n=21,262)</w:t>
            </w:r>
          </w:p>
        </w:tc>
      </w:tr>
      <w:tr w:rsidR="0097796A" w14:paraId="60F821C4" w14:textId="77777777" w:rsidTr="006527A1">
        <w:tc>
          <w:tcPr>
            <w:tcW w:w="1101" w:type="dxa"/>
          </w:tcPr>
          <w:p w14:paraId="7FA04B9E" w14:textId="77777777" w:rsidR="0097796A" w:rsidRPr="00913B1F" w:rsidRDefault="0097796A" w:rsidP="00EF5D3B">
            <w:pPr>
              <w:rPr>
                <w:sz w:val="20"/>
                <w:szCs w:val="20"/>
              </w:rPr>
            </w:pPr>
            <w:r w:rsidRPr="00913B1F">
              <w:rPr>
                <w:sz w:val="20"/>
                <w:szCs w:val="20"/>
              </w:rPr>
              <w:t>Gender</w:t>
            </w:r>
          </w:p>
        </w:tc>
        <w:tc>
          <w:tcPr>
            <w:tcW w:w="4293" w:type="dxa"/>
          </w:tcPr>
          <w:p w14:paraId="4381F1EC" w14:textId="77777777" w:rsidR="0097796A" w:rsidRPr="00913B1F" w:rsidRDefault="0097796A" w:rsidP="00EF5D3B">
            <w:pPr>
              <w:rPr>
                <w:sz w:val="20"/>
                <w:szCs w:val="20"/>
              </w:rPr>
            </w:pPr>
            <w:r w:rsidRPr="00913B1F">
              <w:rPr>
                <w:sz w:val="20"/>
                <w:szCs w:val="20"/>
              </w:rPr>
              <w:t>Male</w:t>
            </w:r>
            <w:r>
              <w:rPr>
                <w:sz w:val="20"/>
                <w:szCs w:val="20"/>
              </w:rPr>
              <w:t>: n=14,339, 67.4%.</w:t>
            </w:r>
          </w:p>
          <w:p w14:paraId="6B2AB895" w14:textId="77777777" w:rsidR="0097796A" w:rsidRPr="00913B1F" w:rsidRDefault="0097796A" w:rsidP="00EF5D3B">
            <w:pPr>
              <w:rPr>
                <w:sz w:val="20"/>
                <w:szCs w:val="20"/>
              </w:rPr>
            </w:pPr>
            <w:r>
              <w:rPr>
                <w:sz w:val="20"/>
                <w:szCs w:val="20"/>
              </w:rPr>
              <w:t>Female: n=6,920, 32.5%.</w:t>
            </w:r>
          </w:p>
        </w:tc>
      </w:tr>
      <w:tr w:rsidR="0097796A" w14:paraId="476040A0" w14:textId="77777777" w:rsidTr="006527A1">
        <w:tc>
          <w:tcPr>
            <w:tcW w:w="1101" w:type="dxa"/>
            <w:tcBorders>
              <w:bottom w:val="single" w:sz="4" w:space="0" w:color="auto"/>
            </w:tcBorders>
          </w:tcPr>
          <w:p w14:paraId="2A343CF0" w14:textId="77777777" w:rsidR="0097796A" w:rsidRPr="00913B1F" w:rsidRDefault="0097796A" w:rsidP="00EF5D3B">
            <w:pPr>
              <w:rPr>
                <w:sz w:val="20"/>
                <w:szCs w:val="20"/>
              </w:rPr>
            </w:pPr>
            <w:r>
              <w:rPr>
                <w:sz w:val="20"/>
                <w:szCs w:val="20"/>
              </w:rPr>
              <w:t>Age</w:t>
            </w:r>
          </w:p>
        </w:tc>
        <w:tc>
          <w:tcPr>
            <w:tcW w:w="4293" w:type="dxa"/>
            <w:tcBorders>
              <w:bottom w:val="single" w:sz="4" w:space="0" w:color="auto"/>
            </w:tcBorders>
          </w:tcPr>
          <w:p w14:paraId="311289C5" w14:textId="77777777" w:rsidR="0097796A" w:rsidRDefault="0097796A" w:rsidP="00EF5D3B">
            <w:pPr>
              <w:rPr>
                <w:sz w:val="20"/>
                <w:szCs w:val="20"/>
              </w:rPr>
            </w:pPr>
            <w:r>
              <w:rPr>
                <w:sz w:val="20"/>
                <w:szCs w:val="20"/>
              </w:rPr>
              <w:t>All patients: n=21,262, mean 47.6 (SD 11.8) years.</w:t>
            </w:r>
          </w:p>
          <w:p w14:paraId="2F3C2874" w14:textId="77777777" w:rsidR="0097796A" w:rsidRDefault="0097796A" w:rsidP="00EF5D3B">
            <w:pPr>
              <w:rPr>
                <w:sz w:val="20"/>
                <w:szCs w:val="20"/>
              </w:rPr>
            </w:pPr>
            <w:r>
              <w:rPr>
                <w:sz w:val="20"/>
                <w:szCs w:val="20"/>
              </w:rPr>
              <w:t>Male: n=14,339, mean 47.3 (SD 11.6) years.</w:t>
            </w:r>
          </w:p>
          <w:p w14:paraId="31E8B478" w14:textId="77777777" w:rsidR="0097796A" w:rsidRPr="00913B1F" w:rsidRDefault="0097796A" w:rsidP="00EF5D3B">
            <w:pPr>
              <w:rPr>
                <w:sz w:val="20"/>
                <w:szCs w:val="20"/>
              </w:rPr>
            </w:pPr>
            <w:r>
              <w:rPr>
                <w:sz w:val="20"/>
                <w:szCs w:val="20"/>
              </w:rPr>
              <w:t>Female: n=6,920, mean 48.3 (SD 12.0) years.</w:t>
            </w:r>
          </w:p>
        </w:tc>
      </w:tr>
      <w:tr w:rsidR="0097796A" w14:paraId="7A69BBC8" w14:textId="77777777" w:rsidTr="006527A1">
        <w:tc>
          <w:tcPr>
            <w:tcW w:w="1101" w:type="dxa"/>
            <w:tcBorders>
              <w:bottom w:val="single" w:sz="4" w:space="0" w:color="auto"/>
            </w:tcBorders>
          </w:tcPr>
          <w:p w14:paraId="529C1C94" w14:textId="77777777" w:rsidR="0097796A" w:rsidRPr="00913B1F" w:rsidRDefault="0097796A" w:rsidP="00EF5D3B">
            <w:pPr>
              <w:rPr>
                <w:sz w:val="20"/>
                <w:szCs w:val="20"/>
              </w:rPr>
            </w:pPr>
            <w:r w:rsidRPr="00913B1F">
              <w:rPr>
                <w:sz w:val="20"/>
                <w:szCs w:val="20"/>
              </w:rPr>
              <w:t>Cirrhotic status</w:t>
            </w:r>
          </w:p>
        </w:tc>
        <w:tc>
          <w:tcPr>
            <w:tcW w:w="4293" w:type="dxa"/>
            <w:tcBorders>
              <w:bottom w:val="single" w:sz="4" w:space="0" w:color="auto"/>
            </w:tcBorders>
          </w:tcPr>
          <w:p w14:paraId="4A014D88" w14:textId="77777777" w:rsidR="0097796A" w:rsidRPr="00913B1F" w:rsidRDefault="0097796A" w:rsidP="00EF5D3B">
            <w:pPr>
              <w:rPr>
                <w:sz w:val="20"/>
                <w:szCs w:val="20"/>
              </w:rPr>
            </w:pPr>
            <w:r w:rsidRPr="00913B1F">
              <w:rPr>
                <w:sz w:val="20"/>
                <w:szCs w:val="20"/>
              </w:rPr>
              <w:t>Cirrhotic (n=3,952, 18.6%)</w:t>
            </w:r>
          </w:p>
          <w:p w14:paraId="2F08263C" w14:textId="77777777" w:rsidR="0097796A" w:rsidRPr="00913B1F" w:rsidRDefault="0097796A" w:rsidP="00EF5D3B">
            <w:pPr>
              <w:rPr>
                <w:sz w:val="20"/>
                <w:szCs w:val="20"/>
              </w:rPr>
            </w:pPr>
            <w:r>
              <w:rPr>
                <w:sz w:val="20"/>
                <w:szCs w:val="20"/>
              </w:rPr>
              <w:t>Non-cirrhotic (n=17,053</w:t>
            </w:r>
            <w:r w:rsidRPr="00913B1F">
              <w:rPr>
                <w:sz w:val="20"/>
                <w:szCs w:val="20"/>
              </w:rPr>
              <w:t>, 80.2%)</w:t>
            </w:r>
          </w:p>
          <w:p w14:paraId="66AF9EBE" w14:textId="77777777" w:rsidR="0097796A" w:rsidRPr="00913B1F" w:rsidRDefault="0097796A" w:rsidP="00EF5D3B">
            <w:pPr>
              <w:rPr>
                <w:sz w:val="20"/>
                <w:szCs w:val="20"/>
              </w:rPr>
            </w:pPr>
            <w:r w:rsidRPr="00913B1F">
              <w:rPr>
                <w:sz w:val="20"/>
                <w:szCs w:val="20"/>
              </w:rPr>
              <w:t>Not specified (n=257, 1.2%)</w:t>
            </w:r>
          </w:p>
        </w:tc>
      </w:tr>
      <w:tr w:rsidR="0097796A" w14:paraId="579341AE" w14:textId="77777777" w:rsidTr="006527A1">
        <w:tc>
          <w:tcPr>
            <w:tcW w:w="1101" w:type="dxa"/>
          </w:tcPr>
          <w:p w14:paraId="4555E2EA" w14:textId="77777777" w:rsidR="0097796A" w:rsidRPr="00913B1F" w:rsidRDefault="0097796A" w:rsidP="00EF5D3B">
            <w:pPr>
              <w:rPr>
                <w:sz w:val="20"/>
                <w:szCs w:val="20"/>
              </w:rPr>
            </w:pPr>
            <w:r w:rsidRPr="00913B1F">
              <w:rPr>
                <w:sz w:val="20"/>
                <w:szCs w:val="20"/>
              </w:rPr>
              <w:t>HCV Genotype</w:t>
            </w:r>
          </w:p>
        </w:tc>
        <w:tc>
          <w:tcPr>
            <w:tcW w:w="4293" w:type="dxa"/>
          </w:tcPr>
          <w:p w14:paraId="0AEEFD35" w14:textId="77777777" w:rsidR="0097796A" w:rsidRDefault="0097796A" w:rsidP="00EF5D3B">
            <w:pPr>
              <w:rPr>
                <w:sz w:val="20"/>
                <w:szCs w:val="20"/>
              </w:rPr>
            </w:pPr>
            <w:r>
              <w:rPr>
                <w:sz w:val="20"/>
                <w:szCs w:val="20"/>
              </w:rPr>
              <w:t>Genotype 1 (n=10,884, 51.2%)</w:t>
            </w:r>
          </w:p>
          <w:p w14:paraId="0D7497B3" w14:textId="77777777" w:rsidR="0097796A" w:rsidRDefault="0097796A" w:rsidP="00EF5D3B">
            <w:pPr>
              <w:rPr>
                <w:sz w:val="20"/>
                <w:szCs w:val="20"/>
              </w:rPr>
            </w:pPr>
            <w:r>
              <w:rPr>
                <w:sz w:val="20"/>
                <w:szCs w:val="20"/>
              </w:rPr>
              <w:t>Genotype 2 (n=869, 4.1%)</w:t>
            </w:r>
          </w:p>
          <w:p w14:paraId="4CEC5F68" w14:textId="77777777" w:rsidR="0097796A" w:rsidRDefault="0097796A" w:rsidP="00EF5D3B">
            <w:pPr>
              <w:rPr>
                <w:sz w:val="20"/>
                <w:szCs w:val="20"/>
              </w:rPr>
            </w:pPr>
            <w:r>
              <w:rPr>
                <w:sz w:val="20"/>
                <w:szCs w:val="20"/>
              </w:rPr>
              <w:t>Genotype 3 (n=8,495, 40.0%)</w:t>
            </w:r>
          </w:p>
          <w:p w14:paraId="2314E729" w14:textId="77777777" w:rsidR="0097796A" w:rsidRDefault="0097796A" w:rsidP="00EF5D3B">
            <w:pPr>
              <w:rPr>
                <w:sz w:val="20"/>
                <w:szCs w:val="20"/>
              </w:rPr>
            </w:pPr>
            <w:r>
              <w:rPr>
                <w:sz w:val="20"/>
                <w:szCs w:val="20"/>
              </w:rPr>
              <w:t>Genotype 4 (n=371, 1.7%)</w:t>
            </w:r>
          </w:p>
          <w:p w14:paraId="73F4C338" w14:textId="77777777" w:rsidR="0097796A" w:rsidRDefault="0097796A" w:rsidP="00EF5D3B">
            <w:pPr>
              <w:rPr>
                <w:sz w:val="20"/>
                <w:szCs w:val="20"/>
              </w:rPr>
            </w:pPr>
            <w:r>
              <w:rPr>
                <w:sz w:val="20"/>
                <w:szCs w:val="20"/>
              </w:rPr>
              <w:t>Genotypes 5 or 6 (n=384, 1.8%)</w:t>
            </w:r>
          </w:p>
          <w:p w14:paraId="0FF22572" w14:textId="77777777" w:rsidR="0097796A" w:rsidRPr="00913B1F" w:rsidRDefault="0097796A" w:rsidP="00EF5D3B">
            <w:pPr>
              <w:rPr>
                <w:sz w:val="20"/>
                <w:szCs w:val="20"/>
              </w:rPr>
            </w:pPr>
            <w:r>
              <w:rPr>
                <w:sz w:val="20"/>
                <w:szCs w:val="20"/>
              </w:rPr>
              <w:t>Not specified (n=259, 1.2%)</w:t>
            </w:r>
          </w:p>
        </w:tc>
      </w:tr>
    </w:tbl>
    <w:p w14:paraId="474BA40D" w14:textId="77777777" w:rsidR="00386CC9" w:rsidRDefault="00386CC9" w:rsidP="00EF5D3B">
      <w:pPr>
        <w:rPr>
          <w:sz w:val="20"/>
          <w:szCs w:val="20"/>
        </w:rPr>
      </w:pPr>
      <w:r>
        <w:rPr>
          <w:sz w:val="20"/>
          <w:szCs w:val="20"/>
        </w:rPr>
        <w:t>Note: SD, standard deviation.</w:t>
      </w:r>
      <w:r w:rsidR="00881DC8">
        <w:rPr>
          <w:sz w:val="20"/>
          <w:szCs w:val="20"/>
        </w:rPr>
        <w:t xml:space="preserve"> </w:t>
      </w:r>
    </w:p>
    <w:p w14:paraId="3BE15985" w14:textId="5B21FE8A" w:rsidR="00DD18FB" w:rsidRDefault="00744FC9" w:rsidP="00EF5D3B">
      <w:r>
        <w:t xml:space="preserve">Referring to Figure </w:t>
      </w:r>
      <w:r w:rsidR="001B1374">
        <w:t>3</w:t>
      </w:r>
      <w:r w:rsidR="002423BC">
        <w:t xml:space="preserve">, most of the treated population (50.6 percent) were between 30 </w:t>
      </w:r>
      <w:r w:rsidR="00530409">
        <w:t>and</w:t>
      </w:r>
      <w:r w:rsidR="002423BC">
        <w:t xml:space="preserve"> 50</w:t>
      </w:r>
      <w:r w:rsidR="00530409">
        <w:t> </w:t>
      </w:r>
      <w:r w:rsidR="002423BC">
        <w:t xml:space="preserve">years of age. </w:t>
      </w:r>
      <w:r w:rsidR="00B843C6">
        <w:t>A relatively small number (n=</w:t>
      </w:r>
      <w:r w:rsidR="00E52B77">
        <w:t>248</w:t>
      </w:r>
      <w:r w:rsidR="00B843C6">
        <w:t xml:space="preserve">) of patients were </w:t>
      </w:r>
      <w:r w:rsidR="00E52B77">
        <w:t>75</w:t>
      </w:r>
      <w:r>
        <w:t xml:space="preserve"> years of age or older (Figure </w:t>
      </w:r>
      <w:r w:rsidR="00092318">
        <w:t>3</w:t>
      </w:r>
      <w:r w:rsidR="00B843C6">
        <w:t xml:space="preserve">). </w:t>
      </w:r>
      <w:r w:rsidR="00327B04">
        <w:t>Patients aged 2</w:t>
      </w:r>
      <w:r w:rsidR="00E52B77">
        <w:t>4</w:t>
      </w:r>
      <w:r w:rsidR="00327B04">
        <w:t xml:space="preserve"> years or less </w:t>
      </w:r>
      <w:r w:rsidR="00BF09AE">
        <w:t>were a</w:t>
      </w:r>
      <w:r w:rsidR="00327B04">
        <w:t xml:space="preserve"> small fraction (n=</w:t>
      </w:r>
      <w:r w:rsidR="00E52B77">
        <w:t>339</w:t>
      </w:r>
      <w:r w:rsidR="00327B04">
        <w:t xml:space="preserve">, </w:t>
      </w:r>
      <w:r w:rsidR="00E52B77">
        <w:t>1.6</w:t>
      </w:r>
      <w:r w:rsidR="00327B04">
        <w:t xml:space="preserve"> percent) of the overall ini</w:t>
      </w:r>
      <w:r>
        <w:t xml:space="preserve">tiating cohort in 2017 (Figure </w:t>
      </w:r>
      <w:r w:rsidR="00F17B09">
        <w:t>3</w:t>
      </w:r>
      <w:r w:rsidR="00327B04">
        <w:t>).</w:t>
      </w:r>
    </w:p>
    <w:p w14:paraId="4F341224" w14:textId="77777777" w:rsidR="002661E2" w:rsidRDefault="00CB4D39" w:rsidP="00EF5D3B">
      <w:r>
        <w:rPr>
          <w:noProof/>
        </w:rPr>
        <w:drawing>
          <wp:inline distT="0" distB="0" distL="0" distR="0" wp14:anchorId="09931C76" wp14:editId="6BB79D7A">
            <wp:extent cx="4067175" cy="3038475"/>
            <wp:effectExtent l="0" t="0" r="9525" b="9525"/>
            <wp:docPr id="8" name="Picture 1" descr="Pyramid chart of patient age and gender for initiators on therapy in 2017"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7175" cy="3038475"/>
                    </a:xfrm>
                    <a:prstGeom prst="rect">
                      <a:avLst/>
                    </a:prstGeom>
                    <a:noFill/>
                    <a:ln>
                      <a:noFill/>
                    </a:ln>
                  </pic:spPr>
                </pic:pic>
              </a:graphicData>
            </a:graphic>
          </wp:inline>
        </w:drawing>
      </w:r>
    </w:p>
    <w:p w14:paraId="1BA8CC37" w14:textId="77777777" w:rsidR="00DD18FB" w:rsidRPr="00D50C1D" w:rsidRDefault="00846D4F" w:rsidP="00D50C1D">
      <w:pPr>
        <w:rPr>
          <w:b/>
        </w:rPr>
      </w:pPr>
      <w:r w:rsidRPr="00D50C1D">
        <w:rPr>
          <w:b/>
        </w:rPr>
        <w:t xml:space="preserve">Figure </w:t>
      </w:r>
      <w:r w:rsidR="005F1662" w:rsidRPr="00D50C1D">
        <w:rPr>
          <w:b/>
        </w:rPr>
        <w:t>3</w:t>
      </w:r>
      <w:r w:rsidR="00C62E8E" w:rsidRPr="00D50C1D">
        <w:rPr>
          <w:b/>
        </w:rPr>
        <w:t>:</w:t>
      </w:r>
      <w:r w:rsidR="00DD18FB" w:rsidRPr="00D50C1D">
        <w:rPr>
          <w:b/>
        </w:rPr>
        <w:t xml:space="preserve"> Pyramid chart of </w:t>
      </w:r>
      <w:r w:rsidR="005D5BF2" w:rsidRPr="00D50C1D">
        <w:rPr>
          <w:b/>
        </w:rPr>
        <w:t>patient</w:t>
      </w:r>
      <w:r w:rsidR="00DD18FB" w:rsidRPr="00D50C1D">
        <w:rPr>
          <w:b/>
        </w:rPr>
        <w:t xml:space="preserve"> age and gender for first initiators on DAA therapy in 2017</w:t>
      </w:r>
      <w:r w:rsidR="00E759C3" w:rsidRPr="00D50C1D">
        <w:rPr>
          <w:b/>
        </w:rPr>
        <w:t xml:space="preserve"> (n=21,262</w:t>
      </w:r>
      <w:r w:rsidR="00072253" w:rsidRPr="00D50C1D">
        <w:rPr>
          <w:b/>
        </w:rPr>
        <w:t>)</w:t>
      </w:r>
    </w:p>
    <w:p w14:paraId="35AF2B5B" w14:textId="77777777" w:rsidR="005169C8" w:rsidRDefault="005169C8" w:rsidP="00EF5D3B">
      <w:pPr>
        <w:rPr>
          <w:b/>
          <w:i/>
        </w:rPr>
      </w:pPr>
    </w:p>
    <w:p w14:paraId="1C1EFF94" w14:textId="77777777" w:rsidR="005169C8" w:rsidRDefault="005169C8" w:rsidP="00EF5D3B">
      <w:pPr>
        <w:rPr>
          <w:b/>
          <w:i/>
        </w:rPr>
      </w:pPr>
    </w:p>
    <w:p w14:paraId="6C3F891C" w14:textId="77777777" w:rsidR="00A426F2" w:rsidRPr="006527A1" w:rsidRDefault="00A426F2" w:rsidP="00EF5D3B">
      <w:pPr>
        <w:rPr>
          <w:b/>
          <w:i/>
        </w:rPr>
      </w:pPr>
      <w:r w:rsidRPr="006527A1">
        <w:rPr>
          <w:b/>
          <w:i/>
        </w:rPr>
        <w:t>Cirrhosis status</w:t>
      </w:r>
    </w:p>
    <w:p w14:paraId="5C7BE7CA" w14:textId="3F61B1FC" w:rsidR="00DD18FB" w:rsidRDefault="00C06567" w:rsidP="00EF5D3B">
      <w:r>
        <w:t>Figure 4 shows that</w:t>
      </w:r>
      <w:r w:rsidR="00551BEF">
        <w:t xml:space="preserve"> the proportional representation of patients with cirrhosis decreased from 40.4 percent in the first month of listing (March 2016) to 16.3 percent after two years of listing (February 2018).</w:t>
      </w:r>
    </w:p>
    <w:p w14:paraId="18780A86" w14:textId="77777777" w:rsidR="008D16B0" w:rsidRDefault="008D16B0" w:rsidP="00EF5D3B">
      <w:r>
        <w:rPr>
          <w:noProof/>
        </w:rPr>
        <w:drawing>
          <wp:inline distT="0" distB="0" distL="0" distR="0" wp14:anchorId="7E213D83" wp14:editId="5C41D5E1">
            <wp:extent cx="5889756" cy="3848100"/>
            <wp:effectExtent l="0" t="0" r="0" b="0"/>
            <wp:docPr id="13" name="Picture 13" descr="Number for first initiating patients by cirrhotic status by month"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9756" cy="3848100"/>
                    </a:xfrm>
                    <a:prstGeom prst="rect">
                      <a:avLst/>
                    </a:prstGeom>
                    <a:noFill/>
                  </pic:spPr>
                </pic:pic>
              </a:graphicData>
            </a:graphic>
          </wp:inline>
        </w:drawing>
      </w:r>
    </w:p>
    <w:p w14:paraId="50387DDC" w14:textId="77777777" w:rsidR="008D16B0" w:rsidRPr="009D28B7" w:rsidRDefault="008D16B0" w:rsidP="00EF5D3B">
      <w:pPr>
        <w:pStyle w:val="Figuretitle"/>
      </w:pPr>
      <w:r w:rsidRPr="00846D4F">
        <w:t xml:space="preserve">Figure </w:t>
      </w:r>
      <w:r w:rsidR="005F1662">
        <w:t>4</w:t>
      </w:r>
      <w:r>
        <w:t>:</w:t>
      </w:r>
      <w:r w:rsidRPr="00846D4F">
        <w:t xml:space="preserve"> Number of first initiating patien</w:t>
      </w:r>
      <w:r>
        <w:t>ts by cirrhotic status by month</w:t>
      </w:r>
    </w:p>
    <w:p w14:paraId="22415031" w14:textId="77777777" w:rsidR="00724AAF" w:rsidRDefault="00724AAF" w:rsidP="00EF5D3B">
      <w:pPr>
        <w:rPr>
          <w:b/>
          <w:i/>
        </w:rPr>
      </w:pPr>
    </w:p>
    <w:p w14:paraId="3EAE3786" w14:textId="77777777" w:rsidR="00A426F2" w:rsidRPr="006527A1" w:rsidRDefault="00A426F2" w:rsidP="00EF5D3B">
      <w:pPr>
        <w:rPr>
          <w:b/>
          <w:i/>
        </w:rPr>
      </w:pPr>
      <w:r w:rsidRPr="006527A1">
        <w:rPr>
          <w:b/>
          <w:i/>
        </w:rPr>
        <w:t>Genotype</w:t>
      </w:r>
    </w:p>
    <w:p w14:paraId="3C94F3B6" w14:textId="77777777" w:rsidR="008F3599" w:rsidRPr="00DD18FB" w:rsidRDefault="008F3599" w:rsidP="00EF5D3B">
      <w:r w:rsidRPr="008F3599">
        <w:t>Before the listing of grazoprevir with elbasvir on 1 January 2017, a very small proportion (</w:t>
      </w:r>
      <w:r w:rsidR="00760FB8">
        <w:t xml:space="preserve">an </w:t>
      </w:r>
      <w:r w:rsidRPr="008F3599">
        <w:t xml:space="preserve">average of 0.1 percent per month) of patients </w:t>
      </w:r>
      <w:r w:rsidR="00B9058B" w:rsidRPr="008F3599">
        <w:t xml:space="preserve">supplied DAA therapy </w:t>
      </w:r>
      <w:r w:rsidR="00B9058B">
        <w:t>were</w:t>
      </w:r>
      <w:r w:rsidRPr="008F3599">
        <w:t xml:space="preserve"> HCV genotype 4 </w:t>
      </w:r>
      <w:r w:rsidR="00760FB8">
        <w:t xml:space="preserve">(Figure </w:t>
      </w:r>
      <w:r w:rsidR="0079011A">
        <w:t>5</w:t>
      </w:r>
      <w:r w:rsidR="00760FB8">
        <w:t>)</w:t>
      </w:r>
      <w:r w:rsidRPr="008F3599">
        <w:t xml:space="preserve">. </w:t>
      </w:r>
      <w:r w:rsidR="00760FB8">
        <w:t xml:space="preserve">In the first month of grazoprevir with elbasvir’s listing, the proportion of genotype 4 patients who were dispensed DAA therapy rose to 3.7 percent (Figure </w:t>
      </w:r>
      <w:r w:rsidR="0079011A">
        <w:t>5</w:t>
      </w:r>
      <w:r w:rsidR="00760FB8">
        <w:t xml:space="preserve">). </w:t>
      </w:r>
      <w:r w:rsidR="00B9058B">
        <w:t xml:space="preserve">From </w:t>
      </w:r>
      <w:r w:rsidR="00760FB8">
        <w:t xml:space="preserve">1 January to 31 March 2018, around 1 percent of patients treated </w:t>
      </w:r>
      <w:r w:rsidR="00B9058B">
        <w:t>per month</w:t>
      </w:r>
      <w:r w:rsidR="00B9058B" w:rsidDel="00B9058B">
        <w:t xml:space="preserve"> </w:t>
      </w:r>
      <w:r w:rsidR="00B9058B">
        <w:t>were</w:t>
      </w:r>
      <w:r w:rsidR="00760FB8">
        <w:t xml:space="preserve"> genotype 4. </w:t>
      </w:r>
      <w:r w:rsidR="008B1819">
        <w:t>The subsequent listing of sofosbuvir with velpatasvir from 1</w:t>
      </w:r>
      <w:r w:rsidR="00F72E76">
        <w:t> </w:t>
      </w:r>
      <w:r w:rsidR="008B1819">
        <w:t xml:space="preserve">August 2017 did not have a substantive impact on the number of genotype 4 patients treated. </w:t>
      </w:r>
    </w:p>
    <w:p w14:paraId="39565367" w14:textId="77777777" w:rsidR="00A73D96" w:rsidRDefault="005E5D63" w:rsidP="00EF5D3B">
      <w:r>
        <w:t xml:space="preserve">Prior to the listing of sofosbuvir with velpatasvir from </w:t>
      </w:r>
      <w:r w:rsidR="00211834">
        <w:t xml:space="preserve">1 August 2017, the representation of patients with genotypes 5 or 6 was very low (around 0.2 percent per month). The listing of sofosbuvir with velpatasvir increased the proportion of genotype 5 or 6 patients treated to 5.5 percent in its first month of listing with an average of around 3 percent per month between August 2017 to March 2018 (Figure </w:t>
      </w:r>
      <w:r w:rsidR="00F133CD">
        <w:t>5</w:t>
      </w:r>
      <w:r w:rsidR="00211834">
        <w:t>).</w:t>
      </w:r>
    </w:p>
    <w:p w14:paraId="3FCA586E" w14:textId="77777777" w:rsidR="00A73D96" w:rsidRDefault="002831E0" w:rsidP="00EF5D3B">
      <w:r>
        <w:t>The proportion of patients with genotype 2 supplied DAA therapy also increased following the listing of sofosbuvir with velpatasvir. Before August 2017, an average of around 3.5 pe</w:t>
      </w:r>
      <w:r w:rsidR="009D28B7">
        <w:t>rcent of patients per month was</w:t>
      </w:r>
      <w:r>
        <w:t xml:space="preserve"> identified as having genotype 2. Between August 2017 to March 2018 the monthly average of genotype 2 patients treated increased to 5.1% (Figure </w:t>
      </w:r>
      <w:r w:rsidR="00F133CD">
        <w:t>5</w:t>
      </w:r>
      <w:r>
        <w:t xml:space="preserve">). </w:t>
      </w:r>
    </w:p>
    <w:p w14:paraId="50AF4EC6" w14:textId="77777777" w:rsidR="00F40EE5" w:rsidRDefault="00970DE2" w:rsidP="00EF5D3B">
      <w:pPr>
        <w:rPr>
          <w:highlight w:val="yellow"/>
        </w:rPr>
      </w:pPr>
      <w:r>
        <w:rPr>
          <w:noProof/>
        </w:rPr>
        <w:drawing>
          <wp:inline distT="0" distB="0" distL="0" distR="0" wp14:anchorId="64B70C5A" wp14:editId="5D61BCF3">
            <wp:extent cx="6001633" cy="3571875"/>
            <wp:effectExtent l="0" t="0" r="0" b="0"/>
            <wp:docPr id="5" name="Picture 5" descr="Number of first initiating patients by genotype by month"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1633" cy="3571875"/>
                    </a:xfrm>
                    <a:prstGeom prst="rect">
                      <a:avLst/>
                    </a:prstGeom>
                    <a:noFill/>
                  </pic:spPr>
                </pic:pic>
              </a:graphicData>
            </a:graphic>
          </wp:inline>
        </w:drawing>
      </w:r>
    </w:p>
    <w:p w14:paraId="706DE176" w14:textId="77777777" w:rsidR="00235C9B" w:rsidRPr="00C1358D" w:rsidRDefault="00846D4F" w:rsidP="00EF5D3B">
      <w:pPr>
        <w:pStyle w:val="Figuretitle"/>
      </w:pPr>
      <w:r w:rsidRPr="00846D4F">
        <w:t xml:space="preserve">Figure </w:t>
      </w:r>
      <w:r w:rsidR="00706BDC">
        <w:t>5</w:t>
      </w:r>
      <w:r w:rsidR="007A2B56">
        <w:t>:</w:t>
      </w:r>
      <w:r w:rsidR="00970DE2" w:rsidRPr="00846D4F">
        <w:t xml:space="preserve"> Number of first initiating patients by genotype</w:t>
      </w:r>
      <w:r w:rsidR="00A73D96" w:rsidRPr="00846D4F">
        <w:t xml:space="preserve"> by month</w:t>
      </w:r>
    </w:p>
    <w:p w14:paraId="426F5C69" w14:textId="77777777" w:rsidR="00042AB2" w:rsidRDefault="00042AB2" w:rsidP="00EF5D3B"/>
    <w:p w14:paraId="4538FB64" w14:textId="77777777" w:rsidR="00B44100" w:rsidRPr="00B4432D" w:rsidRDefault="007927DB" w:rsidP="00EF5D3B">
      <w:pPr>
        <w:pStyle w:val="Heading3"/>
      </w:pPr>
      <w:r w:rsidRPr="00B4432D">
        <w:t>Treatment experienced patients</w:t>
      </w:r>
    </w:p>
    <w:p w14:paraId="3610FD9A" w14:textId="77777777" w:rsidR="007927DB" w:rsidRPr="007927DB" w:rsidRDefault="007C32C2" w:rsidP="00EF5D3B">
      <w:pPr>
        <w:rPr>
          <w:highlight w:val="yellow"/>
        </w:rPr>
      </w:pPr>
      <w:r>
        <w:t xml:space="preserve">Of the </w:t>
      </w:r>
      <w:r w:rsidR="00745788">
        <w:t>58,</w:t>
      </w:r>
      <w:r w:rsidR="00476855">
        <w:t>941</w:t>
      </w:r>
      <w:r>
        <w:t xml:space="preserve"> patients supplied a DAA between 1 March 2016 and 30 April 2018, n=</w:t>
      </w:r>
      <w:r w:rsidR="00EB7138">
        <w:t>10,772</w:t>
      </w:r>
      <w:r>
        <w:t xml:space="preserve"> </w:t>
      </w:r>
      <w:r w:rsidR="00745788">
        <w:t>(</w:t>
      </w:r>
      <w:r w:rsidR="00EB7138">
        <w:t>22.4</w:t>
      </w:r>
      <w:r>
        <w:t xml:space="preserve"> percent) were identified as having </w:t>
      </w:r>
      <w:r w:rsidR="00EB7138">
        <w:t xml:space="preserve">a DAA regimen specifically for treatment experienced patients and/or </w:t>
      </w:r>
      <w:r>
        <w:t>prior therapy with peginterferon plus ribavirin alone or in combination with boceprevir, telaprevir or simeprevir.</w:t>
      </w:r>
    </w:p>
    <w:p w14:paraId="44DDC15B" w14:textId="77777777" w:rsidR="00750B27" w:rsidRPr="00B4432D" w:rsidRDefault="00C05F4E" w:rsidP="00EF5D3B">
      <w:pPr>
        <w:pStyle w:val="Heading3"/>
      </w:pPr>
      <w:r>
        <w:t>Supply of multiple</w:t>
      </w:r>
      <w:r w:rsidR="00750B27" w:rsidRPr="00B4432D">
        <w:t xml:space="preserve"> DAA </w:t>
      </w:r>
      <w:r>
        <w:t>regimens</w:t>
      </w:r>
    </w:p>
    <w:p w14:paraId="0A4F93AF" w14:textId="458535D9" w:rsidR="007927DB" w:rsidRDefault="0039238B" w:rsidP="00EF5D3B">
      <w:r>
        <w:t>3.5 percent (n=2,050 patients) of the 58,941 initiators between 1 March 2016 and 30</w:t>
      </w:r>
      <w:r w:rsidR="00E82C1E">
        <w:t> </w:t>
      </w:r>
      <w:r>
        <w:t>April</w:t>
      </w:r>
      <w:r w:rsidR="00E82C1E">
        <w:t> </w:t>
      </w:r>
      <w:r>
        <w:t>2</w:t>
      </w:r>
      <w:r w:rsidR="009D3485">
        <w:t xml:space="preserve">018 were supplied two or more different </w:t>
      </w:r>
      <w:r>
        <w:t>DAA regimen</w:t>
      </w:r>
      <w:r w:rsidR="009D3485">
        <w:t>s</w:t>
      </w:r>
      <w:r w:rsidR="00BE4F21">
        <w:t xml:space="preserve">. </w:t>
      </w:r>
      <w:r w:rsidR="005C0D1D">
        <w:t>Of patients who were supplied a different drug regimen, around one-quarter (26 percent) were switched to sofo</w:t>
      </w:r>
      <w:r w:rsidR="00DB79E5">
        <w:t xml:space="preserve">sbuvir with velpatasvir. Table </w:t>
      </w:r>
      <w:r w:rsidR="00985CCD">
        <w:t>3</w:t>
      </w:r>
      <w:r w:rsidR="005C0D1D">
        <w:t xml:space="preserve"> presents the most common sequences of multiple drug regimens</w:t>
      </w:r>
      <w:r w:rsidR="00270FCA">
        <w:t xml:space="preserve"> involving different medicines</w:t>
      </w:r>
      <w:r w:rsidR="005C0D1D">
        <w:t>.</w:t>
      </w:r>
    </w:p>
    <w:p w14:paraId="29E148F6" w14:textId="77777777" w:rsidR="00DF0ABD" w:rsidRDefault="00DF0ABD" w:rsidP="00EF5D3B"/>
    <w:p w14:paraId="42B8DB89" w14:textId="77777777" w:rsidR="00DF0ABD" w:rsidRDefault="00DF0ABD" w:rsidP="00EF5D3B"/>
    <w:p w14:paraId="48CAEC43" w14:textId="51841DAB" w:rsidR="002A74EF" w:rsidRPr="00744062" w:rsidRDefault="00DB79E5" w:rsidP="00B165E9">
      <w:pPr>
        <w:pStyle w:val="Tabletitle"/>
      </w:pPr>
      <w:r w:rsidRPr="00744062">
        <w:t xml:space="preserve">Table </w:t>
      </w:r>
      <w:r w:rsidR="00985CCD" w:rsidRPr="00744062">
        <w:t>3</w:t>
      </w:r>
      <w:r w:rsidR="0075133C" w:rsidRPr="00744062">
        <w:t xml:space="preserve">: 10 most common sequences of multiple drug regimens </w:t>
      </w:r>
    </w:p>
    <w:tbl>
      <w:tblPr>
        <w:tblW w:w="7953" w:type="dxa"/>
        <w:tblInd w:w="93" w:type="dxa"/>
        <w:tblLook w:val="04A0" w:firstRow="1" w:lastRow="0" w:firstColumn="1" w:lastColumn="0" w:noHBand="0" w:noVBand="1"/>
        <w:tblCaption w:val="Table 3"/>
        <w:tblDescription w:val="Most common sequences of drug regimens"/>
      </w:tblPr>
      <w:tblGrid>
        <w:gridCol w:w="5685"/>
        <w:gridCol w:w="1134"/>
        <w:gridCol w:w="1134"/>
      </w:tblGrid>
      <w:tr w:rsidR="009948BE" w:rsidRPr="009948BE" w14:paraId="35E0B6A8" w14:textId="77777777" w:rsidTr="00724AAF">
        <w:trPr>
          <w:trHeight w:val="300"/>
        </w:trPr>
        <w:tc>
          <w:tcPr>
            <w:tcW w:w="5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BD6A9D9" w14:textId="77777777" w:rsidR="009948BE" w:rsidRPr="009948BE" w:rsidRDefault="009948BE" w:rsidP="00EF5D3B">
            <w:pPr>
              <w:spacing w:after="0"/>
              <w:jc w:val="center"/>
              <w:rPr>
                <w:rFonts w:ascii="Calibri" w:eastAsia="Times New Roman" w:hAnsi="Calibri" w:cs="Calibri"/>
                <w:b/>
                <w:sz w:val="20"/>
                <w:szCs w:val="20"/>
              </w:rPr>
            </w:pPr>
            <w:r w:rsidRPr="009948BE">
              <w:rPr>
                <w:rFonts w:ascii="Calibri" w:eastAsia="Times New Roman" w:hAnsi="Calibri" w:cs="Calibri"/>
                <w:b/>
                <w:sz w:val="20"/>
                <w:szCs w:val="20"/>
              </w:rPr>
              <w:t>Sequence of drug regimens</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53EA5B3" w14:textId="77777777" w:rsidR="009948BE" w:rsidRPr="009948BE" w:rsidRDefault="009948BE" w:rsidP="00EF5D3B">
            <w:pPr>
              <w:spacing w:after="0"/>
              <w:jc w:val="center"/>
              <w:rPr>
                <w:rFonts w:ascii="Calibri" w:eastAsia="Times New Roman" w:hAnsi="Calibri" w:cs="Calibri"/>
                <w:b/>
                <w:sz w:val="20"/>
                <w:szCs w:val="20"/>
              </w:rPr>
            </w:pPr>
            <w:r w:rsidRPr="009948BE">
              <w:rPr>
                <w:rFonts w:ascii="Calibri" w:eastAsia="Times New Roman" w:hAnsi="Calibri" w:cs="Calibri"/>
                <w:b/>
                <w:sz w:val="20"/>
                <w:szCs w:val="20"/>
              </w:rPr>
              <w:t>Patients</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F67A2E3" w14:textId="77777777" w:rsidR="009948BE" w:rsidRPr="009948BE" w:rsidRDefault="009948BE" w:rsidP="00EF5D3B">
            <w:pPr>
              <w:spacing w:after="0"/>
              <w:jc w:val="center"/>
              <w:rPr>
                <w:rFonts w:ascii="Calibri" w:eastAsia="Times New Roman" w:hAnsi="Calibri" w:cs="Calibri"/>
                <w:b/>
                <w:sz w:val="20"/>
                <w:szCs w:val="20"/>
              </w:rPr>
            </w:pPr>
            <w:r w:rsidRPr="009948BE">
              <w:rPr>
                <w:rFonts w:ascii="Calibri" w:eastAsia="Times New Roman" w:hAnsi="Calibri" w:cs="Calibri"/>
                <w:b/>
                <w:sz w:val="20"/>
                <w:szCs w:val="20"/>
              </w:rPr>
              <w:t>Rank</w:t>
            </w:r>
          </w:p>
        </w:tc>
      </w:tr>
      <w:tr w:rsidR="009948BE" w:rsidRPr="009948BE" w14:paraId="75DFA642"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08CC1CDB"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dac_sof_12weeks -&gt; sof_vel_12weeks</w:t>
            </w:r>
          </w:p>
        </w:tc>
        <w:tc>
          <w:tcPr>
            <w:tcW w:w="1134" w:type="dxa"/>
            <w:tcBorders>
              <w:top w:val="nil"/>
              <w:left w:val="nil"/>
              <w:bottom w:val="single" w:sz="4" w:space="0" w:color="auto"/>
              <w:right w:val="single" w:sz="4" w:space="0" w:color="auto"/>
            </w:tcBorders>
            <w:shd w:val="clear" w:color="auto" w:fill="auto"/>
            <w:noWrap/>
            <w:vAlign w:val="bottom"/>
            <w:hideMark/>
          </w:tcPr>
          <w:p w14:paraId="197BBE86"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179</w:t>
            </w:r>
          </w:p>
        </w:tc>
        <w:tc>
          <w:tcPr>
            <w:tcW w:w="1134" w:type="dxa"/>
            <w:tcBorders>
              <w:top w:val="nil"/>
              <w:left w:val="nil"/>
              <w:bottom w:val="single" w:sz="4" w:space="0" w:color="auto"/>
              <w:right w:val="single" w:sz="4" w:space="0" w:color="auto"/>
            </w:tcBorders>
            <w:shd w:val="clear" w:color="auto" w:fill="auto"/>
            <w:noWrap/>
            <w:vAlign w:val="bottom"/>
            <w:hideMark/>
          </w:tcPr>
          <w:p w14:paraId="3B48E0AA"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1</w:t>
            </w:r>
          </w:p>
        </w:tc>
      </w:tr>
      <w:tr w:rsidR="009948BE" w:rsidRPr="009948BE" w14:paraId="5902BDED"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1FFA1D47"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dac_sof_rbv_24weeks -&gt; dac_sof_24weeks</w:t>
            </w:r>
          </w:p>
        </w:tc>
        <w:tc>
          <w:tcPr>
            <w:tcW w:w="1134" w:type="dxa"/>
            <w:tcBorders>
              <w:top w:val="nil"/>
              <w:left w:val="nil"/>
              <w:bottom w:val="single" w:sz="4" w:space="0" w:color="auto"/>
              <w:right w:val="single" w:sz="4" w:space="0" w:color="auto"/>
            </w:tcBorders>
            <w:shd w:val="clear" w:color="auto" w:fill="auto"/>
            <w:noWrap/>
            <w:vAlign w:val="bottom"/>
            <w:hideMark/>
          </w:tcPr>
          <w:p w14:paraId="5941E477"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112</w:t>
            </w:r>
          </w:p>
        </w:tc>
        <w:tc>
          <w:tcPr>
            <w:tcW w:w="1134" w:type="dxa"/>
            <w:tcBorders>
              <w:top w:val="nil"/>
              <w:left w:val="nil"/>
              <w:bottom w:val="single" w:sz="4" w:space="0" w:color="auto"/>
              <w:right w:val="single" w:sz="4" w:space="0" w:color="auto"/>
            </w:tcBorders>
            <w:shd w:val="clear" w:color="auto" w:fill="auto"/>
            <w:noWrap/>
            <w:vAlign w:val="bottom"/>
            <w:hideMark/>
          </w:tcPr>
          <w:p w14:paraId="4FE6817F"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2</w:t>
            </w:r>
          </w:p>
        </w:tc>
      </w:tr>
      <w:tr w:rsidR="009948BE" w:rsidRPr="009948BE" w14:paraId="55DD07A2"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593D104D"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led_sof_12weeks -&gt; sof_vel_12weeks</w:t>
            </w:r>
          </w:p>
        </w:tc>
        <w:tc>
          <w:tcPr>
            <w:tcW w:w="1134" w:type="dxa"/>
            <w:tcBorders>
              <w:top w:val="nil"/>
              <w:left w:val="nil"/>
              <w:bottom w:val="single" w:sz="4" w:space="0" w:color="auto"/>
              <w:right w:val="single" w:sz="4" w:space="0" w:color="auto"/>
            </w:tcBorders>
            <w:shd w:val="clear" w:color="auto" w:fill="auto"/>
            <w:noWrap/>
            <w:vAlign w:val="bottom"/>
            <w:hideMark/>
          </w:tcPr>
          <w:p w14:paraId="16A746B2"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94</w:t>
            </w:r>
          </w:p>
        </w:tc>
        <w:tc>
          <w:tcPr>
            <w:tcW w:w="1134" w:type="dxa"/>
            <w:tcBorders>
              <w:top w:val="nil"/>
              <w:left w:val="nil"/>
              <w:bottom w:val="single" w:sz="4" w:space="0" w:color="auto"/>
              <w:right w:val="single" w:sz="4" w:space="0" w:color="auto"/>
            </w:tcBorders>
            <w:shd w:val="clear" w:color="auto" w:fill="auto"/>
            <w:noWrap/>
            <w:vAlign w:val="bottom"/>
            <w:hideMark/>
          </w:tcPr>
          <w:p w14:paraId="2A4FE3A5"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3</w:t>
            </w:r>
          </w:p>
        </w:tc>
      </w:tr>
      <w:tr w:rsidR="009948BE" w:rsidRPr="009948BE" w14:paraId="0FBD3E7C"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1B7AB1C3"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dac_sof_12weeks -&gt; dac_sof_24weeks</w:t>
            </w:r>
          </w:p>
        </w:tc>
        <w:tc>
          <w:tcPr>
            <w:tcW w:w="1134" w:type="dxa"/>
            <w:tcBorders>
              <w:top w:val="nil"/>
              <w:left w:val="nil"/>
              <w:bottom w:val="single" w:sz="4" w:space="0" w:color="auto"/>
              <w:right w:val="single" w:sz="4" w:space="0" w:color="auto"/>
            </w:tcBorders>
            <w:shd w:val="clear" w:color="auto" w:fill="auto"/>
            <w:noWrap/>
            <w:vAlign w:val="bottom"/>
            <w:hideMark/>
          </w:tcPr>
          <w:p w14:paraId="4D024C7F"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86</w:t>
            </w:r>
          </w:p>
        </w:tc>
        <w:tc>
          <w:tcPr>
            <w:tcW w:w="1134" w:type="dxa"/>
            <w:tcBorders>
              <w:top w:val="nil"/>
              <w:left w:val="nil"/>
              <w:bottom w:val="single" w:sz="4" w:space="0" w:color="auto"/>
              <w:right w:val="single" w:sz="4" w:space="0" w:color="auto"/>
            </w:tcBorders>
            <w:shd w:val="clear" w:color="auto" w:fill="auto"/>
            <w:noWrap/>
            <w:vAlign w:val="bottom"/>
            <w:hideMark/>
          </w:tcPr>
          <w:p w14:paraId="6C3D88FD"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4</w:t>
            </w:r>
          </w:p>
        </w:tc>
      </w:tr>
      <w:tr w:rsidR="009948BE" w:rsidRPr="009948BE" w14:paraId="6ABDE8F9"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6A12D62A"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led_sof_8weeks -&gt; led_sof_12weeks</w:t>
            </w:r>
          </w:p>
        </w:tc>
        <w:tc>
          <w:tcPr>
            <w:tcW w:w="1134" w:type="dxa"/>
            <w:tcBorders>
              <w:top w:val="nil"/>
              <w:left w:val="nil"/>
              <w:bottom w:val="single" w:sz="4" w:space="0" w:color="auto"/>
              <w:right w:val="single" w:sz="4" w:space="0" w:color="auto"/>
            </w:tcBorders>
            <w:shd w:val="clear" w:color="auto" w:fill="auto"/>
            <w:noWrap/>
            <w:vAlign w:val="bottom"/>
            <w:hideMark/>
          </w:tcPr>
          <w:p w14:paraId="6FAEEF28"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77</w:t>
            </w:r>
          </w:p>
        </w:tc>
        <w:tc>
          <w:tcPr>
            <w:tcW w:w="1134" w:type="dxa"/>
            <w:tcBorders>
              <w:top w:val="nil"/>
              <w:left w:val="nil"/>
              <w:bottom w:val="single" w:sz="4" w:space="0" w:color="auto"/>
              <w:right w:val="single" w:sz="4" w:space="0" w:color="auto"/>
            </w:tcBorders>
            <w:shd w:val="clear" w:color="auto" w:fill="auto"/>
            <w:noWrap/>
            <w:vAlign w:val="bottom"/>
            <w:hideMark/>
          </w:tcPr>
          <w:p w14:paraId="2519D2EF"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5</w:t>
            </w:r>
          </w:p>
        </w:tc>
      </w:tr>
      <w:tr w:rsidR="009948BE" w:rsidRPr="009948BE" w14:paraId="031635ED"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129F839C"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dac_sof_24weeks -&gt; dac_sof_rbv_24weeks</w:t>
            </w:r>
          </w:p>
        </w:tc>
        <w:tc>
          <w:tcPr>
            <w:tcW w:w="1134" w:type="dxa"/>
            <w:tcBorders>
              <w:top w:val="nil"/>
              <w:left w:val="nil"/>
              <w:bottom w:val="single" w:sz="4" w:space="0" w:color="auto"/>
              <w:right w:val="single" w:sz="4" w:space="0" w:color="auto"/>
            </w:tcBorders>
            <w:shd w:val="clear" w:color="auto" w:fill="auto"/>
            <w:noWrap/>
            <w:vAlign w:val="bottom"/>
            <w:hideMark/>
          </w:tcPr>
          <w:p w14:paraId="0C88A169"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75</w:t>
            </w:r>
          </w:p>
        </w:tc>
        <w:tc>
          <w:tcPr>
            <w:tcW w:w="1134" w:type="dxa"/>
            <w:tcBorders>
              <w:top w:val="nil"/>
              <w:left w:val="nil"/>
              <w:bottom w:val="single" w:sz="4" w:space="0" w:color="auto"/>
              <w:right w:val="single" w:sz="4" w:space="0" w:color="auto"/>
            </w:tcBorders>
            <w:shd w:val="clear" w:color="auto" w:fill="auto"/>
            <w:noWrap/>
            <w:vAlign w:val="bottom"/>
            <w:hideMark/>
          </w:tcPr>
          <w:p w14:paraId="70A4F349"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6</w:t>
            </w:r>
          </w:p>
        </w:tc>
      </w:tr>
      <w:tr w:rsidR="009948BE" w:rsidRPr="009948BE" w14:paraId="292D7766"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061F8910"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dac_sof_24weeks -&gt; sof_vel_12weeks</w:t>
            </w:r>
          </w:p>
        </w:tc>
        <w:tc>
          <w:tcPr>
            <w:tcW w:w="1134" w:type="dxa"/>
            <w:tcBorders>
              <w:top w:val="nil"/>
              <w:left w:val="nil"/>
              <w:bottom w:val="single" w:sz="4" w:space="0" w:color="auto"/>
              <w:right w:val="single" w:sz="4" w:space="0" w:color="auto"/>
            </w:tcBorders>
            <w:shd w:val="clear" w:color="auto" w:fill="auto"/>
            <w:noWrap/>
            <w:vAlign w:val="bottom"/>
            <w:hideMark/>
          </w:tcPr>
          <w:p w14:paraId="02D9D4A1"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69</w:t>
            </w:r>
          </w:p>
        </w:tc>
        <w:tc>
          <w:tcPr>
            <w:tcW w:w="1134" w:type="dxa"/>
            <w:tcBorders>
              <w:top w:val="nil"/>
              <w:left w:val="nil"/>
              <w:bottom w:val="single" w:sz="4" w:space="0" w:color="auto"/>
              <w:right w:val="single" w:sz="4" w:space="0" w:color="auto"/>
            </w:tcBorders>
            <w:shd w:val="clear" w:color="auto" w:fill="auto"/>
            <w:noWrap/>
            <w:vAlign w:val="bottom"/>
            <w:hideMark/>
          </w:tcPr>
          <w:p w14:paraId="79BED63A"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7</w:t>
            </w:r>
          </w:p>
        </w:tc>
      </w:tr>
      <w:tr w:rsidR="009948BE" w:rsidRPr="009948BE" w14:paraId="588285F0"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504A3F2C"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led_sof_12weeks -&gt; led_sof_8weeks</w:t>
            </w:r>
          </w:p>
        </w:tc>
        <w:tc>
          <w:tcPr>
            <w:tcW w:w="1134" w:type="dxa"/>
            <w:tcBorders>
              <w:top w:val="nil"/>
              <w:left w:val="nil"/>
              <w:bottom w:val="single" w:sz="4" w:space="0" w:color="auto"/>
              <w:right w:val="single" w:sz="4" w:space="0" w:color="auto"/>
            </w:tcBorders>
            <w:shd w:val="clear" w:color="auto" w:fill="auto"/>
            <w:noWrap/>
            <w:vAlign w:val="bottom"/>
            <w:hideMark/>
          </w:tcPr>
          <w:p w14:paraId="4B6660E3"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69</w:t>
            </w:r>
          </w:p>
        </w:tc>
        <w:tc>
          <w:tcPr>
            <w:tcW w:w="1134" w:type="dxa"/>
            <w:tcBorders>
              <w:top w:val="nil"/>
              <w:left w:val="nil"/>
              <w:bottom w:val="single" w:sz="4" w:space="0" w:color="auto"/>
              <w:right w:val="single" w:sz="4" w:space="0" w:color="auto"/>
            </w:tcBorders>
            <w:shd w:val="clear" w:color="auto" w:fill="auto"/>
            <w:noWrap/>
            <w:vAlign w:val="bottom"/>
            <w:hideMark/>
          </w:tcPr>
          <w:p w14:paraId="319FBF81"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8</w:t>
            </w:r>
          </w:p>
        </w:tc>
      </w:tr>
      <w:tr w:rsidR="009948BE" w:rsidRPr="009948BE" w14:paraId="4B6899B8"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22592C5E"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led_sof_12weeks -&gt; led_sof_24weeks</w:t>
            </w:r>
          </w:p>
        </w:tc>
        <w:tc>
          <w:tcPr>
            <w:tcW w:w="1134" w:type="dxa"/>
            <w:tcBorders>
              <w:top w:val="nil"/>
              <w:left w:val="nil"/>
              <w:bottom w:val="single" w:sz="4" w:space="0" w:color="auto"/>
              <w:right w:val="single" w:sz="4" w:space="0" w:color="auto"/>
            </w:tcBorders>
            <w:shd w:val="clear" w:color="auto" w:fill="auto"/>
            <w:noWrap/>
            <w:vAlign w:val="bottom"/>
            <w:hideMark/>
          </w:tcPr>
          <w:p w14:paraId="5207E65E"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61</w:t>
            </w:r>
          </w:p>
        </w:tc>
        <w:tc>
          <w:tcPr>
            <w:tcW w:w="1134" w:type="dxa"/>
            <w:tcBorders>
              <w:top w:val="nil"/>
              <w:left w:val="nil"/>
              <w:bottom w:val="single" w:sz="4" w:space="0" w:color="auto"/>
              <w:right w:val="single" w:sz="4" w:space="0" w:color="auto"/>
            </w:tcBorders>
            <w:shd w:val="clear" w:color="auto" w:fill="auto"/>
            <w:noWrap/>
            <w:vAlign w:val="bottom"/>
            <w:hideMark/>
          </w:tcPr>
          <w:p w14:paraId="141D8449"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9</w:t>
            </w:r>
          </w:p>
        </w:tc>
      </w:tr>
      <w:tr w:rsidR="009948BE" w:rsidRPr="009948BE" w14:paraId="45B3585E" w14:textId="77777777" w:rsidTr="0045778A">
        <w:trPr>
          <w:trHeight w:val="300"/>
        </w:trPr>
        <w:tc>
          <w:tcPr>
            <w:tcW w:w="5685" w:type="dxa"/>
            <w:tcBorders>
              <w:top w:val="nil"/>
              <w:left w:val="single" w:sz="4" w:space="0" w:color="auto"/>
              <w:bottom w:val="single" w:sz="4" w:space="0" w:color="auto"/>
              <w:right w:val="single" w:sz="4" w:space="0" w:color="auto"/>
            </w:tcBorders>
            <w:shd w:val="clear" w:color="auto" w:fill="auto"/>
            <w:noWrap/>
            <w:vAlign w:val="bottom"/>
            <w:hideMark/>
          </w:tcPr>
          <w:p w14:paraId="06DE0056" w14:textId="77777777" w:rsidR="009948BE" w:rsidRPr="009948BE" w:rsidRDefault="009948BE" w:rsidP="00EF5D3B">
            <w:pPr>
              <w:spacing w:after="0"/>
              <w:rPr>
                <w:rFonts w:ascii="Calibri" w:eastAsia="Times New Roman" w:hAnsi="Calibri" w:cs="Calibri"/>
                <w:sz w:val="20"/>
                <w:szCs w:val="20"/>
              </w:rPr>
            </w:pPr>
            <w:r w:rsidRPr="009948BE">
              <w:rPr>
                <w:rFonts w:ascii="Calibri" w:eastAsia="Times New Roman" w:hAnsi="Calibri" w:cs="Calibri"/>
                <w:sz w:val="20"/>
                <w:szCs w:val="20"/>
              </w:rPr>
              <w:t>sof_rbv_12weeks -&gt; sof_vel_12weeks</w:t>
            </w:r>
          </w:p>
        </w:tc>
        <w:tc>
          <w:tcPr>
            <w:tcW w:w="1134" w:type="dxa"/>
            <w:tcBorders>
              <w:top w:val="nil"/>
              <w:left w:val="nil"/>
              <w:bottom w:val="single" w:sz="4" w:space="0" w:color="auto"/>
              <w:right w:val="single" w:sz="4" w:space="0" w:color="auto"/>
            </w:tcBorders>
            <w:shd w:val="clear" w:color="auto" w:fill="auto"/>
            <w:noWrap/>
            <w:vAlign w:val="bottom"/>
            <w:hideMark/>
          </w:tcPr>
          <w:p w14:paraId="0DBFAA94"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61</w:t>
            </w:r>
          </w:p>
        </w:tc>
        <w:tc>
          <w:tcPr>
            <w:tcW w:w="1134" w:type="dxa"/>
            <w:tcBorders>
              <w:top w:val="nil"/>
              <w:left w:val="nil"/>
              <w:bottom w:val="single" w:sz="4" w:space="0" w:color="auto"/>
              <w:right w:val="single" w:sz="4" w:space="0" w:color="auto"/>
            </w:tcBorders>
            <w:shd w:val="clear" w:color="auto" w:fill="auto"/>
            <w:noWrap/>
            <w:vAlign w:val="bottom"/>
            <w:hideMark/>
          </w:tcPr>
          <w:p w14:paraId="0CFFA03F" w14:textId="77777777" w:rsidR="009948BE" w:rsidRPr="009948BE" w:rsidRDefault="009948BE" w:rsidP="00EF5D3B">
            <w:pPr>
              <w:spacing w:after="0"/>
              <w:jc w:val="center"/>
              <w:rPr>
                <w:rFonts w:ascii="Calibri" w:eastAsia="Times New Roman" w:hAnsi="Calibri" w:cs="Calibri"/>
                <w:sz w:val="20"/>
                <w:szCs w:val="20"/>
              </w:rPr>
            </w:pPr>
            <w:r w:rsidRPr="009948BE">
              <w:rPr>
                <w:rFonts w:ascii="Calibri" w:eastAsia="Times New Roman" w:hAnsi="Calibri" w:cs="Calibri"/>
                <w:sz w:val="20"/>
                <w:szCs w:val="20"/>
              </w:rPr>
              <w:t>10</w:t>
            </w:r>
          </w:p>
        </w:tc>
      </w:tr>
    </w:tbl>
    <w:p w14:paraId="0C51F2EE" w14:textId="1B3E0F1D" w:rsidR="0034580F" w:rsidRPr="00B165E9" w:rsidRDefault="003B6E76" w:rsidP="00EF5D3B">
      <w:pPr>
        <w:spacing w:after="0"/>
        <w:rPr>
          <w:sz w:val="22"/>
          <w:szCs w:val="22"/>
        </w:rPr>
      </w:pPr>
      <w:r w:rsidRPr="00B165E9">
        <w:rPr>
          <w:sz w:val="22"/>
          <w:szCs w:val="22"/>
        </w:rPr>
        <w:t>Note: For n=58,941 initiators between 1 March 2016 to 30 April 2018 (n=2,050 patients supplied a different drug regimen)</w:t>
      </w:r>
    </w:p>
    <w:p w14:paraId="0D7A5D49" w14:textId="77777777" w:rsidR="003B6E76" w:rsidRDefault="003B6E76" w:rsidP="00EF5D3B">
      <w:pPr>
        <w:spacing w:after="0"/>
      </w:pPr>
    </w:p>
    <w:p w14:paraId="3EE153B3" w14:textId="1E7BBB70" w:rsidR="00210D59" w:rsidRDefault="009E7B0D" w:rsidP="00EF5D3B">
      <w:pPr>
        <w:spacing w:after="0"/>
      </w:pPr>
      <w:r>
        <w:t>The reasons for re</w:t>
      </w:r>
      <w:r w:rsidR="00707B2C">
        <w:t>-</w:t>
      </w:r>
      <w:r>
        <w:t xml:space="preserve">treatment cannot be ascertained from the PBS data. </w:t>
      </w:r>
      <w:r w:rsidR="00707B2C">
        <w:t xml:space="preserve">However, some </w:t>
      </w:r>
      <w:r w:rsidR="0046535A">
        <w:t>inferences could be made</w:t>
      </w:r>
      <w:r w:rsidR="00707B2C">
        <w:t xml:space="preserve"> to identify a change in therapy due to adverse events or further treatment </w:t>
      </w:r>
      <w:r w:rsidR="00A10CD7">
        <w:t>following</w:t>
      </w:r>
      <w:r w:rsidR="00707B2C">
        <w:t xml:space="preserve"> re-infection. </w:t>
      </w:r>
      <w:r>
        <w:t>For example</w:t>
      </w:r>
      <w:r w:rsidR="00E82C1E">
        <w:t>,</w:t>
      </w:r>
      <w:r>
        <w:t xml:space="preserve"> </w:t>
      </w:r>
      <w:r w:rsidR="006840FF">
        <w:t>a patient transitioning</w:t>
      </w:r>
      <w:r>
        <w:t xml:space="preserve"> </w:t>
      </w:r>
      <w:r w:rsidR="006840FF">
        <w:t>to another DAA</w:t>
      </w:r>
      <w:r>
        <w:t xml:space="preserve"> regimen without </w:t>
      </w:r>
      <w:r w:rsidR="006840FF">
        <w:t xml:space="preserve">completing a full course of their initial DAA regimen could indicate the experience of an adverse event </w:t>
      </w:r>
      <w:r w:rsidR="009C6CCF">
        <w:t>or failure to respond</w:t>
      </w:r>
      <w:r w:rsidR="00150CF6">
        <w:t xml:space="preserve"> </w:t>
      </w:r>
      <w:r w:rsidR="006840FF">
        <w:t>to the initial regimen.</w:t>
      </w:r>
      <w:r w:rsidR="00150CF6">
        <w:t xml:space="preserve"> If a patient completes a full initial course and then receives a further DAA regimen after a period of time this might represent therapy after re-infection.</w:t>
      </w:r>
      <w:r w:rsidR="006840FF">
        <w:t xml:space="preserve"> </w:t>
      </w:r>
    </w:p>
    <w:p w14:paraId="6554DF8E" w14:textId="77777777" w:rsidR="00CE7040" w:rsidRDefault="00CE7040" w:rsidP="00EF5D3B">
      <w:pPr>
        <w:pStyle w:val="Heading3"/>
      </w:pPr>
      <w:r>
        <w:t>Priority populations</w:t>
      </w:r>
    </w:p>
    <w:p w14:paraId="04112926" w14:textId="7BE30C24" w:rsidR="009B6858" w:rsidRPr="00F95652" w:rsidRDefault="002E4251" w:rsidP="00744062">
      <w:r w:rsidRPr="00F95652">
        <w:t>The transmission of hepatitis C mainly occurs through unsafe practices when injecting drugs</w:t>
      </w:r>
      <w:r w:rsidR="00037F67" w:rsidRPr="00F95652">
        <w:t xml:space="preserve"> </w:t>
      </w:r>
      <w:sdt>
        <w:sdtPr>
          <w:id w:val="-770474945"/>
          <w:citation/>
        </w:sdtPr>
        <w:sdtEndPr/>
        <w:sdtContent>
          <w:r w:rsidR="00037F67" w:rsidRPr="00F95652">
            <w:fldChar w:fldCharType="begin"/>
          </w:r>
          <w:r w:rsidR="00F95652" w:rsidRPr="00F95652">
            <w:instrText xml:space="preserve">CITATION Fou \l 3081 </w:instrText>
          </w:r>
          <w:r w:rsidR="00037F67" w:rsidRPr="00F95652">
            <w:fldChar w:fldCharType="separate"/>
          </w:r>
          <w:r w:rsidR="00384DCC">
            <w:rPr>
              <w:noProof/>
            </w:rPr>
            <w:t>(Fourth National Hepatitis C Strategy 2014-2017)</w:t>
          </w:r>
          <w:r w:rsidR="00037F67" w:rsidRPr="00F95652">
            <w:fldChar w:fldCharType="end"/>
          </w:r>
        </w:sdtContent>
      </w:sdt>
      <w:r w:rsidR="00577D2F" w:rsidRPr="00F95652">
        <w:t xml:space="preserve">. </w:t>
      </w:r>
      <w:r w:rsidR="003107EA" w:rsidRPr="00F95652">
        <w:t xml:space="preserve">Populations who have been identified as </w:t>
      </w:r>
      <w:r w:rsidR="00683C3E" w:rsidRPr="00F95652">
        <w:t>having a</w:t>
      </w:r>
      <w:r w:rsidR="003107EA" w:rsidRPr="00F95652">
        <w:t xml:space="preserve"> priority for DAA therapy include: people who inject drugs, in particular young injectors and people from </w:t>
      </w:r>
      <w:r w:rsidR="00014CC3" w:rsidRPr="00F95652">
        <w:t xml:space="preserve">an </w:t>
      </w:r>
      <w:r w:rsidR="003107EA" w:rsidRPr="00F95652">
        <w:t xml:space="preserve">Aboriginal and Torres Strait Islander background; and </w:t>
      </w:r>
      <w:r w:rsidR="00014CC3" w:rsidRPr="00F95652">
        <w:t xml:space="preserve">individuals </w:t>
      </w:r>
      <w:r w:rsidR="003107EA" w:rsidRPr="00F95652">
        <w:t xml:space="preserve">in custodial settings </w:t>
      </w:r>
      <w:sdt>
        <w:sdtPr>
          <w:id w:val="-1190060923"/>
          <w:citation/>
        </w:sdtPr>
        <w:sdtEndPr/>
        <w:sdtContent>
          <w:r w:rsidR="003107EA" w:rsidRPr="00F95652">
            <w:fldChar w:fldCharType="begin"/>
          </w:r>
          <w:r w:rsidR="00F95652" w:rsidRPr="00F95652">
            <w:instrText xml:space="preserve">CITATION Fou \l 3081 </w:instrText>
          </w:r>
          <w:r w:rsidR="003107EA" w:rsidRPr="00F95652">
            <w:fldChar w:fldCharType="separate"/>
          </w:r>
          <w:r w:rsidR="00384DCC">
            <w:rPr>
              <w:noProof/>
            </w:rPr>
            <w:t>(Fourth National Hepatitis C Strategy 2014-2017)</w:t>
          </w:r>
          <w:r w:rsidR="003107EA" w:rsidRPr="00F95652">
            <w:fldChar w:fldCharType="end"/>
          </w:r>
        </w:sdtContent>
      </w:sdt>
      <w:r w:rsidR="00724AAF" w:rsidRPr="00F95652">
        <w:t xml:space="preserve">. </w:t>
      </w:r>
    </w:p>
    <w:p w14:paraId="21645320" w14:textId="202DD798" w:rsidR="009B6858" w:rsidRPr="009B6858" w:rsidRDefault="00470E97" w:rsidP="00EF5D3B">
      <w:r w:rsidRPr="00470E97">
        <w:t>Aboriginal and Torres Strait Islander</w:t>
      </w:r>
      <w:r>
        <w:t>s</w:t>
      </w:r>
      <w:r w:rsidRPr="00470E97">
        <w:t xml:space="preserve"> account for around 8 percent of newly diagnosed cases of hepatitis C </w:t>
      </w:r>
      <w:sdt>
        <w:sdtPr>
          <w:id w:val="1081569898"/>
          <w:citation/>
        </w:sdtPr>
        <w:sdtEndPr/>
        <w:sdtContent>
          <w:r w:rsidRPr="00470E97">
            <w:fldChar w:fldCharType="begin"/>
          </w:r>
          <w:r w:rsidRPr="00470E97">
            <w:instrText xml:space="preserve">CITATION Gra16 \l 3081 </w:instrText>
          </w:r>
          <w:r w:rsidRPr="00470E97">
            <w:fldChar w:fldCharType="separate"/>
          </w:r>
          <w:r w:rsidR="00384DCC">
            <w:rPr>
              <w:noProof/>
            </w:rPr>
            <w:t>(Graham et al., 2016)</w:t>
          </w:r>
          <w:r w:rsidRPr="00470E97">
            <w:fldChar w:fldCharType="end"/>
          </w:r>
        </w:sdtContent>
      </w:sdt>
      <w:r w:rsidRPr="00470E97">
        <w:t>.</w:t>
      </w:r>
      <w:r>
        <w:t xml:space="preserve"> </w:t>
      </w:r>
      <w:r w:rsidR="00B65A9F">
        <w:t>Under</w:t>
      </w:r>
      <w:r w:rsidR="00B65A9F" w:rsidRPr="00AD2FA3">
        <w:t xml:space="preserve"> the Closing the Gap PBS Co-payment Program</w:t>
      </w:r>
      <w:r w:rsidR="00B65A9F">
        <w:t xml:space="preserve"> (‘CTG’)</w:t>
      </w:r>
      <w:r w:rsidR="00B65A9F" w:rsidRPr="00AD2FA3">
        <w:t xml:space="preserve">, introduced on 1 July 2010, Aboriginal and Torres Strait Islander people living with chronic diseases, such as chronic hepatitis C, can access PBS medicines at a reduced cost. Claims as part of the Closing the Gap measure </w:t>
      </w:r>
      <w:r w:rsidR="00B65A9F">
        <w:t xml:space="preserve">identify </w:t>
      </w:r>
      <w:r w:rsidR="00B65A9F" w:rsidRPr="00AD2FA3">
        <w:t>medicine suppl</w:t>
      </w:r>
      <w:r>
        <w:t>ied</w:t>
      </w:r>
      <w:r w:rsidR="00B65A9F" w:rsidRPr="00AD2FA3">
        <w:t xml:space="preserve"> to a person of Aboriginal and Torres Strait Islander descent</w:t>
      </w:r>
      <w:r>
        <w:t>, but not all PBS prescriptions for Aboriginal and Torres Strait Islanders are supplied through the CTG measure.</w:t>
      </w:r>
    </w:p>
    <w:p w14:paraId="20D5AE92" w14:textId="6165A3B1" w:rsidR="00F136C6" w:rsidRDefault="00B65A9F" w:rsidP="00EF5D3B">
      <w:r>
        <w:t xml:space="preserve">Between 1 March 2016 to 30 April 2018, 1,873 patients were identified as being supplied a DAA medicine under the CTG measure. The number of patients first initiating on a DAA in 2017 supplied through CTG was 857, representing 4 percent of the overall PBS population. </w:t>
      </w:r>
      <w:r w:rsidR="00F136C6" w:rsidRPr="00F136C6">
        <w:t>Further, there was a very small supply of DAA medicines through Aboriginal Health Services. Since March 2016 a total of 32 packs were supplied. The supply was through four health services, including two health in Queensland and two in Western Australia.</w:t>
      </w:r>
      <w:r w:rsidR="00780BDF">
        <w:t xml:space="preserve"> </w:t>
      </w:r>
    </w:p>
    <w:p w14:paraId="4096D681" w14:textId="7C15F8B4" w:rsidR="00D358A9" w:rsidRDefault="00D358A9" w:rsidP="00EF5D3B">
      <w:r>
        <w:t xml:space="preserve">Eligible </w:t>
      </w:r>
      <w:r w:rsidR="000142F5">
        <w:t xml:space="preserve">prisoners can access DAA medicines under the Section 100 </w:t>
      </w:r>
      <w:r w:rsidR="006213D5">
        <w:t>HSD</w:t>
      </w:r>
      <w:r w:rsidR="000142F5">
        <w:t xml:space="preserve"> Program. </w:t>
      </w:r>
      <w:r w:rsidR="00761E30">
        <w:t>However</w:t>
      </w:r>
      <w:r w:rsidR="006213D5">
        <w:t>,</w:t>
      </w:r>
      <w:r w:rsidR="00761E30">
        <w:t xml:space="preserve"> the supply of DAAs to this population cannot be discerned from the overall supply of medicines in the hospital outpatient setting. </w:t>
      </w:r>
      <w:r w:rsidR="008E579E">
        <w:t xml:space="preserve">As at 30 June 2017 there were 41,202 prisoners in Australian prisons </w:t>
      </w:r>
      <w:sdt>
        <w:sdtPr>
          <w:id w:val="201147451"/>
          <w:citation/>
        </w:sdtPr>
        <w:sdtEndPr/>
        <w:sdtContent>
          <w:r w:rsidR="008E579E">
            <w:fldChar w:fldCharType="begin"/>
          </w:r>
          <w:r w:rsidR="008E579E">
            <w:instrText xml:space="preserve">CITATION Aus17 \l 3081 </w:instrText>
          </w:r>
          <w:r w:rsidR="008E579E">
            <w:fldChar w:fldCharType="separate"/>
          </w:r>
          <w:r w:rsidR="00384DCC">
            <w:rPr>
              <w:noProof/>
            </w:rPr>
            <w:t>(ABS, 2017)</w:t>
          </w:r>
          <w:r w:rsidR="008E579E">
            <w:fldChar w:fldCharType="end"/>
          </w:r>
        </w:sdtContent>
      </w:sdt>
      <w:r w:rsidR="005F6885">
        <w:t xml:space="preserve"> and</w:t>
      </w:r>
      <w:r w:rsidR="00470E97">
        <w:t xml:space="preserve"> </w:t>
      </w:r>
      <w:r w:rsidR="005F6885">
        <w:t>t</w:t>
      </w:r>
      <w:r w:rsidR="0026797D">
        <w:t xml:space="preserve">he prevalence of HCV infection among prisoners </w:t>
      </w:r>
      <w:r w:rsidR="000333F5">
        <w:t>was</w:t>
      </w:r>
      <w:r w:rsidR="0026797D">
        <w:t xml:space="preserve"> estimated to be approximately 30 percent </w:t>
      </w:r>
      <w:sdt>
        <w:sdtPr>
          <w:id w:val="-1281871811"/>
          <w:citation/>
        </w:sdtPr>
        <w:sdtEndPr/>
        <w:sdtContent>
          <w:r w:rsidR="00A164D0">
            <w:fldChar w:fldCharType="begin"/>
          </w:r>
          <w:r w:rsidR="00A164D0">
            <w:instrText xml:space="preserve"> CITATION Bre15 \l 3081 </w:instrText>
          </w:r>
          <w:r w:rsidR="00A164D0">
            <w:fldChar w:fldCharType="separate"/>
          </w:r>
          <w:r w:rsidR="00384DCC">
            <w:rPr>
              <w:noProof/>
            </w:rPr>
            <w:t>(Bretaria et al., 2015)</w:t>
          </w:r>
          <w:r w:rsidR="00A164D0">
            <w:fldChar w:fldCharType="end"/>
          </w:r>
        </w:sdtContent>
      </w:sdt>
      <w:r w:rsidR="00A164D0">
        <w:t xml:space="preserve">. </w:t>
      </w:r>
      <w:r w:rsidR="00804739">
        <w:t xml:space="preserve">As such, prisoners could represent a relatively large proportion of the overall subsidised population. </w:t>
      </w:r>
      <w:r w:rsidR="00601FA1">
        <w:t>At the time of writing</w:t>
      </w:r>
      <w:r w:rsidR="006213D5">
        <w:t>,</w:t>
      </w:r>
      <w:r w:rsidR="00601FA1">
        <w:t xml:space="preserve"> prisoners in NSW correctional centres were able to access DAA therapy (sofosbuvir with velpatasvir) separately through the </w:t>
      </w:r>
      <w:r w:rsidR="00601FA1" w:rsidRPr="00EB5E6F">
        <w:t>‘Surveillance and Treatment of Prisoners with Hepatitis C (SToP-C)</w:t>
      </w:r>
      <w:r w:rsidR="00601FA1">
        <w:t xml:space="preserve">’ trial conducted </w:t>
      </w:r>
      <w:r w:rsidR="00EA0463">
        <w:t>by</w:t>
      </w:r>
      <w:r w:rsidR="00601FA1">
        <w:t xml:space="preserve"> The Kirby Institute. The </w:t>
      </w:r>
      <w:r w:rsidR="00761380">
        <w:t xml:space="preserve">SToP-C </w:t>
      </w:r>
      <w:r w:rsidR="00601FA1">
        <w:t>trial is expected to be completed by December 2019 with an estimated enrolment of 2,500 participants.</w:t>
      </w:r>
      <w:r w:rsidR="00601FA1">
        <w:rPr>
          <w:rStyle w:val="FootnoteReference"/>
        </w:rPr>
        <w:footnoteReference w:id="4"/>
      </w:r>
    </w:p>
    <w:p w14:paraId="75AFE6EE" w14:textId="77777777" w:rsidR="00750B27" w:rsidRDefault="00FE1DE8" w:rsidP="00EF5D3B">
      <w:pPr>
        <w:pStyle w:val="Heading3"/>
      </w:pPr>
      <w:r>
        <w:t>Utilisation by p</w:t>
      </w:r>
      <w:r w:rsidR="00EE3122" w:rsidRPr="00B4432D">
        <w:t>rescriber type</w:t>
      </w:r>
    </w:p>
    <w:p w14:paraId="783B3104" w14:textId="77777777" w:rsidR="003E2AF5" w:rsidRDefault="003968C8" w:rsidP="00EF5D3B">
      <w:r>
        <w:t xml:space="preserve">Over the first two years of listing (1 March 2016 to 28 February 2018), the total number of </w:t>
      </w:r>
      <w:r w:rsidR="00616DFF">
        <w:t xml:space="preserve">unique </w:t>
      </w:r>
      <w:r>
        <w:t>prescribers</w:t>
      </w:r>
      <w:r w:rsidR="00B375F4">
        <w:t xml:space="preserve"> of DAA medicines</w:t>
      </w:r>
      <w:r>
        <w:t xml:space="preserve"> identified as a GP or specialist were 4,651 and 819, respectively. </w:t>
      </w:r>
      <w:r w:rsidR="00B2235B">
        <w:t xml:space="preserve">Only a small number of nurse practitioners (n=10) were identified as prescribing a DAA medicine during this period. It is not possible </w:t>
      </w:r>
      <w:r w:rsidR="005B679C">
        <w:t xml:space="preserve">to determine </w:t>
      </w:r>
      <w:r w:rsidR="00B2235B">
        <w:t xml:space="preserve">from the PBS data when prescribing by a GP or nurse practitioner is done in consultation with a gastroenterologist, hepatologist or infectious diseases physician. </w:t>
      </w:r>
    </w:p>
    <w:p w14:paraId="11D470B3" w14:textId="77777777" w:rsidR="00B2235B" w:rsidRDefault="00665EB1" w:rsidP="00EF5D3B">
      <w:r>
        <w:t xml:space="preserve">Table </w:t>
      </w:r>
      <w:r w:rsidR="00616DFF">
        <w:t>4</w:t>
      </w:r>
      <w:r>
        <w:t xml:space="preserve"> presents the unique counts of DAA medicine prescribers by specialty for the first two years of listing. </w:t>
      </w:r>
      <w:r w:rsidR="001D2468">
        <w:t xml:space="preserve">Table </w:t>
      </w:r>
      <w:r w:rsidR="00616DFF">
        <w:t>5</w:t>
      </w:r>
      <w:r w:rsidR="001D2468">
        <w:t xml:space="preserve"> shows the number of prescriptions supplied by speciality. In the first year of listing, </w:t>
      </w:r>
      <w:r w:rsidR="00AF52A2">
        <w:t xml:space="preserve">there were more prescriptions attributed to specialists compared to GPs (Table </w:t>
      </w:r>
      <w:r w:rsidR="003005DF">
        <w:t>5</w:t>
      </w:r>
      <w:r w:rsidR="00AF52A2">
        <w:t xml:space="preserve">). This reflects the nature of the PBS population at this time who had more severe disease, such as a greater proportion of patients who had cirrhosis (Figure </w:t>
      </w:r>
      <w:r w:rsidR="005F4429">
        <w:t>4</w:t>
      </w:r>
      <w:r w:rsidR="00AF52A2">
        <w:t xml:space="preserve">). The drug regimens utilised during the initial months of listing involved longer treatment durations with associated higher prescription volumes from more repeats. </w:t>
      </w:r>
      <w:r w:rsidR="00582FD9">
        <w:t xml:space="preserve">By the second year of listing, there were more GPs involved in prescribing with a similar number of gastroenterologists, hepatologists and infectious diseases physicians (Table </w:t>
      </w:r>
      <w:r w:rsidR="00557A84">
        <w:t>4</w:t>
      </w:r>
      <w:r w:rsidR="00582FD9">
        <w:t>).</w:t>
      </w:r>
    </w:p>
    <w:p w14:paraId="1DF43B73" w14:textId="3DE30FAE" w:rsidR="002B2954" w:rsidRPr="00DB6DF2" w:rsidRDefault="002B2954" w:rsidP="00EF5D3B">
      <w:r w:rsidRPr="00DB6DF2">
        <w:t>Specialist prescribing accounted for 68 percent of DAA prescriptions supplied and 65</w:t>
      </w:r>
      <w:r w:rsidR="006213D5">
        <w:t> </w:t>
      </w:r>
      <w:r w:rsidRPr="00DB6DF2">
        <w:t>percent of patients treated with a DAA in Year 1 of listing; and 51 percent of DAA prescriptions supplied and 47 percent of patients treated with a DAA in Year 2 of listing.</w:t>
      </w:r>
    </w:p>
    <w:p w14:paraId="3D997C00" w14:textId="77777777" w:rsidR="002B2954" w:rsidRDefault="00DB6DF2" w:rsidP="00EF5D3B">
      <w:r w:rsidRPr="00DB6DF2">
        <w:t>GP prescribing accounted for 31 percent</w:t>
      </w:r>
      <w:r w:rsidR="002B2954" w:rsidRPr="00DB6DF2">
        <w:t xml:space="preserve"> of D</w:t>
      </w:r>
      <w:r w:rsidRPr="00DB6DF2">
        <w:t>AA prescriptions supplied and 34 percent</w:t>
      </w:r>
      <w:r w:rsidR="002B2954" w:rsidRPr="00DB6DF2">
        <w:t xml:space="preserve"> of patients treated with a </w:t>
      </w:r>
      <w:r w:rsidRPr="00DB6DF2">
        <w:t xml:space="preserve">DAA in Year 1 of listing; and 48 percent </w:t>
      </w:r>
      <w:r w:rsidR="002B2954" w:rsidRPr="00DB6DF2">
        <w:t>of D</w:t>
      </w:r>
      <w:r w:rsidRPr="00DB6DF2">
        <w:t>AA prescriptions supplied and 51 percent</w:t>
      </w:r>
      <w:r w:rsidR="002B2954" w:rsidRPr="00DB6DF2">
        <w:t xml:space="preserve"> of patients treated with a DAA in Year 2 of listing.</w:t>
      </w:r>
    </w:p>
    <w:p w14:paraId="4436E1F1" w14:textId="77777777" w:rsidR="00C76F5B" w:rsidRDefault="00C76F5B" w:rsidP="00EF5D3B"/>
    <w:p w14:paraId="0886C182" w14:textId="77777777" w:rsidR="00C76F5B" w:rsidRPr="00DB6DF2" w:rsidRDefault="00C76F5B" w:rsidP="00EF5D3B"/>
    <w:p w14:paraId="34BA3B5E" w14:textId="77777777" w:rsidR="00932808" w:rsidRPr="00C47C93" w:rsidRDefault="00C47C93" w:rsidP="00EF5D3B">
      <w:pPr>
        <w:pStyle w:val="Tabletitle"/>
        <w:keepNext/>
      </w:pPr>
      <w:r>
        <w:t xml:space="preserve">Table </w:t>
      </w:r>
      <w:r w:rsidR="00616DFF">
        <w:t>4</w:t>
      </w:r>
      <w:r w:rsidRPr="001028A1">
        <w:t xml:space="preserve">: </w:t>
      </w:r>
      <w:r w:rsidR="00D26ECB">
        <w:t>Comparison of the n</w:t>
      </w:r>
      <w:r>
        <w:t xml:space="preserve">umber of </w:t>
      </w:r>
      <w:r w:rsidR="00D26ECB">
        <w:t>prescribers by specialty during the first two years of listing</w:t>
      </w:r>
    </w:p>
    <w:tbl>
      <w:tblPr>
        <w:tblW w:w="8662" w:type="dxa"/>
        <w:tblInd w:w="93" w:type="dxa"/>
        <w:tblLook w:val="04A0" w:firstRow="1" w:lastRow="0" w:firstColumn="1" w:lastColumn="0" w:noHBand="0" w:noVBand="1"/>
        <w:tblCaption w:val="Table 4"/>
        <w:tblDescription w:val="Number of prescribers by specialty in the first two years of listing"/>
      </w:tblPr>
      <w:tblGrid>
        <w:gridCol w:w="3300"/>
        <w:gridCol w:w="2669"/>
        <w:gridCol w:w="2693"/>
      </w:tblGrid>
      <w:tr w:rsidR="002D662D" w:rsidRPr="002D662D" w14:paraId="2461EB06" w14:textId="77777777" w:rsidTr="00042AB2">
        <w:trPr>
          <w:trHeight w:val="300"/>
        </w:trPr>
        <w:tc>
          <w:tcPr>
            <w:tcW w:w="3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7846641" w14:textId="77777777" w:rsidR="002D662D" w:rsidRPr="002D662D" w:rsidRDefault="002D662D" w:rsidP="00EF5D3B">
            <w:pPr>
              <w:spacing w:after="0"/>
              <w:jc w:val="center"/>
              <w:rPr>
                <w:rFonts w:ascii="Calibri" w:eastAsia="Times New Roman" w:hAnsi="Calibri" w:cs="Calibri"/>
                <w:b/>
                <w:bCs/>
                <w:color w:val="000000"/>
                <w:sz w:val="20"/>
                <w:szCs w:val="20"/>
              </w:rPr>
            </w:pPr>
            <w:r w:rsidRPr="00B65082">
              <w:rPr>
                <w:rFonts w:ascii="Calibri" w:eastAsia="Times New Roman" w:hAnsi="Calibri" w:cs="Calibri"/>
                <w:b/>
                <w:bCs/>
                <w:color w:val="000000"/>
                <w:sz w:val="20"/>
                <w:szCs w:val="20"/>
              </w:rPr>
              <w:t>Prescriber Group</w:t>
            </w:r>
          </w:p>
        </w:tc>
        <w:tc>
          <w:tcPr>
            <w:tcW w:w="2669"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5D53B509" w14:textId="77777777" w:rsidR="002D662D" w:rsidRPr="00B65082" w:rsidRDefault="002D662D" w:rsidP="00EF5D3B">
            <w:pPr>
              <w:spacing w:after="0"/>
              <w:jc w:val="center"/>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Year 1</w:t>
            </w:r>
          </w:p>
          <w:p w14:paraId="6F5509E9" w14:textId="77777777" w:rsidR="002D662D" w:rsidRPr="002D662D" w:rsidRDefault="002D662D" w:rsidP="00EF5D3B">
            <w:pPr>
              <w:spacing w:after="0"/>
              <w:jc w:val="center"/>
              <w:rPr>
                <w:rFonts w:ascii="Calibri" w:eastAsia="Times New Roman" w:hAnsi="Calibri" w:cs="Calibri"/>
                <w:b/>
                <w:bCs/>
                <w:color w:val="000000"/>
                <w:sz w:val="20"/>
                <w:szCs w:val="20"/>
              </w:rPr>
            </w:pPr>
            <w:r w:rsidRPr="00B65082">
              <w:rPr>
                <w:rFonts w:ascii="Calibri" w:eastAsia="Times New Roman" w:hAnsi="Calibri" w:cs="Calibri"/>
                <w:b/>
                <w:bCs/>
                <w:color w:val="000000"/>
                <w:sz w:val="20"/>
                <w:szCs w:val="20"/>
              </w:rPr>
              <w:t>(1 Mar 2016-28 Feb 2017)</w:t>
            </w:r>
          </w:p>
        </w:tc>
        <w:tc>
          <w:tcPr>
            <w:tcW w:w="2693"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2C6A2236" w14:textId="77777777" w:rsidR="002D662D" w:rsidRPr="00B65082" w:rsidRDefault="002D662D" w:rsidP="00EF5D3B">
            <w:pPr>
              <w:spacing w:after="0"/>
              <w:jc w:val="center"/>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Year 2</w:t>
            </w:r>
          </w:p>
          <w:p w14:paraId="7EAF411D" w14:textId="77777777" w:rsidR="002D662D" w:rsidRPr="002D662D" w:rsidRDefault="002D662D" w:rsidP="00EF5D3B">
            <w:pPr>
              <w:spacing w:after="0"/>
              <w:jc w:val="center"/>
              <w:rPr>
                <w:rFonts w:ascii="Calibri" w:eastAsia="Times New Roman" w:hAnsi="Calibri" w:cs="Calibri"/>
                <w:b/>
                <w:bCs/>
                <w:color w:val="000000"/>
                <w:sz w:val="20"/>
                <w:szCs w:val="20"/>
              </w:rPr>
            </w:pPr>
            <w:r w:rsidRPr="00B65082">
              <w:rPr>
                <w:rFonts w:ascii="Calibri" w:eastAsia="Times New Roman" w:hAnsi="Calibri" w:cs="Calibri"/>
                <w:b/>
                <w:bCs/>
                <w:color w:val="000000"/>
                <w:sz w:val="20"/>
                <w:szCs w:val="20"/>
              </w:rPr>
              <w:t>(1 Mar 2017-28 Feb 2018</w:t>
            </w:r>
            <w:r w:rsidR="00422959" w:rsidRPr="00B65082">
              <w:rPr>
                <w:rFonts w:ascii="Calibri" w:eastAsia="Times New Roman" w:hAnsi="Calibri" w:cs="Calibri"/>
                <w:b/>
                <w:bCs/>
                <w:color w:val="000000"/>
                <w:sz w:val="20"/>
                <w:szCs w:val="20"/>
              </w:rPr>
              <w:t>)</w:t>
            </w:r>
          </w:p>
        </w:tc>
      </w:tr>
      <w:tr w:rsidR="002D662D" w:rsidRPr="002D662D" w14:paraId="5874AB3B"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5B8217D3"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Addiction Medicine</w:t>
            </w:r>
          </w:p>
        </w:tc>
        <w:tc>
          <w:tcPr>
            <w:tcW w:w="2669" w:type="dxa"/>
            <w:tcBorders>
              <w:top w:val="nil"/>
              <w:left w:val="nil"/>
              <w:bottom w:val="single" w:sz="4" w:space="0" w:color="auto"/>
              <w:right w:val="single" w:sz="4" w:space="0" w:color="auto"/>
            </w:tcBorders>
            <w:shd w:val="clear" w:color="auto" w:fill="auto"/>
            <w:noWrap/>
            <w:vAlign w:val="bottom"/>
            <w:hideMark/>
          </w:tcPr>
          <w:p w14:paraId="28D8E0E8"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18</w:t>
            </w:r>
          </w:p>
        </w:tc>
        <w:tc>
          <w:tcPr>
            <w:tcW w:w="2693" w:type="dxa"/>
            <w:tcBorders>
              <w:top w:val="nil"/>
              <w:left w:val="nil"/>
              <w:bottom w:val="single" w:sz="4" w:space="0" w:color="auto"/>
              <w:right w:val="single" w:sz="4" w:space="0" w:color="auto"/>
            </w:tcBorders>
            <w:shd w:val="clear" w:color="auto" w:fill="auto"/>
            <w:noWrap/>
            <w:vAlign w:val="bottom"/>
            <w:hideMark/>
          </w:tcPr>
          <w:p w14:paraId="2338E34C"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29</w:t>
            </w:r>
          </w:p>
        </w:tc>
      </w:tr>
      <w:tr w:rsidR="002D662D" w:rsidRPr="002D662D" w14:paraId="2CCE6B33"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0ED9E15C"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Gastroenterology and Hepatology</w:t>
            </w:r>
          </w:p>
        </w:tc>
        <w:tc>
          <w:tcPr>
            <w:tcW w:w="2669" w:type="dxa"/>
            <w:tcBorders>
              <w:top w:val="nil"/>
              <w:left w:val="nil"/>
              <w:bottom w:val="single" w:sz="4" w:space="0" w:color="auto"/>
              <w:right w:val="single" w:sz="4" w:space="0" w:color="auto"/>
            </w:tcBorders>
            <w:shd w:val="clear" w:color="auto" w:fill="auto"/>
            <w:noWrap/>
            <w:vAlign w:val="bottom"/>
            <w:hideMark/>
          </w:tcPr>
          <w:p w14:paraId="57A7419D"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404</w:t>
            </w:r>
          </w:p>
        </w:tc>
        <w:tc>
          <w:tcPr>
            <w:tcW w:w="2693" w:type="dxa"/>
            <w:tcBorders>
              <w:top w:val="nil"/>
              <w:left w:val="nil"/>
              <w:bottom w:val="single" w:sz="4" w:space="0" w:color="auto"/>
              <w:right w:val="single" w:sz="4" w:space="0" w:color="auto"/>
            </w:tcBorders>
            <w:shd w:val="clear" w:color="auto" w:fill="auto"/>
            <w:noWrap/>
            <w:vAlign w:val="bottom"/>
            <w:hideMark/>
          </w:tcPr>
          <w:p w14:paraId="468D10E8"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400</w:t>
            </w:r>
          </w:p>
        </w:tc>
      </w:tr>
      <w:tr w:rsidR="002D662D" w:rsidRPr="002D662D" w14:paraId="7C09DF9D"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05F351FB" w14:textId="77777777" w:rsidR="002D662D" w:rsidRPr="00B65082" w:rsidRDefault="002D662D" w:rsidP="00EF5D3B">
            <w:pPr>
              <w:spacing w:after="0"/>
              <w:rPr>
                <w:rFonts w:ascii="Calibri" w:eastAsia="Times New Roman" w:hAnsi="Calibri" w:cs="Calibri"/>
                <w:color w:val="000000"/>
                <w:sz w:val="20"/>
                <w:szCs w:val="20"/>
                <w:vertAlign w:val="superscript"/>
              </w:rPr>
            </w:pPr>
            <w:r w:rsidRPr="002D662D">
              <w:rPr>
                <w:rFonts w:ascii="Calibri" w:eastAsia="Times New Roman" w:hAnsi="Calibri" w:cs="Calibri"/>
                <w:color w:val="000000"/>
                <w:sz w:val="20"/>
                <w:szCs w:val="20"/>
              </w:rPr>
              <w:t>GP</w:t>
            </w:r>
            <w:r w:rsidR="00D93036" w:rsidRPr="00B65082">
              <w:rPr>
                <w:rFonts w:ascii="Calibri" w:eastAsia="Times New Roman" w:hAnsi="Calibri" w:cs="Calibri"/>
                <w:color w:val="000000"/>
                <w:sz w:val="20"/>
                <w:szCs w:val="20"/>
                <w:vertAlign w:val="superscript"/>
              </w:rPr>
              <w:t>1</w:t>
            </w:r>
          </w:p>
        </w:tc>
        <w:tc>
          <w:tcPr>
            <w:tcW w:w="2669" w:type="dxa"/>
            <w:tcBorders>
              <w:top w:val="nil"/>
              <w:left w:val="nil"/>
              <w:bottom w:val="single" w:sz="4" w:space="0" w:color="auto"/>
              <w:right w:val="single" w:sz="4" w:space="0" w:color="auto"/>
            </w:tcBorders>
            <w:shd w:val="clear" w:color="auto" w:fill="auto"/>
            <w:noWrap/>
            <w:vAlign w:val="bottom"/>
            <w:hideMark/>
          </w:tcPr>
          <w:p w14:paraId="629CC47A"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2</w:t>
            </w:r>
            <w:r w:rsidR="00D04A1E">
              <w:rPr>
                <w:rFonts w:ascii="Calibri" w:eastAsia="Times New Roman" w:hAnsi="Calibri" w:cs="Calibri"/>
                <w:color w:val="000000"/>
                <w:sz w:val="20"/>
                <w:szCs w:val="20"/>
              </w:rPr>
              <w:t>,</w:t>
            </w:r>
            <w:r w:rsidRPr="002D662D">
              <w:rPr>
                <w:rFonts w:ascii="Calibri" w:eastAsia="Times New Roman" w:hAnsi="Calibri" w:cs="Calibri"/>
                <w:color w:val="000000"/>
                <w:sz w:val="20"/>
                <w:szCs w:val="20"/>
              </w:rPr>
              <w:t>488</w:t>
            </w:r>
          </w:p>
        </w:tc>
        <w:tc>
          <w:tcPr>
            <w:tcW w:w="2693" w:type="dxa"/>
            <w:tcBorders>
              <w:top w:val="nil"/>
              <w:left w:val="nil"/>
              <w:bottom w:val="single" w:sz="4" w:space="0" w:color="auto"/>
              <w:right w:val="single" w:sz="4" w:space="0" w:color="auto"/>
            </w:tcBorders>
            <w:shd w:val="clear" w:color="auto" w:fill="auto"/>
            <w:noWrap/>
            <w:vAlign w:val="bottom"/>
            <w:hideMark/>
          </w:tcPr>
          <w:p w14:paraId="332A624C"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3</w:t>
            </w:r>
            <w:r w:rsidR="00D04A1E">
              <w:rPr>
                <w:rFonts w:ascii="Calibri" w:eastAsia="Times New Roman" w:hAnsi="Calibri" w:cs="Calibri"/>
                <w:color w:val="000000"/>
                <w:sz w:val="20"/>
                <w:szCs w:val="20"/>
              </w:rPr>
              <w:t>,</w:t>
            </w:r>
            <w:r w:rsidRPr="002D662D">
              <w:rPr>
                <w:rFonts w:ascii="Calibri" w:eastAsia="Times New Roman" w:hAnsi="Calibri" w:cs="Calibri"/>
                <w:color w:val="000000"/>
                <w:sz w:val="20"/>
                <w:szCs w:val="20"/>
              </w:rPr>
              <w:t>493</w:t>
            </w:r>
          </w:p>
        </w:tc>
      </w:tr>
      <w:tr w:rsidR="002D662D" w:rsidRPr="002D662D" w14:paraId="0AAE95D9"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21D47A5B"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Infectious Diseases</w:t>
            </w:r>
          </w:p>
        </w:tc>
        <w:tc>
          <w:tcPr>
            <w:tcW w:w="2669" w:type="dxa"/>
            <w:tcBorders>
              <w:top w:val="nil"/>
              <w:left w:val="nil"/>
              <w:bottom w:val="single" w:sz="4" w:space="0" w:color="auto"/>
              <w:right w:val="single" w:sz="4" w:space="0" w:color="auto"/>
            </w:tcBorders>
            <w:shd w:val="clear" w:color="auto" w:fill="auto"/>
            <w:noWrap/>
            <w:vAlign w:val="bottom"/>
            <w:hideMark/>
          </w:tcPr>
          <w:p w14:paraId="6F66B352"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99</w:t>
            </w:r>
          </w:p>
        </w:tc>
        <w:tc>
          <w:tcPr>
            <w:tcW w:w="2693" w:type="dxa"/>
            <w:tcBorders>
              <w:top w:val="nil"/>
              <w:left w:val="nil"/>
              <w:bottom w:val="single" w:sz="4" w:space="0" w:color="auto"/>
              <w:right w:val="single" w:sz="4" w:space="0" w:color="auto"/>
            </w:tcBorders>
            <w:shd w:val="clear" w:color="auto" w:fill="auto"/>
            <w:noWrap/>
            <w:vAlign w:val="bottom"/>
            <w:hideMark/>
          </w:tcPr>
          <w:p w14:paraId="51FA4ED1"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93</w:t>
            </w:r>
          </w:p>
        </w:tc>
      </w:tr>
      <w:tr w:rsidR="002D662D" w:rsidRPr="002D662D" w14:paraId="79E3929A"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66B76B37"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Internal Medicine</w:t>
            </w:r>
          </w:p>
        </w:tc>
        <w:tc>
          <w:tcPr>
            <w:tcW w:w="2669" w:type="dxa"/>
            <w:tcBorders>
              <w:top w:val="nil"/>
              <w:left w:val="nil"/>
              <w:bottom w:val="single" w:sz="4" w:space="0" w:color="auto"/>
              <w:right w:val="single" w:sz="4" w:space="0" w:color="auto"/>
            </w:tcBorders>
            <w:shd w:val="clear" w:color="auto" w:fill="auto"/>
            <w:noWrap/>
            <w:vAlign w:val="bottom"/>
            <w:hideMark/>
          </w:tcPr>
          <w:p w14:paraId="2598FE77"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101</w:t>
            </w:r>
          </w:p>
        </w:tc>
        <w:tc>
          <w:tcPr>
            <w:tcW w:w="2693" w:type="dxa"/>
            <w:tcBorders>
              <w:top w:val="nil"/>
              <w:left w:val="nil"/>
              <w:bottom w:val="single" w:sz="4" w:space="0" w:color="auto"/>
              <w:right w:val="single" w:sz="4" w:space="0" w:color="auto"/>
            </w:tcBorders>
            <w:shd w:val="clear" w:color="auto" w:fill="auto"/>
            <w:noWrap/>
            <w:vAlign w:val="bottom"/>
            <w:hideMark/>
          </w:tcPr>
          <w:p w14:paraId="7966DAC4"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97</w:t>
            </w:r>
          </w:p>
        </w:tc>
      </w:tr>
      <w:tr w:rsidR="002D662D" w:rsidRPr="002D662D" w14:paraId="2F3F0CC1"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2A7C1276"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Nurse Practitioner</w:t>
            </w:r>
          </w:p>
        </w:tc>
        <w:tc>
          <w:tcPr>
            <w:tcW w:w="2669" w:type="dxa"/>
            <w:tcBorders>
              <w:top w:val="nil"/>
              <w:left w:val="nil"/>
              <w:bottom w:val="single" w:sz="4" w:space="0" w:color="auto"/>
              <w:right w:val="single" w:sz="4" w:space="0" w:color="auto"/>
            </w:tcBorders>
            <w:shd w:val="clear" w:color="auto" w:fill="auto"/>
            <w:noWrap/>
            <w:vAlign w:val="bottom"/>
            <w:hideMark/>
          </w:tcPr>
          <w:p w14:paraId="74DCFDB9" w14:textId="77777777" w:rsidR="002D662D" w:rsidRPr="002D662D" w:rsidRDefault="00505940" w:rsidP="00EF5D3B">
            <w:pPr>
              <w:spacing w:after="0"/>
              <w:jc w:val="center"/>
              <w:rPr>
                <w:rFonts w:ascii="Calibri" w:eastAsia="Times New Roman" w:hAnsi="Calibri" w:cs="Calibri"/>
                <w:color w:val="000000"/>
                <w:sz w:val="20"/>
                <w:szCs w:val="20"/>
              </w:rPr>
            </w:pPr>
            <w:r w:rsidRPr="00B65082">
              <w:rPr>
                <w:rFonts w:ascii="Calibri" w:eastAsia="Times New Roman" w:hAnsi="Calibri" w:cs="Calibri"/>
                <w:color w:val="000000"/>
                <w:sz w:val="20"/>
                <w:szCs w:val="20"/>
              </w:rPr>
              <w:t>NA</w:t>
            </w:r>
          </w:p>
        </w:tc>
        <w:tc>
          <w:tcPr>
            <w:tcW w:w="2693" w:type="dxa"/>
            <w:tcBorders>
              <w:top w:val="nil"/>
              <w:left w:val="nil"/>
              <w:bottom w:val="single" w:sz="4" w:space="0" w:color="auto"/>
              <w:right w:val="single" w:sz="4" w:space="0" w:color="auto"/>
            </w:tcBorders>
            <w:shd w:val="clear" w:color="auto" w:fill="auto"/>
            <w:noWrap/>
            <w:vAlign w:val="bottom"/>
            <w:hideMark/>
          </w:tcPr>
          <w:p w14:paraId="5CFE9FA3"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10</w:t>
            </w:r>
          </w:p>
        </w:tc>
      </w:tr>
      <w:tr w:rsidR="002D662D" w:rsidRPr="002D662D" w14:paraId="17356F6A"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20D9081B"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Public Health Medicine</w:t>
            </w:r>
          </w:p>
        </w:tc>
        <w:tc>
          <w:tcPr>
            <w:tcW w:w="2669" w:type="dxa"/>
            <w:tcBorders>
              <w:top w:val="nil"/>
              <w:left w:val="nil"/>
              <w:bottom w:val="single" w:sz="4" w:space="0" w:color="auto"/>
              <w:right w:val="single" w:sz="4" w:space="0" w:color="auto"/>
            </w:tcBorders>
            <w:shd w:val="clear" w:color="auto" w:fill="auto"/>
            <w:noWrap/>
            <w:vAlign w:val="bottom"/>
            <w:hideMark/>
          </w:tcPr>
          <w:p w14:paraId="4118ABEE"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12</w:t>
            </w:r>
          </w:p>
        </w:tc>
        <w:tc>
          <w:tcPr>
            <w:tcW w:w="2693" w:type="dxa"/>
            <w:tcBorders>
              <w:top w:val="nil"/>
              <w:left w:val="nil"/>
              <w:bottom w:val="single" w:sz="4" w:space="0" w:color="auto"/>
              <w:right w:val="single" w:sz="4" w:space="0" w:color="auto"/>
            </w:tcBorders>
            <w:shd w:val="clear" w:color="auto" w:fill="auto"/>
            <w:noWrap/>
            <w:vAlign w:val="bottom"/>
            <w:hideMark/>
          </w:tcPr>
          <w:p w14:paraId="6A88A52C"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9</w:t>
            </w:r>
          </w:p>
        </w:tc>
      </w:tr>
      <w:tr w:rsidR="002D662D" w:rsidRPr="002D662D" w14:paraId="731D17D2"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77FFF498" w14:textId="77777777" w:rsidR="002D662D" w:rsidRPr="002D662D" w:rsidRDefault="002D662D" w:rsidP="00EF5D3B">
            <w:pPr>
              <w:spacing w:after="0"/>
              <w:rPr>
                <w:rFonts w:ascii="Calibri" w:eastAsia="Times New Roman" w:hAnsi="Calibri" w:cs="Calibri"/>
                <w:color w:val="000000"/>
                <w:sz w:val="20"/>
                <w:szCs w:val="20"/>
              </w:rPr>
            </w:pPr>
            <w:r w:rsidRPr="002D662D">
              <w:rPr>
                <w:rFonts w:ascii="Calibri" w:eastAsia="Times New Roman" w:hAnsi="Calibri" w:cs="Calibri"/>
                <w:color w:val="000000"/>
                <w:sz w:val="20"/>
                <w:szCs w:val="20"/>
              </w:rPr>
              <w:t>Sexual Health Medicine</w:t>
            </w:r>
          </w:p>
        </w:tc>
        <w:tc>
          <w:tcPr>
            <w:tcW w:w="2669" w:type="dxa"/>
            <w:tcBorders>
              <w:top w:val="nil"/>
              <w:left w:val="nil"/>
              <w:bottom w:val="single" w:sz="4" w:space="0" w:color="auto"/>
              <w:right w:val="single" w:sz="4" w:space="0" w:color="auto"/>
            </w:tcBorders>
            <w:shd w:val="clear" w:color="auto" w:fill="auto"/>
            <w:noWrap/>
            <w:vAlign w:val="bottom"/>
            <w:hideMark/>
          </w:tcPr>
          <w:p w14:paraId="3157692D"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25</w:t>
            </w:r>
          </w:p>
        </w:tc>
        <w:tc>
          <w:tcPr>
            <w:tcW w:w="2693" w:type="dxa"/>
            <w:tcBorders>
              <w:top w:val="nil"/>
              <w:left w:val="nil"/>
              <w:bottom w:val="single" w:sz="4" w:space="0" w:color="auto"/>
              <w:right w:val="single" w:sz="4" w:space="0" w:color="auto"/>
            </w:tcBorders>
            <w:shd w:val="clear" w:color="auto" w:fill="auto"/>
            <w:noWrap/>
            <w:vAlign w:val="bottom"/>
            <w:hideMark/>
          </w:tcPr>
          <w:p w14:paraId="016AA3DD" w14:textId="77777777" w:rsidR="002D662D" w:rsidRPr="002D662D" w:rsidRDefault="002D662D" w:rsidP="00EF5D3B">
            <w:pPr>
              <w:spacing w:after="0"/>
              <w:jc w:val="center"/>
              <w:rPr>
                <w:rFonts w:ascii="Calibri" w:eastAsia="Times New Roman" w:hAnsi="Calibri" w:cs="Calibri"/>
                <w:color w:val="000000"/>
                <w:sz w:val="20"/>
                <w:szCs w:val="20"/>
              </w:rPr>
            </w:pPr>
            <w:r w:rsidRPr="002D662D">
              <w:rPr>
                <w:rFonts w:ascii="Calibri" w:eastAsia="Times New Roman" w:hAnsi="Calibri" w:cs="Calibri"/>
                <w:color w:val="000000"/>
                <w:sz w:val="20"/>
                <w:szCs w:val="20"/>
              </w:rPr>
              <w:t>28</w:t>
            </w:r>
          </w:p>
        </w:tc>
      </w:tr>
      <w:tr w:rsidR="00B86910" w:rsidRPr="002D662D" w14:paraId="045A211F" w14:textId="77777777" w:rsidTr="00422959">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tcPr>
          <w:p w14:paraId="3E27B885" w14:textId="77777777" w:rsidR="00B86910" w:rsidRPr="00B65082" w:rsidRDefault="00B86910" w:rsidP="00EF5D3B">
            <w:pPr>
              <w:spacing w:after="0"/>
              <w:rPr>
                <w:rFonts w:ascii="Calibri" w:eastAsia="Times New Roman" w:hAnsi="Calibri" w:cs="Calibri"/>
                <w:b/>
                <w:bCs/>
                <w:color w:val="000000"/>
                <w:sz w:val="20"/>
                <w:szCs w:val="20"/>
              </w:rPr>
            </w:pPr>
            <w:r w:rsidRPr="002D662D">
              <w:rPr>
                <w:rFonts w:ascii="Calibri" w:eastAsia="Times New Roman" w:hAnsi="Calibri" w:cs="Calibri"/>
                <w:color w:val="000000"/>
                <w:sz w:val="20"/>
                <w:szCs w:val="20"/>
              </w:rPr>
              <w:t>Other</w:t>
            </w:r>
          </w:p>
        </w:tc>
        <w:tc>
          <w:tcPr>
            <w:tcW w:w="2669" w:type="dxa"/>
            <w:tcBorders>
              <w:top w:val="nil"/>
              <w:left w:val="nil"/>
              <w:bottom w:val="single" w:sz="4" w:space="0" w:color="auto"/>
              <w:right w:val="single" w:sz="4" w:space="0" w:color="auto"/>
            </w:tcBorders>
            <w:shd w:val="clear" w:color="auto" w:fill="auto"/>
            <w:noWrap/>
            <w:vAlign w:val="bottom"/>
          </w:tcPr>
          <w:p w14:paraId="14DE949F" w14:textId="77777777" w:rsidR="00B86910" w:rsidRPr="00B65082" w:rsidRDefault="00B86910" w:rsidP="00EF5D3B">
            <w:pPr>
              <w:spacing w:after="0"/>
              <w:jc w:val="center"/>
              <w:rPr>
                <w:rFonts w:ascii="Calibri" w:eastAsia="Times New Roman" w:hAnsi="Calibri" w:cs="Calibri"/>
                <w:b/>
                <w:bCs/>
                <w:color w:val="000000"/>
                <w:sz w:val="20"/>
                <w:szCs w:val="20"/>
              </w:rPr>
            </w:pPr>
            <w:r>
              <w:rPr>
                <w:rFonts w:ascii="Calibri" w:hAnsi="Calibri" w:cs="Calibri"/>
                <w:color w:val="000000"/>
                <w:sz w:val="22"/>
                <w:szCs w:val="22"/>
              </w:rPr>
              <w:t>73</w:t>
            </w:r>
          </w:p>
        </w:tc>
        <w:tc>
          <w:tcPr>
            <w:tcW w:w="2693" w:type="dxa"/>
            <w:tcBorders>
              <w:top w:val="nil"/>
              <w:left w:val="nil"/>
              <w:bottom w:val="single" w:sz="4" w:space="0" w:color="auto"/>
              <w:right w:val="single" w:sz="4" w:space="0" w:color="auto"/>
            </w:tcBorders>
            <w:shd w:val="clear" w:color="auto" w:fill="auto"/>
            <w:noWrap/>
            <w:vAlign w:val="bottom"/>
          </w:tcPr>
          <w:p w14:paraId="39F8441F" w14:textId="77777777" w:rsidR="00B86910" w:rsidRPr="00B65082" w:rsidRDefault="00B86910" w:rsidP="00EF5D3B">
            <w:pPr>
              <w:spacing w:after="0"/>
              <w:jc w:val="center"/>
              <w:rPr>
                <w:rFonts w:ascii="Calibri" w:eastAsia="Times New Roman" w:hAnsi="Calibri" w:cs="Calibri"/>
                <w:b/>
                <w:bCs/>
                <w:color w:val="000000"/>
                <w:sz w:val="20"/>
                <w:szCs w:val="20"/>
              </w:rPr>
            </w:pPr>
            <w:r>
              <w:rPr>
                <w:rFonts w:ascii="Calibri" w:hAnsi="Calibri" w:cs="Calibri"/>
                <w:color w:val="000000"/>
                <w:sz w:val="22"/>
                <w:szCs w:val="22"/>
              </w:rPr>
              <w:t>259</w:t>
            </w:r>
          </w:p>
        </w:tc>
      </w:tr>
      <w:tr w:rsidR="002D662D" w:rsidRPr="002D662D" w14:paraId="21FD945E" w14:textId="77777777" w:rsidTr="00CE05F3">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10B55D29" w14:textId="77777777" w:rsidR="002D662D" w:rsidRPr="002D662D" w:rsidRDefault="002D662D" w:rsidP="00EF5D3B">
            <w:pPr>
              <w:spacing w:after="0"/>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Total</w:t>
            </w:r>
          </w:p>
        </w:tc>
        <w:tc>
          <w:tcPr>
            <w:tcW w:w="2669" w:type="dxa"/>
            <w:tcBorders>
              <w:top w:val="nil"/>
              <w:left w:val="nil"/>
              <w:bottom w:val="single" w:sz="4" w:space="0" w:color="auto"/>
              <w:right w:val="single" w:sz="4" w:space="0" w:color="auto"/>
            </w:tcBorders>
            <w:shd w:val="clear" w:color="auto" w:fill="auto"/>
            <w:noWrap/>
            <w:vAlign w:val="bottom"/>
            <w:hideMark/>
          </w:tcPr>
          <w:p w14:paraId="18C39888" w14:textId="77777777" w:rsidR="002D662D" w:rsidRPr="002D662D" w:rsidRDefault="002D662D" w:rsidP="00EF5D3B">
            <w:pPr>
              <w:spacing w:after="0"/>
              <w:jc w:val="center"/>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3</w:t>
            </w:r>
            <w:r w:rsidR="00D04A1E">
              <w:rPr>
                <w:rFonts w:ascii="Calibri" w:eastAsia="Times New Roman" w:hAnsi="Calibri" w:cs="Calibri"/>
                <w:b/>
                <w:bCs/>
                <w:color w:val="000000"/>
                <w:sz w:val="20"/>
                <w:szCs w:val="20"/>
              </w:rPr>
              <w:t>,</w:t>
            </w:r>
            <w:r w:rsidRPr="002D662D">
              <w:rPr>
                <w:rFonts w:ascii="Calibri" w:eastAsia="Times New Roman" w:hAnsi="Calibri" w:cs="Calibri"/>
                <w:b/>
                <w:bCs/>
                <w:color w:val="000000"/>
                <w:sz w:val="20"/>
                <w:szCs w:val="20"/>
              </w:rPr>
              <w:t>220</w:t>
            </w:r>
          </w:p>
        </w:tc>
        <w:tc>
          <w:tcPr>
            <w:tcW w:w="2693" w:type="dxa"/>
            <w:tcBorders>
              <w:top w:val="nil"/>
              <w:left w:val="nil"/>
              <w:bottom w:val="single" w:sz="4" w:space="0" w:color="auto"/>
              <w:right w:val="single" w:sz="4" w:space="0" w:color="auto"/>
            </w:tcBorders>
            <w:shd w:val="clear" w:color="auto" w:fill="auto"/>
            <w:noWrap/>
            <w:vAlign w:val="bottom"/>
            <w:hideMark/>
          </w:tcPr>
          <w:p w14:paraId="22BF5A72" w14:textId="77777777" w:rsidR="002D662D" w:rsidRPr="002D662D" w:rsidRDefault="002D662D" w:rsidP="00EF5D3B">
            <w:pPr>
              <w:spacing w:after="0"/>
              <w:jc w:val="center"/>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4</w:t>
            </w:r>
            <w:r w:rsidR="00D04A1E">
              <w:rPr>
                <w:rFonts w:ascii="Calibri" w:eastAsia="Times New Roman" w:hAnsi="Calibri" w:cs="Calibri"/>
                <w:b/>
                <w:bCs/>
                <w:color w:val="000000"/>
                <w:sz w:val="20"/>
                <w:szCs w:val="20"/>
              </w:rPr>
              <w:t>,</w:t>
            </w:r>
            <w:r w:rsidRPr="002D662D">
              <w:rPr>
                <w:rFonts w:ascii="Calibri" w:eastAsia="Times New Roman" w:hAnsi="Calibri" w:cs="Calibri"/>
                <w:b/>
                <w:bCs/>
                <w:color w:val="000000"/>
                <w:sz w:val="20"/>
                <w:szCs w:val="20"/>
              </w:rPr>
              <w:t>418</w:t>
            </w:r>
          </w:p>
        </w:tc>
      </w:tr>
    </w:tbl>
    <w:p w14:paraId="1831A288" w14:textId="77777777" w:rsidR="00CD4C02" w:rsidRDefault="00D93036" w:rsidP="00EF5D3B">
      <w:pPr>
        <w:rPr>
          <w:sz w:val="20"/>
          <w:szCs w:val="20"/>
        </w:rPr>
      </w:pPr>
      <w:r w:rsidRPr="004A2A22">
        <w:rPr>
          <w:sz w:val="20"/>
          <w:szCs w:val="20"/>
          <w:vertAlign w:val="superscript"/>
        </w:rPr>
        <w:t>1</w:t>
      </w:r>
      <w:r w:rsidRPr="004A2A22">
        <w:rPr>
          <w:sz w:val="20"/>
          <w:szCs w:val="20"/>
        </w:rPr>
        <w:t xml:space="preserve"> Includes vocationally registered GPs, non-vocationally registered GPs, GP trainees and GP unclassified.</w:t>
      </w:r>
    </w:p>
    <w:p w14:paraId="433500B7" w14:textId="77777777" w:rsidR="004B6957" w:rsidRDefault="00EE57BB" w:rsidP="00EF5D3B">
      <w:pPr>
        <w:pStyle w:val="Tabletitle"/>
      </w:pPr>
      <w:r>
        <w:t xml:space="preserve">Table </w:t>
      </w:r>
      <w:r w:rsidR="00616DFF">
        <w:t>5</w:t>
      </w:r>
      <w:r w:rsidR="004B6957" w:rsidRPr="001028A1">
        <w:t xml:space="preserve">: </w:t>
      </w:r>
      <w:r w:rsidR="004B6957">
        <w:t>Number of prescriptions by prescriber type</w:t>
      </w:r>
    </w:p>
    <w:tbl>
      <w:tblPr>
        <w:tblW w:w="8804" w:type="dxa"/>
        <w:tblInd w:w="93" w:type="dxa"/>
        <w:tblLook w:val="04A0" w:firstRow="1" w:lastRow="0" w:firstColumn="1" w:lastColumn="0" w:noHBand="0" w:noVBand="1"/>
        <w:tblCaption w:val="Table 5"/>
        <w:tblDescription w:val="Number of prescriptions by prescriber type"/>
      </w:tblPr>
      <w:tblGrid>
        <w:gridCol w:w="3300"/>
        <w:gridCol w:w="2811"/>
        <w:gridCol w:w="2693"/>
      </w:tblGrid>
      <w:tr w:rsidR="00422959" w:rsidRPr="00422959" w14:paraId="5ECAA113" w14:textId="77777777" w:rsidTr="00042AB2">
        <w:trPr>
          <w:trHeight w:val="300"/>
        </w:trPr>
        <w:tc>
          <w:tcPr>
            <w:tcW w:w="3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36946FE" w14:textId="77777777" w:rsidR="00422959" w:rsidRPr="00422959" w:rsidRDefault="00422959" w:rsidP="00EF5D3B">
            <w:pPr>
              <w:spacing w:after="0"/>
              <w:rPr>
                <w:rFonts w:ascii="Calibri" w:eastAsia="Times New Roman" w:hAnsi="Calibri" w:cs="Calibri"/>
                <w:b/>
                <w:bCs/>
                <w:color w:val="000000"/>
                <w:sz w:val="20"/>
                <w:szCs w:val="20"/>
              </w:rPr>
            </w:pPr>
            <w:r w:rsidRPr="00B65082">
              <w:rPr>
                <w:rFonts w:ascii="Calibri" w:eastAsia="Times New Roman" w:hAnsi="Calibri" w:cs="Calibri"/>
                <w:b/>
                <w:bCs/>
                <w:color w:val="000000"/>
                <w:sz w:val="20"/>
                <w:szCs w:val="20"/>
              </w:rPr>
              <w:t>Prescriber Group</w:t>
            </w:r>
          </w:p>
        </w:tc>
        <w:tc>
          <w:tcPr>
            <w:tcW w:w="2811"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58D5684C" w14:textId="77777777" w:rsidR="00422959" w:rsidRPr="00B65082" w:rsidRDefault="00422959" w:rsidP="00EF5D3B">
            <w:pPr>
              <w:spacing w:after="0"/>
              <w:jc w:val="center"/>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Year 1</w:t>
            </w:r>
          </w:p>
          <w:p w14:paraId="0E0F0647" w14:textId="77777777" w:rsidR="00422959" w:rsidRPr="00422959" w:rsidRDefault="00422959" w:rsidP="00EF5D3B">
            <w:pPr>
              <w:spacing w:after="0"/>
              <w:rPr>
                <w:rFonts w:ascii="Calibri" w:eastAsia="Times New Roman" w:hAnsi="Calibri" w:cs="Calibri"/>
                <w:b/>
                <w:bCs/>
                <w:color w:val="000000"/>
                <w:sz w:val="20"/>
                <w:szCs w:val="20"/>
              </w:rPr>
            </w:pPr>
            <w:r w:rsidRPr="00B65082">
              <w:rPr>
                <w:rFonts w:ascii="Calibri" w:eastAsia="Times New Roman" w:hAnsi="Calibri" w:cs="Calibri"/>
                <w:b/>
                <w:bCs/>
                <w:color w:val="000000"/>
                <w:sz w:val="20"/>
                <w:szCs w:val="20"/>
              </w:rPr>
              <w:t>(1 Mar 2016-28 Feb 2017)</w:t>
            </w:r>
          </w:p>
        </w:tc>
        <w:tc>
          <w:tcPr>
            <w:tcW w:w="2693"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71707D06" w14:textId="77777777" w:rsidR="00422959" w:rsidRPr="00B65082" w:rsidRDefault="00422959" w:rsidP="00EF5D3B">
            <w:pPr>
              <w:spacing w:after="0"/>
              <w:jc w:val="center"/>
              <w:rPr>
                <w:rFonts w:ascii="Calibri" w:eastAsia="Times New Roman" w:hAnsi="Calibri" w:cs="Calibri"/>
                <w:b/>
                <w:bCs/>
                <w:color w:val="000000"/>
                <w:sz w:val="20"/>
                <w:szCs w:val="20"/>
              </w:rPr>
            </w:pPr>
            <w:r w:rsidRPr="002D662D">
              <w:rPr>
                <w:rFonts w:ascii="Calibri" w:eastAsia="Times New Roman" w:hAnsi="Calibri" w:cs="Calibri"/>
                <w:b/>
                <w:bCs/>
                <w:color w:val="000000"/>
                <w:sz w:val="20"/>
                <w:szCs w:val="20"/>
              </w:rPr>
              <w:t>Year 2</w:t>
            </w:r>
          </w:p>
          <w:p w14:paraId="037947F8" w14:textId="77777777" w:rsidR="00422959" w:rsidRPr="00422959" w:rsidRDefault="00422959" w:rsidP="00EF5D3B">
            <w:pPr>
              <w:spacing w:after="0"/>
              <w:rPr>
                <w:rFonts w:ascii="Calibri" w:eastAsia="Times New Roman" w:hAnsi="Calibri" w:cs="Calibri"/>
                <w:b/>
                <w:bCs/>
                <w:color w:val="000000"/>
                <w:sz w:val="20"/>
                <w:szCs w:val="20"/>
              </w:rPr>
            </w:pPr>
            <w:r w:rsidRPr="00B65082">
              <w:rPr>
                <w:rFonts w:ascii="Calibri" w:eastAsia="Times New Roman" w:hAnsi="Calibri" w:cs="Calibri"/>
                <w:b/>
                <w:bCs/>
                <w:color w:val="000000"/>
                <w:sz w:val="20"/>
                <w:szCs w:val="20"/>
              </w:rPr>
              <w:t>(1 Mar 2017-28 Feb 2018)</w:t>
            </w:r>
          </w:p>
        </w:tc>
      </w:tr>
      <w:tr w:rsidR="00422959" w:rsidRPr="00422959" w14:paraId="02068AFF"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1E9247A5"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Addiction Medicine</w:t>
            </w:r>
          </w:p>
        </w:tc>
        <w:tc>
          <w:tcPr>
            <w:tcW w:w="2811" w:type="dxa"/>
            <w:tcBorders>
              <w:top w:val="nil"/>
              <w:left w:val="nil"/>
              <w:bottom w:val="single" w:sz="4" w:space="0" w:color="auto"/>
              <w:right w:val="single" w:sz="4" w:space="0" w:color="auto"/>
            </w:tcBorders>
            <w:shd w:val="clear" w:color="auto" w:fill="auto"/>
            <w:noWrap/>
            <w:vAlign w:val="bottom"/>
            <w:hideMark/>
          </w:tcPr>
          <w:p w14:paraId="6CD35470"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432</w:t>
            </w:r>
          </w:p>
        </w:tc>
        <w:tc>
          <w:tcPr>
            <w:tcW w:w="2693" w:type="dxa"/>
            <w:tcBorders>
              <w:top w:val="nil"/>
              <w:left w:val="nil"/>
              <w:bottom w:val="single" w:sz="4" w:space="0" w:color="auto"/>
              <w:right w:val="single" w:sz="4" w:space="0" w:color="auto"/>
            </w:tcBorders>
            <w:shd w:val="clear" w:color="auto" w:fill="auto"/>
            <w:noWrap/>
            <w:vAlign w:val="bottom"/>
            <w:hideMark/>
          </w:tcPr>
          <w:p w14:paraId="025B422E"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1</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079</w:t>
            </w:r>
          </w:p>
        </w:tc>
      </w:tr>
      <w:tr w:rsidR="00422959" w:rsidRPr="00422959" w14:paraId="05BE4061"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500F1987"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Gastroenterology and Hepatology</w:t>
            </w:r>
          </w:p>
        </w:tc>
        <w:tc>
          <w:tcPr>
            <w:tcW w:w="2811" w:type="dxa"/>
            <w:tcBorders>
              <w:top w:val="nil"/>
              <w:left w:val="nil"/>
              <w:bottom w:val="single" w:sz="4" w:space="0" w:color="auto"/>
              <w:right w:val="single" w:sz="4" w:space="0" w:color="auto"/>
            </w:tcBorders>
            <w:shd w:val="clear" w:color="auto" w:fill="auto"/>
            <w:noWrap/>
            <w:vAlign w:val="bottom"/>
            <w:hideMark/>
          </w:tcPr>
          <w:p w14:paraId="6E53260E"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85</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175</w:t>
            </w:r>
          </w:p>
        </w:tc>
        <w:tc>
          <w:tcPr>
            <w:tcW w:w="2693" w:type="dxa"/>
            <w:tcBorders>
              <w:top w:val="nil"/>
              <w:left w:val="nil"/>
              <w:bottom w:val="single" w:sz="4" w:space="0" w:color="auto"/>
              <w:right w:val="single" w:sz="4" w:space="0" w:color="auto"/>
            </w:tcBorders>
            <w:shd w:val="clear" w:color="auto" w:fill="auto"/>
            <w:noWrap/>
            <w:vAlign w:val="bottom"/>
            <w:hideMark/>
          </w:tcPr>
          <w:p w14:paraId="06E7CD5E"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31</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284</w:t>
            </w:r>
          </w:p>
        </w:tc>
      </w:tr>
      <w:tr w:rsidR="00422959" w:rsidRPr="00422959" w14:paraId="3AA0B620"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6EB889AD" w14:textId="77777777" w:rsidR="00422959" w:rsidRPr="00B65082" w:rsidRDefault="00422959" w:rsidP="00EF5D3B">
            <w:pPr>
              <w:spacing w:after="0"/>
              <w:rPr>
                <w:rFonts w:ascii="Calibri" w:eastAsia="Times New Roman" w:hAnsi="Calibri" w:cs="Calibri"/>
                <w:color w:val="000000"/>
                <w:sz w:val="20"/>
                <w:szCs w:val="20"/>
                <w:vertAlign w:val="superscript"/>
              </w:rPr>
            </w:pPr>
            <w:r w:rsidRPr="00422959">
              <w:rPr>
                <w:rFonts w:ascii="Calibri" w:eastAsia="Times New Roman" w:hAnsi="Calibri" w:cs="Calibri"/>
                <w:color w:val="000000"/>
                <w:sz w:val="20"/>
                <w:szCs w:val="20"/>
              </w:rPr>
              <w:t>GP</w:t>
            </w:r>
            <w:r w:rsidR="00C120D8" w:rsidRPr="00B65082">
              <w:rPr>
                <w:rFonts w:ascii="Calibri" w:eastAsia="Times New Roman" w:hAnsi="Calibri" w:cs="Calibri"/>
                <w:color w:val="000000"/>
                <w:sz w:val="20"/>
                <w:szCs w:val="20"/>
                <w:vertAlign w:val="superscript"/>
              </w:rPr>
              <w:t>1</w:t>
            </w:r>
          </w:p>
        </w:tc>
        <w:tc>
          <w:tcPr>
            <w:tcW w:w="2811" w:type="dxa"/>
            <w:tcBorders>
              <w:top w:val="nil"/>
              <w:left w:val="nil"/>
              <w:bottom w:val="single" w:sz="4" w:space="0" w:color="auto"/>
              <w:right w:val="single" w:sz="4" w:space="0" w:color="auto"/>
            </w:tcBorders>
            <w:shd w:val="clear" w:color="auto" w:fill="auto"/>
            <w:noWrap/>
            <w:vAlign w:val="bottom"/>
            <w:hideMark/>
          </w:tcPr>
          <w:p w14:paraId="388693C8"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54</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841</w:t>
            </w:r>
          </w:p>
        </w:tc>
        <w:tc>
          <w:tcPr>
            <w:tcW w:w="2693" w:type="dxa"/>
            <w:tcBorders>
              <w:top w:val="nil"/>
              <w:left w:val="nil"/>
              <w:bottom w:val="single" w:sz="4" w:space="0" w:color="auto"/>
              <w:right w:val="single" w:sz="4" w:space="0" w:color="auto"/>
            </w:tcBorders>
            <w:shd w:val="clear" w:color="auto" w:fill="auto"/>
            <w:noWrap/>
            <w:vAlign w:val="bottom"/>
            <w:hideMark/>
          </w:tcPr>
          <w:p w14:paraId="1DE022B8"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44</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727</w:t>
            </w:r>
          </w:p>
        </w:tc>
      </w:tr>
      <w:tr w:rsidR="00422959" w:rsidRPr="00422959" w14:paraId="0A0D0006"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4277B5D4"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Infectious Diseases</w:t>
            </w:r>
          </w:p>
        </w:tc>
        <w:tc>
          <w:tcPr>
            <w:tcW w:w="2811" w:type="dxa"/>
            <w:tcBorders>
              <w:top w:val="nil"/>
              <w:left w:val="nil"/>
              <w:bottom w:val="single" w:sz="4" w:space="0" w:color="auto"/>
              <w:right w:val="single" w:sz="4" w:space="0" w:color="auto"/>
            </w:tcBorders>
            <w:shd w:val="clear" w:color="auto" w:fill="auto"/>
            <w:noWrap/>
            <w:vAlign w:val="bottom"/>
            <w:hideMark/>
          </w:tcPr>
          <w:p w14:paraId="05875572"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11</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385</w:t>
            </w:r>
          </w:p>
        </w:tc>
        <w:tc>
          <w:tcPr>
            <w:tcW w:w="2693" w:type="dxa"/>
            <w:tcBorders>
              <w:top w:val="nil"/>
              <w:left w:val="nil"/>
              <w:bottom w:val="single" w:sz="4" w:space="0" w:color="auto"/>
              <w:right w:val="single" w:sz="4" w:space="0" w:color="auto"/>
            </w:tcBorders>
            <w:shd w:val="clear" w:color="auto" w:fill="auto"/>
            <w:noWrap/>
            <w:vAlign w:val="bottom"/>
            <w:hideMark/>
          </w:tcPr>
          <w:p w14:paraId="33E59835"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5</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310</w:t>
            </w:r>
          </w:p>
        </w:tc>
      </w:tr>
      <w:tr w:rsidR="00422959" w:rsidRPr="00422959" w14:paraId="306FFF3D"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2FC6A6B2"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Internal Medicine</w:t>
            </w:r>
          </w:p>
        </w:tc>
        <w:tc>
          <w:tcPr>
            <w:tcW w:w="2811" w:type="dxa"/>
            <w:tcBorders>
              <w:top w:val="nil"/>
              <w:left w:val="nil"/>
              <w:bottom w:val="single" w:sz="4" w:space="0" w:color="auto"/>
              <w:right w:val="single" w:sz="4" w:space="0" w:color="auto"/>
            </w:tcBorders>
            <w:shd w:val="clear" w:color="auto" w:fill="auto"/>
            <w:noWrap/>
            <w:vAlign w:val="bottom"/>
            <w:hideMark/>
          </w:tcPr>
          <w:p w14:paraId="72F5BD33"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17</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326</w:t>
            </w:r>
          </w:p>
        </w:tc>
        <w:tc>
          <w:tcPr>
            <w:tcW w:w="2693" w:type="dxa"/>
            <w:tcBorders>
              <w:top w:val="nil"/>
              <w:left w:val="nil"/>
              <w:bottom w:val="single" w:sz="4" w:space="0" w:color="auto"/>
              <w:right w:val="single" w:sz="4" w:space="0" w:color="auto"/>
            </w:tcBorders>
            <w:shd w:val="clear" w:color="auto" w:fill="auto"/>
            <w:noWrap/>
            <w:vAlign w:val="bottom"/>
            <w:hideMark/>
          </w:tcPr>
          <w:p w14:paraId="586832C1"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6</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482</w:t>
            </w:r>
          </w:p>
        </w:tc>
      </w:tr>
      <w:tr w:rsidR="00422959" w:rsidRPr="00422959" w14:paraId="55EE002D"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539F9AEE"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Nurse Practitioner</w:t>
            </w:r>
          </w:p>
        </w:tc>
        <w:tc>
          <w:tcPr>
            <w:tcW w:w="2811" w:type="dxa"/>
            <w:tcBorders>
              <w:top w:val="nil"/>
              <w:left w:val="nil"/>
              <w:bottom w:val="single" w:sz="4" w:space="0" w:color="auto"/>
              <w:right w:val="single" w:sz="4" w:space="0" w:color="auto"/>
            </w:tcBorders>
            <w:shd w:val="clear" w:color="auto" w:fill="auto"/>
            <w:noWrap/>
            <w:vAlign w:val="bottom"/>
            <w:hideMark/>
          </w:tcPr>
          <w:p w14:paraId="2D077926" w14:textId="77777777" w:rsidR="00422959" w:rsidRPr="00422959" w:rsidRDefault="00DE12E2" w:rsidP="00EF5D3B">
            <w:pPr>
              <w:spacing w:after="0"/>
              <w:jc w:val="center"/>
              <w:rPr>
                <w:rFonts w:ascii="Calibri" w:eastAsia="Times New Roman" w:hAnsi="Calibri" w:cs="Calibri"/>
                <w:color w:val="000000"/>
                <w:sz w:val="20"/>
                <w:szCs w:val="20"/>
              </w:rPr>
            </w:pPr>
            <w:r w:rsidRPr="00B65082">
              <w:rPr>
                <w:rFonts w:ascii="Calibri" w:eastAsia="Times New Roman" w:hAnsi="Calibri" w:cs="Calibri"/>
                <w:color w:val="000000"/>
                <w:sz w:val="20"/>
                <w:szCs w:val="20"/>
              </w:rPr>
              <w:t>NA</w:t>
            </w:r>
          </w:p>
        </w:tc>
        <w:tc>
          <w:tcPr>
            <w:tcW w:w="2693" w:type="dxa"/>
            <w:tcBorders>
              <w:top w:val="nil"/>
              <w:left w:val="nil"/>
              <w:bottom w:val="single" w:sz="4" w:space="0" w:color="auto"/>
              <w:right w:val="single" w:sz="4" w:space="0" w:color="auto"/>
            </w:tcBorders>
            <w:shd w:val="clear" w:color="auto" w:fill="auto"/>
            <w:noWrap/>
            <w:vAlign w:val="bottom"/>
            <w:hideMark/>
          </w:tcPr>
          <w:p w14:paraId="12BF74BC"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213</w:t>
            </w:r>
          </w:p>
        </w:tc>
      </w:tr>
      <w:tr w:rsidR="00422959" w:rsidRPr="00422959" w14:paraId="38C1ABA3"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26899AD0"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Public Health Medicine</w:t>
            </w:r>
          </w:p>
        </w:tc>
        <w:tc>
          <w:tcPr>
            <w:tcW w:w="2811" w:type="dxa"/>
            <w:tcBorders>
              <w:top w:val="nil"/>
              <w:left w:val="nil"/>
              <w:bottom w:val="single" w:sz="4" w:space="0" w:color="auto"/>
              <w:right w:val="single" w:sz="4" w:space="0" w:color="auto"/>
            </w:tcBorders>
            <w:shd w:val="clear" w:color="auto" w:fill="auto"/>
            <w:noWrap/>
            <w:vAlign w:val="bottom"/>
            <w:hideMark/>
          </w:tcPr>
          <w:p w14:paraId="0804D696"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2</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341</w:t>
            </w:r>
          </w:p>
        </w:tc>
        <w:tc>
          <w:tcPr>
            <w:tcW w:w="2693" w:type="dxa"/>
            <w:tcBorders>
              <w:top w:val="nil"/>
              <w:left w:val="nil"/>
              <w:bottom w:val="single" w:sz="4" w:space="0" w:color="auto"/>
              <w:right w:val="single" w:sz="4" w:space="0" w:color="auto"/>
            </w:tcBorders>
            <w:shd w:val="clear" w:color="auto" w:fill="auto"/>
            <w:noWrap/>
            <w:vAlign w:val="bottom"/>
            <w:hideMark/>
          </w:tcPr>
          <w:p w14:paraId="3CA8F4BC"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1</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122</w:t>
            </w:r>
          </w:p>
        </w:tc>
      </w:tr>
      <w:tr w:rsidR="00422959" w:rsidRPr="00422959" w14:paraId="0457FD87"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78E24FCC" w14:textId="77777777" w:rsidR="00422959" w:rsidRPr="00422959" w:rsidRDefault="00422959" w:rsidP="00EF5D3B">
            <w:pPr>
              <w:spacing w:after="0"/>
              <w:rPr>
                <w:rFonts w:ascii="Calibri" w:eastAsia="Times New Roman" w:hAnsi="Calibri" w:cs="Calibri"/>
                <w:color w:val="000000"/>
                <w:sz w:val="20"/>
                <w:szCs w:val="20"/>
              </w:rPr>
            </w:pPr>
            <w:r w:rsidRPr="00422959">
              <w:rPr>
                <w:rFonts w:ascii="Calibri" w:eastAsia="Times New Roman" w:hAnsi="Calibri" w:cs="Calibri"/>
                <w:color w:val="000000"/>
                <w:sz w:val="20"/>
                <w:szCs w:val="20"/>
              </w:rPr>
              <w:t>Sexual Health Medicine</w:t>
            </w:r>
          </w:p>
        </w:tc>
        <w:tc>
          <w:tcPr>
            <w:tcW w:w="2811" w:type="dxa"/>
            <w:tcBorders>
              <w:top w:val="nil"/>
              <w:left w:val="nil"/>
              <w:bottom w:val="single" w:sz="4" w:space="0" w:color="auto"/>
              <w:right w:val="single" w:sz="4" w:space="0" w:color="auto"/>
            </w:tcBorders>
            <w:shd w:val="clear" w:color="auto" w:fill="auto"/>
            <w:noWrap/>
            <w:vAlign w:val="bottom"/>
            <w:hideMark/>
          </w:tcPr>
          <w:p w14:paraId="1D1C3F2C"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1</w:t>
            </w:r>
            <w:r w:rsidR="00AF2936" w:rsidRPr="00B65082">
              <w:rPr>
                <w:rFonts w:ascii="Calibri" w:eastAsia="Times New Roman" w:hAnsi="Calibri" w:cs="Calibri"/>
                <w:color w:val="000000"/>
                <w:sz w:val="20"/>
                <w:szCs w:val="20"/>
              </w:rPr>
              <w:t>,</w:t>
            </w:r>
            <w:r w:rsidRPr="00422959">
              <w:rPr>
                <w:rFonts w:ascii="Calibri" w:eastAsia="Times New Roman" w:hAnsi="Calibri" w:cs="Calibri"/>
                <w:color w:val="000000"/>
                <w:sz w:val="20"/>
                <w:szCs w:val="20"/>
              </w:rPr>
              <w:t>549</w:t>
            </w:r>
          </w:p>
        </w:tc>
        <w:tc>
          <w:tcPr>
            <w:tcW w:w="2693" w:type="dxa"/>
            <w:tcBorders>
              <w:top w:val="nil"/>
              <w:left w:val="nil"/>
              <w:bottom w:val="single" w:sz="4" w:space="0" w:color="auto"/>
              <w:right w:val="single" w:sz="4" w:space="0" w:color="auto"/>
            </w:tcBorders>
            <w:shd w:val="clear" w:color="auto" w:fill="auto"/>
            <w:noWrap/>
            <w:vAlign w:val="bottom"/>
            <w:hideMark/>
          </w:tcPr>
          <w:p w14:paraId="5FB02A6A" w14:textId="77777777" w:rsidR="00422959" w:rsidRPr="00422959" w:rsidRDefault="00422959" w:rsidP="00EF5D3B">
            <w:pPr>
              <w:spacing w:after="0"/>
              <w:jc w:val="center"/>
              <w:rPr>
                <w:rFonts w:ascii="Calibri" w:eastAsia="Times New Roman" w:hAnsi="Calibri" w:cs="Calibri"/>
                <w:color w:val="000000"/>
                <w:sz w:val="20"/>
                <w:szCs w:val="20"/>
              </w:rPr>
            </w:pPr>
            <w:r w:rsidRPr="00422959">
              <w:rPr>
                <w:rFonts w:ascii="Calibri" w:eastAsia="Times New Roman" w:hAnsi="Calibri" w:cs="Calibri"/>
                <w:color w:val="000000"/>
                <w:sz w:val="20"/>
                <w:szCs w:val="20"/>
              </w:rPr>
              <w:t>904</w:t>
            </w:r>
          </w:p>
        </w:tc>
      </w:tr>
      <w:tr w:rsidR="00704ED8" w:rsidRPr="00422959" w14:paraId="1A378360" w14:textId="77777777" w:rsidTr="00422959">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tcPr>
          <w:p w14:paraId="3EA5CF6D" w14:textId="77777777" w:rsidR="00704ED8" w:rsidRPr="00B65082" w:rsidRDefault="00704ED8" w:rsidP="00EF5D3B">
            <w:pPr>
              <w:spacing w:after="0"/>
              <w:rPr>
                <w:rFonts w:ascii="Calibri" w:eastAsia="Times New Roman" w:hAnsi="Calibri" w:cs="Calibri"/>
                <w:b/>
                <w:bCs/>
                <w:color w:val="000000"/>
                <w:sz w:val="20"/>
                <w:szCs w:val="20"/>
              </w:rPr>
            </w:pPr>
            <w:r w:rsidRPr="00422959">
              <w:rPr>
                <w:rFonts w:ascii="Calibri" w:eastAsia="Times New Roman" w:hAnsi="Calibri" w:cs="Calibri"/>
                <w:color w:val="000000"/>
                <w:sz w:val="20"/>
                <w:szCs w:val="20"/>
              </w:rPr>
              <w:t>Other</w:t>
            </w:r>
          </w:p>
        </w:tc>
        <w:tc>
          <w:tcPr>
            <w:tcW w:w="2811" w:type="dxa"/>
            <w:tcBorders>
              <w:top w:val="nil"/>
              <w:left w:val="nil"/>
              <w:bottom w:val="single" w:sz="4" w:space="0" w:color="auto"/>
              <w:right w:val="single" w:sz="4" w:space="0" w:color="auto"/>
            </w:tcBorders>
            <w:shd w:val="clear" w:color="auto" w:fill="auto"/>
            <w:noWrap/>
            <w:vAlign w:val="bottom"/>
          </w:tcPr>
          <w:p w14:paraId="7A1368F4" w14:textId="77777777" w:rsidR="00704ED8" w:rsidRPr="00B65082" w:rsidRDefault="00704ED8" w:rsidP="00EF5D3B">
            <w:pPr>
              <w:spacing w:after="0"/>
              <w:jc w:val="center"/>
              <w:rPr>
                <w:rFonts w:ascii="Calibri" w:eastAsia="Times New Roman" w:hAnsi="Calibri" w:cs="Calibri"/>
                <w:b/>
                <w:bCs/>
                <w:color w:val="000000"/>
                <w:sz w:val="20"/>
                <w:szCs w:val="20"/>
              </w:rPr>
            </w:pPr>
            <w:r>
              <w:rPr>
                <w:rFonts w:ascii="Calibri" w:hAnsi="Calibri" w:cs="Calibri"/>
                <w:sz w:val="22"/>
                <w:szCs w:val="22"/>
              </w:rPr>
              <w:t>1544</w:t>
            </w:r>
          </w:p>
        </w:tc>
        <w:tc>
          <w:tcPr>
            <w:tcW w:w="2693" w:type="dxa"/>
            <w:tcBorders>
              <w:top w:val="nil"/>
              <w:left w:val="nil"/>
              <w:bottom w:val="single" w:sz="4" w:space="0" w:color="auto"/>
              <w:right w:val="single" w:sz="4" w:space="0" w:color="auto"/>
            </w:tcBorders>
            <w:shd w:val="clear" w:color="auto" w:fill="auto"/>
            <w:noWrap/>
            <w:vAlign w:val="bottom"/>
          </w:tcPr>
          <w:p w14:paraId="55AE491B" w14:textId="77777777" w:rsidR="00704ED8" w:rsidRPr="00B65082" w:rsidRDefault="00704ED8" w:rsidP="00EF5D3B">
            <w:pPr>
              <w:spacing w:after="0"/>
              <w:jc w:val="center"/>
              <w:rPr>
                <w:rFonts w:ascii="Calibri" w:eastAsia="Times New Roman" w:hAnsi="Calibri" w:cs="Calibri"/>
                <w:b/>
                <w:bCs/>
                <w:color w:val="000000"/>
                <w:sz w:val="20"/>
                <w:szCs w:val="20"/>
              </w:rPr>
            </w:pPr>
            <w:r>
              <w:rPr>
                <w:rFonts w:ascii="Calibri" w:hAnsi="Calibri" w:cs="Calibri"/>
                <w:sz w:val="22"/>
                <w:szCs w:val="22"/>
              </w:rPr>
              <w:t>968</w:t>
            </w:r>
          </w:p>
        </w:tc>
      </w:tr>
      <w:tr w:rsidR="00422959" w:rsidRPr="00422959" w14:paraId="1690C9FE" w14:textId="77777777" w:rsidTr="00A73DB8">
        <w:trPr>
          <w:trHeight w:val="30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14:paraId="5EB7C94C" w14:textId="77777777" w:rsidR="00422959" w:rsidRPr="00422959" w:rsidRDefault="00422959" w:rsidP="00EF5D3B">
            <w:pPr>
              <w:spacing w:after="0"/>
              <w:rPr>
                <w:rFonts w:ascii="Calibri" w:eastAsia="Times New Roman" w:hAnsi="Calibri" w:cs="Calibri"/>
                <w:b/>
                <w:bCs/>
                <w:color w:val="000000"/>
                <w:sz w:val="20"/>
                <w:szCs w:val="20"/>
              </w:rPr>
            </w:pPr>
            <w:r w:rsidRPr="00422959">
              <w:rPr>
                <w:rFonts w:ascii="Calibri" w:eastAsia="Times New Roman" w:hAnsi="Calibri" w:cs="Calibri"/>
                <w:b/>
                <w:bCs/>
                <w:color w:val="000000"/>
                <w:sz w:val="20"/>
                <w:szCs w:val="20"/>
              </w:rPr>
              <w:t>Total</w:t>
            </w:r>
          </w:p>
        </w:tc>
        <w:tc>
          <w:tcPr>
            <w:tcW w:w="2811" w:type="dxa"/>
            <w:tcBorders>
              <w:top w:val="nil"/>
              <w:left w:val="nil"/>
              <w:bottom w:val="single" w:sz="4" w:space="0" w:color="auto"/>
              <w:right w:val="single" w:sz="4" w:space="0" w:color="auto"/>
            </w:tcBorders>
            <w:shd w:val="clear" w:color="auto" w:fill="auto"/>
            <w:noWrap/>
            <w:vAlign w:val="bottom"/>
            <w:hideMark/>
          </w:tcPr>
          <w:p w14:paraId="4BB25721" w14:textId="77777777" w:rsidR="00422959" w:rsidRPr="00422959" w:rsidRDefault="00422959" w:rsidP="00EF5D3B">
            <w:pPr>
              <w:spacing w:after="0"/>
              <w:jc w:val="center"/>
              <w:rPr>
                <w:rFonts w:ascii="Calibri" w:eastAsia="Times New Roman" w:hAnsi="Calibri" w:cs="Calibri"/>
                <w:b/>
                <w:bCs/>
                <w:color w:val="000000"/>
                <w:sz w:val="20"/>
                <w:szCs w:val="20"/>
              </w:rPr>
            </w:pPr>
            <w:r w:rsidRPr="00422959">
              <w:rPr>
                <w:rFonts w:ascii="Calibri" w:eastAsia="Times New Roman" w:hAnsi="Calibri" w:cs="Calibri"/>
                <w:b/>
                <w:bCs/>
                <w:color w:val="000000"/>
                <w:sz w:val="20"/>
                <w:szCs w:val="20"/>
              </w:rPr>
              <w:t>174</w:t>
            </w:r>
            <w:r w:rsidR="00AF2936" w:rsidRPr="00B65082">
              <w:rPr>
                <w:rFonts w:ascii="Calibri" w:eastAsia="Times New Roman" w:hAnsi="Calibri" w:cs="Calibri"/>
                <w:b/>
                <w:bCs/>
                <w:color w:val="000000"/>
                <w:sz w:val="20"/>
                <w:szCs w:val="20"/>
              </w:rPr>
              <w:t>,</w:t>
            </w:r>
            <w:r w:rsidRPr="00422959">
              <w:rPr>
                <w:rFonts w:ascii="Calibri" w:eastAsia="Times New Roman" w:hAnsi="Calibri" w:cs="Calibri"/>
                <w:b/>
                <w:bCs/>
                <w:color w:val="000000"/>
                <w:sz w:val="20"/>
                <w:szCs w:val="20"/>
              </w:rPr>
              <w:t>593</w:t>
            </w:r>
          </w:p>
        </w:tc>
        <w:tc>
          <w:tcPr>
            <w:tcW w:w="2693" w:type="dxa"/>
            <w:tcBorders>
              <w:top w:val="nil"/>
              <w:left w:val="nil"/>
              <w:bottom w:val="single" w:sz="4" w:space="0" w:color="auto"/>
              <w:right w:val="single" w:sz="4" w:space="0" w:color="auto"/>
            </w:tcBorders>
            <w:shd w:val="clear" w:color="auto" w:fill="auto"/>
            <w:noWrap/>
            <w:vAlign w:val="bottom"/>
            <w:hideMark/>
          </w:tcPr>
          <w:p w14:paraId="13C563C2" w14:textId="77777777" w:rsidR="00422959" w:rsidRPr="00422959" w:rsidRDefault="00422959" w:rsidP="00EF5D3B">
            <w:pPr>
              <w:spacing w:after="0"/>
              <w:jc w:val="center"/>
              <w:rPr>
                <w:rFonts w:ascii="Calibri" w:eastAsia="Times New Roman" w:hAnsi="Calibri" w:cs="Calibri"/>
                <w:b/>
                <w:bCs/>
                <w:color w:val="000000"/>
                <w:sz w:val="20"/>
                <w:szCs w:val="20"/>
              </w:rPr>
            </w:pPr>
            <w:r w:rsidRPr="00422959">
              <w:rPr>
                <w:rFonts w:ascii="Calibri" w:eastAsia="Times New Roman" w:hAnsi="Calibri" w:cs="Calibri"/>
                <w:b/>
                <w:bCs/>
                <w:color w:val="000000"/>
                <w:sz w:val="20"/>
                <w:szCs w:val="20"/>
              </w:rPr>
              <w:t>92</w:t>
            </w:r>
            <w:r w:rsidR="00AF2936" w:rsidRPr="00B65082">
              <w:rPr>
                <w:rFonts w:ascii="Calibri" w:eastAsia="Times New Roman" w:hAnsi="Calibri" w:cs="Calibri"/>
                <w:b/>
                <w:bCs/>
                <w:color w:val="000000"/>
                <w:sz w:val="20"/>
                <w:szCs w:val="20"/>
              </w:rPr>
              <w:t>,</w:t>
            </w:r>
            <w:r w:rsidRPr="00422959">
              <w:rPr>
                <w:rFonts w:ascii="Calibri" w:eastAsia="Times New Roman" w:hAnsi="Calibri" w:cs="Calibri"/>
                <w:b/>
                <w:bCs/>
                <w:color w:val="000000"/>
                <w:sz w:val="20"/>
                <w:szCs w:val="20"/>
              </w:rPr>
              <w:t>089</w:t>
            </w:r>
          </w:p>
        </w:tc>
      </w:tr>
    </w:tbl>
    <w:p w14:paraId="4BA1D7CF" w14:textId="77777777" w:rsidR="00C120D8" w:rsidRPr="004A2A22" w:rsidRDefault="00C120D8" w:rsidP="00EF5D3B">
      <w:pPr>
        <w:rPr>
          <w:sz w:val="20"/>
          <w:szCs w:val="20"/>
        </w:rPr>
      </w:pPr>
      <w:r w:rsidRPr="004A2A22">
        <w:rPr>
          <w:sz w:val="20"/>
          <w:szCs w:val="20"/>
          <w:vertAlign w:val="superscript"/>
        </w:rPr>
        <w:t xml:space="preserve">1 </w:t>
      </w:r>
      <w:r w:rsidRPr="004A2A22">
        <w:rPr>
          <w:sz w:val="20"/>
          <w:szCs w:val="20"/>
        </w:rPr>
        <w:t>Includes vocationally registered GPs, non-vocationally registered GPs, GP trainees and GP unclassified.</w:t>
      </w:r>
    </w:p>
    <w:p w14:paraId="1AE1056E" w14:textId="77777777" w:rsidR="00A36208" w:rsidRDefault="00247007" w:rsidP="00EF5D3B">
      <w:r>
        <w:t xml:space="preserve">Figure </w:t>
      </w:r>
      <w:r w:rsidR="002543B4">
        <w:t>6</w:t>
      </w:r>
      <w:r w:rsidR="006E2119">
        <w:t xml:space="preserve"> shows that over time there was a progressive increase in the proportion of prescriptions </w:t>
      </w:r>
      <w:r w:rsidR="006B4AB2">
        <w:t xml:space="preserve">supplied </w:t>
      </w:r>
      <w:r w:rsidR="006E2119">
        <w:t>which were prescribed by a general practitioner.</w:t>
      </w:r>
    </w:p>
    <w:p w14:paraId="459A0FA6" w14:textId="77777777" w:rsidR="00A36208" w:rsidRDefault="00A36208" w:rsidP="00EF5D3B"/>
    <w:p w14:paraId="4257201B" w14:textId="77777777" w:rsidR="00A36208" w:rsidRDefault="00A36208" w:rsidP="00EF5D3B">
      <w:r>
        <w:rPr>
          <w:noProof/>
        </w:rPr>
        <w:drawing>
          <wp:inline distT="0" distB="0" distL="0" distR="0" wp14:anchorId="13CC3E59" wp14:editId="1D80A83D">
            <wp:extent cx="6071383" cy="3514725"/>
            <wp:effectExtent l="0" t="0" r="5715" b="0"/>
            <wp:docPr id="3" name="Picture 3" descr="Number of prescriptions by prescriber type by month"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78591" cy="3518898"/>
                    </a:xfrm>
                    <a:prstGeom prst="rect">
                      <a:avLst/>
                    </a:prstGeom>
                    <a:noFill/>
                  </pic:spPr>
                </pic:pic>
              </a:graphicData>
            </a:graphic>
          </wp:inline>
        </w:drawing>
      </w:r>
    </w:p>
    <w:p w14:paraId="23778C9E" w14:textId="77777777" w:rsidR="00D80016" w:rsidRDefault="00B75B8F" w:rsidP="00EF5D3B">
      <w:pPr>
        <w:pStyle w:val="Figuretitle"/>
      </w:pPr>
      <w:r>
        <w:t xml:space="preserve">Figure </w:t>
      </w:r>
      <w:r w:rsidR="002543B4">
        <w:t>6</w:t>
      </w:r>
      <w:r>
        <w:t xml:space="preserve">: Number of prescriptions </w:t>
      </w:r>
      <w:r w:rsidR="00D01980">
        <w:t xml:space="preserve">supplied </w:t>
      </w:r>
      <w:r>
        <w:t>by prescriber type by month</w:t>
      </w:r>
    </w:p>
    <w:p w14:paraId="3C5A56F3" w14:textId="77777777" w:rsidR="00042AB2" w:rsidRDefault="00042AB2" w:rsidP="00EF5D3B"/>
    <w:p w14:paraId="70C6820A" w14:textId="6B2CACA8" w:rsidR="00D92230" w:rsidRDefault="00D92230" w:rsidP="00EF5D3B">
      <w:r>
        <w:t xml:space="preserve">The number of patients per prescriber and the number of prescriptions per prescriber over a </w:t>
      </w:r>
      <w:r w:rsidR="006213D5">
        <w:t>one-year</w:t>
      </w:r>
      <w:r>
        <w:t xml:space="preserve"> period was examined for specialists and GPs. Refer to the ‘Methods’ section for the selection of the prescriber cohorts</w:t>
      </w:r>
      <w:r w:rsidR="008415AF">
        <w:t xml:space="preserve"> for this analysis</w:t>
      </w:r>
      <w:r>
        <w:t>.</w:t>
      </w:r>
    </w:p>
    <w:p w14:paraId="0A77AAB4" w14:textId="77777777" w:rsidR="00C70BE6" w:rsidRDefault="00905E1B" w:rsidP="00EF5D3B">
      <w:r>
        <w:t>There were more prescriptions supplied per specialist compared to general practitioners (Table 6). This likely indicates the involvement of specialists in treating more severe patients requiring DAA regimens with longer treatment durations.</w:t>
      </w:r>
    </w:p>
    <w:p w14:paraId="2BDC729D" w14:textId="77777777" w:rsidR="00CE071C" w:rsidRPr="0025275F" w:rsidRDefault="00CE071C" w:rsidP="00EF5D3B">
      <w:pPr>
        <w:pStyle w:val="Tabletitle"/>
      </w:pPr>
      <w:r w:rsidRPr="0025275F">
        <w:t xml:space="preserve">Table 6: Number of </w:t>
      </w:r>
      <w:r>
        <w:t xml:space="preserve">patients and number of </w:t>
      </w:r>
      <w:r w:rsidRPr="0025275F">
        <w:t>prescriptions supplied per prescriber</w:t>
      </w:r>
    </w:p>
    <w:tbl>
      <w:tblPr>
        <w:tblW w:w="69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w:tblDescription w:val="Number of patients and prescriptions per prescriber type"/>
      </w:tblPr>
      <w:tblGrid>
        <w:gridCol w:w="1380"/>
        <w:gridCol w:w="1701"/>
        <w:gridCol w:w="2126"/>
        <w:gridCol w:w="1701"/>
      </w:tblGrid>
      <w:tr w:rsidR="00CE071C" w:rsidRPr="00626A9A" w14:paraId="1F4B8DC6" w14:textId="77777777" w:rsidTr="00042AB2">
        <w:trPr>
          <w:trHeight w:val="300"/>
        </w:trPr>
        <w:tc>
          <w:tcPr>
            <w:tcW w:w="1380" w:type="dxa"/>
            <w:shd w:val="clear" w:color="auto" w:fill="BFBFBF" w:themeFill="background1" w:themeFillShade="BF"/>
            <w:noWrap/>
            <w:hideMark/>
          </w:tcPr>
          <w:p w14:paraId="4325C5DB" w14:textId="77777777" w:rsidR="00CE071C" w:rsidRPr="00E93DDD" w:rsidRDefault="00CE071C" w:rsidP="00EF5D3B">
            <w:pPr>
              <w:spacing w:after="0"/>
              <w:jc w:val="center"/>
              <w:rPr>
                <w:rFonts w:ascii="Calibri" w:eastAsia="Times New Roman" w:hAnsi="Calibri" w:cs="Calibri"/>
                <w:b/>
                <w:sz w:val="22"/>
                <w:szCs w:val="22"/>
              </w:rPr>
            </w:pPr>
            <w:r w:rsidRPr="00E93DDD">
              <w:rPr>
                <w:rFonts w:ascii="Calibri" w:eastAsia="Times New Roman" w:hAnsi="Calibri" w:cs="Calibri"/>
                <w:b/>
                <w:sz w:val="22"/>
                <w:szCs w:val="22"/>
              </w:rPr>
              <w:t>Group</w:t>
            </w:r>
          </w:p>
        </w:tc>
        <w:tc>
          <w:tcPr>
            <w:tcW w:w="1701" w:type="dxa"/>
            <w:shd w:val="clear" w:color="auto" w:fill="BFBFBF" w:themeFill="background1" w:themeFillShade="BF"/>
            <w:noWrap/>
            <w:hideMark/>
          </w:tcPr>
          <w:p w14:paraId="1B242DB7" w14:textId="77777777" w:rsidR="00CE071C" w:rsidRDefault="00CE071C" w:rsidP="00EF5D3B">
            <w:pPr>
              <w:spacing w:after="0"/>
              <w:jc w:val="center"/>
              <w:rPr>
                <w:rFonts w:ascii="Calibri" w:eastAsia="Times New Roman" w:hAnsi="Calibri" w:cs="Calibri"/>
                <w:b/>
                <w:sz w:val="22"/>
                <w:szCs w:val="22"/>
              </w:rPr>
            </w:pPr>
            <w:r w:rsidRPr="00E93DDD">
              <w:rPr>
                <w:rFonts w:ascii="Calibri" w:eastAsia="Times New Roman" w:hAnsi="Calibri" w:cs="Calibri"/>
                <w:b/>
                <w:sz w:val="22"/>
                <w:szCs w:val="22"/>
              </w:rPr>
              <w:t>Mean</w:t>
            </w:r>
          </w:p>
          <w:p w14:paraId="55FA8013" w14:textId="77777777" w:rsidR="00CE071C" w:rsidRPr="00E93DDD" w:rsidRDefault="00CE071C" w:rsidP="00EF5D3B">
            <w:pPr>
              <w:spacing w:after="0"/>
              <w:jc w:val="center"/>
              <w:rPr>
                <w:rFonts w:ascii="Calibri" w:eastAsia="Times New Roman" w:hAnsi="Calibri" w:cs="Calibri"/>
                <w:b/>
                <w:sz w:val="22"/>
                <w:szCs w:val="22"/>
              </w:rPr>
            </w:pPr>
          </w:p>
        </w:tc>
        <w:tc>
          <w:tcPr>
            <w:tcW w:w="2126" w:type="dxa"/>
            <w:shd w:val="clear" w:color="auto" w:fill="BFBFBF" w:themeFill="background1" w:themeFillShade="BF"/>
            <w:noWrap/>
            <w:hideMark/>
          </w:tcPr>
          <w:p w14:paraId="06103465" w14:textId="77777777" w:rsidR="00CE071C" w:rsidRPr="00E93DDD" w:rsidRDefault="00CE071C" w:rsidP="00EF5D3B">
            <w:pPr>
              <w:spacing w:after="0"/>
              <w:jc w:val="center"/>
              <w:rPr>
                <w:rFonts w:ascii="Calibri" w:eastAsia="Times New Roman" w:hAnsi="Calibri" w:cs="Calibri"/>
                <w:b/>
                <w:sz w:val="22"/>
                <w:szCs w:val="22"/>
              </w:rPr>
            </w:pPr>
            <w:r w:rsidRPr="00E93DDD">
              <w:rPr>
                <w:rFonts w:ascii="Calibri" w:eastAsia="Times New Roman" w:hAnsi="Calibri" w:cs="Calibri"/>
                <w:b/>
                <w:sz w:val="22"/>
                <w:szCs w:val="22"/>
              </w:rPr>
              <w:t>S</w:t>
            </w:r>
            <w:r>
              <w:rPr>
                <w:rFonts w:ascii="Calibri" w:eastAsia="Times New Roman" w:hAnsi="Calibri" w:cs="Calibri"/>
                <w:b/>
                <w:sz w:val="22"/>
                <w:szCs w:val="22"/>
              </w:rPr>
              <w:t>tandard deviation</w:t>
            </w:r>
          </w:p>
        </w:tc>
        <w:tc>
          <w:tcPr>
            <w:tcW w:w="1701" w:type="dxa"/>
            <w:shd w:val="clear" w:color="auto" w:fill="BFBFBF" w:themeFill="background1" w:themeFillShade="BF"/>
            <w:noWrap/>
            <w:hideMark/>
          </w:tcPr>
          <w:p w14:paraId="36B6B1DA" w14:textId="77777777" w:rsidR="00CE071C" w:rsidRDefault="00CE071C" w:rsidP="00EF5D3B">
            <w:pPr>
              <w:spacing w:after="0"/>
              <w:jc w:val="center"/>
              <w:rPr>
                <w:rFonts w:ascii="Calibri" w:eastAsia="Times New Roman" w:hAnsi="Calibri" w:cs="Calibri"/>
                <w:b/>
                <w:sz w:val="22"/>
                <w:szCs w:val="22"/>
              </w:rPr>
            </w:pPr>
            <w:r w:rsidRPr="00E93DDD">
              <w:rPr>
                <w:rFonts w:ascii="Calibri" w:eastAsia="Times New Roman" w:hAnsi="Calibri" w:cs="Calibri"/>
                <w:b/>
                <w:sz w:val="22"/>
                <w:szCs w:val="22"/>
              </w:rPr>
              <w:t>Maximum</w:t>
            </w:r>
          </w:p>
          <w:p w14:paraId="19D1C3A7" w14:textId="77777777" w:rsidR="00CE071C" w:rsidRPr="00E93DDD" w:rsidRDefault="00CE071C" w:rsidP="00EF5D3B">
            <w:pPr>
              <w:spacing w:after="0"/>
              <w:jc w:val="center"/>
              <w:rPr>
                <w:rFonts w:ascii="Calibri" w:eastAsia="Times New Roman" w:hAnsi="Calibri" w:cs="Calibri"/>
                <w:b/>
                <w:sz w:val="22"/>
                <w:szCs w:val="22"/>
              </w:rPr>
            </w:pPr>
          </w:p>
        </w:tc>
      </w:tr>
      <w:tr w:rsidR="00CE071C" w:rsidRPr="00626A9A" w14:paraId="538C36D8" w14:textId="77777777" w:rsidTr="00042AB2">
        <w:trPr>
          <w:trHeight w:val="300"/>
        </w:trPr>
        <w:tc>
          <w:tcPr>
            <w:tcW w:w="6908" w:type="dxa"/>
            <w:gridSpan w:val="4"/>
            <w:shd w:val="clear" w:color="auto" w:fill="FFFFFF" w:themeFill="background1"/>
            <w:noWrap/>
            <w:vAlign w:val="bottom"/>
          </w:tcPr>
          <w:p w14:paraId="308AAFEF" w14:textId="77777777" w:rsidR="00CE071C" w:rsidRPr="00C139A7" w:rsidRDefault="00CE071C" w:rsidP="00EF5D3B">
            <w:pPr>
              <w:spacing w:after="0"/>
              <w:rPr>
                <w:rFonts w:ascii="Calibri" w:eastAsia="Times New Roman" w:hAnsi="Calibri" w:cs="Calibri"/>
                <w:b/>
                <w:sz w:val="22"/>
                <w:szCs w:val="22"/>
              </w:rPr>
            </w:pPr>
            <w:r w:rsidRPr="00C139A7">
              <w:rPr>
                <w:rFonts w:ascii="Calibri" w:eastAsia="Times New Roman" w:hAnsi="Calibri" w:cs="Calibri"/>
                <w:b/>
                <w:sz w:val="22"/>
                <w:szCs w:val="22"/>
              </w:rPr>
              <w:t>Patients per prescriber</w:t>
            </w:r>
          </w:p>
        </w:tc>
      </w:tr>
      <w:tr w:rsidR="00CE071C" w:rsidRPr="00626A9A" w14:paraId="0AAC1AE8" w14:textId="77777777" w:rsidTr="00F764C2">
        <w:trPr>
          <w:trHeight w:val="300"/>
        </w:trPr>
        <w:tc>
          <w:tcPr>
            <w:tcW w:w="1380" w:type="dxa"/>
            <w:shd w:val="clear" w:color="auto" w:fill="auto"/>
            <w:noWrap/>
            <w:vAlign w:val="bottom"/>
            <w:hideMark/>
          </w:tcPr>
          <w:p w14:paraId="4520E033" w14:textId="77777777" w:rsidR="00CE071C" w:rsidRPr="00626A9A" w:rsidRDefault="00CE071C" w:rsidP="00EF5D3B">
            <w:pPr>
              <w:spacing w:after="0"/>
              <w:rPr>
                <w:rFonts w:ascii="Calibri" w:eastAsia="Times New Roman" w:hAnsi="Calibri" w:cs="Calibri"/>
                <w:sz w:val="22"/>
                <w:szCs w:val="22"/>
              </w:rPr>
            </w:pPr>
            <w:r w:rsidRPr="00626A9A">
              <w:rPr>
                <w:rFonts w:ascii="Calibri" w:eastAsia="Times New Roman" w:hAnsi="Calibri" w:cs="Calibri"/>
                <w:sz w:val="22"/>
                <w:szCs w:val="22"/>
              </w:rPr>
              <w:t>GP</w:t>
            </w:r>
          </w:p>
        </w:tc>
        <w:tc>
          <w:tcPr>
            <w:tcW w:w="1701" w:type="dxa"/>
            <w:shd w:val="clear" w:color="auto" w:fill="auto"/>
            <w:noWrap/>
            <w:vAlign w:val="bottom"/>
            <w:hideMark/>
          </w:tcPr>
          <w:p w14:paraId="1945D54D" w14:textId="77777777" w:rsidR="00CE071C" w:rsidRPr="00626A9A" w:rsidRDefault="00CE071C" w:rsidP="00EF5D3B">
            <w:pPr>
              <w:spacing w:after="0"/>
              <w:jc w:val="right"/>
              <w:rPr>
                <w:rFonts w:ascii="Calibri" w:eastAsia="Times New Roman" w:hAnsi="Calibri" w:cs="Calibri"/>
                <w:sz w:val="22"/>
                <w:szCs w:val="22"/>
              </w:rPr>
            </w:pPr>
            <w:r>
              <w:rPr>
                <w:rFonts w:ascii="Calibri" w:eastAsia="Times New Roman" w:hAnsi="Calibri" w:cs="Calibri"/>
                <w:sz w:val="22"/>
                <w:szCs w:val="22"/>
              </w:rPr>
              <w:t>5.7</w:t>
            </w:r>
          </w:p>
        </w:tc>
        <w:tc>
          <w:tcPr>
            <w:tcW w:w="2126" w:type="dxa"/>
            <w:shd w:val="clear" w:color="auto" w:fill="auto"/>
            <w:noWrap/>
            <w:vAlign w:val="bottom"/>
            <w:hideMark/>
          </w:tcPr>
          <w:p w14:paraId="2714BD78" w14:textId="77777777" w:rsidR="00CE071C" w:rsidRPr="00626A9A" w:rsidRDefault="00CE071C" w:rsidP="00EF5D3B">
            <w:pPr>
              <w:spacing w:after="0"/>
              <w:jc w:val="right"/>
              <w:rPr>
                <w:rFonts w:ascii="Calibri" w:eastAsia="Times New Roman" w:hAnsi="Calibri" w:cs="Calibri"/>
                <w:sz w:val="22"/>
                <w:szCs w:val="22"/>
              </w:rPr>
            </w:pPr>
            <w:r>
              <w:rPr>
                <w:rFonts w:ascii="Calibri" w:eastAsia="Times New Roman" w:hAnsi="Calibri" w:cs="Calibri"/>
                <w:sz w:val="22"/>
                <w:szCs w:val="22"/>
              </w:rPr>
              <w:t>21.89</w:t>
            </w:r>
          </w:p>
        </w:tc>
        <w:tc>
          <w:tcPr>
            <w:tcW w:w="1701" w:type="dxa"/>
            <w:shd w:val="clear" w:color="auto" w:fill="auto"/>
            <w:noWrap/>
            <w:vAlign w:val="bottom"/>
            <w:hideMark/>
          </w:tcPr>
          <w:p w14:paraId="61B57DE8" w14:textId="77777777" w:rsidR="00CE071C" w:rsidRPr="00626A9A" w:rsidRDefault="00CE071C" w:rsidP="00EF5D3B">
            <w:pPr>
              <w:spacing w:after="0"/>
              <w:jc w:val="right"/>
              <w:rPr>
                <w:rFonts w:ascii="Calibri" w:eastAsia="Times New Roman" w:hAnsi="Calibri" w:cs="Calibri"/>
                <w:sz w:val="22"/>
                <w:szCs w:val="22"/>
              </w:rPr>
            </w:pPr>
            <w:r>
              <w:rPr>
                <w:rFonts w:ascii="Calibri" w:eastAsia="Times New Roman" w:hAnsi="Calibri" w:cs="Calibri"/>
                <w:sz w:val="22"/>
                <w:szCs w:val="22"/>
              </w:rPr>
              <w:t>657</w:t>
            </w:r>
          </w:p>
        </w:tc>
      </w:tr>
      <w:tr w:rsidR="00CE071C" w:rsidRPr="00626A9A" w14:paraId="73605000" w14:textId="77777777" w:rsidTr="00F764C2">
        <w:trPr>
          <w:trHeight w:val="300"/>
        </w:trPr>
        <w:tc>
          <w:tcPr>
            <w:tcW w:w="1380" w:type="dxa"/>
            <w:shd w:val="clear" w:color="auto" w:fill="auto"/>
            <w:noWrap/>
            <w:vAlign w:val="bottom"/>
            <w:hideMark/>
          </w:tcPr>
          <w:p w14:paraId="0790DFCC" w14:textId="77777777" w:rsidR="00CE071C" w:rsidRPr="00626A9A" w:rsidRDefault="00CE071C" w:rsidP="00EF5D3B">
            <w:pPr>
              <w:spacing w:after="0"/>
              <w:rPr>
                <w:rFonts w:ascii="Calibri" w:eastAsia="Times New Roman" w:hAnsi="Calibri" w:cs="Calibri"/>
                <w:sz w:val="22"/>
                <w:szCs w:val="22"/>
              </w:rPr>
            </w:pPr>
            <w:r w:rsidRPr="00626A9A">
              <w:rPr>
                <w:rFonts w:ascii="Calibri" w:eastAsia="Times New Roman" w:hAnsi="Calibri" w:cs="Calibri"/>
                <w:sz w:val="22"/>
                <w:szCs w:val="22"/>
              </w:rPr>
              <w:t>Specialist</w:t>
            </w:r>
          </w:p>
        </w:tc>
        <w:tc>
          <w:tcPr>
            <w:tcW w:w="1701" w:type="dxa"/>
            <w:shd w:val="clear" w:color="auto" w:fill="auto"/>
            <w:noWrap/>
            <w:vAlign w:val="bottom"/>
            <w:hideMark/>
          </w:tcPr>
          <w:p w14:paraId="5BE63A59" w14:textId="77777777" w:rsidR="00CE071C" w:rsidRPr="00626A9A" w:rsidRDefault="00CE071C" w:rsidP="00EF5D3B">
            <w:pPr>
              <w:spacing w:after="0"/>
              <w:jc w:val="right"/>
              <w:rPr>
                <w:rFonts w:ascii="Calibri" w:eastAsia="Times New Roman" w:hAnsi="Calibri" w:cs="Calibri"/>
                <w:sz w:val="22"/>
                <w:szCs w:val="22"/>
              </w:rPr>
            </w:pPr>
            <w:r>
              <w:rPr>
                <w:rFonts w:ascii="Calibri" w:eastAsia="Times New Roman" w:hAnsi="Calibri" w:cs="Calibri"/>
                <w:sz w:val="22"/>
                <w:szCs w:val="22"/>
              </w:rPr>
              <w:t>43.3</w:t>
            </w:r>
          </w:p>
        </w:tc>
        <w:tc>
          <w:tcPr>
            <w:tcW w:w="2126" w:type="dxa"/>
            <w:shd w:val="clear" w:color="auto" w:fill="auto"/>
            <w:noWrap/>
            <w:vAlign w:val="bottom"/>
            <w:hideMark/>
          </w:tcPr>
          <w:p w14:paraId="2A594CBD" w14:textId="77777777" w:rsidR="00CE071C" w:rsidRPr="00626A9A" w:rsidRDefault="00CE071C" w:rsidP="00EF5D3B">
            <w:pPr>
              <w:spacing w:after="0"/>
              <w:jc w:val="right"/>
              <w:rPr>
                <w:rFonts w:ascii="Calibri" w:eastAsia="Times New Roman" w:hAnsi="Calibri" w:cs="Calibri"/>
                <w:sz w:val="22"/>
                <w:szCs w:val="22"/>
              </w:rPr>
            </w:pPr>
            <w:r>
              <w:rPr>
                <w:rFonts w:ascii="Calibri" w:eastAsia="Times New Roman" w:hAnsi="Calibri" w:cs="Calibri"/>
                <w:sz w:val="22"/>
                <w:szCs w:val="22"/>
              </w:rPr>
              <w:t>70.05</w:t>
            </w:r>
          </w:p>
        </w:tc>
        <w:tc>
          <w:tcPr>
            <w:tcW w:w="1701" w:type="dxa"/>
            <w:shd w:val="clear" w:color="auto" w:fill="auto"/>
            <w:noWrap/>
            <w:vAlign w:val="bottom"/>
            <w:hideMark/>
          </w:tcPr>
          <w:p w14:paraId="3EE1B16C" w14:textId="77777777" w:rsidR="00CE071C" w:rsidRPr="00626A9A" w:rsidRDefault="00CE071C" w:rsidP="00EF5D3B">
            <w:pPr>
              <w:spacing w:after="0"/>
              <w:jc w:val="right"/>
              <w:rPr>
                <w:rFonts w:ascii="Calibri" w:eastAsia="Times New Roman" w:hAnsi="Calibri" w:cs="Calibri"/>
                <w:sz w:val="22"/>
                <w:szCs w:val="22"/>
              </w:rPr>
            </w:pPr>
            <w:r>
              <w:rPr>
                <w:rFonts w:ascii="Calibri" w:eastAsia="Times New Roman" w:hAnsi="Calibri" w:cs="Calibri"/>
                <w:sz w:val="22"/>
                <w:szCs w:val="22"/>
              </w:rPr>
              <w:t>695</w:t>
            </w:r>
          </w:p>
        </w:tc>
      </w:tr>
      <w:tr w:rsidR="00CE071C" w:rsidRPr="00626A9A" w14:paraId="3EE9A7B9" w14:textId="77777777" w:rsidTr="00042AB2">
        <w:trPr>
          <w:trHeight w:val="300"/>
        </w:trPr>
        <w:tc>
          <w:tcPr>
            <w:tcW w:w="6908" w:type="dxa"/>
            <w:gridSpan w:val="4"/>
            <w:shd w:val="clear" w:color="auto" w:fill="FFFFFF" w:themeFill="background1"/>
            <w:noWrap/>
            <w:vAlign w:val="bottom"/>
          </w:tcPr>
          <w:p w14:paraId="50EA130D" w14:textId="77777777" w:rsidR="00CE071C" w:rsidRPr="00C139A7" w:rsidRDefault="00CE071C" w:rsidP="00EF5D3B">
            <w:pPr>
              <w:spacing w:after="0"/>
              <w:rPr>
                <w:rFonts w:ascii="Calibri" w:eastAsia="Times New Roman" w:hAnsi="Calibri" w:cs="Calibri"/>
                <w:b/>
                <w:sz w:val="22"/>
                <w:szCs w:val="22"/>
              </w:rPr>
            </w:pPr>
            <w:r w:rsidRPr="00C139A7">
              <w:rPr>
                <w:rFonts w:ascii="Calibri" w:eastAsia="Times New Roman" w:hAnsi="Calibri" w:cs="Calibri"/>
                <w:b/>
                <w:sz w:val="22"/>
                <w:szCs w:val="22"/>
              </w:rPr>
              <w:t>Prescriptions per prescriber</w:t>
            </w:r>
          </w:p>
        </w:tc>
      </w:tr>
      <w:tr w:rsidR="00CE071C" w:rsidRPr="00626A9A" w14:paraId="285D65D8" w14:textId="77777777" w:rsidTr="00F764C2">
        <w:trPr>
          <w:trHeight w:val="300"/>
        </w:trPr>
        <w:tc>
          <w:tcPr>
            <w:tcW w:w="1380" w:type="dxa"/>
            <w:shd w:val="clear" w:color="auto" w:fill="auto"/>
            <w:noWrap/>
            <w:vAlign w:val="bottom"/>
          </w:tcPr>
          <w:p w14:paraId="24D4416B" w14:textId="77777777" w:rsidR="00CE071C" w:rsidRPr="00626A9A" w:rsidRDefault="00CE071C" w:rsidP="00EF5D3B">
            <w:pPr>
              <w:spacing w:after="0"/>
              <w:rPr>
                <w:rFonts w:ascii="Calibri" w:eastAsia="Times New Roman" w:hAnsi="Calibri" w:cs="Calibri"/>
                <w:sz w:val="22"/>
                <w:szCs w:val="22"/>
              </w:rPr>
            </w:pPr>
            <w:r w:rsidRPr="00626A9A">
              <w:rPr>
                <w:rFonts w:ascii="Calibri" w:eastAsia="Times New Roman" w:hAnsi="Calibri" w:cs="Calibri"/>
                <w:sz w:val="22"/>
                <w:szCs w:val="22"/>
              </w:rPr>
              <w:t>GP</w:t>
            </w:r>
          </w:p>
        </w:tc>
        <w:tc>
          <w:tcPr>
            <w:tcW w:w="1701" w:type="dxa"/>
            <w:shd w:val="clear" w:color="auto" w:fill="auto"/>
            <w:noWrap/>
            <w:vAlign w:val="bottom"/>
          </w:tcPr>
          <w:p w14:paraId="7DDE7E35" w14:textId="77777777" w:rsidR="00CE071C" w:rsidRPr="00626A9A" w:rsidRDefault="00CE071C" w:rsidP="00EF5D3B">
            <w:pPr>
              <w:spacing w:after="0"/>
              <w:jc w:val="right"/>
              <w:rPr>
                <w:rFonts w:ascii="Calibri" w:eastAsia="Times New Roman" w:hAnsi="Calibri" w:cs="Calibri"/>
                <w:sz w:val="22"/>
                <w:szCs w:val="22"/>
              </w:rPr>
            </w:pPr>
            <w:r w:rsidRPr="00626A9A">
              <w:rPr>
                <w:rFonts w:ascii="Calibri" w:eastAsia="Times New Roman" w:hAnsi="Calibri" w:cs="Calibri"/>
                <w:sz w:val="22"/>
                <w:szCs w:val="22"/>
              </w:rPr>
              <w:t>20.0</w:t>
            </w:r>
          </w:p>
        </w:tc>
        <w:tc>
          <w:tcPr>
            <w:tcW w:w="2126" w:type="dxa"/>
            <w:shd w:val="clear" w:color="auto" w:fill="auto"/>
            <w:noWrap/>
            <w:vAlign w:val="bottom"/>
          </w:tcPr>
          <w:p w14:paraId="5B9CBD60" w14:textId="77777777" w:rsidR="00CE071C" w:rsidRPr="00626A9A" w:rsidRDefault="00CE071C" w:rsidP="00EF5D3B">
            <w:pPr>
              <w:spacing w:after="0"/>
              <w:jc w:val="right"/>
              <w:rPr>
                <w:rFonts w:ascii="Calibri" w:eastAsia="Times New Roman" w:hAnsi="Calibri" w:cs="Calibri"/>
                <w:sz w:val="22"/>
                <w:szCs w:val="22"/>
              </w:rPr>
            </w:pPr>
            <w:r w:rsidRPr="00626A9A">
              <w:rPr>
                <w:rFonts w:ascii="Calibri" w:eastAsia="Times New Roman" w:hAnsi="Calibri" w:cs="Calibri"/>
                <w:sz w:val="22"/>
                <w:szCs w:val="22"/>
              </w:rPr>
              <w:t>56.92</w:t>
            </w:r>
          </w:p>
        </w:tc>
        <w:tc>
          <w:tcPr>
            <w:tcW w:w="1701" w:type="dxa"/>
            <w:shd w:val="clear" w:color="auto" w:fill="auto"/>
            <w:noWrap/>
            <w:vAlign w:val="bottom"/>
          </w:tcPr>
          <w:p w14:paraId="2719EB1C" w14:textId="77777777" w:rsidR="00CE071C" w:rsidRPr="00626A9A" w:rsidRDefault="00CE071C" w:rsidP="00EF5D3B">
            <w:pPr>
              <w:spacing w:after="0"/>
              <w:jc w:val="right"/>
              <w:rPr>
                <w:rFonts w:ascii="Calibri" w:eastAsia="Times New Roman" w:hAnsi="Calibri" w:cs="Calibri"/>
                <w:sz w:val="22"/>
                <w:szCs w:val="22"/>
              </w:rPr>
            </w:pPr>
            <w:r w:rsidRPr="00626A9A">
              <w:rPr>
                <w:rFonts w:ascii="Calibri" w:eastAsia="Times New Roman" w:hAnsi="Calibri" w:cs="Calibri"/>
                <w:sz w:val="22"/>
                <w:szCs w:val="22"/>
              </w:rPr>
              <w:t>1</w:t>
            </w:r>
            <w:r>
              <w:rPr>
                <w:rFonts w:ascii="Calibri" w:eastAsia="Times New Roman" w:hAnsi="Calibri" w:cs="Calibri"/>
                <w:sz w:val="22"/>
                <w:szCs w:val="22"/>
              </w:rPr>
              <w:t>,</w:t>
            </w:r>
            <w:r w:rsidRPr="00626A9A">
              <w:rPr>
                <w:rFonts w:ascii="Calibri" w:eastAsia="Times New Roman" w:hAnsi="Calibri" w:cs="Calibri"/>
                <w:sz w:val="22"/>
                <w:szCs w:val="22"/>
              </w:rPr>
              <w:t>972</w:t>
            </w:r>
          </w:p>
        </w:tc>
      </w:tr>
      <w:tr w:rsidR="00CE071C" w:rsidRPr="00626A9A" w14:paraId="51E8323D" w14:textId="77777777" w:rsidTr="00F764C2">
        <w:trPr>
          <w:trHeight w:val="300"/>
        </w:trPr>
        <w:tc>
          <w:tcPr>
            <w:tcW w:w="1380" w:type="dxa"/>
            <w:shd w:val="clear" w:color="auto" w:fill="auto"/>
            <w:noWrap/>
            <w:vAlign w:val="bottom"/>
          </w:tcPr>
          <w:p w14:paraId="2218CCB0" w14:textId="77777777" w:rsidR="00CE071C" w:rsidRPr="00626A9A" w:rsidRDefault="00CE071C" w:rsidP="00EF5D3B">
            <w:pPr>
              <w:spacing w:after="0"/>
              <w:rPr>
                <w:rFonts w:ascii="Calibri" w:eastAsia="Times New Roman" w:hAnsi="Calibri" w:cs="Calibri"/>
                <w:sz w:val="22"/>
                <w:szCs w:val="22"/>
              </w:rPr>
            </w:pPr>
            <w:r w:rsidRPr="00626A9A">
              <w:rPr>
                <w:rFonts w:ascii="Calibri" w:eastAsia="Times New Roman" w:hAnsi="Calibri" w:cs="Calibri"/>
                <w:sz w:val="22"/>
                <w:szCs w:val="22"/>
              </w:rPr>
              <w:t>Specialist</w:t>
            </w:r>
          </w:p>
        </w:tc>
        <w:tc>
          <w:tcPr>
            <w:tcW w:w="1701" w:type="dxa"/>
            <w:shd w:val="clear" w:color="auto" w:fill="auto"/>
            <w:noWrap/>
            <w:vAlign w:val="bottom"/>
          </w:tcPr>
          <w:p w14:paraId="2C713EC6" w14:textId="77777777" w:rsidR="00CE071C" w:rsidRPr="00626A9A" w:rsidRDefault="00CE071C" w:rsidP="00EF5D3B">
            <w:pPr>
              <w:spacing w:after="0"/>
              <w:jc w:val="right"/>
              <w:rPr>
                <w:rFonts w:ascii="Calibri" w:eastAsia="Times New Roman" w:hAnsi="Calibri" w:cs="Calibri"/>
                <w:sz w:val="22"/>
                <w:szCs w:val="22"/>
              </w:rPr>
            </w:pPr>
            <w:r w:rsidRPr="00626A9A">
              <w:rPr>
                <w:rFonts w:ascii="Calibri" w:eastAsia="Times New Roman" w:hAnsi="Calibri" w:cs="Calibri"/>
                <w:sz w:val="22"/>
                <w:szCs w:val="22"/>
              </w:rPr>
              <w:t>50.9</w:t>
            </w:r>
          </w:p>
        </w:tc>
        <w:tc>
          <w:tcPr>
            <w:tcW w:w="2126" w:type="dxa"/>
            <w:shd w:val="clear" w:color="auto" w:fill="auto"/>
            <w:noWrap/>
            <w:vAlign w:val="bottom"/>
          </w:tcPr>
          <w:p w14:paraId="0F820CAC" w14:textId="77777777" w:rsidR="00CE071C" w:rsidRPr="00626A9A" w:rsidRDefault="00CE071C" w:rsidP="00EF5D3B">
            <w:pPr>
              <w:spacing w:after="0"/>
              <w:jc w:val="right"/>
              <w:rPr>
                <w:rFonts w:ascii="Calibri" w:eastAsia="Times New Roman" w:hAnsi="Calibri" w:cs="Calibri"/>
                <w:sz w:val="22"/>
                <w:szCs w:val="22"/>
              </w:rPr>
            </w:pPr>
            <w:r w:rsidRPr="00626A9A">
              <w:rPr>
                <w:rFonts w:ascii="Calibri" w:eastAsia="Times New Roman" w:hAnsi="Calibri" w:cs="Calibri"/>
                <w:sz w:val="22"/>
                <w:szCs w:val="22"/>
              </w:rPr>
              <w:t>87.70</w:t>
            </w:r>
          </w:p>
        </w:tc>
        <w:tc>
          <w:tcPr>
            <w:tcW w:w="1701" w:type="dxa"/>
            <w:shd w:val="clear" w:color="auto" w:fill="auto"/>
            <w:noWrap/>
            <w:vAlign w:val="bottom"/>
          </w:tcPr>
          <w:p w14:paraId="0B2CD4B1" w14:textId="77777777" w:rsidR="00CE071C" w:rsidRPr="00626A9A" w:rsidRDefault="00CE071C" w:rsidP="00EF5D3B">
            <w:pPr>
              <w:spacing w:after="0"/>
              <w:jc w:val="right"/>
              <w:rPr>
                <w:rFonts w:ascii="Calibri" w:eastAsia="Times New Roman" w:hAnsi="Calibri" w:cs="Calibri"/>
                <w:sz w:val="22"/>
                <w:szCs w:val="22"/>
              </w:rPr>
            </w:pPr>
            <w:r w:rsidRPr="00626A9A">
              <w:rPr>
                <w:rFonts w:ascii="Calibri" w:eastAsia="Times New Roman" w:hAnsi="Calibri" w:cs="Calibri"/>
                <w:sz w:val="22"/>
                <w:szCs w:val="22"/>
              </w:rPr>
              <w:t>815</w:t>
            </w:r>
          </w:p>
        </w:tc>
      </w:tr>
    </w:tbl>
    <w:p w14:paraId="53DC20E1" w14:textId="77777777" w:rsidR="00A54674" w:rsidRPr="0020219C" w:rsidRDefault="00CE071C" w:rsidP="00EF5D3B">
      <w:pPr>
        <w:rPr>
          <w:sz w:val="20"/>
          <w:szCs w:val="20"/>
        </w:rPr>
      </w:pPr>
      <w:r w:rsidRPr="00C139A7">
        <w:rPr>
          <w:sz w:val="20"/>
          <w:szCs w:val="20"/>
        </w:rPr>
        <w:t>Note: Total n</w:t>
      </w:r>
      <w:r>
        <w:rPr>
          <w:sz w:val="20"/>
          <w:szCs w:val="20"/>
        </w:rPr>
        <w:t>umber of prescribers was n=2,819</w:t>
      </w:r>
      <w:r w:rsidRPr="00C139A7">
        <w:rPr>
          <w:sz w:val="20"/>
          <w:szCs w:val="20"/>
        </w:rPr>
        <w:t>.</w:t>
      </w:r>
    </w:p>
    <w:p w14:paraId="3EE645F5" w14:textId="77777777" w:rsidR="0020219C" w:rsidRDefault="0020219C" w:rsidP="00EF5D3B">
      <w:r>
        <w:t xml:space="preserve">Compared to specialists, GPs tended to treat fewer patients and supplied less prescriptions at the individual prescriber level (Figures 7 to 10). </w:t>
      </w:r>
    </w:p>
    <w:p w14:paraId="2316A943" w14:textId="77777777" w:rsidR="00155BFD" w:rsidRDefault="00155BFD" w:rsidP="00EF5D3B">
      <w:r>
        <w:rPr>
          <w:noProof/>
        </w:rPr>
        <w:drawing>
          <wp:inline distT="0" distB="0" distL="0" distR="0" wp14:anchorId="6BC2DFB5" wp14:editId="2E0D21C2">
            <wp:extent cx="5577756" cy="2720897"/>
            <wp:effectExtent l="0" t="0" r="4445" b="3810"/>
            <wp:docPr id="2" name="Picture 2" descr="Frequency distribution of patients per GP over a one year period"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4762" cy="2719436"/>
                    </a:xfrm>
                    <a:prstGeom prst="rect">
                      <a:avLst/>
                    </a:prstGeom>
                    <a:noFill/>
                  </pic:spPr>
                </pic:pic>
              </a:graphicData>
            </a:graphic>
          </wp:inline>
        </w:drawing>
      </w:r>
    </w:p>
    <w:p w14:paraId="37684057" w14:textId="08A46CD0" w:rsidR="00155BFD" w:rsidRDefault="00155BFD" w:rsidP="00EF5D3B">
      <w:pPr>
        <w:pStyle w:val="Figuretitle"/>
      </w:pPr>
      <w:r>
        <w:t xml:space="preserve">Figure 7: Frequency distribution of the number of patients per GP over a </w:t>
      </w:r>
      <w:r w:rsidR="00136305">
        <w:t>one-year</w:t>
      </w:r>
      <w:r>
        <w:t xml:space="preserve"> period (n=2,329)</w:t>
      </w:r>
    </w:p>
    <w:p w14:paraId="35790AA5" w14:textId="77777777" w:rsidR="00042AB2" w:rsidRDefault="00042AB2" w:rsidP="00EF5D3B"/>
    <w:p w14:paraId="7F9A28E4" w14:textId="77777777" w:rsidR="00155BFD" w:rsidRDefault="00155BFD" w:rsidP="00EF5D3B">
      <w:r>
        <w:rPr>
          <w:noProof/>
        </w:rPr>
        <w:drawing>
          <wp:inline distT="0" distB="0" distL="0" distR="0" wp14:anchorId="48D4E4D2" wp14:editId="2A5B21DC">
            <wp:extent cx="5698273" cy="2524942"/>
            <wp:effectExtent l="0" t="0" r="0" b="8890"/>
            <wp:docPr id="7" name="Picture 7" descr="Frequency distribution of prescriptions per GP over a one year period"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8868" cy="2529637"/>
                    </a:xfrm>
                    <a:prstGeom prst="rect">
                      <a:avLst/>
                    </a:prstGeom>
                    <a:noFill/>
                  </pic:spPr>
                </pic:pic>
              </a:graphicData>
            </a:graphic>
          </wp:inline>
        </w:drawing>
      </w:r>
    </w:p>
    <w:p w14:paraId="581FA192" w14:textId="26EF2B4D" w:rsidR="00155BFD" w:rsidRPr="003C5143" w:rsidRDefault="00155BFD" w:rsidP="003C5143">
      <w:pPr>
        <w:rPr>
          <w:b/>
        </w:rPr>
      </w:pPr>
      <w:r w:rsidRPr="003C5143">
        <w:rPr>
          <w:b/>
        </w:rPr>
        <w:t xml:space="preserve">Figure 8: Frequency distribution of the number of prescriptions per GP over a </w:t>
      </w:r>
      <w:r w:rsidR="00136305" w:rsidRPr="003C5143">
        <w:rPr>
          <w:b/>
        </w:rPr>
        <w:t>one-year</w:t>
      </w:r>
      <w:r w:rsidRPr="003C5143">
        <w:rPr>
          <w:b/>
        </w:rPr>
        <w:t xml:space="preserve"> period (n=2,329)</w:t>
      </w:r>
    </w:p>
    <w:p w14:paraId="508649DC" w14:textId="77777777" w:rsidR="00155BFD" w:rsidRDefault="00155BFD" w:rsidP="00EF5D3B"/>
    <w:p w14:paraId="4ACC655F" w14:textId="77777777" w:rsidR="00155BFD" w:rsidRDefault="00155BFD" w:rsidP="00EF5D3B">
      <w:r>
        <w:rPr>
          <w:noProof/>
        </w:rPr>
        <w:drawing>
          <wp:inline distT="0" distB="0" distL="0" distR="0" wp14:anchorId="052EB909" wp14:editId="6C7D4604">
            <wp:extent cx="6174511" cy="2486722"/>
            <wp:effectExtent l="0" t="0" r="0" b="8890"/>
            <wp:docPr id="4" name="Picture 4" descr="Frequency distribution of patients per specialist over a one year period"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7444" cy="2491931"/>
                    </a:xfrm>
                    <a:prstGeom prst="rect">
                      <a:avLst/>
                    </a:prstGeom>
                    <a:noFill/>
                  </pic:spPr>
                </pic:pic>
              </a:graphicData>
            </a:graphic>
          </wp:inline>
        </w:drawing>
      </w:r>
    </w:p>
    <w:p w14:paraId="1E59CF4C" w14:textId="7C7C18D1" w:rsidR="00155BFD" w:rsidRPr="003C5143" w:rsidRDefault="00155BFD" w:rsidP="003C5143">
      <w:pPr>
        <w:rPr>
          <w:b/>
        </w:rPr>
      </w:pPr>
      <w:r w:rsidRPr="003C5143">
        <w:rPr>
          <w:b/>
        </w:rPr>
        <w:t xml:space="preserve">Figure 9: Frequency distribution of the number of patients per specialist over a </w:t>
      </w:r>
      <w:r w:rsidR="00136305" w:rsidRPr="003C5143">
        <w:rPr>
          <w:b/>
        </w:rPr>
        <w:t>one-year</w:t>
      </w:r>
      <w:r w:rsidRPr="003C5143">
        <w:rPr>
          <w:b/>
        </w:rPr>
        <w:t xml:space="preserve"> period (n=490)</w:t>
      </w:r>
    </w:p>
    <w:p w14:paraId="76724BA8" w14:textId="77777777" w:rsidR="00042AB2" w:rsidRDefault="00042AB2" w:rsidP="00EF5D3B">
      <w:pPr>
        <w:rPr>
          <w:b/>
        </w:rPr>
      </w:pPr>
    </w:p>
    <w:p w14:paraId="19CD5CF3" w14:textId="77777777" w:rsidR="00155BFD" w:rsidRDefault="00155BFD" w:rsidP="00EF5D3B">
      <w:r>
        <w:rPr>
          <w:noProof/>
        </w:rPr>
        <w:drawing>
          <wp:inline distT="0" distB="0" distL="0" distR="0" wp14:anchorId="1CF3E6B1" wp14:editId="53E5C2AE">
            <wp:extent cx="6204809" cy="2854712"/>
            <wp:effectExtent l="0" t="0" r="5715" b="3175"/>
            <wp:docPr id="14" name="Picture 14" descr="Frequency distribution of prescriptions per specialist over a one year period"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14829" cy="2859322"/>
                    </a:xfrm>
                    <a:prstGeom prst="rect">
                      <a:avLst/>
                    </a:prstGeom>
                    <a:noFill/>
                  </pic:spPr>
                </pic:pic>
              </a:graphicData>
            </a:graphic>
          </wp:inline>
        </w:drawing>
      </w:r>
    </w:p>
    <w:p w14:paraId="7673A5EC" w14:textId="3FD10ABA" w:rsidR="00155BFD" w:rsidRPr="00263C79" w:rsidRDefault="00155BFD" w:rsidP="00263C79">
      <w:pPr>
        <w:rPr>
          <w:b/>
        </w:rPr>
      </w:pPr>
      <w:r w:rsidRPr="00263C79">
        <w:rPr>
          <w:b/>
        </w:rPr>
        <w:t xml:space="preserve">Figure 10: Frequency distribution of the number of prescriptions per specialist over a </w:t>
      </w:r>
      <w:r w:rsidR="00136305" w:rsidRPr="00263C79">
        <w:rPr>
          <w:b/>
        </w:rPr>
        <w:t>one-year</w:t>
      </w:r>
      <w:r w:rsidRPr="00263C79">
        <w:rPr>
          <w:b/>
        </w:rPr>
        <w:t xml:space="preserve"> period (n=490)</w:t>
      </w:r>
    </w:p>
    <w:p w14:paraId="4DB15228" w14:textId="77777777" w:rsidR="00042AB2" w:rsidRDefault="00042AB2" w:rsidP="00EF5D3B"/>
    <w:p w14:paraId="26A9B973" w14:textId="77777777" w:rsidR="00A1503D" w:rsidRPr="00D80016" w:rsidRDefault="00D80016" w:rsidP="00EF5D3B">
      <w:r w:rsidRPr="00D80016">
        <w:t xml:space="preserve">Since 1 June 2017, </w:t>
      </w:r>
      <w:r>
        <w:t xml:space="preserve">nurse practitioners have been able to prescribe DAA medicines provided they are authorised or in consultation with </w:t>
      </w:r>
      <w:r w:rsidRPr="00D80016">
        <w:t>a gastroenterologist, hepatologist o</w:t>
      </w:r>
      <w:r>
        <w:t xml:space="preserve">r infectious diseases physician. </w:t>
      </w:r>
      <w:r w:rsidR="006F3840">
        <w:t xml:space="preserve">The level of prescribing by nurse practitioners </w:t>
      </w:r>
      <w:r w:rsidR="00981807">
        <w:t>was</w:t>
      </w:r>
      <w:r w:rsidR="006F3840">
        <w:t xml:space="preserve"> low. Between </w:t>
      </w:r>
      <w:r w:rsidR="00042AB2">
        <w:t>1 June </w:t>
      </w:r>
      <w:r w:rsidR="006F3840">
        <w:t>2017 to 30 April 2018, 308 prescriptions dispensed were identified as being prescribed by a nurse practitioner.</w:t>
      </w:r>
      <w:r w:rsidR="00A6778F">
        <w:t xml:space="preserve"> The number of prescriptions dispensed per month prescribed by nurse practitioners has remained at a similar level from December 2017 to April 2018, averaging 47 p</w:t>
      </w:r>
      <w:r w:rsidR="00A8071B">
        <w:t xml:space="preserve">rescriptions per month (Figure </w:t>
      </w:r>
      <w:r w:rsidR="003B2A66">
        <w:t>11</w:t>
      </w:r>
      <w:r w:rsidR="00A6778F">
        <w:t>)</w:t>
      </w:r>
      <w:r w:rsidR="002543B4">
        <w:t>.</w:t>
      </w:r>
    </w:p>
    <w:p w14:paraId="583C405A" w14:textId="77777777" w:rsidR="00B75B8F" w:rsidRDefault="00B75B8F" w:rsidP="00EF5D3B">
      <w:r>
        <w:rPr>
          <w:noProof/>
        </w:rPr>
        <w:drawing>
          <wp:inline distT="0" distB="0" distL="0" distR="0" wp14:anchorId="306A77C3" wp14:editId="7F81328D">
            <wp:extent cx="4438650" cy="2935405"/>
            <wp:effectExtent l="0" t="0" r="0" b="0"/>
            <wp:docPr id="6" name="Picture 6" descr="Number of prescriptions prescribed by nurse practitioners per month"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40639" cy="2936720"/>
                    </a:xfrm>
                    <a:prstGeom prst="rect">
                      <a:avLst/>
                    </a:prstGeom>
                    <a:noFill/>
                  </pic:spPr>
                </pic:pic>
              </a:graphicData>
            </a:graphic>
          </wp:inline>
        </w:drawing>
      </w:r>
    </w:p>
    <w:p w14:paraId="1A7D92CA" w14:textId="77777777" w:rsidR="00B75B8F" w:rsidRPr="0010026B" w:rsidRDefault="00B75B8F" w:rsidP="00EF5D3B">
      <w:pPr>
        <w:pStyle w:val="Figuretitle"/>
      </w:pPr>
      <w:r>
        <w:t xml:space="preserve">Figure </w:t>
      </w:r>
      <w:r w:rsidR="00CB788B">
        <w:t>11:</w:t>
      </w:r>
      <w:r>
        <w:t xml:space="preserve"> Number of prescriptions </w:t>
      </w:r>
      <w:r w:rsidR="008D5EF7">
        <w:t xml:space="preserve">supplied that were </w:t>
      </w:r>
      <w:r>
        <w:t>prescribed by nurse practitioners by month</w:t>
      </w:r>
    </w:p>
    <w:p w14:paraId="5E751DE8" w14:textId="77777777" w:rsidR="00EE3122" w:rsidRPr="00B4432D" w:rsidRDefault="00071E5D" w:rsidP="00EF5D3B">
      <w:pPr>
        <w:pStyle w:val="Heading3"/>
      </w:pPr>
      <w:r>
        <w:t>Regional differences in treatment rates</w:t>
      </w:r>
      <w:r w:rsidR="00025E42">
        <w:t xml:space="preserve"> </w:t>
      </w:r>
    </w:p>
    <w:p w14:paraId="4E0934E8" w14:textId="47CAA536" w:rsidR="00056C1D" w:rsidRDefault="00B72F01" w:rsidP="00EF5D3B">
      <w:r>
        <w:t>A hepatitis C mapping project was undertaken by t</w:t>
      </w:r>
      <w:r w:rsidR="00056C1D">
        <w:t>he World Health Organization (WHO) Collaborating Centre for Viral Hepatitis</w:t>
      </w:r>
      <w:r>
        <w:t xml:space="preserve">. The </w:t>
      </w:r>
      <w:r w:rsidR="00E319C8">
        <w:t>2016</w:t>
      </w:r>
      <w:r w:rsidR="00AB1FB2">
        <w:t xml:space="preserve"> project</w:t>
      </w:r>
      <w:r w:rsidR="00E319C8">
        <w:t xml:space="preserve"> report provided data </w:t>
      </w:r>
      <w:r w:rsidR="00056C1D">
        <w:t>on the prevalence and treatment of chronic hepatitis C by SA3 region for 2016</w:t>
      </w:r>
      <w:r w:rsidR="004C6829">
        <w:t xml:space="preserve"> </w:t>
      </w:r>
      <w:sdt>
        <w:sdtPr>
          <w:id w:val="-642112066"/>
          <w:citation/>
        </w:sdtPr>
        <w:sdtEndPr/>
        <w:sdtContent>
          <w:r w:rsidR="00E3604F">
            <w:fldChar w:fldCharType="begin"/>
          </w:r>
          <w:r w:rsidR="00E3604F">
            <w:instrText xml:space="preserve"> CITATION Doh16 \l 3081 </w:instrText>
          </w:r>
          <w:r w:rsidR="00E3604F">
            <w:fldChar w:fldCharType="separate"/>
          </w:r>
          <w:r w:rsidR="00384DCC">
            <w:rPr>
              <w:noProof/>
            </w:rPr>
            <w:t>(ASHM, 2016)</w:t>
          </w:r>
          <w:r w:rsidR="00E3604F">
            <w:fldChar w:fldCharType="end"/>
          </w:r>
        </w:sdtContent>
      </w:sdt>
      <w:r>
        <w:t>.</w:t>
      </w:r>
      <w:r w:rsidR="00E43C42">
        <w:t xml:space="preserve"> </w:t>
      </w:r>
      <w:r w:rsidR="00640D9C">
        <w:t xml:space="preserve">In 2016, the estimated prevalence of chronic hepatitis C was 0.94 </w:t>
      </w:r>
      <w:r w:rsidR="00724AAF">
        <w:t>percent</w:t>
      </w:r>
      <w:r w:rsidR="00640D9C">
        <w:t xml:space="preserve"> </w:t>
      </w:r>
      <w:sdt>
        <w:sdtPr>
          <w:id w:val="2092896853"/>
          <w:citation/>
        </w:sdtPr>
        <w:sdtEndPr/>
        <w:sdtContent>
          <w:r w:rsidR="00640D9C">
            <w:fldChar w:fldCharType="begin"/>
          </w:r>
          <w:r w:rsidR="00E3604F">
            <w:instrText xml:space="preserve">CITATION Doh16 \l 3081 </w:instrText>
          </w:r>
          <w:r w:rsidR="00640D9C">
            <w:fldChar w:fldCharType="separate"/>
          </w:r>
          <w:r w:rsidR="00384DCC">
            <w:rPr>
              <w:noProof/>
            </w:rPr>
            <w:t>(ASHM, 2016)</w:t>
          </w:r>
          <w:r w:rsidR="00640D9C">
            <w:fldChar w:fldCharType="end"/>
          </w:r>
        </w:sdtContent>
      </w:sdt>
      <w:r w:rsidR="00640D9C">
        <w:t xml:space="preserve">. </w:t>
      </w:r>
      <w:r w:rsidR="008E24EA">
        <w:t>The report highlighted the diversity in prevalence and treatment rates across Australia. Prevalence tended to be higher in rural and remote locations and lower in metropolitan areas. The highest prevalence rates were found in the Northern Territory, the North Co</w:t>
      </w:r>
      <w:r w:rsidR="00F7795F">
        <w:t>a</w:t>
      </w:r>
      <w:r w:rsidR="008E24EA">
        <w:t>st of NSW and Western NSW.</w:t>
      </w:r>
      <w:r w:rsidR="00640D9C">
        <w:t xml:space="preserve"> </w:t>
      </w:r>
      <w:r w:rsidR="002C6247">
        <w:t>Treatment rates were highest in Adelaide, the North Coast of NSW and the South Eastern and Eastern parts of Melbourne. The lowest treatment rates were reported for the Northern Territory and Western Queensland.</w:t>
      </w:r>
    </w:p>
    <w:p w14:paraId="523F8A23" w14:textId="77777777" w:rsidR="00640D9C" w:rsidRDefault="00611D2A" w:rsidP="00EF5D3B">
      <w:r>
        <w:t xml:space="preserve">A mapping analysis was done of </w:t>
      </w:r>
      <w:r w:rsidR="00B36C70">
        <w:t xml:space="preserve">DAA </w:t>
      </w:r>
      <w:r>
        <w:t xml:space="preserve">treatment rates in the general population for 2017. The treatment rates were standardised for age and gender and are presented </w:t>
      </w:r>
      <w:r w:rsidR="000021FD">
        <w:t xml:space="preserve">per 1,000 population </w:t>
      </w:r>
      <w:r w:rsidR="0061679F">
        <w:t>by SA2 region. Figure 12</w:t>
      </w:r>
      <w:r>
        <w:t xml:space="preserve"> shows the treatment rates</w:t>
      </w:r>
      <w:r w:rsidR="0061679F">
        <w:t xml:space="preserve"> for all prescribers. Figures 13 and 14</w:t>
      </w:r>
      <w:r>
        <w:t xml:space="preserve"> present treatment rates separately for specialists and general practitioners, respectively.</w:t>
      </w:r>
    </w:p>
    <w:p w14:paraId="6AA34318" w14:textId="77777777" w:rsidR="00C751D4" w:rsidRDefault="001D7955" w:rsidP="00EF5D3B">
      <w:r>
        <w:t xml:space="preserve">The mean treatment rate for 2017 across all SA2 regions of 9.3 per 1,000 </w:t>
      </w:r>
      <w:r w:rsidR="00A233C0">
        <w:t xml:space="preserve">(i.e. 0.93 percent) </w:t>
      </w:r>
      <w:r>
        <w:t xml:space="preserve">was </w:t>
      </w:r>
      <w:r w:rsidR="00A233C0">
        <w:t xml:space="preserve">consistent with </w:t>
      </w:r>
      <w:r w:rsidR="008634CF">
        <w:t xml:space="preserve">the </w:t>
      </w:r>
      <w:r w:rsidR="00A233C0">
        <w:t>national prevalence estimate</w:t>
      </w:r>
      <w:r w:rsidR="008634CF">
        <w:t xml:space="preserve"> of 0.94 percent</w:t>
      </w:r>
      <w:r w:rsidR="00A233C0">
        <w:t>.</w:t>
      </w:r>
      <w:r w:rsidR="00C33A7B">
        <w:t xml:space="preserve"> The median treatment rate across all SA2 regions was 5.7 per 1,000.</w:t>
      </w:r>
    </w:p>
    <w:p w14:paraId="1451DC85" w14:textId="5A876B37" w:rsidR="008B0426" w:rsidRDefault="00F96A48" w:rsidP="00EF5D3B">
      <w:r>
        <w:t xml:space="preserve">The </w:t>
      </w:r>
      <w:r w:rsidR="001815BE">
        <w:t xml:space="preserve">patterns of </w:t>
      </w:r>
      <w:r>
        <w:t xml:space="preserve">regional </w:t>
      </w:r>
      <w:r w:rsidR="00AA50DE">
        <w:t>variation in treatment uptake</w:t>
      </w:r>
      <w:r w:rsidR="00CD4C02">
        <w:t xml:space="preserve"> </w:t>
      </w:r>
      <w:r>
        <w:t xml:space="preserve">for 2017 </w:t>
      </w:r>
      <w:r w:rsidR="005613D3">
        <w:t>(Figure 12</w:t>
      </w:r>
      <w:r w:rsidR="00F26D6B">
        <w:t xml:space="preserve">) </w:t>
      </w:r>
      <w:r w:rsidR="00AA50DE">
        <w:t>was</w:t>
      </w:r>
      <w:r>
        <w:t xml:space="preserve"> similar to those reported from the hepatitis C mapping project for 2016. </w:t>
      </w:r>
      <w:r w:rsidR="009D304C">
        <w:t xml:space="preserve">Table </w:t>
      </w:r>
      <w:r w:rsidR="00EF5D3B">
        <w:t>7</w:t>
      </w:r>
      <w:r w:rsidR="008B0426">
        <w:t xml:space="preserve"> presents SA2 regions with treatment rates significantly higher than the base treatment rate across all SA2 areas. The estimated resident populations for these regions </w:t>
      </w:r>
      <w:r w:rsidR="00081C2C">
        <w:t>we</w:t>
      </w:r>
      <w:r w:rsidR="006C0500">
        <w:t>r</w:t>
      </w:r>
      <w:r w:rsidR="0097773D">
        <w:t xml:space="preserve">e substantially lower than the typical population size for an SA2 region which averages around 10,000 persons. As such, the rates for these regions should be </w:t>
      </w:r>
      <w:r w:rsidR="000A703D">
        <w:t>interpreted</w:t>
      </w:r>
      <w:r w:rsidR="0097773D">
        <w:t xml:space="preserve"> with caution.</w:t>
      </w:r>
      <w:r w:rsidR="004166AD">
        <w:t xml:space="preserve"> </w:t>
      </w:r>
      <w:r w:rsidR="00F3059B">
        <w:t>Most of the</w:t>
      </w:r>
      <w:r w:rsidR="00BB3BF7">
        <w:t xml:space="preserve"> SA2 regions in Table </w:t>
      </w:r>
      <w:r w:rsidR="00EF5D3B">
        <w:t>7</w:t>
      </w:r>
      <w:r w:rsidR="00BB3BF7">
        <w:t xml:space="preserve"> </w:t>
      </w:r>
      <w:r w:rsidR="00F3059B">
        <w:t>were</w:t>
      </w:r>
      <w:r w:rsidR="00BB3BF7">
        <w:t xml:space="preserve"> represented in the corresponding SA3 regions with the highest ranking treatment rates </w:t>
      </w:r>
      <w:r w:rsidR="0051755A">
        <w:t>identified from the</w:t>
      </w:r>
      <w:r w:rsidR="00BB3BF7">
        <w:t xml:space="preserve"> hepatitis C mapping project</w:t>
      </w:r>
      <w:r w:rsidR="00C075C3">
        <w:t>;</w:t>
      </w:r>
      <w:r w:rsidR="00BB3BF7">
        <w:t xml:space="preserve"> </w:t>
      </w:r>
      <w:r w:rsidR="00C075C3">
        <w:t>i</w:t>
      </w:r>
      <w:r w:rsidR="00F3059B">
        <w:t xml:space="preserve">n particular, the ACT regions, </w:t>
      </w:r>
      <w:r w:rsidR="008A1D1E">
        <w:t xml:space="preserve">North Western Melbourne and Adelaide. </w:t>
      </w:r>
    </w:p>
    <w:p w14:paraId="238583E7" w14:textId="77777777" w:rsidR="00CF5C5D" w:rsidRDefault="009D304C" w:rsidP="00EF5D3B">
      <w:pPr>
        <w:pStyle w:val="Tabletitle"/>
      </w:pPr>
      <w:r>
        <w:t xml:space="preserve">Table </w:t>
      </w:r>
      <w:r w:rsidR="00EF5D3B">
        <w:t>7</w:t>
      </w:r>
      <w:r w:rsidR="00CF5C5D" w:rsidRPr="001028A1">
        <w:t xml:space="preserve">: </w:t>
      </w:r>
      <w:r w:rsidR="00CF5C5D">
        <w:t>SA2 regions with highest treatment rates, 2017</w:t>
      </w:r>
    </w:p>
    <w:tbl>
      <w:tblPr>
        <w:tblW w:w="9000" w:type="dxa"/>
        <w:tblInd w:w="93" w:type="dxa"/>
        <w:tblLook w:val="04A0" w:firstRow="1" w:lastRow="0" w:firstColumn="1" w:lastColumn="0" w:noHBand="0" w:noVBand="1"/>
        <w:tblCaption w:val="Table 7"/>
        <w:tblDescription w:val="SA2 regions with the highest treatment rates, 2017"/>
      </w:tblPr>
      <w:tblGrid>
        <w:gridCol w:w="1480"/>
        <w:gridCol w:w="960"/>
        <w:gridCol w:w="1000"/>
        <w:gridCol w:w="2440"/>
        <w:gridCol w:w="3120"/>
      </w:tblGrid>
      <w:tr w:rsidR="00483AD2" w:rsidRPr="00483AD2" w14:paraId="1ED6BCAF" w14:textId="77777777" w:rsidTr="00042AB2">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422077D" w14:textId="77777777" w:rsidR="00483AD2" w:rsidRPr="00483AD2" w:rsidRDefault="00483AD2" w:rsidP="00EF5D3B">
            <w:pPr>
              <w:spacing w:after="0"/>
              <w:jc w:val="center"/>
              <w:rPr>
                <w:rFonts w:eastAsia="Times New Roman" w:cstheme="minorHAnsi"/>
                <w:b/>
                <w:bCs/>
                <w:sz w:val="20"/>
                <w:szCs w:val="20"/>
              </w:rPr>
            </w:pPr>
            <w:r w:rsidRPr="00483AD2">
              <w:rPr>
                <w:rFonts w:eastAsia="Times New Roman" w:cstheme="minorHAnsi"/>
                <w:b/>
                <w:bCs/>
                <w:sz w:val="20"/>
                <w:szCs w:val="20"/>
              </w:rPr>
              <w:t>SA2 code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388626B2" w14:textId="77777777" w:rsidR="00483AD2" w:rsidRPr="00483AD2" w:rsidRDefault="00483AD2" w:rsidP="00EF5D3B">
            <w:pPr>
              <w:spacing w:after="0"/>
              <w:jc w:val="center"/>
              <w:rPr>
                <w:rFonts w:eastAsia="Times New Roman" w:cstheme="minorHAnsi"/>
                <w:b/>
                <w:bCs/>
                <w:sz w:val="20"/>
                <w:szCs w:val="20"/>
              </w:rPr>
            </w:pPr>
            <w:r w:rsidRPr="00483AD2">
              <w:rPr>
                <w:rFonts w:eastAsia="Times New Roman" w:cstheme="minorHAnsi"/>
                <w:b/>
                <w:bCs/>
                <w:sz w:val="20"/>
                <w:szCs w:val="20"/>
              </w:rPr>
              <w:t>Patients</w:t>
            </w:r>
          </w:p>
        </w:tc>
        <w:tc>
          <w:tcPr>
            <w:tcW w:w="100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0D873DCE" w14:textId="77777777" w:rsidR="00483AD2" w:rsidRPr="00483AD2" w:rsidRDefault="00483AD2" w:rsidP="00EF5D3B">
            <w:pPr>
              <w:spacing w:after="0"/>
              <w:jc w:val="center"/>
              <w:rPr>
                <w:rFonts w:eastAsia="Times New Roman" w:cstheme="minorHAnsi"/>
                <w:b/>
                <w:bCs/>
                <w:sz w:val="20"/>
                <w:szCs w:val="20"/>
              </w:rPr>
            </w:pPr>
            <w:r w:rsidRPr="00483AD2">
              <w:rPr>
                <w:rFonts w:eastAsia="Times New Roman" w:cstheme="minorHAnsi"/>
                <w:b/>
                <w:bCs/>
                <w:sz w:val="20"/>
                <w:szCs w:val="20"/>
              </w:rPr>
              <w:t>ERP</w:t>
            </w:r>
          </w:p>
        </w:tc>
        <w:tc>
          <w:tcPr>
            <w:tcW w:w="244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185AB1B9" w14:textId="77777777" w:rsidR="00483AD2" w:rsidRPr="00483AD2" w:rsidRDefault="00483AD2" w:rsidP="00EF5D3B">
            <w:pPr>
              <w:spacing w:after="0"/>
              <w:jc w:val="center"/>
              <w:rPr>
                <w:rFonts w:eastAsia="Times New Roman" w:cstheme="minorHAnsi"/>
                <w:b/>
                <w:bCs/>
                <w:sz w:val="20"/>
                <w:szCs w:val="20"/>
              </w:rPr>
            </w:pPr>
            <w:r w:rsidRPr="00483AD2">
              <w:rPr>
                <w:rFonts w:eastAsia="Times New Roman" w:cstheme="minorHAnsi"/>
                <w:b/>
                <w:bCs/>
                <w:sz w:val="20"/>
                <w:szCs w:val="20"/>
              </w:rPr>
              <w:t>Adjusted treatment rate</w:t>
            </w:r>
            <w:r w:rsidR="003E2308">
              <w:rPr>
                <w:rFonts w:eastAsia="Times New Roman" w:cstheme="minorHAnsi"/>
                <w:b/>
                <w:bCs/>
                <w:sz w:val="20"/>
                <w:szCs w:val="20"/>
              </w:rPr>
              <w:t xml:space="preserve"> per 1,000 population</w:t>
            </w:r>
          </w:p>
        </w:tc>
        <w:tc>
          <w:tcPr>
            <w:tcW w:w="312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6A60CE49" w14:textId="77777777" w:rsidR="00483AD2" w:rsidRPr="00483AD2" w:rsidRDefault="00483AD2" w:rsidP="00EF5D3B">
            <w:pPr>
              <w:spacing w:after="0"/>
              <w:jc w:val="center"/>
              <w:rPr>
                <w:rFonts w:eastAsia="Times New Roman" w:cstheme="minorHAnsi"/>
                <w:b/>
                <w:bCs/>
                <w:sz w:val="20"/>
                <w:szCs w:val="20"/>
              </w:rPr>
            </w:pPr>
            <w:r w:rsidRPr="00483AD2">
              <w:rPr>
                <w:rFonts w:eastAsia="Times New Roman" w:cstheme="minorHAnsi"/>
                <w:b/>
                <w:bCs/>
                <w:sz w:val="20"/>
                <w:szCs w:val="20"/>
              </w:rPr>
              <w:t>SA2 name</w:t>
            </w:r>
            <w:r w:rsidR="00677974">
              <w:rPr>
                <w:rFonts w:eastAsia="Times New Roman" w:cstheme="minorHAnsi"/>
                <w:b/>
                <w:bCs/>
                <w:sz w:val="20"/>
                <w:szCs w:val="20"/>
              </w:rPr>
              <w:t xml:space="preserve"> (</w:t>
            </w:r>
            <w:r w:rsidR="005D29FE">
              <w:rPr>
                <w:rFonts w:eastAsia="Times New Roman" w:cstheme="minorHAnsi"/>
                <w:b/>
                <w:bCs/>
                <w:sz w:val="20"/>
                <w:szCs w:val="20"/>
              </w:rPr>
              <w:t xml:space="preserve">SA3, </w:t>
            </w:r>
            <w:r w:rsidR="00677974">
              <w:rPr>
                <w:rFonts w:eastAsia="Times New Roman" w:cstheme="minorHAnsi"/>
                <w:b/>
                <w:bCs/>
                <w:sz w:val="20"/>
                <w:szCs w:val="20"/>
              </w:rPr>
              <w:t>State)</w:t>
            </w:r>
          </w:p>
        </w:tc>
      </w:tr>
      <w:tr w:rsidR="00483AD2" w:rsidRPr="00483AD2" w14:paraId="6D860B7C"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F114A36"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206041118</w:t>
            </w:r>
          </w:p>
        </w:tc>
        <w:tc>
          <w:tcPr>
            <w:tcW w:w="960" w:type="dxa"/>
            <w:tcBorders>
              <w:top w:val="nil"/>
              <w:left w:val="nil"/>
              <w:bottom w:val="single" w:sz="4" w:space="0" w:color="auto"/>
              <w:right w:val="single" w:sz="4" w:space="0" w:color="auto"/>
            </w:tcBorders>
            <w:shd w:val="clear" w:color="auto" w:fill="auto"/>
            <w:noWrap/>
            <w:vAlign w:val="bottom"/>
            <w:hideMark/>
          </w:tcPr>
          <w:p w14:paraId="4558BBC7"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63</w:t>
            </w:r>
          </w:p>
        </w:tc>
        <w:tc>
          <w:tcPr>
            <w:tcW w:w="1000" w:type="dxa"/>
            <w:tcBorders>
              <w:top w:val="nil"/>
              <w:left w:val="nil"/>
              <w:bottom w:val="single" w:sz="4" w:space="0" w:color="auto"/>
              <w:right w:val="single" w:sz="4" w:space="0" w:color="auto"/>
            </w:tcBorders>
            <w:shd w:val="clear" w:color="auto" w:fill="auto"/>
            <w:noWrap/>
            <w:vAlign w:val="bottom"/>
            <w:hideMark/>
          </w:tcPr>
          <w:p w14:paraId="7828AA0A"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154</w:t>
            </w:r>
          </w:p>
        </w:tc>
        <w:tc>
          <w:tcPr>
            <w:tcW w:w="2440" w:type="dxa"/>
            <w:tcBorders>
              <w:top w:val="nil"/>
              <w:left w:val="nil"/>
              <w:bottom w:val="single" w:sz="4" w:space="0" w:color="auto"/>
              <w:right w:val="single" w:sz="4" w:space="0" w:color="auto"/>
            </w:tcBorders>
            <w:shd w:val="clear" w:color="auto" w:fill="auto"/>
            <w:noWrap/>
            <w:vAlign w:val="bottom"/>
            <w:hideMark/>
          </w:tcPr>
          <w:p w14:paraId="4B103F4A"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409.3</w:t>
            </w:r>
          </w:p>
        </w:tc>
        <w:tc>
          <w:tcPr>
            <w:tcW w:w="3120" w:type="dxa"/>
            <w:tcBorders>
              <w:top w:val="nil"/>
              <w:left w:val="nil"/>
              <w:bottom w:val="single" w:sz="4" w:space="0" w:color="auto"/>
              <w:right w:val="single" w:sz="4" w:space="0" w:color="auto"/>
            </w:tcBorders>
            <w:shd w:val="clear" w:color="auto" w:fill="auto"/>
            <w:noWrap/>
            <w:vAlign w:val="bottom"/>
            <w:hideMark/>
          </w:tcPr>
          <w:p w14:paraId="4958C4E3"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Docklands</w:t>
            </w:r>
            <w:r w:rsidR="00677974">
              <w:rPr>
                <w:rFonts w:eastAsia="Times New Roman" w:cstheme="minorHAnsi"/>
                <w:sz w:val="20"/>
                <w:szCs w:val="20"/>
              </w:rPr>
              <w:t xml:space="preserve"> (</w:t>
            </w:r>
            <w:r w:rsidR="005D29FE">
              <w:rPr>
                <w:rFonts w:eastAsia="Times New Roman" w:cstheme="minorHAnsi"/>
                <w:sz w:val="20"/>
                <w:szCs w:val="20"/>
              </w:rPr>
              <w:t xml:space="preserve">North Western Melbourne, </w:t>
            </w:r>
            <w:r w:rsidR="00677974">
              <w:rPr>
                <w:rFonts w:eastAsia="Times New Roman" w:cstheme="minorHAnsi"/>
                <w:sz w:val="20"/>
                <w:szCs w:val="20"/>
              </w:rPr>
              <w:t>Victoria)</w:t>
            </w:r>
          </w:p>
        </w:tc>
      </w:tr>
      <w:tr w:rsidR="00483AD2" w:rsidRPr="00483AD2" w14:paraId="3D90BB2D"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A7377C7"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213011329</w:t>
            </w:r>
          </w:p>
        </w:tc>
        <w:tc>
          <w:tcPr>
            <w:tcW w:w="960" w:type="dxa"/>
            <w:tcBorders>
              <w:top w:val="nil"/>
              <w:left w:val="nil"/>
              <w:bottom w:val="single" w:sz="4" w:space="0" w:color="auto"/>
              <w:right w:val="single" w:sz="4" w:space="0" w:color="auto"/>
            </w:tcBorders>
            <w:shd w:val="clear" w:color="auto" w:fill="auto"/>
            <w:noWrap/>
            <w:vAlign w:val="bottom"/>
            <w:hideMark/>
          </w:tcPr>
          <w:p w14:paraId="4AC6DE24"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106</w:t>
            </w:r>
          </w:p>
        </w:tc>
        <w:tc>
          <w:tcPr>
            <w:tcW w:w="1000" w:type="dxa"/>
            <w:tcBorders>
              <w:top w:val="nil"/>
              <w:left w:val="nil"/>
              <w:bottom w:val="single" w:sz="4" w:space="0" w:color="auto"/>
              <w:right w:val="single" w:sz="4" w:space="0" w:color="auto"/>
            </w:tcBorders>
            <w:shd w:val="clear" w:color="auto" w:fill="auto"/>
            <w:noWrap/>
            <w:vAlign w:val="bottom"/>
            <w:hideMark/>
          </w:tcPr>
          <w:p w14:paraId="4A44E48B"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366</w:t>
            </w:r>
          </w:p>
        </w:tc>
        <w:tc>
          <w:tcPr>
            <w:tcW w:w="2440" w:type="dxa"/>
            <w:tcBorders>
              <w:top w:val="nil"/>
              <w:left w:val="nil"/>
              <w:bottom w:val="single" w:sz="4" w:space="0" w:color="auto"/>
              <w:right w:val="single" w:sz="4" w:space="0" w:color="auto"/>
            </w:tcBorders>
            <w:shd w:val="clear" w:color="auto" w:fill="auto"/>
            <w:noWrap/>
            <w:vAlign w:val="bottom"/>
            <w:hideMark/>
          </w:tcPr>
          <w:p w14:paraId="50007DB0"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289.4</w:t>
            </w:r>
          </w:p>
        </w:tc>
        <w:tc>
          <w:tcPr>
            <w:tcW w:w="3120" w:type="dxa"/>
            <w:tcBorders>
              <w:top w:val="nil"/>
              <w:left w:val="nil"/>
              <w:bottom w:val="single" w:sz="4" w:space="0" w:color="auto"/>
              <w:right w:val="single" w:sz="4" w:space="0" w:color="auto"/>
            </w:tcBorders>
            <w:shd w:val="clear" w:color="auto" w:fill="auto"/>
            <w:noWrap/>
            <w:vAlign w:val="bottom"/>
            <w:hideMark/>
          </w:tcPr>
          <w:p w14:paraId="3DE2B6EF"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Cairnlea</w:t>
            </w:r>
            <w:r w:rsidR="00677974">
              <w:rPr>
                <w:rFonts w:eastAsia="Times New Roman" w:cstheme="minorHAnsi"/>
                <w:sz w:val="20"/>
                <w:szCs w:val="20"/>
              </w:rPr>
              <w:t xml:space="preserve"> (</w:t>
            </w:r>
            <w:r w:rsidR="005D29FE">
              <w:rPr>
                <w:rFonts w:eastAsia="Times New Roman" w:cstheme="minorHAnsi"/>
                <w:sz w:val="20"/>
                <w:szCs w:val="20"/>
              </w:rPr>
              <w:t xml:space="preserve">North Western Melbourne, </w:t>
            </w:r>
            <w:r w:rsidR="00677974">
              <w:rPr>
                <w:rFonts w:eastAsia="Times New Roman" w:cstheme="minorHAnsi"/>
                <w:sz w:val="20"/>
                <w:szCs w:val="20"/>
              </w:rPr>
              <w:t>Victoria)</w:t>
            </w:r>
          </w:p>
        </w:tc>
      </w:tr>
      <w:tr w:rsidR="00483AD2" w:rsidRPr="00483AD2" w14:paraId="0307F540"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4698AB5"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402041042</w:t>
            </w:r>
          </w:p>
        </w:tc>
        <w:tc>
          <w:tcPr>
            <w:tcW w:w="960" w:type="dxa"/>
            <w:tcBorders>
              <w:top w:val="nil"/>
              <w:left w:val="nil"/>
              <w:bottom w:val="single" w:sz="4" w:space="0" w:color="auto"/>
              <w:right w:val="single" w:sz="4" w:space="0" w:color="auto"/>
            </w:tcBorders>
            <w:shd w:val="clear" w:color="auto" w:fill="auto"/>
            <w:noWrap/>
            <w:vAlign w:val="bottom"/>
            <w:hideMark/>
          </w:tcPr>
          <w:p w14:paraId="0FFB2809"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14</w:t>
            </w:r>
          </w:p>
        </w:tc>
        <w:tc>
          <w:tcPr>
            <w:tcW w:w="1000" w:type="dxa"/>
            <w:tcBorders>
              <w:top w:val="nil"/>
              <w:left w:val="nil"/>
              <w:bottom w:val="single" w:sz="4" w:space="0" w:color="auto"/>
              <w:right w:val="single" w:sz="4" w:space="0" w:color="auto"/>
            </w:tcBorders>
            <w:shd w:val="clear" w:color="auto" w:fill="auto"/>
            <w:noWrap/>
            <w:vAlign w:val="bottom"/>
            <w:hideMark/>
          </w:tcPr>
          <w:p w14:paraId="313B9280"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72</w:t>
            </w:r>
          </w:p>
        </w:tc>
        <w:tc>
          <w:tcPr>
            <w:tcW w:w="2440" w:type="dxa"/>
            <w:tcBorders>
              <w:top w:val="nil"/>
              <w:left w:val="nil"/>
              <w:bottom w:val="single" w:sz="4" w:space="0" w:color="auto"/>
              <w:right w:val="single" w:sz="4" w:space="0" w:color="auto"/>
            </w:tcBorders>
            <w:shd w:val="clear" w:color="auto" w:fill="auto"/>
            <w:noWrap/>
            <w:vAlign w:val="bottom"/>
            <w:hideMark/>
          </w:tcPr>
          <w:p w14:paraId="556FF8F0"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194.4</w:t>
            </w:r>
          </w:p>
        </w:tc>
        <w:tc>
          <w:tcPr>
            <w:tcW w:w="3120" w:type="dxa"/>
            <w:tcBorders>
              <w:top w:val="nil"/>
              <w:left w:val="nil"/>
              <w:bottom w:val="single" w:sz="4" w:space="0" w:color="auto"/>
              <w:right w:val="single" w:sz="4" w:space="0" w:color="auto"/>
            </w:tcBorders>
            <w:shd w:val="clear" w:color="auto" w:fill="auto"/>
            <w:noWrap/>
            <w:vAlign w:val="bottom"/>
            <w:hideMark/>
          </w:tcPr>
          <w:p w14:paraId="43ADF11E"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Parafield</w:t>
            </w:r>
            <w:r w:rsidR="00677974">
              <w:rPr>
                <w:rFonts w:eastAsia="Times New Roman" w:cstheme="minorHAnsi"/>
                <w:sz w:val="20"/>
                <w:szCs w:val="20"/>
              </w:rPr>
              <w:t xml:space="preserve"> (</w:t>
            </w:r>
            <w:r w:rsidR="005D29FE">
              <w:rPr>
                <w:rFonts w:eastAsia="Times New Roman" w:cstheme="minorHAnsi"/>
                <w:sz w:val="20"/>
                <w:szCs w:val="20"/>
              </w:rPr>
              <w:t xml:space="preserve">Adelaide, </w:t>
            </w:r>
            <w:r w:rsidR="00677974">
              <w:rPr>
                <w:rFonts w:eastAsia="Times New Roman" w:cstheme="minorHAnsi"/>
                <w:sz w:val="20"/>
                <w:szCs w:val="20"/>
              </w:rPr>
              <w:t>South Australia)</w:t>
            </w:r>
          </w:p>
        </w:tc>
      </w:tr>
      <w:tr w:rsidR="00483AD2" w:rsidRPr="00483AD2" w14:paraId="53C175DF"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3585A8F"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303051074</w:t>
            </w:r>
          </w:p>
        </w:tc>
        <w:tc>
          <w:tcPr>
            <w:tcW w:w="960" w:type="dxa"/>
            <w:tcBorders>
              <w:top w:val="nil"/>
              <w:left w:val="nil"/>
              <w:bottom w:val="single" w:sz="4" w:space="0" w:color="auto"/>
              <w:right w:val="single" w:sz="4" w:space="0" w:color="auto"/>
            </w:tcBorders>
            <w:shd w:val="clear" w:color="auto" w:fill="auto"/>
            <w:noWrap/>
            <w:vAlign w:val="bottom"/>
            <w:hideMark/>
          </w:tcPr>
          <w:p w14:paraId="4F9716A3"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187</w:t>
            </w:r>
          </w:p>
        </w:tc>
        <w:tc>
          <w:tcPr>
            <w:tcW w:w="1000" w:type="dxa"/>
            <w:tcBorders>
              <w:top w:val="nil"/>
              <w:left w:val="nil"/>
              <w:bottom w:val="single" w:sz="4" w:space="0" w:color="auto"/>
              <w:right w:val="single" w:sz="4" w:space="0" w:color="auto"/>
            </w:tcBorders>
            <w:shd w:val="clear" w:color="auto" w:fill="auto"/>
            <w:noWrap/>
            <w:vAlign w:val="bottom"/>
            <w:hideMark/>
          </w:tcPr>
          <w:p w14:paraId="724C5144"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1,023</w:t>
            </w:r>
          </w:p>
        </w:tc>
        <w:tc>
          <w:tcPr>
            <w:tcW w:w="2440" w:type="dxa"/>
            <w:tcBorders>
              <w:top w:val="nil"/>
              <w:left w:val="nil"/>
              <w:bottom w:val="single" w:sz="4" w:space="0" w:color="auto"/>
              <w:right w:val="single" w:sz="4" w:space="0" w:color="auto"/>
            </w:tcBorders>
            <w:shd w:val="clear" w:color="auto" w:fill="auto"/>
            <w:noWrap/>
            <w:vAlign w:val="bottom"/>
            <w:hideMark/>
          </w:tcPr>
          <w:p w14:paraId="74D686AD"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183.0</w:t>
            </w:r>
          </w:p>
        </w:tc>
        <w:tc>
          <w:tcPr>
            <w:tcW w:w="3120" w:type="dxa"/>
            <w:tcBorders>
              <w:top w:val="nil"/>
              <w:left w:val="nil"/>
              <w:bottom w:val="single" w:sz="4" w:space="0" w:color="auto"/>
              <w:right w:val="single" w:sz="4" w:space="0" w:color="auto"/>
            </w:tcBorders>
            <w:shd w:val="clear" w:color="auto" w:fill="auto"/>
            <w:noWrap/>
            <w:vAlign w:val="bottom"/>
            <w:hideMark/>
          </w:tcPr>
          <w:p w14:paraId="64F9871E"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 xml:space="preserve">Pallara </w:t>
            </w:r>
            <w:r w:rsidR="00677974">
              <w:rPr>
                <w:rFonts w:eastAsia="Times New Roman" w:cstheme="minorHAnsi"/>
                <w:sz w:val="20"/>
                <w:szCs w:val="20"/>
              </w:rPr>
              <w:t>–</w:t>
            </w:r>
            <w:r w:rsidRPr="00483AD2">
              <w:rPr>
                <w:rFonts w:eastAsia="Times New Roman" w:cstheme="minorHAnsi"/>
                <w:sz w:val="20"/>
                <w:szCs w:val="20"/>
              </w:rPr>
              <w:t xml:space="preserve"> Willawong</w:t>
            </w:r>
            <w:r w:rsidR="00677974">
              <w:rPr>
                <w:rFonts w:eastAsia="Times New Roman" w:cstheme="minorHAnsi"/>
                <w:sz w:val="20"/>
                <w:szCs w:val="20"/>
              </w:rPr>
              <w:t xml:space="preserve"> (</w:t>
            </w:r>
            <w:r w:rsidR="005D29FE">
              <w:rPr>
                <w:rFonts w:eastAsia="Times New Roman" w:cstheme="minorHAnsi"/>
                <w:sz w:val="20"/>
                <w:szCs w:val="20"/>
              </w:rPr>
              <w:t xml:space="preserve">Brisbane South, </w:t>
            </w:r>
            <w:r w:rsidR="00677974">
              <w:rPr>
                <w:rFonts w:eastAsia="Times New Roman" w:cstheme="minorHAnsi"/>
                <w:sz w:val="20"/>
                <w:szCs w:val="20"/>
              </w:rPr>
              <w:t>Queensland)</w:t>
            </w:r>
          </w:p>
        </w:tc>
      </w:tr>
      <w:tr w:rsidR="00483AD2" w:rsidRPr="00483AD2" w14:paraId="418DFB15"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FD3BC09"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801021027</w:t>
            </w:r>
          </w:p>
        </w:tc>
        <w:tc>
          <w:tcPr>
            <w:tcW w:w="960" w:type="dxa"/>
            <w:tcBorders>
              <w:top w:val="nil"/>
              <w:left w:val="nil"/>
              <w:bottom w:val="single" w:sz="4" w:space="0" w:color="auto"/>
              <w:right w:val="single" w:sz="4" w:space="0" w:color="auto"/>
            </w:tcBorders>
            <w:shd w:val="clear" w:color="auto" w:fill="auto"/>
            <w:noWrap/>
            <w:vAlign w:val="bottom"/>
            <w:hideMark/>
          </w:tcPr>
          <w:p w14:paraId="38E17ECF"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76</w:t>
            </w:r>
          </w:p>
        </w:tc>
        <w:tc>
          <w:tcPr>
            <w:tcW w:w="1000" w:type="dxa"/>
            <w:tcBorders>
              <w:top w:val="nil"/>
              <w:left w:val="nil"/>
              <w:bottom w:val="single" w:sz="4" w:space="0" w:color="auto"/>
              <w:right w:val="single" w:sz="4" w:space="0" w:color="auto"/>
            </w:tcBorders>
            <w:shd w:val="clear" w:color="auto" w:fill="auto"/>
            <w:noWrap/>
            <w:vAlign w:val="bottom"/>
            <w:hideMark/>
          </w:tcPr>
          <w:p w14:paraId="3DCAA75D"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481</w:t>
            </w:r>
          </w:p>
        </w:tc>
        <w:tc>
          <w:tcPr>
            <w:tcW w:w="2440" w:type="dxa"/>
            <w:tcBorders>
              <w:top w:val="nil"/>
              <w:left w:val="nil"/>
              <w:bottom w:val="single" w:sz="4" w:space="0" w:color="auto"/>
              <w:right w:val="single" w:sz="4" w:space="0" w:color="auto"/>
            </w:tcBorders>
            <w:shd w:val="clear" w:color="auto" w:fill="auto"/>
            <w:noWrap/>
            <w:vAlign w:val="bottom"/>
            <w:hideMark/>
          </w:tcPr>
          <w:p w14:paraId="22835E4C"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157.7</w:t>
            </w:r>
          </w:p>
        </w:tc>
        <w:tc>
          <w:tcPr>
            <w:tcW w:w="3120" w:type="dxa"/>
            <w:tcBorders>
              <w:top w:val="nil"/>
              <w:left w:val="nil"/>
              <w:bottom w:val="single" w:sz="4" w:space="0" w:color="auto"/>
              <w:right w:val="single" w:sz="4" w:space="0" w:color="auto"/>
            </w:tcBorders>
            <w:shd w:val="clear" w:color="auto" w:fill="auto"/>
            <w:noWrap/>
            <w:vAlign w:val="bottom"/>
            <w:hideMark/>
          </w:tcPr>
          <w:p w14:paraId="24C55657"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ACT - South West</w:t>
            </w:r>
          </w:p>
        </w:tc>
      </w:tr>
      <w:tr w:rsidR="00483AD2" w:rsidRPr="00483AD2" w14:paraId="1FE6ED80"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EE6264C"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204011061</w:t>
            </w:r>
          </w:p>
        </w:tc>
        <w:tc>
          <w:tcPr>
            <w:tcW w:w="960" w:type="dxa"/>
            <w:tcBorders>
              <w:top w:val="nil"/>
              <w:left w:val="nil"/>
              <w:bottom w:val="single" w:sz="4" w:space="0" w:color="auto"/>
              <w:right w:val="single" w:sz="4" w:space="0" w:color="auto"/>
            </w:tcBorders>
            <w:shd w:val="clear" w:color="auto" w:fill="auto"/>
            <w:noWrap/>
            <w:vAlign w:val="bottom"/>
            <w:hideMark/>
          </w:tcPr>
          <w:p w14:paraId="5E58315C"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26</w:t>
            </w:r>
          </w:p>
        </w:tc>
        <w:tc>
          <w:tcPr>
            <w:tcW w:w="1000" w:type="dxa"/>
            <w:tcBorders>
              <w:top w:val="nil"/>
              <w:left w:val="nil"/>
              <w:bottom w:val="single" w:sz="4" w:space="0" w:color="auto"/>
              <w:right w:val="single" w:sz="4" w:space="0" w:color="auto"/>
            </w:tcBorders>
            <w:shd w:val="clear" w:color="auto" w:fill="auto"/>
            <w:noWrap/>
            <w:vAlign w:val="bottom"/>
            <w:hideMark/>
          </w:tcPr>
          <w:p w14:paraId="786A8B15"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173</w:t>
            </w:r>
          </w:p>
        </w:tc>
        <w:tc>
          <w:tcPr>
            <w:tcW w:w="2440" w:type="dxa"/>
            <w:tcBorders>
              <w:top w:val="nil"/>
              <w:left w:val="nil"/>
              <w:bottom w:val="single" w:sz="4" w:space="0" w:color="auto"/>
              <w:right w:val="single" w:sz="4" w:space="0" w:color="auto"/>
            </w:tcBorders>
            <w:shd w:val="clear" w:color="auto" w:fill="auto"/>
            <w:noWrap/>
            <w:vAlign w:val="bottom"/>
            <w:hideMark/>
          </w:tcPr>
          <w:p w14:paraId="2A669DB7"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150.3</w:t>
            </w:r>
          </w:p>
        </w:tc>
        <w:tc>
          <w:tcPr>
            <w:tcW w:w="3120" w:type="dxa"/>
            <w:tcBorders>
              <w:top w:val="nil"/>
              <w:left w:val="nil"/>
              <w:bottom w:val="single" w:sz="4" w:space="0" w:color="auto"/>
              <w:right w:val="single" w:sz="4" w:space="0" w:color="auto"/>
            </w:tcBorders>
            <w:shd w:val="clear" w:color="auto" w:fill="auto"/>
            <w:noWrap/>
            <w:vAlign w:val="bottom"/>
            <w:hideMark/>
          </w:tcPr>
          <w:p w14:paraId="3DBD3D56"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Upper Yarra Valley</w:t>
            </w:r>
            <w:r w:rsidR="00677974">
              <w:rPr>
                <w:rFonts w:eastAsia="Times New Roman" w:cstheme="minorHAnsi"/>
                <w:sz w:val="20"/>
                <w:szCs w:val="20"/>
              </w:rPr>
              <w:t xml:space="preserve"> (</w:t>
            </w:r>
            <w:r w:rsidR="005D29FE">
              <w:rPr>
                <w:rFonts w:eastAsia="Times New Roman" w:cstheme="minorHAnsi"/>
                <w:sz w:val="20"/>
                <w:szCs w:val="20"/>
              </w:rPr>
              <w:t xml:space="preserve">Murray, </w:t>
            </w:r>
            <w:r w:rsidR="00677974">
              <w:rPr>
                <w:rFonts w:eastAsia="Times New Roman" w:cstheme="minorHAnsi"/>
                <w:sz w:val="20"/>
                <w:szCs w:val="20"/>
              </w:rPr>
              <w:t>Victoria)</w:t>
            </w:r>
          </w:p>
        </w:tc>
      </w:tr>
      <w:tr w:rsidR="00483AD2" w:rsidRPr="00483AD2" w14:paraId="423FDF96"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932187F"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507031168</w:t>
            </w:r>
          </w:p>
        </w:tc>
        <w:tc>
          <w:tcPr>
            <w:tcW w:w="960" w:type="dxa"/>
            <w:tcBorders>
              <w:top w:val="nil"/>
              <w:left w:val="nil"/>
              <w:bottom w:val="single" w:sz="4" w:space="0" w:color="auto"/>
              <w:right w:val="single" w:sz="4" w:space="0" w:color="auto"/>
            </w:tcBorders>
            <w:shd w:val="clear" w:color="auto" w:fill="auto"/>
            <w:noWrap/>
            <w:vAlign w:val="bottom"/>
            <w:hideMark/>
          </w:tcPr>
          <w:p w14:paraId="11E2A78A"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137</w:t>
            </w:r>
          </w:p>
        </w:tc>
        <w:tc>
          <w:tcPr>
            <w:tcW w:w="1000" w:type="dxa"/>
            <w:tcBorders>
              <w:top w:val="nil"/>
              <w:left w:val="nil"/>
              <w:bottom w:val="single" w:sz="4" w:space="0" w:color="auto"/>
              <w:right w:val="single" w:sz="4" w:space="0" w:color="auto"/>
            </w:tcBorders>
            <w:shd w:val="clear" w:color="auto" w:fill="auto"/>
            <w:noWrap/>
            <w:vAlign w:val="bottom"/>
            <w:hideMark/>
          </w:tcPr>
          <w:p w14:paraId="3F422616"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1,117</w:t>
            </w:r>
          </w:p>
        </w:tc>
        <w:tc>
          <w:tcPr>
            <w:tcW w:w="2440" w:type="dxa"/>
            <w:tcBorders>
              <w:top w:val="nil"/>
              <w:left w:val="nil"/>
              <w:bottom w:val="single" w:sz="4" w:space="0" w:color="auto"/>
              <w:right w:val="single" w:sz="4" w:space="0" w:color="auto"/>
            </w:tcBorders>
            <w:shd w:val="clear" w:color="auto" w:fill="auto"/>
            <w:noWrap/>
            <w:vAlign w:val="bottom"/>
            <w:hideMark/>
          </w:tcPr>
          <w:p w14:paraId="67BBE25F"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122.9</w:t>
            </w:r>
          </w:p>
        </w:tc>
        <w:tc>
          <w:tcPr>
            <w:tcW w:w="3120" w:type="dxa"/>
            <w:tcBorders>
              <w:top w:val="nil"/>
              <w:left w:val="nil"/>
              <w:bottom w:val="single" w:sz="4" w:space="0" w:color="auto"/>
              <w:right w:val="single" w:sz="4" w:space="0" w:color="auto"/>
            </w:tcBorders>
            <w:shd w:val="clear" w:color="auto" w:fill="auto"/>
            <w:noWrap/>
            <w:vAlign w:val="bottom"/>
            <w:hideMark/>
          </w:tcPr>
          <w:p w14:paraId="2DE8422F"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 xml:space="preserve">Anketell </w:t>
            </w:r>
            <w:r w:rsidR="00677974">
              <w:rPr>
                <w:rFonts w:eastAsia="Times New Roman" w:cstheme="minorHAnsi"/>
                <w:sz w:val="20"/>
                <w:szCs w:val="20"/>
              </w:rPr>
              <w:t>–</w:t>
            </w:r>
            <w:r w:rsidRPr="00483AD2">
              <w:rPr>
                <w:rFonts w:eastAsia="Times New Roman" w:cstheme="minorHAnsi"/>
                <w:sz w:val="20"/>
                <w:szCs w:val="20"/>
              </w:rPr>
              <w:t xml:space="preserve"> Wandi</w:t>
            </w:r>
            <w:r w:rsidR="00677974">
              <w:rPr>
                <w:rFonts w:eastAsia="Times New Roman" w:cstheme="minorHAnsi"/>
                <w:sz w:val="20"/>
                <w:szCs w:val="20"/>
              </w:rPr>
              <w:t xml:space="preserve"> (</w:t>
            </w:r>
            <w:r w:rsidR="005D29FE">
              <w:rPr>
                <w:rFonts w:eastAsia="Times New Roman" w:cstheme="minorHAnsi"/>
                <w:sz w:val="20"/>
                <w:szCs w:val="20"/>
              </w:rPr>
              <w:t xml:space="preserve">Perth South, </w:t>
            </w:r>
            <w:r w:rsidR="00677974">
              <w:rPr>
                <w:rFonts w:eastAsia="Times New Roman" w:cstheme="minorHAnsi"/>
                <w:sz w:val="20"/>
                <w:szCs w:val="20"/>
              </w:rPr>
              <w:t>Western Australia)</w:t>
            </w:r>
          </w:p>
        </w:tc>
      </w:tr>
      <w:tr w:rsidR="00483AD2" w:rsidRPr="00483AD2" w14:paraId="247AAE7D"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7716784"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801031030</w:t>
            </w:r>
          </w:p>
        </w:tc>
        <w:tc>
          <w:tcPr>
            <w:tcW w:w="960" w:type="dxa"/>
            <w:tcBorders>
              <w:top w:val="nil"/>
              <w:left w:val="nil"/>
              <w:bottom w:val="single" w:sz="4" w:space="0" w:color="auto"/>
              <w:right w:val="single" w:sz="4" w:space="0" w:color="auto"/>
            </w:tcBorders>
            <w:shd w:val="clear" w:color="auto" w:fill="auto"/>
            <w:noWrap/>
            <w:vAlign w:val="bottom"/>
            <w:hideMark/>
          </w:tcPr>
          <w:p w14:paraId="449D0D9E"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108</w:t>
            </w:r>
          </w:p>
        </w:tc>
        <w:tc>
          <w:tcPr>
            <w:tcW w:w="1000" w:type="dxa"/>
            <w:tcBorders>
              <w:top w:val="nil"/>
              <w:left w:val="nil"/>
              <w:bottom w:val="single" w:sz="4" w:space="0" w:color="auto"/>
              <w:right w:val="single" w:sz="4" w:space="0" w:color="auto"/>
            </w:tcBorders>
            <w:shd w:val="clear" w:color="auto" w:fill="auto"/>
            <w:noWrap/>
            <w:vAlign w:val="bottom"/>
            <w:hideMark/>
          </w:tcPr>
          <w:p w14:paraId="582037FF"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1,021</w:t>
            </w:r>
          </w:p>
        </w:tc>
        <w:tc>
          <w:tcPr>
            <w:tcW w:w="2440" w:type="dxa"/>
            <w:tcBorders>
              <w:top w:val="nil"/>
              <w:left w:val="nil"/>
              <w:bottom w:val="single" w:sz="4" w:space="0" w:color="auto"/>
              <w:right w:val="single" w:sz="4" w:space="0" w:color="auto"/>
            </w:tcBorders>
            <w:shd w:val="clear" w:color="auto" w:fill="auto"/>
            <w:noWrap/>
            <w:vAlign w:val="bottom"/>
            <w:hideMark/>
          </w:tcPr>
          <w:p w14:paraId="6711040E"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105.8</w:t>
            </w:r>
          </w:p>
        </w:tc>
        <w:tc>
          <w:tcPr>
            <w:tcW w:w="3120" w:type="dxa"/>
            <w:tcBorders>
              <w:top w:val="nil"/>
              <w:left w:val="nil"/>
              <w:bottom w:val="single" w:sz="4" w:space="0" w:color="auto"/>
              <w:right w:val="single" w:sz="4" w:space="0" w:color="auto"/>
            </w:tcBorders>
            <w:shd w:val="clear" w:color="auto" w:fill="auto"/>
            <w:noWrap/>
            <w:vAlign w:val="bottom"/>
            <w:hideMark/>
          </w:tcPr>
          <w:p w14:paraId="12D585CC"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ACT - East</w:t>
            </w:r>
          </w:p>
        </w:tc>
      </w:tr>
      <w:tr w:rsidR="00483AD2" w:rsidRPr="00483AD2" w14:paraId="78EF0E2A"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184C0EA"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213041359</w:t>
            </w:r>
          </w:p>
        </w:tc>
        <w:tc>
          <w:tcPr>
            <w:tcW w:w="960" w:type="dxa"/>
            <w:tcBorders>
              <w:top w:val="nil"/>
              <w:left w:val="nil"/>
              <w:bottom w:val="single" w:sz="4" w:space="0" w:color="auto"/>
              <w:right w:val="single" w:sz="4" w:space="0" w:color="auto"/>
            </w:tcBorders>
            <w:shd w:val="clear" w:color="auto" w:fill="auto"/>
            <w:noWrap/>
            <w:vAlign w:val="bottom"/>
            <w:hideMark/>
          </w:tcPr>
          <w:p w14:paraId="2CE979C5"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13F14D37"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1,760</w:t>
            </w:r>
          </w:p>
        </w:tc>
        <w:tc>
          <w:tcPr>
            <w:tcW w:w="2440" w:type="dxa"/>
            <w:tcBorders>
              <w:top w:val="nil"/>
              <w:left w:val="nil"/>
              <w:bottom w:val="single" w:sz="4" w:space="0" w:color="auto"/>
              <w:right w:val="single" w:sz="4" w:space="0" w:color="auto"/>
            </w:tcBorders>
            <w:shd w:val="clear" w:color="auto" w:fill="auto"/>
            <w:noWrap/>
            <w:vAlign w:val="bottom"/>
            <w:hideMark/>
          </w:tcPr>
          <w:p w14:paraId="2B2BF7DF"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62.1</w:t>
            </w:r>
          </w:p>
        </w:tc>
        <w:tc>
          <w:tcPr>
            <w:tcW w:w="3120" w:type="dxa"/>
            <w:tcBorders>
              <w:top w:val="nil"/>
              <w:left w:val="nil"/>
              <w:bottom w:val="single" w:sz="4" w:space="0" w:color="auto"/>
              <w:right w:val="single" w:sz="4" w:space="0" w:color="auto"/>
            </w:tcBorders>
            <w:shd w:val="clear" w:color="auto" w:fill="auto"/>
            <w:noWrap/>
            <w:vAlign w:val="bottom"/>
            <w:hideMark/>
          </w:tcPr>
          <w:p w14:paraId="50D0E507"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Rockbank - Mount Cottrell</w:t>
            </w:r>
            <w:r w:rsidR="00677974">
              <w:rPr>
                <w:rFonts w:eastAsia="Times New Roman" w:cstheme="minorHAnsi"/>
                <w:sz w:val="20"/>
                <w:szCs w:val="20"/>
              </w:rPr>
              <w:t xml:space="preserve"> (</w:t>
            </w:r>
            <w:r w:rsidR="005D29FE">
              <w:rPr>
                <w:rFonts w:eastAsia="Times New Roman" w:cstheme="minorHAnsi"/>
                <w:sz w:val="20"/>
                <w:szCs w:val="20"/>
              </w:rPr>
              <w:t xml:space="preserve">North Western Melbourne, </w:t>
            </w:r>
            <w:r w:rsidR="00677974">
              <w:rPr>
                <w:rFonts w:eastAsia="Times New Roman" w:cstheme="minorHAnsi"/>
                <w:sz w:val="20"/>
                <w:szCs w:val="20"/>
              </w:rPr>
              <w:t>Victoria)</w:t>
            </w:r>
          </w:p>
        </w:tc>
      </w:tr>
      <w:tr w:rsidR="00483AD2" w:rsidRPr="00483AD2" w14:paraId="5FBE752F"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5FF4C2F"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309071254</w:t>
            </w:r>
          </w:p>
        </w:tc>
        <w:tc>
          <w:tcPr>
            <w:tcW w:w="960" w:type="dxa"/>
            <w:tcBorders>
              <w:top w:val="nil"/>
              <w:left w:val="nil"/>
              <w:bottom w:val="single" w:sz="4" w:space="0" w:color="auto"/>
              <w:right w:val="single" w:sz="4" w:space="0" w:color="auto"/>
            </w:tcBorders>
            <w:shd w:val="clear" w:color="auto" w:fill="auto"/>
            <w:noWrap/>
            <w:vAlign w:val="bottom"/>
            <w:hideMark/>
          </w:tcPr>
          <w:p w14:paraId="2E1A6258"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150</w:t>
            </w:r>
          </w:p>
        </w:tc>
        <w:tc>
          <w:tcPr>
            <w:tcW w:w="1000" w:type="dxa"/>
            <w:tcBorders>
              <w:top w:val="nil"/>
              <w:left w:val="nil"/>
              <w:bottom w:val="single" w:sz="4" w:space="0" w:color="auto"/>
              <w:right w:val="single" w:sz="4" w:space="0" w:color="auto"/>
            </w:tcBorders>
            <w:shd w:val="clear" w:color="auto" w:fill="auto"/>
            <w:noWrap/>
            <w:vAlign w:val="bottom"/>
            <w:hideMark/>
          </w:tcPr>
          <w:p w14:paraId="453B9772"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2,508</w:t>
            </w:r>
          </w:p>
        </w:tc>
        <w:tc>
          <w:tcPr>
            <w:tcW w:w="2440" w:type="dxa"/>
            <w:tcBorders>
              <w:top w:val="nil"/>
              <w:left w:val="nil"/>
              <w:bottom w:val="single" w:sz="4" w:space="0" w:color="auto"/>
              <w:right w:val="single" w:sz="4" w:space="0" w:color="auto"/>
            </w:tcBorders>
            <w:shd w:val="clear" w:color="auto" w:fill="auto"/>
            <w:noWrap/>
            <w:vAlign w:val="bottom"/>
            <w:hideMark/>
          </w:tcPr>
          <w:p w14:paraId="1A2DC336"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59.8</w:t>
            </w:r>
          </w:p>
        </w:tc>
        <w:tc>
          <w:tcPr>
            <w:tcW w:w="3120" w:type="dxa"/>
            <w:tcBorders>
              <w:top w:val="nil"/>
              <w:left w:val="nil"/>
              <w:bottom w:val="single" w:sz="4" w:space="0" w:color="auto"/>
              <w:right w:val="single" w:sz="4" w:space="0" w:color="auto"/>
            </w:tcBorders>
            <w:shd w:val="clear" w:color="auto" w:fill="auto"/>
            <w:noWrap/>
            <w:vAlign w:val="bottom"/>
            <w:hideMark/>
          </w:tcPr>
          <w:p w14:paraId="68A6BD71"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 xml:space="preserve">Jacobs Well </w:t>
            </w:r>
            <w:r w:rsidR="00677974">
              <w:rPr>
                <w:rFonts w:eastAsia="Times New Roman" w:cstheme="minorHAnsi"/>
                <w:sz w:val="20"/>
                <w:szCs w:val="20"/>
              </w:rPr>
              <w:t>–</w:t>
            </w:r>
            <w:r w:rsidRPr="00483AD2">
              <w:rPr>
                <w:rFonts w:eastAsia="Times New Roman" w:cstheme="minorHAnsi"/>
                <w:sz w:val="20"/>
                <w:szCs w:val="20"/>
              </w:rPr>
              <w:t xml:space="preserve"> Alberton</w:t>
            </w:r>
            <w:r w:rsidR="00677974">
              <w:rPr>
                <w:rFonts w:eastAsia="Times New Roman" w:cstheme="minorHAnsi"/>
                <w:sz w:val="20"/>
                <w:szCs w:val="20"/>
              </w:rPr>
              <w:t xml:space="preserve"> (</w:t>
            </w:r>
            <w:r w:rsidR="005D29FE">
              <w:rPr>
                <w:rFonts w:eastAsia="Times New Roman" w:cstheme="minorHAnsi"/>
                <w:sz w:val="20"/>
                <w:szCs w:val="20"/>
              </w:rPr>
              <w:t xml:space="preserve">Gold Coast, </w:t>
            </w:r>
            <w:r w:rsidR="00677974">
              <w:rPr>
                <w:rFonts w:eastAsia="Times New Roman" w:cstheme="minorHAnsi"/>
                <w:sz w:val="20"/>
                <w:szCs w:val="20"/>
              </w:rPr>
              <w:t>Queensland)</w:t>
            </w:r>
          </w:p>
        </w:tc>
      </w:tr>
      <w:tr w:rsidR="00483AD2" w:rsidRPr="00483AD2" w14:paraId="44FA6E4F" w14:textId="77777777" w:rsidTr="00483AD2">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8A283D0"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319041516</w:t>
            </w:r>
          </w:p>
        </w:tc>
        <w:tc>
          <w:tcPr>
            <w:tcW w:w="960" w:type="dxa"/>
            <w:tcBorders>
              <w:top w:val="nil"/>
              <w:left w:val="nil"/>
              <w:bottom w:val="single" w:sz="4" w:space="0" w:color="auto"/>
              <w:right w:val="single" w:sz="4" w:space="0" w:color="auto"/>
            </w:tcBorders>
            <w:shd w:val="clear" w:color="auto" w:fill="auto"/>
            <w:noWrap/>
            <w:vAlign w:val="bottom"/>
            <w:hideMark/>
          </w:tcPr>
          <w:p w14:paraId="7DA78013"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146</w:t>
            </w:r>
          </w:p>
        </w:tc>
        <w:tc>
          <w:tcPr>
            <w:tcW w:w="1000" w:type="dxa"/>
            <w:tcBorders>
              <w:top w:val="nil"/>
              <w:left w:val="nil"/>
              <w:bottom w:val="single" w:sz="4" w:space="0" w:color="auto"/>
              <w:right w:val="single" w:sz="4" w:space="0" w:color="auto"/>
            </w:tcBorders>
            <w:shd w:val="clear" w:color="auto" w:fill="auto"/>
            <w:noWrap/>
            <w:vAlign w:val="bottom"/>
            <w:hideMark/>
          </w:tcPr>
          <w:p w14:paraId="1DE95DFA"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2,699</w:t>
            </w:r>
          </w:p>
        </w:tc>
        <w:tc>
          <w:tcPr>
            <w:tcW w:w="2440" w:type="dxa"/>
            <w:tcBorders>
              <w:top w:val="nil"/>
              <w:left w:val="nil"/>
              <w:bottom w:val="single" w:sz="4" w:space="0" w:color="auto"/>
              <w:right w:val="single" w:sz="4" w:space="0" w:color="auto"/>
            </w:tcBorders>
            <w:shd w:val="clear" w:color="auto" w:fill="auto"/>
            <w:noWrap/>
            <w:vAlign w:val="bottom"/>
            <w:hideMark/>
          </w:tcPr>
          <w:p w14:paraId="1CC70A14" w14:textId="77777777" w:rsidR="00483AD2" w:rsidRPr="00483AD2" w:rsidRDefault="00483AD2" w:rsidP="00EF5D3B">
            <w:pPr>
              <w:spacing w:after="0"/>
              <w:jc w:val="center"/>
              <w:rPr>
                <w:rFonts w:eastAsia="Times New Roman" w:cstheme="minorHAnsi"/>
                <w:sz w:val="20"/>
                <w:szCs w:val="20"/>
              </w:rPr>
            </w:pPr>
            <w:r w:rsidRPr="00483AD2">
              <w:rPr>
                <w:rFonts w:eastAsia="Times New Roman" w:cstheme="minorHAnsi"/>
                <w:sz w:val="20"/>
                <w:szCs w:val="20"/>
              </w:rPr>
              <w:t>53.9</w:t>
            </w:r>
          </w:p>
        </w:tc>
        <w:tc>
          <w:tcPr>
            <w:tcW w:w="3120" w:type="dxa"/>
            <w:tcBorders>
              <w:top w:val="nil"/>
              <w:left w:val="nil"/>
              <w:bottom w:val="single" w:sz="4" w:space="0" w:color="auto"/>
              <w:right w:val="single" w:sz="4" w:space="0" w:color="auto"/>
            </w:tcBorders>
            <w:shd w:val="clear" w:color="auto" w:fill="auto"/>
            <w:noWrap/>
            <w:vAlign w:val="bottom"/>
            <w:hideMark/>
          </w:tcPr>
          <w:p w14:paraId="1ADA54F8" w14:textId="77777777" w:rsidR="00483AD2" w:rsidRPr="00483AD2" w:rsidRDefault="00483AD2" w:rsidP="00EF5D3B">
            <w:pPr>
              <w:spacing w:after="0"/>
              <w:rPr>
                <w:rFonts w:eastAsia="Times New Roman" w:cstheme="minorHAnsi"/>
                <w:sz w:val="20"/>
                <w:szCs w:val="20"/>
              </w:rPr>
            </w:pPr>
            <w:r w:rsidRPr="00483AD2">
              <w:rPr>
                <w:rFonts w:eastAsia="Times New Roman" w:cstheme="minorHAnsi"/>
                <w:sz w:val="20"/>
                <w:szCs w:val="20"/>
              </w:rPr>
              <w:t>Booral - River Heads</w:t>
            </w:r>
            <w:r w:rsidR="00677974">
              <w:rPr>
                <w:rFonts w:eastAsia="Times New Roman" w:cstheme="minorHAnsi"/>
                <w:sz w:val="20"/>
                <w:szCs w:val="20"/>
              </w:rPr>
              <w:t xml:space="preserve"> (</w:t>
            </w:r>
            <w:r w:rsidR="005D29FE">
              <w:rPr>
                <w:rFonts w:eastAsia="Times New Roman" w:cstheme="minorHAnsi"/>
                <w:sz w:val="20"/>
                <w:szCs w:val="20"/>
              </w:rPr>
              <w:t xml:space="preserve">Central </w:t>
            </w:r>
            <w:r w:rsidR="00677974">
              <w:rPr>
                <w:rFonts w:eastAsia="Times New Roman" w:cstheme="minorHAnsi"/>
                <w:sz w:val="20"/>
                <w:szCs w:val="20"/>
              </w:rPr>
              <w:t>Queensland)</w:t>
            </w:r>
          </w:p>
        </w:tc>
      </w:tr>
    </w:tbl>
    <w:p w14:paraId="566699B9" w14:textId="77777777" w:rsidR="008B6B83" w:rsidRPr="001922BE" w:rsidRDefault="001922BE" w:rsidP="00EF5D3B">
      <w:pPr>
        <w:rPr>
          <w:sz w:val="20"/>
          <w:szCs w:val="20"/>
        </w:rPr>
      </w:pPr>
      <w:r w:rsidRPr="001922BE">
        <w:rPr>
          <w:sz w:val="20"/>
          <w:szCs w:val="20"/>
        </w:rPr>
        <w:t>Note: ERP = estimated resident population for a given SA2 region.</w:t>
      </w:r>
    </w:p>
    <w:p w14:paraId="392443EC" w14:textId="77777777" w:rsidR="00483AD2" w:rsidRDefault="005958DC" w:rsidP="00EF5D3B">
      <w:r>
        <w:t>Prescribing by GPs was represented in more regions compared to prescribi</w:t>
      </w:r>
      <w:r w:rsidR="00E37DAE">
        <w:t>ng by specialists (see Figure 13 versus Figure 14</w:t>
      </w:r>
      <w:r>
        <w:t xml:space="preserve">). </w:t>
      </w:r>
      <w:r w:rsidR="00CF7DA5">
        <w:t xml:space="preserve">An exception was the Northern Territory where only prescribing by specialists was identified within the Roper Gulf and Barkley </w:t>
      </w:r>
      <w:r w:rsidR="003528D4">
        <w:t xml:space="preserve">regions </w:t>
      </w:r>
      <w:r w:rsidR="00CF7DA5">
        <w:t>(Figure</w:t>
      </w:r>
      <w:r w:rsidR="006C0500">
        <w:t> </w:t>
      </w:r>
      <w:r w:rsidR="00D155BB">
        <w:t>13</w:t>
      </w:r>
      <w:r w:rsidR="00CF7DA5">
        <w:t>).</w:t>
      </w:r>
    </w:p>
    <w:p w14:paraId="3F4E75EC" w14:textId="77777777" w:rsidR="00FF31A4" w:rsidRDefault="00FF31A4" w:rsidP="00EF5D3B"/>
    <w:p w14:paraId="400EB99F" w14:textId="77777777" w:rsidR="00D7409E" w:rsidRDefault="00D7409E" w:rsidP="00EF5D3B">
      <w:pPr>
        <w:sectPr w:rsidR="00D7409E" w:rsidSect="00051F26">
          <w:pgSz w:w="11906" w:h="16838"/>
          <w:pgMar w:top="1644" w:right="1361" w:bottom="1644" w:left="1588" w:header="709" w:footer="709" w:gutter="0"/>
          <w:cols w:space="708"/>
          <w:docGrid w:linePitch="360"/>
        </w:sectPr>
      </w:pPr>
    </w:p>
    <w:p w14:paraId="0FF3EF44" w14:textId="77777777" w:rsidR="00FF31A4" w:rsidRDefault="00D7409E" w:rsidP="00EF5D3B">
      <w:r>
        <w:rPr>
          <w:noProof/>
        </w:rPr>
        <w:drawing>
          <wp:inline distT="0" distB="0" distL="0" distR="0" wp14:anchorId="1A7D4CB4" wp14:editId="53F44412">
            <wp:extent cx="7391400" cy="5154983"/>
            <wp:effectExtent l="0" t="0" r="0" b="7620"/>
            <wp:docPr id="9" name="Picture 9" descr="Age and gender standardised treatment rates per 1000 population for all prescribers"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91400" cy="5154983"/>
                    </a:xfrm>
                    <a:prstGeom prst="rect">
                      <a:avLst/>
                    </a:prstGeom>
                    <a:noFill/>
                    <a:ln>
                      <a:noFill/>
                    </a:ln>
                  </pic:spPr>
                </pic:pic>
              </a:graphicData>
            </a:graphic>
          </wp:inline>
        </w:drawing>
      </w:r>
    </w:p>
    <w:p w14:paraId="1C2EC9C3" w14:textId="77777777" w:rsidR="00D7409E" w:rsidRPr="00385301" w:rsidRDefault="00D7409E" w:rsidP="00385301">
      <w:pPr>
        <w:rPr>
          <w:b/>
        </w:rPr>
      </w:pPr>
      <w:r w:rsidRPr="00385301">
        <w:rPr>
          <w:b/>
        </w:rPr>
        <w:t xml:space="preserve">Figure </w:t>
      </w:r>
      <w:r w:rsidR="00E37DAE" w:rsidRPr="00385301">
        <w:rPr>
          <w:b/>
        </w:rPr>
        <w:t>12</w:t>
      </w:r>
      <w:r w:rsidR="00AD5A9B" w:rsidRPr="00385301">
        <w:rPr>
          <w:b/>
        </w:rPr>
        <w:t>:</w:t>
      </w:r>
      <w:r w:rsidRPr="00385301">
        <w:rPr>
          <w:b/>
        </w:rPr>
        <w:t xml:space="preserve"> Treatment rates per 1,000 population </w:t>
      </w:r>
      <w:r w:rsidR="002248BC" w:rsidRPr="00385301">
        <w:rPr>
          <w:b/>
        </w:rPr>
        <w:t>standardised by age and gender for all prescribers (n=</w:t>
      </w:r>
      <w:r w:rsidR="00837200" w:rsidRPr="00385301">
        <w:rPr>
          <w:b/>
        </w:rPr>
        <w:t xml:space="preserve">4,201), </w:t>
      </w:r>
      <w:r w:rsidRPr="00385301">
        <w:rPr>
          <w:b/>
        </w:rPr>
        <w:t>2017</w:t>
      </w:r>
    </w:p>
    <w:p w14:paraId="49FF114F" w14:textId="77777777" w:rsidR="00D7409E" w:rsidRDefault="00F168A0" w:rsidP="00EF5D3B">
      <w:r>
        <w:rPr>
          <w:noProof/>
        </w:rPr>
        <w:drawing>
          <wp:inline distT="0" distB="0" distL="0" distR="0" wp14:anchorId="5CE44698" wp14:editId="3C75302D">
            <wp:extent cx="7154089" cy="4972050"/>
            <wp:effectExtent l="0" t="0" r="8890" b="0"/>
            <wp:docPr id="10" name="Picture 10" descr="Age and gender standardised treatment rates for specialists"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54089" cy="4972050"/>
                    </a:xfrm>
                    <a:prstGeom prst="rect">
                      <a:avLst/>
                    </a:prstGeom>
                    <a:noFill/>
                    <a:ln>
                      <a:noFill/>
                    </a:ln>
                  </pic:spPr>
                </pic:pic>
              </a:graphicData>
            </a:graphic>
          </wp:inline>
        </w:drawing>
      </w:r>
    </w:p>
    <w:p w14:paraId="5947EAE0" w14:textId="77777777" w:rsidR="00AD5A9B" w:rsidRPr="00385301" w:rsidRDefault="00AD5A9B" w:rsidP="00385301">
      <w:pPr>
        <w:rPr>
          <w:b/>
        </w:rPr>
      </w:pPr>
      <w:r w:rsidRPr="00385301">
        <w:rPr>
          <w:b/>
        </w:rPr>
        <w:t xml:space="preserve">Figure </w:t>
      </w:r>
      <w:r w:rsidR="00E37DAE" w:rsidRPr="00385301">
        <w:rPr>
          <w:b/>
        </w:rPr>
        <w:t>13</w:t>
      </w:r>
      <w:r w:rsidRPr="00385301">
        <w:rPr>
          <w:b/>
        </w:rPr>
        <w:t>: Treatment rates per 1,000 population standardised by age and gender</w:t>
      </w:r>
      <w:r w:rsidR="00300B46" w:rsidRPr="00385301">
        <w:rPr>
          <w:b/>
        </w:rPr>
        <w:t xml:space="preserve"> for prescriptions attributed to specialists</w:t>
      </w:r>
      <w:r w:rsidR="00563343" w:rsidRPr="00385301">
        <w:rPr>
          <w:b/>
        </w:rPr>
        <w:t xml:space="preserve"> (n=714)</w:t>
      </w:r>
      <w:r w:rsidRPr="00385301">
        <w:rPr>
          <w:b/>
        </w:rPr>
        <w:t>, 2017</w:t>
      </w:r>
    </w:p>
    <w:p w14:paraId="370A71C9" w14:textId="77777777" w:rsidR="00F168A0" w:rsidRDefault="005A3108" w:rsidP="00EF5D3B">
      <w:r>
        <w:rPr>
          <w:noProof/>
        </w:rPr>
        <w:drawing>
          <wp:inline distT="0" distB="0" distL="0" distR="0" wp14:anchorId="76C60AF5" wp14:editId="269F4653">
            <wp:extent cx="6981825" cy="4835441"/>
            <wp:effectExtent l="0" t="0" r="0" b="3810"/>
            <wp:docPr id="11" name="Picture 11" descr="Age and gender standardised treatment rates for general practitioners"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84525" cy="4837311"/>
                    </a:xfrm>
                    <a:prstGeom prst="rect">
                      <a:avLst/>
                    </a:prstGeom>
                    <a:noFill/>
                    <a:ln>
                      <a:noFill/>
                    </a:ln>
                  </pic:spPr>
                </pic:pic>
              </a:graphicData>
            </a:graphic>
          </wp:inline>
        </w:drawing>
      </w:r>
    </w:p>
    <w:p w14:paraId="26BC00C4" w14:textId="77777777" w:rsidR="005A3108" w:rsidRPr="00385301" w:rsidRDefault="005A3108" w:rsidP="00385301">
      <w:pPr>
        <w:rPr>
          <w:b/>
        </w:rPr>
      </w:pPr>
      <w:r w:rsidRPr="00385301">
        <w:rPr>
          <w:b/>
        </w:rPr>
        <w:t>Figure 1</w:t>
      </w:r>
      <w:r w:rsidR="00E37DAE" w:rsidRPr="00385301">
        <w:rPr>
          <w:b/>
        </w:rPr>
        <w:t>4</w:t>
      </w:r>
      <w:r w:rsidRPr="00385301">
        <w:rPr>
          <w:b/>
        </w:rPr>
        <w:t>: Treatment rates per 1,000 population standardised by age and gender for prescriptions attributed to general practitioners</w:t>
      </w:r>
      <w:r w:rsidR="009E4E86" w:rsidRPr="00385301">
        <w:rPr>
          <w:b/>
        </w:rPr>
        <w:t xml:space="preserve"> (n=3,478)</w:t>
      </w:r>
      <w:r w:rsidRPr="00385301">
        <w:rPr>
          <w:b/>
        </w:rPr>
        <w:t>, 2017</w:t>
      </w:r>
    </w:p>
    <w:p w14:paraId="15762364" w14:textId="77777777" w:rsidR="002622E7" w:rsidRDefault="002622E7" w:rsidP="00EF5D3B"/>
    <w:p w14:paraId="7038720A" w14:textId="77777777" w:rsidR="00D7409E" w:rsidRDefault="00D7409E" w:rsidP="00EF5D3B">
      <w:pPr>
        <w:sectPr w:rsidR="00D7409E" w:rsidSect="00D7409E">
          <w:pgSz w:w="16838" w:h="11906" w:orient="landscape"/>
          <w:pgMar w:top="1588" w:right="1644" w:bottom="1361" w:left="1644" w:header="709" w:footer="709" w:gutter="0"/>
          <w:cols w:space="708"/>
          <w:docGrid w:linePitch="360"/>
        </w:sectPr>
      </w:pPr>
    </w:p>
    <w:p w14:paraId="407BEB1C" w14:textId="77777777" w:rsidR="00736041" w:rsidRPr="005E22C2" w:rsidRDefault="00D151EB" w:rsidP="00EF5D3B">
      <w:pPr>
        <w:pStyle w:val="Heading2"/>
      </w:pPr>
      <w:r w:rsidRPr="00100597">
        <w:t xml:space="preserve">Analysis </w:t>
      </w:r>
      <w:r w:rsidR="00C0076F" w:rsidRPr="00100597">
        <w:t xml:space="preserve">of </w:t>
      </w:r>
      <w:r w:rsidR="0063631C" w:rsidRPr="00100597">
        <w:t>a</w:t>
      </w:r>
      <w:r w:rsidR="00C0076F" w:rsidRPr="00100597">
        <w:t xml:space="preserve">ctual versus </w:t>
      </w:r>
      <w:r w:rsidR="0063631C" w:rsidRPr="00100597">
        <w:t>p</w:t>
      </w:r>
      <w:r w:rsidR="00C0076F" w:rsidRPr="00100597">
        <w:t xml:space="preserve">redicted </w:t>
      </w:r>
      <w:r w:rsidR="0063631C" w:rsidRPr="00100597">
        <w:t>u</w:t>
      </w:r>
      <w:r w:rsidR="00C0076F" w:rsidRPr="00100597">
        <w:t>tilisation</w:t>
      </w:r>
    </w:p>
    <w:p w14:paraId="62BB5060" w14:textId="08173DE2" w:rsidR="00100597" w:rsidRPr="00B9552A" w:rsidRDefault="00486A55" w:rsidP="00EF5D3B">
      <w:pPr>
        <w:spacing w:after="0"/>
        <w:rPr>
          <w:szCs w:val="22"/>
        </w:rPr>
      </w:pPr>
      <w:r>
        <w:rPr>
          <w:szCs w:val="22"/>
        </w:rPr>
        <w:t xml:space="preserve">Table </w:t>
      </w:r>
      <w:r w:rsidR="00EF5D3B">
        <w:rPr>
          <w:szCs w:val="22"/>
        </w:rPr>
        <w:t>8</w:t>
      </w:r>
      <w:r w:rsidR="002B42EF">
        <w:rPr>
          <w:szCs w:val="22"/>
        </w:rPr>
        <w:t xml:space="preserve"> presents a comparison of the estimated versus actual utilisation of the DAA medicines over the first two years of listing.</w:t>
      </w:r>
    </w:p>
    <w:p w14:paraId="47075D6C" w14:textId="26283680" w:rsidR="00A54BC7" w:rsidRPr="00EB5E6F" w:rsidRDefault="00EB5E6F" w:rsidP="00EF5D3B">
      <w:pPr>
        <w:spacing w:after="0"/>
        <w:rPr>
          <w:highlight w:val="black"/>
        </w:rPr>
      </w:pPr>
      <w:r>
        <w:rPr>
          <w:noProof/>
          <w:color w:val="000000"/>
          <w:szCs w:val="22"/>
          <w:highlight w:val="black"/>
        </w:rPr>
        <w:t>''''''' '''''''''''''''''' '''''''''''' ''''''''' ''''''''''''''' '''''''''' '''''' ''''''''''''''''' '''''''''''''''''</w:t>
      </w:r>
      <w:r w:rsidR="00B9552A">
        <w:rPr>
          <w:noProof/>
          <w:color w:val="000000"/>
          <w:szCs w:val="22"/>
          <w:highlight w:val="black"/>
        </w:rPr>
        <w:t>'' '''''''''''' ''''''''''''''''''''''''''''''''</w:t>
      </w:r>
      <w:r>
        <w:rPr>
          <w:noProof/>
          <w:color w:val="000000"/>
          <w:szCs w:val="22"/>
          <w:highlight w:val="black"/>
        </w:rPr>
        <w:t>''''''''''''''''' ''''''''''''''''''''' '''''''''' ''''''''''''''' ''''' ''''''' '''''''''''''''' '''' ''''''''' ''''''' '''''''''''' '''''''' '''''' ''''''''''''' ''''''''' '''' '''''''''' ''''' ''''''''''''''' '''''''''' '''''''' ''''''' '''''''''''' '</w:t>
      </w:r>
      <w:r w:rsidR="00B9552A">
        <w:rPr>
          <w:noProof/>
          <w:color w:val="000000"/>
          <w:szCs w:val="22"/>
          <w:highlight w:val="black"/>
        </w:rPr>
        <w:t>''''''''''''''''''' '''''''''''</w:t>
      </w:r>
    </w:p>
    <w:p w14:paraId="5D12212D" w14:textId="4ECAB72B" w:rsidR="00E35FD3" w:rsidRPr="00B9552A" w:rsidRDefault="00486A55" w:rsidP="00B9552A">
      <w:pPr>
        <w:rPr>
          <w:b/>
        </w:rPr>
      </w:pPr>
      <w:r w:rsidRPr="00385301">
        <w:rPr>
          <w:b/>
        </w:rPr>
        <w:t xml:space="preserve">Table </w:t>
      </w:r>
      <w:r w:rsidR="00EF5D3B" w:rsidRPr="00385301">
        <w:rPr>
          <w:b/>
        </w:rPr>
        <w:t>8</w:t>
      </w:r>
      <w:r w:rsidR="00A54BC7" w:rsidRPr="00385301">
        <w:rPr>
          <w:b/>
        </w:rPr>
        <w:t>: Predicted versus actual number of treated patients, number of prescriptions and comparison of hepatitis C virus genotype and cirrhotic status profiles</w:t>
      </w:r>
    </w:p>
    <w:tbl>
      <w:tblPr>
        <w:tblStyle w:val="TableGrid"/>
        <w:tblW w:w="0" w:type="auto"/>
        <w:tblLook w:val="04A0" w:firstRow="1" w:lastRow="0" w:firstColumn="1" w:lastColumn="0" w:noHBand="0" w:noVBand="1"/>
        <w:tblCaption w:val="Table 8"/>
        <w:tblDescription w:val="Actual number of patients treated and patient characteristics over the first two years of listing. Predicted use is redacted as this information is commercial in confidence."/>
      </w:tblPr>
      <w:tblGrid>
        <w:gridCol w:w="3979"/>
        <w:gridCol w:w="2491"/>
        <w:gridCol w:w="2482"/>
      </w:tblGrid>
      <w:tr w:rsidR="00895A63" w14:paraId="229523AB" w14:textId="77777777" w:rsidTr="00042AB2">
        <w:trPr>
          <w:tblHeader/>
        </w:trPr>
        <w:tc>
          <w:tcPr>
            <w:tcW w:w="4077" w:type="dxa"/>
            <w:tcBorders>
              <w:top w:val="nil"/>
              <w:left w:val="nil"/>
              <w:bottom w:val="single" w:sz="4" w:space="0" w:color="auto"/>
            </w:tcBorders>
          </w:tcPr>
          <w:p w14:paraId="1B8F9065" w14:textId="77777777" w:rsidR="00895A63" w:rsidRPr="00E35FD3" w:rsidRDefault="00895A63" w:rsidP="00EF5D3B">
            <w:pPr>
              <w:rPr>
                <w:rFonts w:ascii="Arial Narrow" w:hAnsi="Arial Narrow" w:cstheme="minorHAnsi"/>
                <w:sz w:val="20"/>
                <w:szCs w:val="20"/>
              </w:rPr>
            </w:pPr>
          </w:p>
        </w:tc>
        <w:tc>
          <w:tcPr>
            <w:tcW w:w="2552" w:type="dxa"/>
            <w:tcBorders>
              <w:bottom w:val="single" w:sz="4" w:space="0" w:color="auto"/>
            </w:tcBorders>
            <w:shd w:val="clear" w:color="auto" w:fill="BFBFBF" w:themeFill="background1" w:themeFillShade="BF"/>
          </w:tcPr>
          <w:p w14:paraId="6DA337D9" w14:textId="77777777" w:rsidR="00895A63" w:rsidRPr="00E35FD3" w:rsidRDefault="00895A63" w:rsidP="00EF5D3B">
            <w:pPr>
              <w:jc w:val="center"/>
              <w:rPr>
                <w:rFonts w:ascii="Arial Narrow" w:hAnsi="Arial Narrow" w:cstheme="minorHAnsi"/>
                <w:b/>
                <w:sz w:val="20"/>
                <w:szCs w:val="20"/>
              </w:rPr>
            </w:pPr>
            <w:r w:rsidRPr="00E35FD3">
              <w:rPr>
                <w:rFonts w:ascii="Arial Narrow" w:hAnsi="Arial Narrow" w:cstheme="minorHAnsi"/>
                <w:b/>
                <w:sz w:val="20"/>
                <w:szCs w:val="20"/>
              </w:rPr>
              <w:t>Year 1</w:t>
            </w:r>
          </w:p>
          <w:p w14:paraId="29A272C6" w14:textId="77777777" w:rsidR="00895A63" w:rsidRPr="00E35FD3" w:rsidRDefault="00895A63" w:rsidP="00EF5D3B">
            <w:pPr>
              <w:jc w:val="center"/>
              <w:rPr>
                <w:rFonts w:ascii="Arial Narrow" w:hAnsi="Arial Narrow" w:cstheme="minorHAnsi"/>
                <w:b/>
                <w:sz w:val="20"/>
                <w:szCs w:val="20"/>
              </w:rPr>
            </w:pPr>
            <w:r w:rsidRPr="00E35FD3">
              <w:rPr>
                <w:rFonts w:ascii="Arial Narrow" w:hAnsi="Arial Narrow" w:cstheme="minorHAnsi"/>
                <w:b/>
                <w:sz w:val="20"/>
                <w:szCs w:val="20"/>
              </w:rPr>
              <w:t>(1 Mar 2016 – 28 Feb 2017)</w:t>
            </w:r>
          </w:p>
        </w:tc>
        <w:tc>
          <w:tcPr>
            <w:tcW w:w="2544" w:type="dxa"/>
            <w:tcBorders>
              <w:bottom w:val="single" w:sz="4" w:space="0" w:color="auto"/>
            </w:tcBorders>
            <w:shd w:val="clear" w:color="auto" w:fill="BFBFBF" w:themeFill="background1" w:themeFillShade="BF"/>
          </w:tcPr>
          <w:p w14:paraId="5819E1FB" w14:textId="77777777" w:rsidR="00895A63" w:rsidRPr="00E35FD3" w:rsidRDefault="00895A63" w:rsidP="00EF5D3B">
            <w:pPr>
              <w:jc w:val="center"/>
              <w:rPr>
                <w:rFonts w:ascii="Arial Narrow" w:hAnsi="Arial Narrow" w:cstheme="minorHAnsi"/>
                <w:b/>
                <w:sz w:val="20"/>
                <w:szCs w:val="20"/>
              </w:rPr>
            </w:pPr>
            <w:r w:rsidRPr="00E35FD3">
              <w:rPr>
                <w:rFonts w:ascii="Arial Narrow" w:hAnsi="Arial Narrow" w:cstheme="minorHAnsi"/>
                <w:b/>
                <w:sz w:val="20"/>
                <w:szCs w:val="20"/>
              </w:rPr>
              <w:t>Year 2</w:t>
            </w:r>
          </w:p>
          <w:p w14:paraId="73FF4208" w14:textId="77777777" w:rsidR="00895A63" w:rsidRPr="00E35FD3" w:rsidRDefault="00895A63" w:rsidP="00EF5D3B">
            <w:pPr>
              <w:jc w:val="center"/>
              <w:rPr>
                <w:rFonts w:ascii="Arial Narrow" w:hAnsi="Arial Narrow" w:cstheme="minorHAnsi"/>
                <w:b/>
                <w:sz w:val="20"/>
                <w:szCs w:val="20"/>
              </w:rPr>
            </w:pPr>
            <w:r w:rsidRPr="00E35FD3">
              <w:rPr>
                <w:rFonts w:ascii="Arial Narrow" w:hAnsi="Arial Narrow" w:cstheme="minorHAnsi"/>
                <w:b/>
                <w:sz w:val="20"/>
                <w:szCs w:val="20"/>
              </w:rPr>
              <w:t>(1 Mar 2017 – 28 Feb 2018)</w:t>
            </w:r>
          </w:p>
        </w:tc>
      </w:tr>
      <w:tr w:rsidR="00895A63" w:rsidRPr="002410B4" w14:paraId="72E6B644" w14:textId="77777777" w:rsidTr="00A04A8B">
        <w:tc>
          <w:tcPr>
            <w:tcW w:w="4077" w:type="dxa"/>
            <w:tcBorders>
              <w:right w:val="nil"/>
            </w:tcBorders>
            <w:shd w:val="clear" w:color="auto" w:fill="F2F2F2" w:themeFill="background1" w:themeFillShade="F2"/>
          </w:tcPr>
          <w:p w14:paraId="4E862D37" w14:textId="77777777" w:rsidR="00895A63" w:rsidRPr="00E35FD3" w:rsidRDefault="00895A63" w:rsidP="00EF5D3B">
            <w:pPr>
              <w:rPr>
                <w:rFonts w:ascii="Arial Narrow" w:hAnsi="Arial Narrow" w:cstheme="minorHAnsi"/>
                <w:b/>
                <w:sz w:val="20"/>
                <w:szCs w:val="20"/>
              </w:rPr>
            </w:pPr>
            <w:r w:rsidRPr="00E35FD3">
              <w:rPr>
                <w:rFonts w:ascii="Arial Narrow" w:hAnsi="Arial Narrow" w:cstheme="minorHAnsi"/>
                <w:b/>
                <w:sz w:val="20"/>
                <w:szCs w:val="20"/>
              </w:rPr>
              <w:t xml:space="preserve">Number of treated </w:t>
            </w:r>
            <w:r w:rsidR="00A14DC8" w:rsidRPr="00E35FD3">
              <w:rPr>
                <w:rFonts w:ascii="Arial Narrow" w:hAnsi="Arial Narrow" w:cstheme="minorHAnsi"/>
                <w:b/>
                <w:sz w:val="20"/>
                <w:szCs w:val="20"/>
              </w:rPr>
              <w:t xml:space="preserve"> </w:t>
            </w:r>
            <w:r w:rsidRPr="00E35FD3">
              <w:rPr>
                <w:rFonts w:ascii="Arial Narrow" w:hAnsi="Arial Narrow" w:cstheme="minorHAnsi"/>
                <w:b/>
                <w:sz w:val="20"/>
                <w:szCs w:val="20"/>
              </w:rPr>
              <w:t>patients</w:t>
            </w:r>
          </w:p>
        </w:tc>
        <w:tc>
          <w:tcPr>
            <w:tcW w:w="2552" w:type="dxa"/>
            <w:tcBorders>
              <w:left w:val="nil"/>
              <w:right w:val="nil"/>
            </w:tcBorders>
            <w:shd w:val="clear" w:color="auto" w:fill="F2F2F2" w:themeFill="background1" w:themeFillShade="F2"/>
          </w:tcPr>
          <w:p w14:paraId="0C816582" w14:textId="77777777" w:rsidR="00895A63" w:rsidRPr="00E35FD3" w:rsidRDefault="00895A63"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5B1FED7D" w14:textId="77777777" w:rsidR="00895A63" w:rsidRPr="00E35FD3" w:rsidRDefault="00895A63" w:rsidP="00EF5D3B">
            <w:pPr>
              <w:rPr>
                <w:rFonts w:ascii="Arial Narrow" w:hAnsi="Arial Narrow" w:cstheme="minorHAnsi"/>
                <w:b/>
                <w:sz w:val="20"/>
                <w:szCs w:val="20"/>
              </w:rPr>
            </w:pPr>
          </w:p>
        </w:tc>
      </w:tr>
      <w:tr w:rsidR="0042188C" w14:paraId="5A44BF52" w14:textId="77777777" w:rsidTr="00A04A8B">
        <w:tc>
          <w:tcPr>
            <w:tcW w:w="4077" w:type="dxa"/>
          </w:tcPr>
          <w:p w14:paraId="17EB3116" w14:textId="77777777" w:rsidR="0042188C" w:rsidRPr="00E35FD3" w:rsidRDefault="0042188C"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center"/>
          </w:tcPr>
          <w:p w14:paraId="34C6DF80" w14:textId="77777777" w:rsidR="0042188C"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center"/>
          </w:tcPr>
          <w:p w14:paraId="4C79086B" w14:textId="77777777" w:rsidR="0042188C"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42188C" w14:paraId="524D2732" w14:textId="77777777" w:rsidTr="00A04A8B">
        <w:tc>
          <w:tcPr>
            <w:tcW w:w="4077" w:type="dxa"/>
          </w:tcPr>
          <w:p w14:paraId="1A6C8D73" w14:textId="77777777" w:rsidR="0042188C" w:rsidRPr="00E35FD3" w:rsidRDefault="0042188C"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517B3464" w14:textId="77777777" w:rsidR="0042188C" w:rsidRPr="00E35FD3" w:rsidRDefault="0042188C"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36,118</w:t>
            </w:r>
          </w:p>
        </w:tc>
        <w:tc>
          <w:tcPr>
            <w:tcW w:w="2544" w:type="dxa"/>
            <w:vAlign w:val="bottom"/>
          </w:tcPr>
          <w:p w14:paraId="7E95C255" w14:textId="77777777" w:rsidR="0042188C" w:rsidRPr="00E35FD3" w:rsidRDefault="0042188C"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24,834</w:t>
            </w:r>
          </w:p>
        </w:tc>
      </w:tr>
      <w:tr w:rsidR="0042188C" w14:paraId="4DC76F8F" w14:textId="77777777" w:rsidTr="00A04A8B">
        <w:tc>
          <w:tcPr>
            <w:tcW w:w="4077" w:type="dxa"/>
            <w:tcBorders>
              <w:bottom w:val="single" w:sz="4" w:space="0" w:color="auto"/>
            </w:tcBorders>
          </w:tcPr>
          <w:p w14:paraId="74E58DCA" w14:textId="77777777" w:rsidR="0042188C" w:rsidRPr="00E35FD3" w:rsidRDefault="0042188C"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tcBorders>
              <w:bottom w:val="single" w:sz="4" w:space="0" w:color="auto"/>
            </w:tcBorders>
            <w:vAlign w:val="center"/>
          </w:tcPr>
          <w:p w14:paraId="257D7C6A" w14:textId="77777777" w:rsidR="0042188C"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tcBorders>
              <w:bottom w:val="single" w:sz="4" w:space="0" w:color="auto"/>
            </w:tcBorders>
            <w:vAlign w:val="center"/>
          </w:tcPr>
          <w:p w14:paraId="5A1AB610" w14:textId="77777777" w:rsidR="0042188C"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895A63" w:rsidRPr="002410B4" w14:paraId="374F063A" w14:textId="77777777" w:rsidTr="00A04A8B">
        <w:tc>
          <w:tcPr>
            <w:tcW w:w="4077" w:type="dxa"/>
            <w:tcBorders>
              <w:right w:val="nil"/>
            </w:tcBorders>
            <w:shd w:val="clear" w:color="auto" w:fill="F2F2F2" w:themeFill="background1" w:themeFillShade="F2"/>
          </w:tcPr>
          <w:p w14:paraId="770FA26E" w14:textId="77777777" w:rsidR="00895A63" w:rsidRPr="00E35FD3" w:rsidRDefault="00CB0E1C" w:rsidP="00EF5D3B">
            <w:pPr>
              <w:rPr>
                <w:rFonts w:ascii="Arial Narrow" w:hAnsi="Arial Narrow" w:cstheme="minorHAnsi"/>
                <w:b/>
                <w:sz w:val="20"/>
                <w:szCs w:val="20"/>
              </w:rPr>
            </w:pPr>
            <w:r w:rsidRPr="00E35FD3">
              <w:rPr>
                <w:rFonts w:ascii="Arial Narrow" w:hAnsi="Arial Narrow" w:cstheme="minorHAnsi"/>
                <w:b/>
                <w:sz w:val="20"/>
                <w:szCs w:val="20"/>
              </w:rPr>
              <w:t>Proportion of patients classified as c</w:t>
            </w:r>
            <w:r w:rsidR="002410B4" w:rsidRPr="00E35FD3">
              <w:rPr>
                <w:rFonts w:ascii="Arial Narrow" w:hAnsi="Arial Narrow" w:cstheme="minorHAnsi"/>
                <w:b/>
                <w:sz w:val="20"/>
                <w:szCs w:val="20"/>
              </w:rPr>
              <w:t xml:space="preserve">irrhotic </w:t>
            </w:r>
          </w:p>
        </w:tc>
        <w:tc>
          <w:tcPr>
            <w:tcW w:w="2552" w:type="dxa"/>
            <w:tcBorders>
              <w:left w:val="nil"/>
              <w:right w:val="nil"/>
            </w:tcBorders>
            <w:shd w:val="clear" w:color="auto" w:fill="F2F2F2" w:themeFill="background1" w:themeFillShade="F2"/>
          </w:tcPr>
          <w:p w14:paraId="2DD73BDD" w14:textId="77777777" w:rsidR="00895A63" w:rsidRPr="00E35FD3" w:rsidRDefault="00895A63"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35206853" w14:textId="77777777" w:rsidR="00895A63" w:rsidRPr="00E35FD3" w:rsidRDefault="00895A63" w:rsidP="00EF5D3B">
            <w:pPr>
              <w:rPr>
                <w:rFonts w:ascii="Arial Narrow" w:hAnsi="Arial Narrow" w:cstheme="minorHAnsi"/>
                <w:b/>
                <w:sz w:val="20"/>
                <w:szCs w:val="20"/>
              </w:rPr>
            </w:pPr>
          </w:p>
        </w:tc>
      </w:tr>
      <w:tr w:rsidR="002B4912" w14:paraId="163B1C23" w14:textId="77777777" w:rsidTr="00A04A8B">
        <w:tc>
          <w:tcPr>
            <w:tcW w:w="4077" w:type="dxa"/>
          </w:tcPr>
          <w:p w14:paraId="6DAEC33F" w14:textId="77777777" w:rsidR="002B4912" w:rsidRPr="00E35FD3" w:rsidRDefault="002B4912"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bottom"/>
          </w:tcPr>
          <w:p w14:paraId="64854278" w14:textId="77777777" w:rsidR="002B4912"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bottom"/>
          </w:tcPr>
          <w:p w14:paraId="6753D5BA" w14:textId="77777777" w:rsidR="002B4912"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2B4912" w14:paraId="004876E9" w14:textId="77777777" w:rsidTr="00A04A8B">
        <w:tc>
          <w:tcPr>
            <w:tcW w:w="4077" w:type="dxa"/>
          </w:tcPr>
          <w:p w14:paraId="74B31CD7" w14:textId="77777777" w:rsidR="002B4912" w:rsidRPr="00E35FD3" w:rsidRDefault="002B4912"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166651CE" w14:textId="77777777" w:rsidR="002B4912" w:rsidRPr="00E35FD3" w:rsidRDefault="002B4912"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28.2%</w:t>
            </w:r>
          </w:p>
        </w:tc>
        <w:tc>
          <w:tcPr>
            <w:tcW w:w="2544" w:type="dxa"/>
            <w:vAlign w:val="bottom"/>
          </w:tcPr>
          <w:p w14:paraId="6E5CFC50" w14:textId="77777777" w:rsidR="002B4912" w:rsidRPr="00E35FD3" w:rsidRDefault="002B4912"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21.3%</w:t>
            </w:r>
          </w:p>
        </w:tc>
      </w:tr>
      <w:tr w:rsidR="002B4912" w14:paraId="66192562" w14:textId="77777777" w:rsidTr="00A04A8B">
        <w:tc>
          <w:tcPr>
            <w:tcW w:w="4077" w:type="dxa"/>
            <w:tcBorders>
              <w:bottom w:val="single" w:sz="4" w:space="0" w:color="auto"/>
            </w:tcBorders>
          </w:tcPr>
          <w:p w14:paraId="77068735" w14:textId="77777777" w:rsidR="002B4912" w:rsidRPr="00E35FD3" w:rsidRDefault="002B4912"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tcBorders>
              <w:bottom w:val="single" w:sz="4" w:space="0" w:color="auto"/>
            </w:tcBorders>
            <w:vAlign w:val="center"/>
          </w:tcPr>
          <w:p w14:paraId="507DEFCB" w14:textId="77777777" w:rsidR="002B4912"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tcBorders>
              <w:bottom w:val="single" w:sz="4" w:space="0" w:color="auto"/>
            </w:tcBorders>
            <w:vAlign w:val="center"/>
          </w:tcPr>
          <w:p w14:paraId="0A652A6C" w14:textId="77777777" w:rsidR="002B4912"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2410B4" w14:paraId="560DD358" w14:textId="77777777" w:rsidTr="00A04A8B">
        <w:tc>
          <w:tcPr>
            <w:tcW w:w="4077" w:type="dxa"/>
            <w:tcBorders>
              <w:right w:val="nil"/>
            </w:tcBorders>
            <w:shd w:val="clear" w:color="auto" w:fill="F2F2F2" w:themeFill="background1" w:themeFillShade="F2"/>
          </w:tcPr>
          <w:p w14:paraId="6DBC0A9F" w14:textId="77777777" w:rsidR="002410B4" w:rsidRPr="00E35FD3" w:rsidRDefault="00FE64A0" w:rsidP="00EF5D3B">
            <w:pPr>
              <w:rPr>
                <w:rFonts w:ascii="Arial Narrow" w:hAnsi="Arial Narrow" w:cstheme="minorHAnsi"/>
                <w:b/>
                <w:sz w:val="20"/>
                <w:szCs w:val="20"/>
              </w:rPr>
            </w:pPr>
            <w:r w:rsidRPr="00E35FD3">
              <w:rPr>
                <w:rFonts w:ascii="Arial Narrow" w:hAnsi="Arial Narrow" w:cstheme="minorHAnsi"/>
                <w:b/>
                <w:sz w:val="20"/>
                <w:szCs w:val="20"/>
              </w:rPr>
              <w:t>Hepatitis C virus genotype</w:t>
            </w:r>
          </w:p>
        </w:tc>
        <w:tc>
          <w:tcPr>
            <w:tcW w:w="2552" w:type="dxa"/>
            <w:tcBorders>
              <w:left w:val="nil"/>
              <w:right w:val="nil"/>
            </w:tcBorders>
            <w:shd w:val="clear" w:color="auto" w:fill="F2F2F2" w:themeFill="background1" w:themeFillShade="F2"/>
          </w:tcPr>
          <w:p w14:paraId="61F076C9" w14:textId="77777777" w:rsidR="002410B4" w:rsidRPr="00E35FD3" w:rsidRDefault="002410B4"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6109F521" w14:textId="77777777" w:rsidR="002410B4" w:rsidRPr="00E35FD3" w:rsidRDefault="002410B4" w:rsidP="00EF5D3B">
            <w:pPr>
              <w:rPr>
                <w:rFonts w:ascii="Arial Narrow" w:hAnsi="Arial Narrow" w:cstheme="minorHAnsi"/>
                <w:b/>
                <w:sz w:val="20"/>
                <w:szCs w:val="20"/>
              </w:rPr>
            </w:pPr>
          </w:p>
        </w:tc>
      </w:tr>
      <w:tr w:rsidR="002410B4" w14:paraId="142B04E2" w14:textId="77777777" w:rsidTr="00A04A8B">
        <w:tc>
          <w:tcPr>
            <w:tcW w:w="4077" w:type="dxa"/>
            <w:tcBorders>
              <w:right w:val="nil"/>
            </w:tcBorders>
            <w:shd w:val="clear" w:color="auto" w:fill="F2F2F2" w:themeFill="background1" w:themeFillShade="F2"/>
          </w:tcPr>
          <w:p w14:paraId="6B71C76F" w14:textId="77777777" w:rsidR="002410B4" w:rsidRPr="00E35FD3" w:rsidRDefault="00E5638C" w:rsidP="00EF5D3B">
            <w:pPr>
              <w:rPr>
                <w:rFonts w:ascii="Arial Narrow" w:hAnsi="Arial Narrow" w:cstheme="minorHAnsi"/>
                <w:b/>
                <w:sz w:val="20"/>
                <w:szCs w:val="20"/>
              </w:rPr>
            </w:pPr>
            <w:r w:rsidRPr="00E35FD3">
              <w:rPr>
                <w:rFonts w:ascii="Arial Narrow" w:hAnsi="Arial Narrow" w:cstheme="minorHAnsi"/>
                <w:b/>
                <w:sz w:val="20"/>
                <w:szCs w:val="20"/>
              </w:rPr>
              <w:t>Proportion of patients classified as genotype 1</w:t>
            </w:r>
          </w:p>
        </w:tc>
        <w:tc>
          <w:tcPr>
            <w:tcW w:w="2552" w:type="dxa"/>
            <w:tcBorders>
              <w:left w:val="nil"/>
              <w:right w:val="nil"/>
            </w:tcBorders>
            <w:shd w:val="clear" w:color="auto" w:fill="F2F2F2" w:themeFill="background1" w:themeFillShade="F2"/>
          </w:tcPr>
          <w:p w14:paraId="06FCDFD2" w14:textId="77777777" w:rsidR="002410B4" w:rsidRPr="00E35FD3" w:rsidRDefault="002410B4"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2E231D62" w14:textId="77777777" w:rsidR="002410B4" w:rsidRPr="00E35FD3" w:rsidRDefault="002410B4" w:rsidP="00EF5D3B">
            <w:pPr>
              <w:rPr>
                <w:rFonts w:ascii="Arial Narrow" w:hAnsi="Arial Narrow" w:cstheme="minorHAnsi"/>
                <w:b/>
                <w:sz w:val="20"/>
                <w:szCs w:val="20"/>
              </w:rPr>
            </w:pPr>
          </w:p>
        </w:tc>
      </w:tr>
      <w:tr w:rsidR="00E701F1" w14:paraId="5AD18E3D" w14:textId="77777777" w:rsidTr="00A04A8B">
        <w:tc>
          <w:tcPr>
            <w:tcW w:w="4077" w:type="dxa"/>
          </w:tcPr>
          <w:p w14:paraId="51670221" w14:textId="77777777" w:rsidR="00E701F1" w:rsidRPr="00E35FD3" w:rsidRDefault="00E701F1"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bottom"/>
          </w:tcPr>
          <w:p w14:paraId="77C99662" w14:textId="77777777" w:rsidR="00E701F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bottom"/>
          </w:tcPr>
          <w:p w14:paraId="0B9B2B1C" w14:textId="77777777" w:rsidR="00E701F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E701F1" w14:paraId="59EC1374" w14:textId="77777777" w:rsidTr="00A04A8B">
        <w:tc>
          <w:tcPr>
            <w:tcW w:w="4077" w:type="dxa"/>
          </w:tcPr>
          <w:p w14:paraId="344A956D" w14:textId="77777777" w:rsidR="00E701F1" w:rsidRPr="00E35FD3" w:rsidRDefault="00E701F1"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2C533337" w14:textId="77777777" w:rsidR="00E701F1" w:rsidRPr="00E35FD3" w:rsidRDefault="00E701F1"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57.4%</w:t>
            </w:r>
          </w:p>
        </w:tc>
        <w:tc>
          <w:tcPr>
            <w:tcW w:w="2544" w:type="dxa"/>
            <w:vAlign w:val="bottom"/>
          </w:tcPr>
          <w:p w14:paraId="0EE09CCD" w14:textId="77777777" w:rsidR="00E701F1" w:rsidRPr="00E35FD3" w:rsidRDefault="00E701F1"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49.4%</w:t>
            </w:r>
          </w:p>
        </w:tc>
      </w:tr>
      <w:tr w:rsidR="00E701F1" w14:paraId="39E426F3" w14:textId="77777777" w:rsidTr="00A04A8B">
        <w:tc>
          <w:tcPr>
            <w:tcW w:w="4077" w:type="dxa"/>
            <w:tcBorders>
              <w:bottom w:val="single" w:sz="4" w:space="0" w:color="auto"/>
            </w:tcBorders>
          </w:tcPr>
          <w:p w14:paraId="50B31EB5" w14:textId="77777777" w:rsidR="00E701F1" w:rsidRPr="00E35FD3" w:rsidRDefault="00E701F1"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tcBorders>
              <w:bottom w:val="single" w:sz="4" w:space="0" w:color="auto"/>
            </w:tcBorders>
            <w:vAlign w:val="center"/>
          </w:tcPr>
          <w:p w14:paraId="02ADF03B" w14:textId="77777777" w:rsidR="00E701F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tcBorders>
              <w:bottom w:val="single" w:sz="4" w:space="0" w:color="auto"/>
            </w:tcBorders>
            <w:vAlign w:val="center"/>
          </w:tcPr>
          <w:p w14:paraId="65E5BF2E" w14:textId="77777777" w:rsidR="00E701F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990494" w:rsidRPr="00345AB3" w14:paraId="2EF43A22" w14:textId="77777777" w:rsidTr="00A04A8B">
        <w:tc>
          <w:tcPr>
            <w:tcW w:w="4077" w:type="dxa"/>
            <w:tcBorders>
              <w:right w:val="nil"/>
            </w:tcBorders>
            <w:shd w:val="clear" w:color="auto" w:fill="F2F2F2" w:themeFill="background1" w:themeFillShade="F2"/>
          </w:tcPr>
          <w:p w14:paraId="00B6FD97" w14:textId="77777777" w:rsidR="00990494" w:rsidRPr="00E35FD3" w:rsidRDefault="00E701F1" w:rsidP="00EF5D3B">
            <w:pPr>
              <w:rPr>
                <w:rFonts w:ascii="Arial Narrow" w:hAnsi="Arial Narrow" w:cstheme="minorHAnsi"/>
                <w:b/>
                <w:sz w:val="20"/>
                <w:szCs w:val="20"/>
              </w:rPr>
            </w:pPr>
            <w:r w:rsidRPr="00E35FD3">
              <w:rPr>
                <w:rFonts w:ascii="Arial Narrow" w:hAnsi="Arial Narrow" w:cstheme="minorHAnsi"/>
                <w:b/>
                <w:sz w:val="20"/>
                <w:szCs w:val="20"/>
              </w:rPr>
              <w:t>Proportion of patients classified as genotype 2</w:t>
            </w:r>
          </w:p>
        </w:tc>
        <w:tc>
          <w:tcPr>
            <w:tcW w:w="2552" w:type="dxa"/>
            <w:tcBorders>
              <w:left w:val="nil"/>
              <w:right w:val="nil"/>
            </w:tcBorders>
            <w:shd w:val="clear" w:color="auto" w:fill="F2F2F2" w:themeFill="background1" w:themeFillShade="F2"/>
          </w:tcPr>
          <w:p w14:paraId="072B3E02" w14:textId="77777777" w:rsidR="00990494" w:rsidRPr="00E35FD3" w:rsidRDefault="00990494"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20F69664" w14:textId="77777777" w:rsidR="00990494" w:rsidRPr="00E35FD3" w:rsidRDefault="00990494" w:rsidP="00EF5D3B">
            <w:pPr>
              <w:rPr>
                <w:rFonts w:ascii="Arial Narrow" w:hAnsi="Arial Narrow" w:cstheme="minorHAnsi"/>
                <w:b/>
                <w:sz w:val="20"/>
                <w:szCs w:val="20"/>
              </w:rPr>
            </w:pPr>
          </w:p>
        </w:tc>
      </w:tr>
      <w:tr w:rsidR="00DF5393" w14:paraId="67348A24" w14:textId="77777777" w:rsidTr="00A04A8B">
        <w:tc>
          <w:tcPr>
            <w:tcW w:w="4077" w:type="dxa"/>
          </w:tcPr>
          <w:p w14:paraId="6A66E43B" w14:textId="77777777" w:rsidR="00DF5393" w:rsidRPr="00E35FD3" w:rsidRDefault="00DF5393"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bottom"/>
          </w:tcPr>
          <w:p w14:paraId="084EA4A2" w14:textId="77777777" w:rsidR="00DF539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bottom"/>
          </w:tcPr>
          <w:p w14:paraId="4C0E99F1" w14:textId="77777777" w:rsidR="00DF539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DF5393" w14:paraId="5E5DEB6B" w14:textId="77777777" w:rsidTr="00A04A8B">
        <w:tc>
          <w:tcPr>
            <w:tcW w:w="4077" w:type="dxa"/>
          </w:tcPr>
          <w:p w14:paraId="65A46DE1" w14:textId="77777777" w:rsidR="00DF5393" w:rsidRPr="00E35FD3" w:rsidRDefault="00DF5393"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701832AB" w14:textId="77777777" w:rsidR="00DF5393" w:rsidRPr="00E35FD3" w:rsidRDefault="00DF5393"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3.7%</w:t>
            </w:r>
          </w:p>
        </w:tc>
        <w:tc>
          <w:tcPr>
            <w:tcW w:w="2544" w:type="dxa"/>
            <w:vAlign w:val="bottom"/>
          </w:tcPr>
          <w:p w14:paraId="6B5CB378" w14:textId="77777777" w:rsidR="00DF5393" w:rsidRPr="00E35FD3" w:rsidRDefault="00DF5393"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4.2%</w:t>
            </w:r>
          </w:p>
        </w:tc>
      </w:tr>
      <w:tr w:rsidR="00DF5393" w14:paraId="4CFA8053" w14:textId="77777777" w:rsidTr="00A04A8B">
        <w:tc>
          <w:tcPr>
            <w:tcW w:w="4077" w:type="dxa"/>
            <w:tcBorders>
              <w:bottom w:val="single" w:sz="4" w:space="0" w:color="auto"/>
            </w:tcBorders>
          </w:tcPr>
          <w:p w14:paraId="541D4634" w14:textId="77777777" w:rsidR="00DF5393" w:rsidRPr="00E35FD3" w:rsidRDefault="00DF5393"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tcBorders>
              <w:bottom w:val="single" w:sz="4" w:space="0" w:color="auto"/>
            </w:tcBorders>
            <w:vAlign w:val="center"/>
          </w:tcPr>
          <w:p w14:paraId="021B2D09" w14:textId="77777777" w:rsidR="00DF539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tcBorders>
              <w:bottom w:val="single" w:sz="4" w:space="0" w:color="auto"/>
            </w:tcBorders>
            <w:vAlign w:val="center"/>
          </w:tcPr>
          <w:p w14:paraId="679B5436" w14:textId="77777777" w:rsidR="00DF539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990494" w:rsidRPr="00345AB3" w14:paraId="54CE70F8" w14:textId="77777777" w:rsidTr="00A04A8B">
        <w:tc>
          <w:tcPr>
            <w:tcW w:w="4077" w:type="dxa"/>
            <w:tcBorders>
              <w:right w:val="nil"/>
            </w:tcBorders>
            <w:shd w:val="clear" w:color="auto" w:fill="F2F2F2" w:themeFill="background1" w:themeFillShade="F2"/>
          </w:tcPr>
          <w:p w14:paraId="4119BF6D" w14:textId="77777777" w:rsidR="00990494" w:rsidRPr="00E35FD3" w:rsidRDefault="00DF5393" w:rsidP="00EF5D3B">
            <w:pPr>
              <w:rPr>
                <w:rFonts w:ascii="Arial Narrow" w:hAnsi="Arial Narrow" w:cstheme="minorHAnsi"/>
                <w:b/>
                <w:sz w:val="20"/>
                <w:szCs w:val="20"/>
              </w:rPr>
            </w:pPr>
            <w:r w:rsidRPr="00E35FD3">
              <w:rPr>
                <w:rFonts w:ascii="Arial Narrow" w:hAnsi="Arial Narrow" w:cstheme="minorHAnsi"/>
                <w:b/>
                <w:sz w:val="20"/>
                <w:szCs w:val="20"/>
              </w:rPr>
              <w:t>Proportion of patients classified as genotype 3</w:t>
            </w:r>
          </w:p>
        </w:tc>
        <w:tc>
          <w:tcPr>
            <w:tcW w:w="2552" w:type="dxa"/>
            <w:tcBorders>
              <w:left w:val="nil"/>
              <w:right w:val="nil"/>
            </w:tcBorders>
            <w:shd w:val="clear" w:color="auto" w:fill="F2F2F2" w:themeFill="background1" w:themeFillShade="F2"/>
          </w:tcPr>
          <w:p w14:paraId="13D1992F" w14:textId="77777777" w:rsidR="00990494" w:rsidRPr="00E35FD3" w:rsidRDefault="00990494"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6AEE58B8" w14:textId="77777777" w:rsidR="00990494" w:rsidRPr="00E35FD3" w:rsidRDefault="00990494" w:rsidP="00EF5D3B">
            <w:pPr>
              <w:rPr>
                <w:rFonts w:ascii="Arial Narrow" w:hAnsi="Arial Narrow" w:cstheme="minorHAnsi"/>
                <w:b/>
                <w:sz w:val="20"/>
                <w:szCs w:val="20"/>
              </w:rPr>
            </w:pPr>
          </w:p>
        </w:tc>
      </w:tr>
      <w:tr w:rsidR="0053116A" w14:paraId="7F0D335C" w14:textId="77777777" w:rsidTr="00A04A8B">
        <w:tc>
          <w:tcPr>
            <w:tcW w:w="4077" w:type="dxa"/>
          </w:tcPr>
          <w:p w14:paraId="0ED0CA1D" w14:textId="77777777" w:rsidR="0053116A" w:rsidRPr="00E35FD3" w:rsidRDefault="0053116A"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bottom"/>
          </w:tcPr>
          <w:p w14:paraId="7AE68336" w14:textId="77777777" w:rsidR="0053116A"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bottom"/>
          </w:tcPr>
          <w:p w14:paraId="7844B629" w14:textId="77777777" w:rsidR="0053116A"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53116A" w14:paraId="796933B6" w14:textId="77777777" w:rsidTr="00A04A8B">
        <w:tc>
          <w:tcPr>
            <w:tcW w:w="4077" w:type="dxa"/>
          </w:tcPr>
          <w:p w14:paraId="387842FD" w14:textId="77777777" w:rsidR="0053116A" w:rsidRPr="00E35FD3" w:rsidRDefault="0053116A"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78AEB368" w14:textId="77777777" w:rsidR="0053116A" w:rsidRPr="00E35FD3" w:rsidRDefault="0053116A"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36.5%</w:t>
            </w:r>
          </w:p>
        </w:tc>
        <w:tc>
          <w:tcPr>
            <w:tcW w:w="2544" w:type="dxa"/>
            <w:vAlign w:val="bottom"/>
          </w:tcPr>
          <w:p w14:paraId="61259244" w14:textId="77777777" w:rsidR="0053116A" w:rsidRPr="00E35FD3" w:rsidRDefault="0053116A"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41.9%</w:t>
            </w:r>
          </w:p>
        </w:tc>
      </w:tr>
      <w:tr w:rsidR="0053116A" w14:paraId="072CCE9E" w14:textId="77777777" w:rsidTr="00A04A8B">
        <w:tc>
          <w:tcPr>
            <w:tcW w:w="4077" w:type="dxa"/>
            <w:tcBorders>
              <w:bottom w:val="single" w:sz="4" w:space="0" w:color="auto"/>
            </w:tcBorders>
          </w:tcPr>
          <w:p w14:paraId="53F1B45E" w14:textId="77777777" w:rsidR="0053116A" w:rsidRPr="00E35FD3" w:rsidRDefault="0053116A"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tcBorders>
              <w:bottom w:val="single" w:sz="4" w:space="0" w:color="auto"/>
            </w:tcBorders>
            <w:vAlign w:val="center"/>
          </w:tcPr>
          <w:p w14:paraId="7AA15FAC" w14:textId="77777777" w:rsidR="0053116A"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tcBorders>
              <w:bottom w:val="single" w:sz="4" w:space="0" w:color="auto"/>
            </w:tcBorders>
            <w:vAlign w:val="center"/>
          </w:tcPr>
          <w:p w14:paraId="1BE04E69" w14:textId="77777777" w:rsidR="0053116A"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990494" w:rsidRPr="00345AB3" w14:paraId="062992CA" w14:textId="77777777" w:rsidTr="00A04A8B">
        <w:tc>
          <w:tcPr>
            <w:tcW w:w="4077" w:type="dxa"/>
            <w:tcBorders>
              <w:right w:val="nil"/>
            </w:tcBorders>
            <w:shd w:val="clear" w:color="auto" w:fill="F2F2F2" w:themeFill="background1" w:themeFillShade="F2"/>
          </w:tcPr>
          <w:p w14:paraId="5CFF26EA" w14:textId="77777777" w:rsidR="00990494" w:rsidRPr="00E35FD3" w:rsidRDefault="00990494" w:rsidP="00EF5D3B">
            <w:pPr>
              <w:rPr>
                <w:rFonts w:ascii="Arial Narrow" w:hAnsi="Arial Narrow" w:cstheme="minorHAnsi"/>
                <w:b/>
                <w:sz w:val="20"/>
                <w:szCs w:val="20"/>
              </w:rPr>
            </w:pPr>
            <w:r w:rsidRPr="00E35FD3">
              <w:rPr>
                <w:rFonts w:ascii="Arial Narrow" w:hAnsi="Arial Narrow" w:cstheme="minorHAnsi"/>
                <w:b/>
                <w:sz w:val="20"/>
                <w:szCs w:val="20"/>
              </w:rPr>
              <w:t>Genotype 4</w:t>
            </w:r>
            <w:r w:rsidR="0076467D" w:rsidRPr="00E35FD3">
              <w:rPr>
                <w:rFonts w:ascii="Arial Narrow" w:hAnsi="Arial Narrow" w:cstheme="minorHAnsi"/>
                <w:b/>
                <w:sz w:val="20"/>
                <w:szCs w:val="20"/>
              </w:rPr>
              <w:t>, 5 or 6</w:t>
            </w:r>
            <w:r w:rsidRPr="00E35FD3">
              <w:rPr>
                <w:rFonts w:ascii="Arial Narrow" w:hAnsi="Arial Narrow" w:cstheme="minorHAnsi"/>
                <w:b/>
                <w:sz w:val="20"/>
                <w:szCs w:val="20"/>
              </w:rPr>
              <w:t>:</w:t>
            </w:r>
          </w:p>
        </w:tc>
        <w:tc>
          <w:tcPr>
            <w:tcW w:w="2552" w:type="dxa"/>
            <w:tcBorders>
              <w:left w:val="nil"/>
              <w:right w:val="nil"/>
            </w:tcBorders>
            <w:shd w:val="clear" w:color="auto" w:fill="F2F2F2" w:themeFill="background1" w:themeFillShade="F2"/>
          </w:tcPr>
          <w:p w14:paraId="4384BC98" w14:textId="77777777" w:rsidR="00990494" w:rsidRPr="00E35FD3" w:rsidRDefault="00990494"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5643E809" w14:textId="77777777" w:rsidR="00990494" w:rsidRPr="00E35FD3" w:rsidRDefault="00990494" w:rsidP="00EF5D3B">
            <w:pPr>
              <w:rPr>
                <w:rFonts w:ascii="Arial Narrow" w:hAnsi="Arial Narrow" w:cstheme="minorHAnsi"/>
                <w:b/>
                <w:sz w:val="20"/>
                <w:szCs w:val="20"/>
              </w:rPr>
            </w:pPr>
          </w:p>
        </w:tc>
      </w:tr>
      <w:tr w:rsidR="000F67F3" w14:paraId="18C3ED2A" w14:textId="77777777" w:rsidTr="00A04A8B">
        <w:tc>
          <w:tcPr>
            <w:tcW w:w="4077" w:type="dxa"/>
          </w:tcPr>
          <w:p w14:paraId="03F109FB" w14:textId="77777777" w:rsidR="000F67F3" w:rsidRPr="00E35FD3" w:rsidRDefault="000F67F3"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bottom"/>
          </w:tcPr>
          <w:p w14:paraId="5118974F" w14:textId="77777777" w:rsidR="000F67F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bottom"/>
          </w:tcPr>
          <w:p w14:paraId="37718339" w14:textId="77777777" w:rsidR="000F67F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0F67F3" w14:paraId="11687927" w14:textId="77777777" w:rsidTr="00A04A8B">
        <w:tc>
          <w:tcPr>
            <w:tcW w:w="4077" w:type="dxa"/>
          </w:tcPr>
          <w:p w14:paraId="2F6E145D" w14:textId="77777777" w:rsidR="000F67F3" w:rsidRPr="00E35FD3" w:rsidRDefault="000F67F3"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2D0FFECA" w14:textId="77777777" w:rsidR="000F67F3" w:rsidRPr="00E35FD3" w:rsidRDefault="000F67F3"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0.5%</w:t>
            </w:r>
          </w:p>
        </w:tc>
        <w:tc>
          <w:tcPr>
            <w:tcW w:w="2544" w:type="dxa"/>
            <w:vAlign w:val="bottom"/>
          </w:tcPr>
          <w:p w14:paraId="59AE5E67" w14:textId="77777777" w:rsidR="000F67F3" w:rsidRPr="00E35FD3" w:rsidRDefault="000F67F3"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1.5%</w:t>
            </w:r>
          </w:p>
        </w:tc>
      </w:tr>
      <w:tr w:rsidR="000F67F3" w14:paraId="7F8C9E28" w14:textId="77777777" w:rsidTr="00A04A8B">
        <w:tc>
          <w:tcPr>
            <w:tcW w:w="4077" w:type="dxa"/>
            <w:tcBorders>
              <w:bottom w:val="single" w:sz="4" w:space="0" w:color="auto"/>
            </w:tcBorders>
          </w:tcPr>
          <w:p w14:paraId="6FFC7793" w14:textId="77777777" w:rsidR="000F67F3" w:rsidRPr="00E35FD3" w:rsidRDefault="000F67F3"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tcBorders>
              <w:bottom w:val="single" w:sz="4" w:space="0" w:color="auto"/>
            </w:tcBorders>
            <w:vAlign w:val="center"/>
          </w:tcPr>
          <w:p w14:paraId="43843B43" w14:textId="77777777" w:rsidR="000F67F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tcBorders>
              <w:bottom w:val="single" w:sz="4" w:space="0" w:color="auto"/>
            </w:tcBorders>
            <w:vAlign w:val="center"/>
          </w:tcPr>
          <w:p w14:paraId="42E252BB" w14:textId="77777777" w:rsidR="000F67F3"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990494" w:rsidRPr="00345AB3" w14:paraId="711D970A" w14:textId="77777777" w:rsidTr="00A04A8B">
        <w:tc>
          <w:tcPr>
            <w:tcW w:w="4077" w:type="dxa"/>
            <w:tcBorders>
              <w:right w:val="nil"/>
            </w:tcBorders>
            <w:shd w:val="clear" w:color="auto" w:fill="F2F2F2" w:themeFill="background1" w:themeFillShade="F2"/>
          </w:tcPr>
          <w:p w14:paraId="509C56A5" w14:textId="77777777" w:rsidR="00990494" w:rsidRPr="00E35FD3" w:rsidRDefault="00990494" w:rsidP="00EF5D3B">
            <w:pPr>
              <w:rPr>
                <w:rFonts w:ascii="Arial Narrow" w:hAnsi="Arial Narrow" w:cstheme="minorHAnsi"/>
                <w:b/>
                <w:sz w:val="20"/>
                <w:szCs w:val="20"/>
              </w:rPr>
            </w:pPr>
            <w:r w:rsidRPr="00E35FD3">
              <w:rPr>
                <w:rFonts w:ascii="Arial Narrow" w:hAnsi="Arial Narrow" w:cstheme="minorHAnsi"/>
                <w:b/>
                <w:sz w:val="20"/>
                <w:szCs w:val="20"/>
              </w:rPr>
              <w:t>Number of prescriptions</w:t>
            </w:r>
          </w:p>
        </w:tc>
        <w:tc>
          <w:tcPr>
            <w:tcW w:w="2552" w:type="dxa"/>
            <w:tcBorders>
              <w:left w:val="nil"/>
              <w:right w:val="nil"/>
            </w:tcBorders>
            <w:shd w:val="clear" w:color="auto" w:fill="F2F2F2" w:themeFill="background1" w:themeFillShade="F2"/>
          </w:tcPr>
          <w:p w14:paraId="18B4EA5C" w14:textId="77777777" w:rsidR="00990494" w:rsidRPr="00E35FD3" w:rsidRDefault="00990494" w:rsidP="00EF5D3B">
            <w:pPr>
              <w:rPr>
                <w:rFonts w:ascii="Arial Narrow" w:hAnsi="Arial Narrow" w:cstheme="minorHAnsi"/>
                <w:b/>
                <w:sz w:val="20"/>
                <w:szCs w:val="20"/>
              </w:rPr>
            </w:pPr>
          </w:p>
        </w:tc>
        <w:tc>
          <w:tcPr>
            <w:tcW w:w="2544" w:type="dxa"/>
            <w:tcBorders>
              <w:left w:val="nil"/>
            </w:tcBorders>
            <w:shd w:val="clear" w:color="auto" w:fill="F2F2F2" w:themeFill="background1" w:themeFillShade="F2"/>
          </w:tcPr>
          <w:p w14:paraId="6F8F8CE8" w14:textId="77777777" w:rsidR="00990494" w:rsidRPr="00E35FD3" w:rsidRDefault="00990494" w:rsidP="00EF5D3B">
            <w:pPr>
              <w:rPr>
                <w:rFonts w:ascii="Arial Narrow" w:hAnsi="Arial Narrow" w:cstheme="minorHAnsi"/>
                <w:b/>
                <w:sz w:val="20"/>
                <w:szCs w:val="20"/>
              </w:rPr>
            </w:pPr>
          </w:p>
        </w:tc>
      </w:tr>
      <w:tr w:rsidR="00571C51" w14:paraId="00FEF189" w14:textId="77777777" w:rsidTr="00A04A8B">
        <w:tc>
          <w:tcPr>
            <w:tcW w:w="4077" w:type="dxa"/>
          </w:tcPr>
          <w:p w14:paraId="17385717" w14:textId="77777777" w:rsidR="00571C51" w:rsidRPr="00E35FD3" w:rsidRDefault="00571C51" w:rsidP="00EF5D3B">
            <w:pPr>
              <w:rPr>
                <w:rFonts w:ascii="Arial Narrow" w:hAnsi="Arial Narrow" w:cstheme="minorHAnsi"/>
                <w:sz w:val="20"/>
                <w:szCs w:val="20"/>
              </w:rPr>
            </w:pPr>
            <w:r w:rsidRPr="00E35FD3">
              <w:rPr>
                <w:rFonts w:ascii="Arial Narrow" w:hAnsi="Arial Narrow" w:cstheme="minorHAnsi"/>
                <w:sz w:val="20"/>
                <w:szCs w:val="20"/>
              </w:rPr>
              <w:t>Predicted</w:t>
            </w:r>
          </w:p>
        </w:tc>
        <w:tc>
          <w:tcPr>
            <w:tcW w:w="2552" w:type="dxa"/>
            <w:vAlign w:val="bottom"/>
          </w:tcPr>
          <w:p w14:paraId="6771DBF4" w14:textId="77777777" w:rsidR="00571C5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bottom"/>
          </w:tcPr>
          <w:p w14:paraId="16100E3D" w14:textId="77777777" w:rsidR="00571C5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r w:rsidR="00571C51" w14:paraId="2A54712D" w14:textId="77777777" w:rsidTr="00A04A8B">
        <w:tc>
          <w:tcPr>
            <w:tcW w:w="4077" w:type="dxa"/>
          </w:tcPr>
          <w:p w14:paraId="4F84D129" w14:textId="77777777" w:rsidR="00571C51" w:rsidRPr="00E35FD3" w:rsidRDefault="00571C51" w:rsidP="00EF5D3B">
            <w:pPr>
              <w:rPr>
                <w:rFonts w:ascii="Arial Narrow" w:hAnsi="Arial Narrow" w:cstheme="minorHAnsi"/>
                <w:sz w:val="20"/>
                <w:szCs w:val="20"/>
              </w:rPr>
            </w:pPr>
            <w:r w:rsidRPr="00E35FD3">
              <w:rPr>
                <w:rFonts w:ascii="Arial Narrow" w:hAnsi="Arial Narrow" w:cstheme="minorHAnsi"/>
                <w:sz w:val="20"/>
                <w:szCs w:val="20"/>
              </w:rPr>
              <w:t>Actual</w:t>
            </w:r>
          </w:p>
        </w:tc>
        <w:tc>
          <w:tcPr>
            <w:tcW w:w="2552" w:type="dxa"/>
            <w:vAlign w:val="bottom"/>
          </w:tcPr>
          <w:p w14:paraId="3558FB2C" w14:textId="77777777" w:rsidR="00571C51" w:rsidRPr="00E35FD3" w:rsidRDefault="00571C51"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174,120</w:t>
            </w:r>
          </w:p>
        </w:tc>
        <w:tc>
          <w:tcPr>
            <w:tcW w:w="2544" w:type="dxa"/>
            <w:vAlign w:val="bottom"/>
          </w:tcPr>
          <w:p w14:paraId="31A88DCB" w14:textId="77777777" w:rsidR="00571C51" w:rsidRPr="00E35FD3" w:rsidRDefault="00571C51" w:rsidP="00EF5D3B">
            <w:pPr>
              <w:jc w:val="center"/>
              <w:rPr>
                <w:rFonts w:ascii="Arial Narrow" w:hAnsi="Arial Narrow" w:cstheme="minorHAnsi"/>
                <w:color w:val="000000"/>
                <w:sz w:val="20"/>
                <w:szCs w:val="20"/>
              </w:rPr>
            </w:pPr>
            <w:r w:rsidRPr="00E35FD3">
              <w:rPr>
                <w:rFonts w:ascii="Arial Narrow" w:hAnsi="Arial Narrow" w:cstheme="minorHAnsi"/>
                <w:color w:val="000000"/>
                <w:sz w:val="20"/>
                <w:szCs w:val="20"/>
              </w:rPr>
              <w:t>90,884</w:t>
            </w:r>
          </w:p>
        </w:tc>
      </w:tr>
      <w:tr w:rsidR="00571C51" w14:paraId="39876A1C" w14:textId="77777777" w:rsidTr="00A04A8B">
        <w:tc>
          <w:tcPr>
            <w:tcW w:w="4077" w:type="dxa"/>
          </w:tcPr>
          <w:p w14:paraId="04868951" w14:textId="77777777" w:rsidR="00571C51" w:rsidRPr="00E35FD3" w:rsidRDefault="00571C51" w:rsidP="00EF5D3B">
            <w:pPr>
              <w:rPr>
                <w:rFonts w:ascii="Arial Narrow" w:hAnsi="Arial Narrow" w:cstheme="minorHAnsi"/>
                <w:sz w:val="20"/>
                <w:szCs w:val="20"/>
              </w:rPr>
            </w:pPr>
            <w:r w:rsidRPr="00E35FD3">
              <w:rPr>
                <w:rFonts w:ascii="Arial Narrow" w:hAnsi="Arial Narrow" w:cstheme="minorHAnsi"/>
                <w:sz w:val="20"/>
                <w:szCs w:val="20"/>
              </w:rPr>
              <w:t>Actual vs. Predicted (%)</w:t>
            </w:r>
          </w:p>
        </w:tc>
        <w:tc>
          <w:tcPr>
            <w:tcW w:w="2552" w:type="dxa"/>
            <w:vAlign w:val="center"/>
          </w:tcPr>
          <w:p w14:paraId="384EA438" w14:textId="77777777" w:rsidR="00571C5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c>
          <w:tcPr>
            <w:tcW w:w="2544" w:type="dxa"/>
            <w:vAlign w:val="center"/>
          </w:tcPr>
          <w:p w14:paraId="3BFED03C" w14:textId="77777777" w:rsidR="00571C51" w:rsidRPr="00EB5E6F" w:rsidRDefault="00EB5E6F" w:rsidP="00EF5D3B">
            <w:pPr>
              <w:jc w:val="center"/>
              <w:rPr>
                <w:rFonts w:ascii="Arial Narrow" w:hAnsi="Arial Narrow" w:cstheme="minorHAnsi"/>
                <w:color w:val="000000"/>
                <w:sz w:val="20"/>
                <w:szCs w:val="20"/>
                <w:highlight w:val="black"/>
              </w:rPr>
            </w:pPr>
            <w:r>
              <w:rPr>
                <w:rFonts w:ascii="Arial Narrow" w:hAnsi="Arial Narrow" w:cstheme="minorHAnsi"/>
                <w:noProof/>
                <w:color w:val="000000"/>
                <w:sz w:val="20"/>
                <w:szCs w:val="20"/>
                <w:highlight w:val="black"/>
              </w:rPr>
              <w:t>''''''''''''''''</w:t>
            </w:r>
          </w:p>
        </w:tc>
      </w:tr>
    </w:tbl>
    <w:p w14:paraId="1AFE859F" w14:textId="77777777" w:rsidR="00C87DF5" w:rsidRPr="00E35FD3" w:rsidRDefault="00C87DF5" w:rsidP="00EF5D3B">
      <w:pPr>
        <w:spacing w:after="0"/>
        <w:rPr>
          <w:sz w:val="16"/>
          <w:szCs w:val="16"/>
        </w:rPr>
      </w:pPr>
    </w:p>
    <w:p w14:paraId="3158E93F" w14:textId="77777777" w:rsidR="00E35FD3" w:rsidRPr="00EB5E6F" w:rsidRDefault="00EB5E6F" w:rsidP="00EF5D3B">
      <w:pPr>
        <w:spacing w:after="0"/>
        <w:rPr>
          <w:szCs w:val="22"/>
          <w:highlight w:val="black"/>
        </w:rPr>
      </w:pPr>
      <w:r>
        <w:rPr>
          <w:noProof/>
          <w:color w:val="000000"/>
          <w:szCs w:val="22"/>
          <w:highlight w:val="black"/>
        </w:rPr>
        <w:t>''''''' '''''''''''''''''''' ''''' '''''' ''''''''' ''''''''''''''''' ''''''' ''''''''''''''''''''''''''''''''' '''''''''''' '''''''''' ''''' ''''''''''''''''''''''''''' '''' ''''''' '''''''''''''''' ''''' '''''''''''''' ''''''''''''''''' ''''''''''''''''''' ''''''''''''''''' '''''''''''''' '''''''''''''''''''' ''''''''''''''''' ''''''''' ''''''''''' ''''''''' '''''' '''''''''''''' ''''''''''''''''' '''''''''''' ''''''''''''' ''''''' '''''''''''''''' ''''''''''''''''''' ''''' '''''' ''''''''' ''''''''''''''''' '''''''''''' ''''''''''''''' ''''' ''''''''''''''' ''''' ''''''''''' ''''''' '''''''''''''''''''''''' '''''' ''''''' '''''''''''''''''''' ''''''''''''''''' '''''''' '''''''''''''''''' '''''''''''''''' '''' ''''''''''''''''''''''' ''''''' '''''''''''''' '''''''''' ''''''''''''''''''''''''' ''''''''''''''' ''''' ''''''' '''''''''' '''''''''''''''''''' ''''''''' ''''''''' '''''''''''''''' ''' ''''''' ''''''''''''' ''''''''' ''''''''''''''''</w:t>
      </w:r>
    </w:p>
    <w:p w14:paraId="3AF8F07A" w14:textId="0AAB2F37" w:rsidR="00E35FD3" w:rsidRPr="00100597" w:rsidRDefault="00E35FD3" w:rsidP="00EF5D3B">
      <w:pPr>
        <w:rPr>
          <w:b/>
          <w:szCs w:val="22"/>
          <w:u w:val="single"/>
        </w:rPr>
      </w:pPr>
    </w:p>
    <w:p w14:paraId="7B2E42F2" w14:textId="77777777" w:rsidR="00CB35E9" w:rsidRPr="008710B9" w:rsidRDefault="00CB35E9" w:rsidP="00080071">
      <w:pPr>
        <w:keepNext/>
        <w:keepLines/>
        <w:spacing w:after="0"/>
        <w:contextualSpacing/>
        <w:outlineLvl w:val="0"/>
        <w:rPr>
          <w:rFonts w:ascii="Calibri" w:eastAsia="MS Gothic" w:hAnsi="Calibri" w:cs="Times New Roman"/>
          <w:b/>
          <w:bCs/>
          <w:sz w:val="32"/>
          <w:szCs w:val="32"/>
        </w:rPr>
      </w:pPr>
      <w:r w:rsidRPr="008710B9">
        <w:rPr>
          <w:rFonts w:ascii="Calibri" w:eastAsia="MS Gothic" w:hAnsi="Calibri" w:cs="Times New Roman"/>
          <w:b/>
          <w:bCs/>
          <w:sz w:val="32"/>
          <w:szCs w:val="32"/>
        </w:rPr>
        <w:t>DUSC consideration</w:t>
      </w:r>
    </w:p>
    <w:p w14:paraId="38CB3AD2" w14:textId="77777777" w:rsidR="00080071" w:rsidRDefault="00080071" w:rsidP="00080071">
      <w:pPr>
        <w:spacing w:after="0"/>
        <w:contextualSpacing/>
      </w:pPr>
    </w:p>
    <w:p w14:paraId="679C5C55" w14:textId="4AE2BBAF" w:rsidR="00686247" w:rsidRPr="00686247" w:rsidRDefault="00686247" w:rsidP="00080071">
      <w:pPr>
        <w:spacing w:after="0"/>
        <w:contextualSpacing/>
      </w:pPr>
      <w:r w:rsidRPr="00686247">
        <w:t>At the start of 2016 it was estimated that there were 227,310 Australians living with hepatitis C. At that time around 4,000 patients per year were accessing the existing PBS interferon-containing drug regimens. DUSC commented that the utilisation of interferon</w:t>
      </w:r>
      <w:r w:rsidRPr="00686247">
        <w:noBreakHyphen/>
        <w:t xml:space="preserve">based treatment was low because the response to this therapy was poor and there were significant drug-related side effects. DUSC noted that the availability of boceprevir, telaprevir and simeprevir had improved the response to interferon therapy but only in patients who were HCV genotype 1. </w:t>
      </w:r>
    </w:p>
    <w:p w14:paraId="748F251B" w14:textId="77777777" w:rsidR="00686247" w:rsidRDefault="00686247" w:rsidP="00686247">
      <w:pPr>
        <w:spacing w:after="0"/>
        <w:rPr>
          <w:i/>
        </w:rPr>
      </w:pPr>
    </w:p>
    <w:p w14:paraId="328F8328" w14:textId="7AAD28BF" w:rsidR="00686247" w:rsidRPr="00F06C47" w:rsidRDefault="00686247" w:rsidP="00686247">
      <w:pPr>
        <w:spacing w:after="0"/>
      </w:pPr>
      <w:r w:rsidRPr="00F06C47">
        <w:t xml:space="preserve">DUSC commented that the high initial uptake of DAA medicines was mainly from patients </w:t>
      </w:r>
      <w:r w:rsidR="001347B0">
        <w:t>who delayed</w:t>
      </w:r>
      <w:r w:rsidRPr="00F06C47">
        <w:t xml:space="preserve"> interferon</w:t>
      </w:r>
      <w:r w:rsidRPr="00F06C47">
        <w:noBreakHyphen/>
        <w:t>based treatment</w:t>
      </w:r>
      <w:r w:rsidR="001347B0">
        <w:t>,</w:t>
      </w:r>
      <w:r w:rsidRPr="00F06C47">
        <w:t xml:space="preserve"> which, compared to the DAAs, had less clinical efficacy and was not as well tolerated. DUSC noted that during the first two years of listing the utilisation of the DAA medicines was substantially greater than anticipated. DUSC considered that the uptake of DAA therapy was difficult to predict at the time of first listing as it was unknown what the rates of diagnosis and access to treatment would be.</w:t>
      </w:r>
    </w:p>
    <w:p w14:paraId="46A7633B" w14:textId="77777777" w:rsidR="00686247" w:rsidRDefault="00686247" w:rsidP="00686247">
      <w:pPr>
        <w:spacing w:after="0"/>
        <w:rPr>
          <w:i/>
        </w:rPr>
      </w:pPr>
    </w:p>
    <w:p w14:paraId="1E96B623" w14:textId="60011382" w:rsidR="00686247" w:rsidRPr="00F06C47" w:rsidRDefault="00686247" w:rsidP="00686247">
      <w:pPr>
        <w:spacing w:after="0"/>
      </w:pPr>
      <w:r w:rsidRPr="00F06C47">
        <w:t>DUSC noted that the number of patients initiating DAA therapy had stabilised to around 1,200 patients per month compared with around 4,400 initiators per month at the time of listing. DUSC considered that this indicated that the remaining untreated population included hard-to-reach groups, such as people who inject drugs. DUSC further noted from the geospatial analysis of DAA utilisation that there was regional variation in accessing these medicines. DUSC considered that may reflect socioeconomic differences between the regions. Patient access to screening, diagnosis, staging (by fibroscan) and access to specialist services may also account for variation in regional prescribing.</w:t>
      </w:r>
    </w:p>
    <w:p w14:paraId="16D61F2E" w14:textId="77777777" w:rsidR="00686247" w:rsidRDefault="00686247" w:rsidP="00686247">
      <w:pPr>
        <w:spacing w:after="0"/>
        <w:rPr>
          <w:i/>
        </w:rPr>
      </w:pPr>
    </w:p>
    <w:p w14:paraId="2F76DF9C" w14:textId="1BEC229C" w:rsidR="00686247" w:rsidRPr="00432DEB" w:rsidRDefault="00686247" w:rsidP="00686247">
      <w:pPr>
        <w:spacing w:after="0"/>
      </w:pPr>
      <w:r w:rsidRPr="00432DEB">
        <w:t>Populations who have been identified as having a priority for DAA therapy include: people who inject drugs, in particular young injectors and people from an Aboriginal and Torres Strait Islander background; and individuals in custodial settings. DUSC noted that around 8</w:t>
      </w:r>
      <w:r w:rsidR="00B4361E">
        <w:t> </w:t>
      </w:r>
      <w:r w:rsidRPr="00432DEB">
        <w:t xml:space="preserve">percent of people with newly diagnosed HCV are of Aboriginal or Torres Strait Islander descent. DUSC noted that in 2017, 857 people were supplied a DAA medicine under the </w:t>
      </w:r>
      <w:hyperlink r:id="rId43" w:history="1">
        <w:r w:rsidRPr="00432DEB">
          <w:t>Closing the Gap PBS Co-payment Program</w:t>
        </w:r>
      </w:hyperlink>
      <w:r w:rsidRPr="00432DEB">
        <w:t xml:space="preserve"> (‘CTG’) measure, representing around 4 percent of the total PBS population. DUSC further noted that there was only a small supply of DAA medicines through Aboriginal Health Services. DUSC considered that compared to the diagnosed population, the supply of DAA medicines to the Aboriginal and Torres Strait Islander population was relatively low. However, DUSC noted that the CTG measure does not capture all prescribing to this population. DUSC noted that the prevalence of HCV among prisoners was relatively high, which was estimated to be around 30 percent. DUSC noted that while PBS subsidised DAA therapy could be accessed by eligible prisoners under the Section 100 </w:t>
      </w:r>
      <w:r w:rsidR="00B4361E">
        <w:t>HSD</w:t>
      </w:r>
      <w:r w:rsidRPr="00432DEB">
        <w:t xml:space="preserve"> Program, the supply of DAAs to this population could not be identified from the overall supply of these medicines in the hospital outpatient setting. DUSC further noted that some prisoners were also able to access non-PBS</w:t>
      </w:r>
      <w:r w:rsidRPr="00432DEB">
        <w:noBreakHyphen/>
        <w:t>subsidised DAA therapy, such as through the ‘Surveillance and Treatment of Prisoners with Hepatitis C (SToP</w:t>
      </w:r>
      <w:r w:rsidRPr="00432DEB">
        <w:noBreakHyphen/>
        <w:t>C)’ trial where around 2,500 prisoners within NSW correctional centres were expected to be supplied sofosbuvir with velpatasvir.</w:t>
      </w:r>
    </w:p>
    <w:p w14:paraId="3D037D1C" w14:textId="0353A358" w:rsidR="00686247" w:rsidRPr="00B27251" w:rsidRDefault="00686247" w:rsidP="00686247">
      <w:pPr>
        <w:spacing w:after="0"/>
      </w:pPr>
      <w:r w:rsidRPr="00B27251">
        <w:t>DUSC noted that only a small proportion of patients (5.7 percent) were not supplied the full course of treatment that was authorised. DUSC further noted that for most patients, the time between an Authority to when the regimen was dispensed was short (median of 2</w:t>
      </w:r>
      <w:r w:rsidR="00B4361E">
        <w:t> </w:t>
      </w:r>
      <w:r w:rsidRPr="00B27251">
        <w:t>days).</w:t>
      </w:r>
    </w:p>
    <w:p w14:paraId="49E37F80" w14:textId="77777777" w:rsidR="00686247" w:rsidRDefault="00686247" w:rsidP="00686247">
      <w:pPr>
        <w:spacing w:after="0"/>
        <w:rPr>
          <w:i/>
        </w:rPr>
      </w:pPr>
    </w:p>
    <w:p w14:paraId="379F33A8" w14:textId="11A3B324" w:rsidR="00686247" w:rsidRPr="001C4033" w:rsidRDefault="00686247" w:rsidP="00686247">
      <w:pPr>
        <w:spacing w:after="0"/>
      </w:pPr>
      <w:r w:rsidRPr="001C4033">
        <w:t>Of the 58,941 patients supplied a DAA between 1 March 2016 and 30 April 2018, 22.4</w:t>
      </w:r>
      <w:r w:rsidR="00B4361E">
        <w:t> </w:t>
      </w:r>
      <w:r w:rsidRPr="001C4033">
        <w:t>percent (n=10,772) were identified as having a DAA regimen specifically for treatment</w:t>
      </w:r>
      <w:r w:rsidRPr="001C4033">
        <w:noBreakHyphen/>
        <w:t xml:space="preserve">experienced patients and/or prior therapy with peginterferon plus ribavirin alone or in combination with boceprevir, telaprevir or simeprevir. DUSC noted that complete prescriptions data for </w:t>
      </w:r>
      <w:r w:rsidR="00B4361E">
        <w:t>HSDs</w:t>
      </w:r>
      <w:r w:rsidRPr="001C4033">
        <w:t xml:space="preserve"> was only available from July</w:t>
      </w:r>
      <w:r w:rsidR="00B4361E">
        <w:t> </w:t>
      </w:r>
      <w:r w:rsidRPr="001C4033">
        <w:t>2013, and as such, the analysis included a lookback period to this time. However, the number of treatment</w:t>
      </w:r>
      <w:r w:rsidRPr="001C4033">
        <w:noBreakHyphen/>
        <w:t>experienced patients was likely to have been underestimated by using this limited data period.</w:t>
      </w:r>
    </w:p>
    <w:p w14:paraId="718D8BEB" w14:textId="77777777" w:rsidR="00686247" w:rsidRDefault="00686247" w:rsidP="00686247">
      <w:pPr>
        <w:spacing w:after="0"/>
        <w:rPr>
          <w:i/>
        </w:rPr>
      </w:pPr>
    </w:p>
    <w:p w14:paraId="5E3DB90B" w14:textId="77777777" w:rsidR="00686247" w:rsidRPr="00466613" w:rsidRDefault="00686247" w:rsidP="00686247">
      <w:pPr>
        <w:spacing w:after="0"/>
      </w:pPr>
      <w:r w:rsidRPr="00466613">
        <w:t>3.5 percent (n=2,050 patients) of the 58,941 initiators between 1 March 2016 and 30 April 2018 were supplied two or more different DAA regimens. DUSC commented that patients may be switching therapy due to re-infection, and also due to drug intolerance or poor adherence. DUSC considered that including re-treatment with the same DAA regimen in the analysis may also be informative about rates of non-completion of courses of treatment. DUSC noted that this would require assumptions about time between treatments to classify patients who were potentially having a treatment break versus those who may be recommencing therapy due to re</w:t>
      </w:r>
      <w:r w:rsidRPr="00466613">
        <w:noBreakHyphen/>
        <w:t xml:space="preserve">infection. </w:t>
      </w:r>
    </w:p>
    <w:p w14:paraId="00F0D2D0" w14:textId="77777777" w:rsidR="00686247" w:rsidRDefault="00686247" w:rsidP="00686247">
      <w:pPr>
        <w:spacing w:after="0"/>
        <w:rPr>
          <w:i/>
        </w:rPr>
      </w:pPr>
    </w:p>
    <w:p w14:paraId="31D413AF" w14:textId="77777777" w:rsidR="00686247" w:rsidRPr="00C051FF" w:rsidRDefault="00686247" w:rsidP="00686247">
      <w:pPr>
        <w:spacing w:after="0"/>
      </w:pPr>
      <w:r w:rsidRPr="00C051FF">
        <w:t>DUSC noted that there has been a change over the first two years of listing with a greater extent of prescribing of DAA medicines by general practitioners in the latter time and less by specialists. DUSC considered that this indicated that general practitioners had become more confident with using the DAA medicines. DUSC also noted that the availability of pan-genotypic regimens had simplified prescribing and that these were the most commonly dispensed DAA regimens. DUSC noted there was a small but growing number of nurse practitioners involved in prescribing.</w:t>
      </w:r>
    </w:p>
    <w:p w14:paraId="3003FB2A" w14:textId="77777777" w:rsidR="00686247" w:rsidRDefault="00686247" w:rsidP="00686247">
      <w:pPr>
        <w:spacing w:after="0"/>
        <w:rPr>
          <w:i/>
        </w:rPr>
      </w:pPr>
    </w:p>
    <w:p w14:paraId="23C75064" w14:textId="501C2D6A" w:rsidR="00686247" w:rsidRPr="001C420F" w:rsidRDefault="00686247" w:rsidP="001C420F">
      <w:pPr>
        <w:spacing w:after="0"/>
      </w:pPr>
      <w:r w:rsidRPr="009F6BD5">
        <w:t xml:space="preserve">When compared to specialists, DUSC noted that general practitioners tended to treat fewer patients and there were fewer prescriptions per prescriber. DUSC noted that Figure 7 indicated that a large number of general practitioners prescribed DAA therapy for only one patient over a </w:t>
      </w:r>
      <w:r w:rsidR="00B4361E" w:rsidRPr="009F6BD5">
        <w:t>one-year</w:t>
      </w:r>
      <w:r w:rsidRPr="009F6BD5">
        <w:t xml:space="preserve"> period. DUSC discussed undertaking a geospatial analysis of general practitioners with low prescribing rates to identify particular regions to target resources to assist these prescribers. However, DUSC noted that the availability of simpler pan-genotypic regimens may result in improved prescribing rate among general practitioners. </w:t>
      </w:r>
    </w:p>
    <w:p w14:paraId="3063CB28" w14:textId="77777777" w:rsidR="00686247" w:rsidRPr="00686247" w:rsidRDefault="00686247" w:rsidP="00686247">
      <w:pPr>
        <w:keepNext/>
        <w:keepLines/>
        <w:spacing w:before="480" w:after="240"/>
        <w:outlineLvl w:val="0"/>
        <w:rPr>
          <w:rFonts w:ascii="Calibri" w:eastAsia="MS Gothic" w:hAnsi="Calibri" w:cs="Times New Roman"/>
          <w:b/>
          <w:bCs/>
          <w:sz w:val="32"/>
          <w:szCs w:val="32"/>
        </w:rPr>
      </w:pPr>
      <w:r w:rsidRPr="00686247">
        <w:rPr>
          <w:rFonts w:ascii="Calibri" w:eastAsia="MS Gothic" w:hAnsi="Calibri" w:cs="Times New Roman"/>
          <w:b/>
          <w:bCs/>
          <w:sz w:val="32"/>
          <w:szCs w:val="32"/>
        </w:rPr>
        <w:t>DUSC Actions</w:t>
      </w:r>
    </w:p>
    <w:p w14:paraId="7F758FE9" w14:textId="77777777" w:rsidR="00686247" w:rsidRPr="001C420F" w:rsidRDefault="00686247" w:rsidP="001C420F">
      <w:pPr>
        <w:spacing w:after="0"/>
        <w:rPr>
          <w:rFonts w:eastAsia="Calibri"/>
        </w:rPr>
      </w:pPr>
      <w:r w:rsidRPr="001C420F">
        <w:rPr>
          <w:rFonts w:eastAsia="Calibri"/>
        </w:rPr>
        <w:t xml:space="preserve">DUSC requested that the report be provided to the PBAC. </w:t>
      </w:r>
    </w:p>
    <w:p w14:paraId="5C1EE60D" w14:textId="77777777" w:rsidR="00686247" w:rsidRDefault="00686247" w:rsidP="00CB35E9">
      <w:pPr>
        <w:pStyle w:val="Heading4"/>
        <w:rPr>
          <w:i w:val="0"/>
        </w:rPr>
      </w:pPr>
    </w:p>
    <w:p w14:paraId="286C6175" w14:textId="77777777" w:rsidR="00CB35E9" w:rsidRPr="00F06628" w:rsidRDefault="00CB35E9" w:rsidP="00CB35E9">
      <w:pPr>
        <w:pStyle w:val="Heading4"/>
        <w:rPr>
          <w:i w:val="0"/>
        </w:rPr>
      </w:pPr>
      <w:r w:rsidRPr="00F06628">
        <w:rPr>
          <w:i w:val="0"/>
        </w:rPr>
        <w:t>Context for analysis</w:t>
      </w:r>
    </w:p>
    <w:p w14:paraId="60E38C16" w14:textId="77777777" w:rsidR="00CB35E9" w:rsidRDefault="00CB35E9" w:rsidP="00CB35E9">
      <w:r>
        <w:t>The DUSC is a Sub Committee of the Pharmaceutical Benefits Advisory Committee (PBAC). The DUSC assesses estimates on projected usage and financial cost of medicines.</w:t>
      </w:r>
    </w:p>
    <w:p w14:paraId="148205E1" w14:textId="77777777" w:rsidR="00CB35E9" w:rsidRDefault="00CB35E9" w:rsidP="00CB35E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B285311" w14:textId="77777777" w:rsidR="00CB35E9" w:rsidRDefault="00CB35E9" w:rsidP="00CB35E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5079435" w14:textId="77777777" w:rsidR="00CB35E9" w:rsidRDefault="00CB35E9" w:rsidP="00CB35E9">
      <w:r>
        <w:t>The utilisation analysis report was provided to the pharmaceutical sponsors of each drug and comments on the report were provided to DUSC prior to its consideration of the analysis.</w:t>
      </w:r>
    </w:p>
    <w:p w14:paraId="7ECD97B5" w14:textId="77777777" w:rsidR="00CB35E9" w:rsidRPr="00B04C78" w:rsidRDefault="00CB35E9" w:rsidP="00CB35E9">
      <w:pPr>
        <w:pStyle w:val="Heading4"/>
        <w:rPr>
          <w:i w:val="0"/>
        </w:rPr>
      </w:pPr>
      <w:r w:rsidRPr="00B04C78">
        <w:rPr>
          <w:i w:val="0"/>
        </w:rPr>
        <w:t>Sponsors’ comments</w:t>
      </w:r>
    </w:p>
    <w:p w14:paraId="01C59BEE" w14:textId="447F1BAE" w:rsidR="00D271EF" w:rsidRDefault="00F45E46" w:rsidP="002131A6">
      <w:r w:rsidRPr="00F45E46">
        <w:rPr>
          <w:u w:val="single"/>
        </w:rPr>
        <w:t>Mer</w:t>
      </w:r>
      <w:r>
        <w:rPr>
          <w:u w:val="single"/>
        </w:rPr>
        <w:t>ck Sharp &amp; Dohme (Australia) Pty</w:t>
      </w:r>
      <w:r w:rsidRPr="00F45E46">
        <w:rPr>
          <w:u w:val="single"/>
        </w:rPr>
        <w:t xml:space="preserve"> Ltd</w:t>
      </w:r>
      <w:r>
        <w:t>:</w:t>
      </w:r>
    </w:p>
    <w:p w14:paraId="20D70758" w14:textId="56F7F6D8" w:rsidR="002131A6" w:rsidRDefault="002131A6" w:rsidP="002131A6">
      <w:pPr>
        <w:rPr>
          <w:sz w:val="22"/>
          <w:szCs w:val="22"/>
        </w:rPr>
      </w:pPr>
      <w:r>
        <w:t>The availability of pan-genotypic agents has not universally simplified prescribing due to genotype-specific adjustments to regimens and has not arrested the significant decline in DAA treatment uptake, despite making inroads to the hard-to-reach populations. Genotyping informs the appropriate DAA regimen to likely achieve SVR12 and allows the consideration of all appropriate DAAs to maximise tolerability and avoid clinically significant drug to drug interactions.</w:t>
      </w:r>
    </w:p>
    <w:p w14:paraId="6C683037" w14:textId="77777777" w:rsidR="00CB35E9" w:rsidRPr="00F06628" w:rsidRDefault="00CB35E9" w:rsidP="00CB35E9">
      <w:pPr>
        <w:pStyle w:val="Heading4"/>
        <w:rPr>
          <w:i w:val="0"/>
        </w:rPr>
      </w:pPr>
      <w:r w:rsidRPr="00F06628">
        <w:rPr>
          <w:i w:val="0"/>
        </w:rPr>
        <w:t>Disclaimer</w:t>
      </w:r>
    </w:p>
    <w:p w14:paraId="740EAE41" w14:textId="77777777" w:rsidR="00CB35E9" w:rsidRDefault="00CB35E9" w:rsidP="00CB35E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23FF29D" w14:textId="77777777" w:rsidR="00CB35E9" w:rsidRDefault="00CB35E9" w:rsidP="00CB35E9">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A4B6CBF" w14:textId="77777777" w:rsidR="00CB35E9" w:rsidRDefault="00CB35E9" w:rsidP="00CB35E9">
      <w:r>
        <w:t xml:space="preserve">To the extent provided by law, DoH makes no warranties or representations as to accuracy or completeness of information contained in this report. </w:t>
      </w:r>
    </w:p>
    <w:p w14:paraId="66352290" w14:textId="61BA1112" w:rsidR="00CB35E9" w:rsidRDefault="00CB35E9" w:rsidP="00EF5D3B">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F7BD677" w14:textId="77777777" w:rsidR="005C432E" w:rsidRPr="008B1C8C" w:rsidRDefault="005C432E" w:rsidP="00EF5D3B">
      <w:pPr>
        <w:sectPr w:rsidR="005C432E" w:rsidRPr="008B1C8C" w:rsidSect="00051F26">
          <w:pgSz w:w="11906" w:h="16838"/>
          <w:pgMar w:top="1644" w:right="1361" w:bottom="1644" w:left="1588" w:header="709" w:footer="709" w:gutter="0"/>
          <w:cols w:space="708"/>
          <w:docGrid w:linePitch="360"/>
        </w:sectPr>
      </w:pPr>
    </w:p>
    <w:p w14:paraId="6CDF5923" w14:textId="77777777" w:rsidR="004B306F" w:rsidRDefault="004B306F" w:rsidP="00EF5D3B">
      <w:pPr>
        <w:pStyle w:val="Heading1"/>
      </w:pPr>
      <w:r>
        <w:t>References</w:t>
      </w:r>
    </w:p>
    <w:p w14:paraId="4F6B7F9C" w14:textId="77777777" w:rsidR="00B601C3" w:rsidRDefault="00B601C3" w:rsidP="00EF5D3B">
      <w:pPr>
        <w:pStyle w:val="Bibliography"/>
        <w:spacing w:after="0"/>
        <w:ind w:left="720" w:hanging="720"/>
        <w:contextualSpacing/>
        <w:rPr>
          <w:noProof/>
        </w:rPr>
      </w:pPr>
      <w:r>
        <w:rPr>
          <w:noProof/>
        </w:rPr>
        <w:t xml:space="preserve">ABS (2016). </w:t>
      </w:r>
      <w:r w:rsidRPr="002C3316">
        <w:rPr>
          <w:iCs/>
          <w:noProof/>
        </w:rPr>
        <w:t>1270.0.55.001 - Australian Statistical Geography Standard (ASGS): Volume 1 - Main Structure and Greater Capital City Statistical Areas, July 2016.</w:t>
      </w:r>
      <w:r w:rsidRPr="002C3316">
        <w:rPr>
          <w:noProof/>
        </w:rPr>
        <w:t xml:space="preserve"> </w:t>
      </w:r>
      <w:r>
        <w:rPr>
          <w:noProof/>
        </w:rPr>
        <w:t>Australian Bureau of Statistics.</w:t>
      </w:r>
    </w:p>
    <w:p w14:paraId="6A0B7317" w14:textId="77777777" w:rsidR="00B601C3" w:rsidRDefault="00B601C3" w:rsidP="00EF5D3B">
      <w:pPr>
        <w:pStyle w:val="Bibliography"/>
        <w:spacing w:after="0"/>
        <w:ind w:left="720" w:hanging="720"/>
        <w:contextualSpacing/>
        <w:rPr>
          <w:noProof/>
        </w:rPr>
      </w:pPr>
      <w:r>
        <w:rPr>
          <w:noProof/>
        </w:rPr>
        <w:t xml:space="preserve">ABS (2016). </w:t>
      </w:r>
      <w:r w:rsidRPr="002C3316">
        <w:rPr>
          <w:iCs/>
          <w:noProof/>
        </w:rPr>
        <w:t>Census of Population and Housing. Accessed on 26 July 2018 at: http://www.abs.gov.au/ausstats/abs@.nsf/MediaRealesesByCatalogue/02D50FAA9987D6B7CA25814800087E03?OpenDocument.</w:t>
      </w:r>
      <w:r w:rsidRPr="002C3316">
        <w:rPr>
          <w:noProof/>
        </w:rPr>
        <w:t xml:space="preserve"> </w:t>
      </w:r>
    </w:p>
    <w:p w14:paraId="544B1704" w14:textId="77777777" w:rsidR="00B601C3" w:rsidRDefault="00B601C3" w:rsidP="00EF5D3B">
      <w:pPr>
        <w:pStyle w:val="Bibliography"/>
        <w:spacing w:after="0"/>
        <w:ind w:left="720" w:hanging="720"/>
        <w:contextualSpacing/>
        <w:rPr>
          <w:noProof/>
        </w:rPr>
      </w:pPr>
      <w:r>
        <w:rPr>
          <w:noProof/>
        </w:rPr>
        <w:t>ABS (2017). 4517.0 - Prisoners in Australia, 2017.</w:t>
      </w:r>
    </w:p>
    <w:p w14:paraId="5FBED03D" w14:textId="77777777" w:rsidR="00B601C3" w:rsidRDefault="00B601C3" w:rsidP="00EF5D3B">
      <w:pPr>
        <w:pStyle w:val="Bibliography"/>
        <w:spacing w:after="0"/>
        <w:ind w:left="720" w:hanging="720"/>
        <w:contextualSpacing/>
        <w:rPr>
          <w:noProof/>
        </w:rPr>
      </w:pPr>
      <w:r>
        <w:rPr>
          <w:noProof/>
        </w:rPr>
        <w:t>ASHM (2016).</w:t>
      </w:r>
      <w:r w:rsidRPr="002C3316">
        <w:rPr>
          <w:noProof/>
        </w:rPr>
        <w:t xml:space="preserve"> </w:t>
      </w:r>
      <w:r w:rsidRPr="002C3316">
        <w:rPr>
          <w:iCs/>
          <w:noProof/>
        </w:rPr>
        <w:t>Hepatitis C Mapping Project: Estimates of geographic diversity in chronic hepatitis C prevalence, diagnosis, monitoring and treatment - National Report 2016.</w:t>
      </w:r>
      <w:r w:rsidRPr="002C3316">
        <w:rPr>
          <w:noProof/>
        </w:rPr>
        <w:t xml:space="preserve"> </w:t>
      </w:r>
    </w:p>
    <w:p w14:paraId="3647A18E" w14:textId="77777777" w:rsidR="00B601C3" w:rsidRDefault="00B601C3" w:rsidP="00EF5D3B">
      <w:pPr>
        <w:pStyle w:val="Bibliography"/>
        <w:spacing w:after="0"/>
        <w:ind w:left="720" w:hanging="720"/>
        <w:contextualSpacing/>
        <w:rPr>
          <w:noProof/>
        </w:rPr>
      </w:pPr>
      <w:r>
        <w:rPr>
          <w:noProof/>
        </w:rPr>
        <w:t xml:space="preserve">Australian Bureau of Statistics. (2012). </w:t>
      </w:r>
      <w:r w:rsidRPr="002C3316">
        <w:rPr>
          <w:iCs/>
          <w:noProof/>
        </w:rPr>
        <w:t>Principles on the use of direct age standardisation in administrative data collections.</w:t>
      </w:r>
      <w:r w:rsidRPr="002C3316">
        <w:rPr>
          <w:noProof/>
        </w:rPr>
        <w:t xml:space="preserve"> </w:t>
      </w:r>
      <w:r>
        <w:rPr>
          <w:noProof/>
        </w:rPr>
        <w:t>Retrieved 2018, from abs.gov.au: http://www.abs.gov.au/ausstats/abs@.nsf/Lookup/3302.0Appendix12010</w:t>
      </w:r>
    </w:p>
    <w:p w14:paraId="750DA5EA" w14:textId="77777777" w:rsidR="00B601C3" w:rsidRDefault="00B601C3" w:rsidP="00EF5D3B">
      <w:pPr>
        <w:pStyle w:val="Bibliography"/>
        <w:spacing w:after="0"/>
        <w:ind w:left="720" w:hanging="720"/>
        <w:contextualSpacing/>
        <w:rPr>
          <w:noProof/>
        </w:rPr>
      </w:pPr>
      <w:r>
        <w:rPr>
          <w:noProof/>
        </w:rPr>
        <w:t xml:space="preserve">Bretaria et al. (2015). Transmission of hepatitis C virus among prisoners, Australia, 2005-2012. </w:t>
      </w:r>
      <w:r w:rsidRPr="002C3316">
        <w:rPr>
          <w:iCs/>
          <w:noProof/>
        </w:rPr>
        <w:t>Emerg Infect Dis 21(5):</w:t>
      </w:r>
      <w:r w:rsidRPr="002C3316">
        <w:rPr>
          <w:noProof/>
        </w:rPr>
        <w:t xml:space="preserve">, </w:t>
      </w:r>
      <w:r>
        <w:rPr>
          <w:noProof/>
        </w:rPr>
        <w:t>765–774.</w:t>
      </w:r>
    </w:p>
    <w:p w14:paraId="27A30057" w14:textId="77777777" w:rsidR="00B601C3" w:rsidRDefault="00B601C3" w:rsidP="00EF5D3B">
      <w:pPr>
        <w:pStyle w:val="Bibliography"/>
        <w:spacing w:after="0"/>
        <w:ind w:left="720" w:hanging="720"/>
        <w:contextualSpacing/>
        <w:rPr>
          <w:noProof/>
        </w:rPr>
      </w:pPr>
      <w:r>
        <w:rPr>
          <w:noProof/>
        </w:rPr>
        <w:t>Bruggmann et al. (2014). Historical epidemiology of hepatitis C virus (HCV) in selected countries.</w:t>
      </w:r>
      <w:r w:rsidRPr="002C3316">
        <w:rPr>
          <w:noProof/>
        </w:rPr>
        <w:t xml:space="preserve"> </w:t>
      </w:r>
      <w:r w:rsidRPr="002C3316">
        <w:rPr>
          <w:iCs/>
          <w:noProof/>
        </w:rPr>
        <w:t>Journal of Viral Hepatitis 21 (Suppl.1)</w:t>
      </w:r>
      <w:r w:rsidRPr="002C3316">
        <w:rPr>
          <w:noProof/>
        </w:rPr>
        <w:t>,</w:t>
      </w:r>
      <w:r>
        <w:rPr>
          <w:noProof/>
        </w:rPr>
        <w:t xml:space="preserve"> 5-33.</w:t>
      </w:r>
    </w:p>
    <w:p w14:paraId="3350C6AC" w14:textId="77777777" w:rsidR="00B601C3" w:rsidRDefault="00B601C3" w:rsidP="00EF5D3B">
      <w:pPr>
        <w:pStyle w:val="Bibliography"/>
        <w:spacing w:after="0"/>
        <w:ind w:left="720" w:hanging="720"/>
        <w:contextualSpacing/>
        <w:rPr>
          <w:noProof/>
        </w:rPr>
      </w:pPr>
      <w:r>
        <w:rPr>
          <w:noProof/>
        </w:rPr>
        <w:t>Fourth National Hepatit</w:t>
      </w:r>
      <w:r w:rsidR="008B62EB">
        <w:rPr>
          <w:noProof/>
        </w:rPr>
        <w:t>is C Strategy 2014-2017</w:t>
      </w:r>
      <w:r w:rsidRPr="002C3316">
        <w:rPr>
          <w:iCs/>
          <w:noProof/>
        </w:rPr>
        <w:t>.</w:t>
      </w:r>
      <w:r w:rsidRPr="002C3316">
        <w:rPr>
          <w:noProof/>
        </w:rPr>
        <w:t xml:space="preserve"> </w:t>
      </w:r>
      <w:r>
        <w:rPr>
          <w:noProof/>
        </w:rPr>
        <w:t>Commonwealth of Australia.</w:t>
      </w:r>
    </w:p>
    <w:p w14:paraId="3CE28FBF" w14:textId="77777777" w:rsidR="00B601C3" w:rsidRDefault="00B601C3" w:rsidP="00EF5D3B">
      <w:pPr>
        <w:pStyle w:val="Bibliography"/>
        <w:spacing w:after="0"/>
        <w:ind w:left="720" w:hanging="720"/>
        <w:contextualSpacing/>
        <w:rPr>
          <w:noProof/>
        </w:rPr>
      </w:pPr>
      <w:r>
        <w:rPr>
          <w:noProof/>
        </w:rPr>
        <w:t xml:space="preserve">Graham et al. (2016). Prevalence of hepatitis C among Australian Aboriginal and Torres Strait Islander people: A systematic review and met- analysis. </w:t>
      </w:r>
      <w:r w:rsidRPr="002C3316">
        <w:rPr>
          <w:iCs/>
          <w:noProof/>
        </w:rPr>
        <w:t>Hepat Mo. 16(7):</w:t>
      </w:r>
      <w:r w:rsidRPr="002C3316">
        <w:rPr>
          <w:noProof/>
        </w:rPr>
        <w:t>,</w:t>
      </w:r>
      <w:r>
        <w:rPr>
          <w:noProof/>
        </w:rPr>
        <w:t xml:space="preserve"> e38640.</w:t>
      </w:r>
    </w:p>
    <w:p w14:paraId="5AB1755E" w14:textId="77777777" w:rsidR="00B601C3" w:rsidRDefault="00B601C3" w:rsidP="00EF5D3B">
      <w:pPr>
        <w:pStyle w:val="Bibliography"/>
        <w:spacing w:after="0"/>
        <w:ind w:left="720" w:hanging="720"/>
        <w:contextualSpacing/>
        <w:rPr>
          <w:noProof/>
        </w:rPr>
      </w:pPr>
      <w:r>
        <w:rPr>
          <w:noProof/>
        </w:rPr>
        <w:t xml:space="preserve">Herzer, K. and Gerken, G. (2016). When and how to treat HCV infection withthe new antivirals before or after liver transplantation. </w:t>
      </w:r>
      <w:r w:rsidRPr="002C3316">
        <w:rPr>
          <w:iCs/>
          <w:noProof/>
        </w:rPr>
        <w:t>Visc Med 32(4)</w:t>
      </w:r>
      <w:r w:rsidRPr="002C3316">
        <w:rPr>
          <w:noProof/>
        </w:rPr>
        <w:t>, 258-262.</w:t>
      </w:r>
    </w:p>
    <w:p w14:paraId="64F06EF6" w14:textId="77777777" w:rsidR="00B601C3" w:rsidRDefault="00B601C3" w:rsidP="00EF5D3B">
      <w:pPr>
        <w:pStyle w:val="Bibliography"/>
        <w:spacing w:after="0"/>
        <w:ind w:left="720" w:hanging="720"/>
        <w:contextualSpacing/>
        <w:rPr>
          <w:noProof/>
        </w:rPr>
      </w:pPr>
      <w:r>
        <w:rPr>
          <w:noProof/>
        </w:rPr>
        <w:t xml:space="preserve">Khoo, A. and Tse, E. (2016). A practical overview of the treatment of chronic hepatitis C virus infection. </w:t>
      </w:r>
      <w:r>
        <w:rPr>
          <w:i/>
          <w:iCs/>
          <w:noProof/>
        </w:rPr>
        <w:t>AFP 45(10)</w:t>
      </w:r>
      <w:r>
        <w:rPr>
          <w:noProof/>
        </w:rPr>
        <w:t>, 718-720.</w:t>
      </w:r>
    </w:p>
    <w:p w14:paraId="76DDCF12" w14:textId="77777777" w:rsidR="00B601C3" w:rsidRDefault="00B601C3" w:rsidP="00EF5D3B">
      <w:pPr>
        <w:pStyle w:val="Bibliography"/>
        <w:spacing w:after="0"/>
        <w:ind w:left="720" w:hanging="720"/>
        <w:contextualSpacing/>
        <w:rPr>
          <w:noProof/>
        </w:rPr>
      </w:pPr>
      <w:r>
        <w:rPr>
          <w:noProof/>
        </w:rPr>
        <w:t>Public Summary Document, sofosbuvir, March. (2015).</w:t>
      </w:r>
    </w:p>
    <w:p w14:paraId="365DE179" w14:textId="77777777" w:rsidR="00B601C3" w:rsidRDefault="00B601C3" w:rsidP="00EF5D3B">
      <w:pPr>
        <w:pStyle w:val="Bibliography"/>
        <w:spacing w:after="0"/>
        <w:ind w:left="720" w:hanging="720"/>
        <w:contextualSpacing/>
        <w:rPr>
          <w:noProof/>
        </w:rPr>
      </w:pPr>
      <w:r>
        <w:rPr>
          <w:noProof/>
        </w:rPr>
        <w:t xml:space="preserve">The Kirby Institute. (2016). </w:t>
      </w:r>
      <w:r w:rsidRPr="002C3316">
        <w:rPr>
          <w:iCs/>
          <w:noProof/>
        </w:rPr>
        <w:t>Hepatitis B and C in Australia Annual Surveillance Report Supplement.</w:t>
      </w:r>
      <w:r w:rsidRPr="002C3316">
        <w:rPr>
          <w:noProof/>
        </w:rPr>
        <w:t xml:space="preserve"> </w:t>
      </w:r>
    </w:p>
    <w:p w14:paraId="4A9FA337" w14:textId="77777777" w:rsidR="00B601C3" w:rsidRDefault="00B601C3" w:rsidP="00EF5D3B">
      <w:pPr>
        <w:pStyle w:val="Bibliography"/>
        <w:spacing w:after="0"/>
        <w:ind w:left="720" w:hanging="720"/>
        <w:contextualSpacing/>
        <w:rPr>
          <w:noProof/>
        </w:rPr>
      </w:pPr>
      <w:r>
        <w:rPr>
          <w:noProof/>
        </w:rPr>
        <w:t xml:space="preserve">The Kirby Institute. (2017a). </w:t>
      </w:r>
      <w:r w:rsidRPr="002C3316">
        <w:rPr>
          <w:iCs/>
          <w:noProof/>
        </w:rPr>
        <w:t>HIV, viral hepatitis and sexually transmissible infections in Australia: annual surveillance report.</w:t>
      </w:r>
      <w:r>
        <w:rPr>
          <w:noProof/>
        </w:rPr>
        <w:t xml:space="preserve"> The Kirby Institute UNSW Sydney NSW 2052.</w:t>
      </w:r>
    </w:p>
    <w:p w14:paraId="69456106" w14:textId="77777777" w:rsidR="00B601C3" w:rsidRDefault="00B601C3" w:rsidP="00EF5D3B">
      <w:pPr>
        <w:pStyle w:val="Bibliography"/>
        <w:spacing w:after="0"/>
        <w:ind w:left="720" w:hanging="720"/>
        <w:contextualSpacing/>
        <w:rPr>
          <w:noProof/>
        </w:rPr>
      </w:pPr>
      <w:r>
        <w:rPr>
          <w:noProof/>
        </w:rPr>
        <w:t xml:space="preserve">The Kirby Institute. (2017b). </w:t>
      </w:r>
      <w:r w:rsidRPr="002C3316">
        <w:rPr>
          <w:iCs/>
          <w:noProof/>
        </w:rPr>
        <w:t>Monitoring hepatitis C treatment uptake in Australia.</w:t>
      </w:r>
      <w:r w:rsidRPr="002C3316">
        <w:rPr>
          <w:noProof/>
        </w:rPr>
        <w:t xml:space="preserve"> The Kirby Institute, UNSW.</w:t>
      </w:r>
    </w:p>
    <w:p w14:paraId="25A82089" w14:textId="77777777" w:rsidR="00B601C3" w:rsidRDefault="00B601C3" w:rsidP="00EF5D3B">
      <w:pPr>
        <w:pStyle w:val="Bibliography"/>
        <w:spacing w:after="0"/>
        <w:ind w:left="720" w:hanging="720"/>
        <w:contextualSpacing/>
        <w:rPr>
          <w:noProof/>
        </w:rPr>
      </w:pPr>
      <w:r>
        <w:rPr>
          <w:noProof/>
        </w:rPr>
        <w:t xml:space="preserve">The Kirby Institute. (2017c). </w:t>
      </w:r>
      <w:r w:rsidRPr="002C3316">
        <w:rPr>
          <w:iCs/>
          <w:noProof/>
        </w:rPr>
        <w:t>Real world efficacy of antiviral therapy in chronic hepatitis C in Australia.</w:t>
      </w:r>
      <w:r>
        <w:rPr>
          <w:noProof/>
        </w:rPr>
        <w:t xml:space="preserve"> UNSW.</w:t>
      </w:r>
    </w:p>
    <w:p w14:paraId="3DF4FD30" w14:textId="77777777" w:rsidR="00087662" w:rsidRDefault="00087662" w:rsidP="00EF5D3B">
      <w:pPr>
        <w:spacing w:after="0" w:line="276" w:lineRule="auto"/>
        <w:contextualSpacing/>
        <w:rPr>
          <w:rFonts w:cstheme="minorHAnsi"/>
          <w:sz w:val="22"/>
          <w:szCs w:val="22"/>
        </w:rPr>
        <w:sectPr w:rsidR="00087662" w:rsidSect="00051F26">
          <w:pgSz w:w="11906" w:h="16838"/>
          <w:pgMar w:top="1644" w:right="1361" w:bottom="1644" w:left="1588" w:header="709" w:footer="709" w:gutter="0"/>
          <w:cols w:space="708"/>
          <w:docGrid w:linePitch="360"/>
        </w:sectPr>
      </w:pPr>
    </w:p>
    <w:p w14:paraId="7AA1F6F8" w14:textId="77777777" w:rsidR="00BF5F11" w:rsidRPr="00BE321A" w:rsidRDefault="00BF5F11" w:rsidP="00EF5D3B">
      <w:pPr>
        <w:pStyle w:val="Heading1"/>
        <w:rPr>
          <w:sz w:val="24"/>
          <w:szCs w:val="24"/>
        </w:rPr>
      </w:pPr>
      <w:r w:rsidRPr="00BE321A">
        <w:rPr>
          <w:sz w:val="24"/>
          <w:szCs w:val="24"/>
        </w:rPr>
        <w:t>Appendix 1: Dosage and frequency of administration for DAA regimens</w:t>
      </w:r>
    </w:p>
    <w:p w14:paraId="328C94CF" w14:textId="77777777" w:rsidR="00BF5F11" w:rsidRPr="00704AFB" w:rsidRDefault="00BF5F11" w:rsidP="00EF5D3B">
      <w:pPr>
        <w:spacing w:after="0"/>
      </w:pPr>
    </w:p>
    <w:tbl>
      <w:tblPr>
        <w:tblStyle w:val="TableGrid"/>
        <w:tblW w:w="9039" w:type="dxa"/>
        <w:tblLook w:val="04A0" w:firstRow="1" w:lastRow="0" w:firstColumn="1" w:lastColumn="0" w:noHBand="0" w:noVBand="1"/>
        <w:tblCaption w:val="Appendix 1"/>
        <w:tblDescription w:val="Dosage and adminstration details for drug regimens"/>
      </w:tblPr>
      <w:tblGrid>
        <w:gridCol w:w="2660"/>
        <w:gridCol w:w="6379"/>
      </w:tblGrid>
      <w:tr w:rsidR="00BF5F11" w:rsidRPr="00A35800" w14:paraId="07606ABB" w14:textId="77777777" w:rsidTr="00E06857">
        <w:trPr>
          <w:tblHeader/>
        </w:trPr>
        <w:tc>
          <w:tcPr>
            <w:tcW w:w="2660" w:type="dxa"/>
            <w:shd w:val="clear" w:color="auto" w:fill="BFBFBF" w:themeFill="background1" w:themeFillShade="BF"/>
          </w:tcPr>
          <w:p w14:paraId="5635A7D5" w14:textId="77777777" w:rsidR="00BF5F11" w:rsidRPr="00A35800" w:rsidRDefault="00BF5F11" w:rsidP="00EF5D3B">
            <w:pPr>
              <w:pStyle w:val="Tableheading"/>
              <w:rPr>
                <w:sz w:val="20"/>
                <w:szCs w:val="20"/>
              </w:rPr>
            </w:pPr>
            <w:r>
              <w:rPr>
                <w:sz w:val="20"/>
                <w:szCs w:val="20"/>
              </w:rPr>
              <w:t>Generic name, b</w:t>
            </w:r>
            <w:r w:rsidRPr="00A35800">
              <w:rPr>
                <w:sz w:val="20"/>
                <w:szCs w:val="20"/>
              </w:rPr>
              <w:t>rand name and sponsor</w:t>
            </w:r>
          </w:p>
        </w:tc>
        <w:tc>
          <w:tcPr>
            <w:tcW w:w="6379" w:type="dxa"/>
            <w:shd w:val="clear" w:color="auto" w:fill="BFBFBF" w:themeFill="background1" w:themeFillShade="BF"/>
          </w:tcPr>
          <w:p w14:paraId="63748007" w14:textId="77777777" w:rsidR="00BF5F11" w:rsidRPr="00A35800" w:rsidRDefault="00BF5F11" w:rsidP="00EF5D3B">
            <w:pPr>
              <w:pStyle w:val="Tableheading"/>
              <w:rPr>
                <w:sz w:val="20"/>
                <w:szCs w:val="20"/>
              </w:rPr>
            </w:pPr>
            <w:r>
              <w:rPr>
                <w:sz w:val="20"/>
                <w:szCs w:val="20"/>
              </w:rPr>
              <w:t>Recommended d</w:t>
            </w:r>
            <w:r w:rsidRPr="00A35800">
              <w:rPr>
                <w:sz w:val="20"/>
                <w:szCs w:val="20"/>
              </w:rPr>
              <w:t xml:space="preserve">ose and frequency of administration </w:t>
            </w:r>
          </w:p>
        </w:tc>
      </w:tr>
      <w:tr w:rsidR="00BF5F11" w:rsidRPr="00A35800" w14:paraId="051BF747" w14:textId="77777777" w:rsidTr="00E06857">
        <w:tc>
          <w:tcPr>
            <w:tcW w:w="2660" w:type="dxa"/>
          </w:tcPr>
          <w:p w14:paraId="18EB47C6" w14:textId="77777777" w:rsidR="00BF5F11" w:rsidRPr="00A35800" w:rsidRDefault="00BF5F11" w:rsidP="00EF5D3B">
            <w:pPr>
              <w:pStyle w:val="Tablewriting"/>
            </w:pPr>
            <w:r w:rsidRPr="0003039E">
              <w:t>Daclatasvir</w:t>
            </w:r>
            <w:r>
              <w:t xml:space="preserve"> (Daklinza), Bristol-Myers Squibb Australia Pty Ltd </w:t>
            </w:r>
          </w:p>
        </w:tc>
        <w:tc>
          <w:tcPr>
            <w:tcW w:w="6379" w:type="dxa"/>
          </w:tcPr>
          <w:p w14:paraId="152D477B" w14:textId="77777777" w:rsidR="00BF5F11" w:rsidRPr="00A35800" w:rsidRDefault="00BF5F11" w:rsidP="00EF5D3B">
            <w:pPr>
              <w:pStyle w:val="Tablewriting"/>
            </w:pPr>
            <w:r>
              <w:t>The recommended dose for daclatasvir is 60 mg once daily. Dose modifications may be required for patients co-infected with human immunodeficiency virus (HIV). When co-administered with strong inhibitors of cytochrome P450 enzyme 3A4 (CYP3A4), it is recommended that the dose of daclatasvir is reduced to 30 mg once daily. An increase in the dose of daclatasvir to 90 mg once daily is recommended when it is co-administered with moderate CYP3A4 inducers.</w:t>
            </w:r>
          </w:p>
        </w:tc>
      </w:tr>
      <w:tr w:rsidR="00BF5F11" w:rsidRPr="00A35800" w14:paraId="632BE854" w14:textId="77777777" w:rsidTr="00E06857">
        <w:tc>
          <w:tcPr>
            <w:tcW w:w="2660" w:type="dxa"/>
          </w:tcPr>
          <w:p w14:paraId="1CEA1E1C" w14:textId="77777777" w:rsidR="00BF5F11" w:rsidRDefault="00BF5F11" w:rsidP="00EF5D3B">
            <w:pPr>
              <w:jc w:val="center"/>
              <w:rPr>
                <w:rStyle w:val="TableText"/>
                <w:rFonts w:ascii="Arial Narrow" w:hAnsi="Arial Narrow"/>
                <w:color w:val="000000" w:themeColor="text1"/>
                <w:szCs w:val="20"/>
              </w:rPr>
            </w:pPr>
          </w:p>
          <w:p w14:paraId="5C91DE4E" w14:textId="77777777" w:rsidR="00BF5F11" w:rsidRPr="0005361D" w:rsidRDefault="00BF5F11" w:rsidP="00EF5D3B">
            <w:pPr>
              <w:rPr>
                <w:rFonts w:cs="Calibri"/>
                <w:color w:val="000000"/>
                <w:sz w:val="20"/>
                <w:szCs w:val="20"/>
              </w:rPr>
            </w:pPr>
            <w:r w:rsidRPr="0005361D">
              <w:rPr>
                <w:rFonts w:cs="Calibri"/>
                <w:color w:val="000000"/>
                <w:sz w:val="20"/>
                <w:szCs w:val="20"/>
              </w:rPr>
              <w:t>Glecaprevir with pibrentasvir (Maviret), AbbVie Pty Ltd</w:t>
            </w:r>
          </w:p>
          <w:p w14:paraId="630A30C6" w14:textId="77777777" w:rsidR="00BF5F11" w:rsidRPr="0003039E" w:rsidRDefault="00BF5F11" w:rsidP="00EF5D3B">
            <w:pPr>
              <w:jc w:val="center"/>
            </w:pPr>
          </w:p>
        </w:tc>
        <w:tc>
          <w:tcPr>
            <w:tcW w:w="6379" w:type="dxa"/>
          </w:tcPr>
          <w:p w14:paraId="18FDFEFD" w14:textId="77777777" w:rsidR="00BF5F11" w:rsidRPr="0003039E" w:rsidRDefault="00BF5F11" w:rsidP="00EF5D3B">
            <w:pPr>
              <w:pStyle w:val="Tablewriting"/>
            </w:pPr>
            <w:r>
              <w:t xml:space="preserve">Glecaprevir with pibrentasvir is a fixed-dose combination product containing glecaprevir 100 mg and pibrentasvir 40 mg in each tablet. The recommended dosage is three tablets with a total daily </w:t>
            </w:r>
            <w:r w:rsidR="00AC1E13">
              <w:t>dose of</w:t>
            </w:r>
            <w:r>
              <w:t xml:space="preserve"> glecaprevir 300 mg and pibrentasvir 120 mg.</w:t>
            </w:r>
          </w:p>
        </w:tc>
      </w:tr>
      <w:tr w:rsidR="00BF5F11" w:rsidRPr="00A35800" w14:paraId="5AFD4DE0" w14:textId="77777777" w:rsidTr="00E06857">
        <w:tc>
          <w:tcPr>
            <w:tcW w:w="2660" w:type="dxa"/>
          </w:tcPr>
          <w:p w14:paraId="267CD61A" w14:textId="77777777" w:rsidR="00BF5F11" w:rsidRPr="00A35800" w:rsidRDefault="00BF5F11" w:rsidP="00EF5D3B">
            <w:pPr>
              <w:pStyle w:val="Tablewriting"/>
            </w:pPr>
            <w:r w:rsidRPr="0003039E">
              <w:t>Grazoprevir with elbasvir</w:t>
            </w:r>
            <w:r>
              <w:t xml:space="preserve"> (Zepatier), Merck Sharp &amp; Dohme (Australia) Pty Ltd</w:t>
            </w:r>
          </w:p>
        </w:tc>
        <w:tc>
          <w:tcPr>
            <w:tcW w:w="6379" w:type="dxa"/>
          </w:tcPr>
          <w:p w14:paraId="1E2E7964" w14:textId="77777777" w:rsidR="00BF5F11" w:rsidRDefault="00BF5F11" w:rsidP="00EF5D3B">
            <w:pPr>
              <w:pStyle w:val="Tablewriting"/>
            </w:pPr>
            <w:r w:rsidRPr="0003039E">
              <w:t>Grazoprevir with elbasvir</w:t>
            </w:r>
            <w:r>
              <w:t xml:space="preserve"> is a fixed-dose combination product containing 50 mg of elbasvir and 100 mg of grazoprevir in a single tablet. The recommended frequency is once daily</w:t>
            </w:r>
            <w:r w:rsidR="00724AAF">
              <w:t xml:space="preserve">. </w:t>
            </w:r>
          </w:p>
          <w:p w14:paraId="77F3B1EA" w14:textId="77777777" w:rsidR="00BF5F11" w:rsidRPr="00A35800" w:rsidRDefault="00BF5F11" w:rsidP="00EF5D3B">
            <w:pPr>
              <w:pStyle w:val="Tablewriting"/>
            </w:pPr>
            <w:r>
              <w:t>When used in combination with ribavirin, the recommended dose of ribavirin depends on the patient's body weight (1000 mg for less than 75 kg and 1200 mg when 75 kg or more).</w:t>
            </w:r>
          </w:p>
        </w:tc>
      </w:tr>
      <w:tr w:rsidR="00BF5F11" w:rsidRPr="00A35800" w14:paraId="5C866057" w14:textId="77777777" w:rsidTr="00E06857">
        <w:tc>
          <w:tcPr>
            <w:tcW w:w="2660" w:type="dxa"/>
          </w:tcPr>
          <w:p w14:paraId="42A16B8F" w14:textId="77777777" w:rsidR="00BF5F11" w:rsidRPr="00A35800" w:rsidRDefault="00BF5F11" w:rsidP="00EF5D3B">
            <w:pPr>
              <w:pStyle w:val="Tablewriting"/>
            </w:pPr>
            <w:r w:rsidRPr="007B5E4F">
              <w:t>Ledipasvir with sofosbuvir</w:t>
            </w:r>
            <w:r>
              <w:t xml:space="preserve"> (Harvoni), Gilead Sciences Pty Limited</w:t>
            </w:r>
          </w:p>
        </w:tc>
        <w:tc>
          <w:tcPr>
            <w:tcW w:w="6379" w:type="dxa"/>
          </w:tcPr>
          <w:p w14:paraId="45A816FA" w14:textId="77777777" w:rsidR="00BF5F11" w:rsidRPr="00A35800" w:rsidRDefault="00BF5F11" w:rsidP="00EF5D3B">
            <w:pPr>
              <w:pStyle w:val="Tablewriting"/>
            </w:pPr>
            <w:r w:rsidRPr="007B5E4F">
              <w:t>Ledipasvir with sofosbuvir</w:t>
            </w:r>
            <w:r>
              <w:t xml:space="preserve"> is available as a fixed-dose combination tablet. Each tablet contains 90 mg ledipasvir and 400 mg sofosbuvir. It is recommended that the produce is taken once daily.</w:t>
            </w:r>
          </w:p>
        </w:tc>
      </w:tr>
      <w:tr w:rsidR="00BF5F11" w:rsidRPr="00A35800" w14:paraId="5DE5BCC1" w14:textId="77777777" w:rsidTr="00E06857">
        <w:tc>
          <w:tcPr>
            <w:tcW w:w="2660" w:type="dxa"/>
          </w:tcPr>
          <w:p w14:paraId="2A2ADC8C" w14:textId="77777777" w:rsidR="00BF5F11" w:rsidRPr="00A35800" w:rsidRDefault="00BF5F11" w:rsidP="00EF5D3B">
            <w:pPr>
              <w:pStyle w:val="Tablewriting"/>
            </w:pPr>
            <w:r w:rsidRPr="007B5E4F">
              <w:t>Paritaprevir with ritonavir with ombitasvir and dasabuvir</w:t>
            </w:r>
            <w:r>
              <w:t xml:space="preserve"> (Viekira Pak), AbbVie Pty Ltd</w:t>
            </w:r>
          </w:p>
        </w:tc>
        <w:tc>
          <w:tcPr>
            <w:tcW w:w="6379" w:type="dxa"/>
          </w:tcPr>
          <w:p w14:paraId="495BB2C3" w14:textId="77777777" w:rsidR="00BF5F11" w:rsidRPr="00A35800" w:rsidRDefault="00BF5F11" w:rsidP="00EF5D3B">
            <w:pPr>
              <w:pStyle w:val="Tablewriting"/>
            </w:pPr>
            <w:r>
              <w:t>The recommended dose of Viekira Pak is two paritaprevir/ritonavir/ombitasvir 75/50/12.5 mg tablets once daily and one dasabuvir 250 mg tablet twice daily.</w:t>
            </w:r>
          </w:p>
        </w:tc>
      </w:tr>
      <w:tr w:rsidR="00BF5F11" w:rsidRPr="00A35800" w14:paraId="55C82B33" w14:textId="77777777" w:rsidTr="00E06857">
        <w:tc>
          <w:tcPr>
            <w:tcW w:w="2660" w:type="dxa"/>
          </w:tcPr>
          <w:p w14:paraId="518710C1" w14:textId="77777777" w:rsidR="00BF5F11" w:rsidRPr="00A35800" w:rsidRDefault="00BF5F11" w:rsidP="00EF5D3B">
            <w:pPr>
              <w:pStyle w:val="Tablewriting"/>
            </w:pPr>
            <w:r w:rsidRPr="007B5E4F">
              <w:t>Paritaprevir with ritonavir with ombitasvir and dasabuvir and ribavirin</w:t>
            </w:r>
            <w:r>
              <w:t>(Viekira Pak-RBV), AbbVie Pty Ltd</w:t>
            </w:r>
          </w:p>
        </w:tc>
        <w:tc>
          <w:tcPr>
            <w:tcW w:w="6379" w:type="dxa"/>
          </w:tcPr>
          <w:p w14:paraId="459A9162" w14:textId="77777777" w:rsidR="00BF5F11" w:rsidRPr="00A35800" w:rsidRDefault="00BF5F11" w:rsidP="00EF5D3B">
            <w:pPr>
              <w:pStyle w:val="Tablewriting"/>
            </w:pPr>
            <w:r>
              <w:t>The recommended dose of Viekira Pak-RBV is two paritaprevir/ritonavir/ombitasvir 75/50/12.5 mg tablets once daily and one dasabuvir 250 mg tablet twice daily. The recommended dose of ribavirin depends on the patient's body weight (1000 mg for less than 75 kg and 1200 mg when 75 kg or more).</w:t>
            </w:r>
          </w:p>
        </w:tc>
      </w:tr>
      <w:tr w:rsidR="00BF5F11" w:rsidRPr="00A35800" w14:paraId="03DA8D8C" w14:textId="77777777" w:rsidTr="00E06857">
        <w:tc>
          <w:tcPr>
            <w:tcW w:w="2660" w:type="dxa"/>
          </w:tcPr>
          <w:p w14:paraId="7B2E321E" w14:textId="77777777" w:rsidR="00BF5F11" w:rsidRPr="00A35800" w:rsidRDefault="00BF5F11" w:rsidP="00EF5D3B">
            <w:pPr>
              <w:pStyle w:val="Tablewriting"/>
            </w:pPr>
            <w:r w:rsidRPr="007B5E4F">
              <w:t>Ribavirin</w:t>
            </w:r>
            <w:r>
              <w:t xml:space="preserve"> (Ibavyr), Clinect Pty Ltd</w:t>
            </w:r>
          </w:p>
        </w:tc>
        <w:tc>
          <w:tcPr>
            <w:tcW w:w="6379" w:type="dxa"/>
          </w:tcPr>
          <w:p w14:paraId="3645ACFF" w14:textId="77777777" w:rsidR="00BF5F11" w:rsidRDefault="00BF5F11" w:rsidP="00EF5D3B">
            <w:pPr>
              <w:pStyle w:val="Tablewriting"/>
            </w:pPr>
            <w:r>
              <w:t>Ribavirin monotherapy is not effective and IBAVYR must only be used in combination with other oral agents for the treatment of CHC. In terms of PBS listed regimens, this includes sofosbuvir, Viekira Pak and g</w:t>
            </w:r>
            <w:r w:rsidRPr="0003039E">
              <w:t>razoprevir with elbasvir</w:t>
            </w:r>
            <w:r>
              <w:t>.</w:t>
            </w:r>
          </w:p>
          <w:p w14:paraId="2A0A9578" w14:textId="77777777" w:rsidR="00BF5F11" w:rsidRDefault="00BF5F11" w:rsidP="00EF5D3B">
            <w:pPr>
              <w:pStyle w:val="Tablewriting"/>
            </w:pPr>
            <w:r>
              <w:t xml:space="preserve">Ribavirin is administered orally in two daily divided doses. </w:t>
            </w:r>
          </w:p>
          <w:p w14:paraId="7314E678" w14:textId="77777777" w:rsidR="00BF5F11" w:rsidRPr="00A35800" w:rsidRDefault="00BF5F11" w:rsidP="00EF5D3B">
            <w:pPr>
              <w:pStyle w:val="Tablewriting"/>
            </w:pPr>
            <w:r>
              <w:t>The dose must be individualised to the patient depending on their disease characteristics and the drugs it is co-administered with. Refer to the summaries of sofosbuvir, Viekira Pak and g</w:t>
            </w:r>
            <w:r w:rsidRPr="0003039E">
              <w:t>razoprevir with elbasvir</w:t>
            </w:r>
            <w:r>
              <w:t xml:space="preserve"> in this table for more information.</w:t>
            </w:r>
          </w:p>
        </w:tc>
      </w:tr>
      <w:tr w:rsidR="00BF5F11" w:rsidRPr="00A35800" w14:paraId="159007CD" w14:textId="77777777" w:rsidTr="00E06857">
        <w:tc>
          <w:tcPr>
            <w:tcW w:w="2660" w:type="dxa"/>
          </w:tcPr>
          <w:p w14:paraId="7274E263" w14:textId="77777777" w:rsidR="00BF5F11" w:rsidRPr="00A35800" w:rsidRDefault="00BF5F11" w:rsidP="00EF5D3B">
            <w:pPr>
              <w:pStyle w:val="Tablewriting"/>
            </w:pPr>
            <w:r w:rsidRPr="007B5E4F">
              <w:t>Sofosbuvir</w:t>
            </w:r>
            <w:r>
              <w:t xml:space="preserve"> (Sovaldi), Gilead Sciences Pty Limited</w:t>
            </w:r>
          </w:p>
        </w:tc>
        <w:tc>
          <w:tcPr>
            <w:tcW w:w="6379" w:type="dxa"/>
          </w:tcPr>
          <w:p w14:paraId="091DE874" w14:textId="77777777" w:rsidR="00BF5F11" w:rsidRDefault="00BF5F11" w:rsidP="00EF5D3B">
            <w:pPr>
              <w:pStyle w:val="Tablewriting"/>
            </w:pPr>
            <w:r>
              <w:t>It is recommended that sofosbuvir is used in combination with other agents. Other relevant agents listed on the PBS that can be administered with sofosbuvir include daclatasvir, ledipasvir, peginterferon alfa-2a, ribavirin and velpatasvir.</w:t>
            </w:r>
          </w:p>
          <w:p w14:paraId="5B6B609D" w14:textId="77777777" w:rsidR="00BF5F11" w:rsidRDefault="00BF5F11" w:rsidP="00EF5D3B">
            <w:pPr>
              <w:pStyle w:val="Tablewriting"/>
            </w:pPr>
            <w:r>
              <w:t>The recommended dose for sofosbuvir is 400 mg once daily.</w:t>
            </w:r>
          </w:p>
          <w:p w14:paraId="416642E6" w14:textId="77777777" w:rsidR="00BF5F11" w:rsidRDefault="00BF5F11" w:rsidP="00EF5D3B">
            <w:pPr>
              <w:pStyle w:val="Tablewriting"/>
            </w:pPr>
            <w:r>
              <w:t>When used in combination with ribavirin, the recommended dose of ribavirin depends on the patient's body weight (1000 mg for less than 75 kg and 1200 mg when 75 kg or more).</w:t>
            </w:r>
          </w:p>
          <w:p w14:paraId="0B213F8F" w14:textId="77777777" w:rsidR="00BF5F11" w:rsidRPr="00A35800" w:rsidRDefault="00BF5F11" w:rsidP="00EF5D3B">
            <w:pPr>
              <w:pStyle w:val="Tablewriting"/>
            </w:pPr>
            <w:r>
              <w:t xml:space="preserve">The recommended dose of peginterferon alfa-2a is 180 micrograms when used in combination with ribavirin by subcutaneous administration. </w:t>
            </w:r>
          </w:p>
        </w:tc>
      </w:tr>
      <w:tr w:rsidR="00BF5F11" w:rsidRPr="00A35800" w14:paraId="1BB392DB" w14:textId="77777777" w:rsidTr="00E06857">
        <w:tc>
          <w:tcPr>
            <w:tcW w:w="2660" w:type="dxa"/>
          </w:tcPr>
          <w:p w14:paraId="5187F573" w14:textId="77777777" w:rsidR="00BF5F11" w:rsidRPr="00A35800" w:rsidRDefault="00BF5F11" w:rsidP="00EF5D3B">
            <w:pPr>
              <w:pStyle w:val="Tablewriting"/>
            </w:pPr>
            <w:r w:rsidRPr="007B5E4F">
              <w:t>Sofosbuvir with velpatasvir</w:t>
            </w:r>
            <w:r>
              <w:t xml:space="preserve"> (Epclusa), Gilead Sciences Pty Limited</w:t>
            </w:r>
          </w:p>
        </w:tc>
        <w:tc>
          <w:tcPr>
            <w:tcW w:w="6379" w:type="dxa"/>
          </w:tcPr>
          <w:p w14:paraId="67E01C89" w14:textId="77777777" w:rsidR="00BF5F11" w:rsidRPr="00A35800" w:rsidRDefault="00BF5F11" w:rsidP="00EF5D3B">
            <w:pPr>
              <w:pStyle w:val="Tablewriting"/>
            </w:pPr>
            <w:r>
              <w:t>Sofosbuvir with velpatasvir is available as a fixed-dose combination tablet taken once daily. Each tablet contains 100 mg velpatasvir and 400 mg sofosbuvir.</w:t>
            </w:r>
          </w:p>
        </w:tc>
      </w:tr>
    </w:tbl>
    <w:p w14:paraId="5315A24A" w14:textId="77777777" w:rsidR="00BF5F11" w:rsidRPr="002F61CA" w:rsidRDefault="00BF5F11" w:rsidP="00EF5D3B">
      <w:pPr>
        <w:pStyle w:val="Notes"/>
      </w:pPr>
      <w:r w:rsidRPr="00474802">
        <w:t>Source:</w:t>
      </w:r>
      <w:r w:rsidRPr="002F61CA">
        <w:t xml:space="preserve"> The current Product Information (PI) available from </w:t>
      </w:r>
      <w:r w:rsidRPr="00EB5E6F">
        <w:t>the TGA (Product Information)</w:t>
      </w:r>
      <w:r>
        <w:t>.</w:t>
      </w:r>
    </w:p>
    <w:p w14:paraId="7FFFDCB3" w14:textId="77777777" w:rsidR="00BF5F11" w:rsidRDefault="00BF5F11" w:rsidP="00EF5D3B">
      <w:pPr>
        <w:spacing w:line="276" w:lineRule="auto"/>
        <w:rPr>
          <w:b/>
        </w:rPr>
      </w:pPr>
      <w:r>
        <w:rPr>
          <w:b/>
        </w:rPr>
        <w:br w:type="page"/>
      </w:r>
    </w:p>
    <w:p w14:paraId="15C2CDD8" w14:textId="77777777" w:rsidR="006D34CF" w:rsidRPr="00C8463D" w:rsidRDefault="006D34CF" w:rsidP="00EF5D3B">
      <w:pPr>
        <w:pStyle w:val="Heading1"/>
        <w:rPr>
          <w:sz w:val="24"/>
          <w:szCs w:val="24"/>
        </w:rPr>
      </w:pPr>
      <w:r w:rsidRPr="0043008C">
        <w:rPr>
          <w:sz w:val="24"/>
          <w:szCs w:val="24"/>
        </w:rPr>
        <w:t xml:space="preserve">Appendix </w:t>
      </w:r>
      <w:r w:rsidR="00F3554C" w:rsidRPr="0043008C">
        <w:rPr>
          <w:sz w:val="24"/>
          <w:szCs w:val="24"/>
        </w:rPr>
        <w:t>2</w:t>
      </w:r>
      <w:r w:rsidRPr="0043008C">
        <w:rPr>
          <w:sz w:val="24"/>
          <w:szCs w:val="24"/>
        </w:rPr>
        <w:t>: Summary of PBS listings as at July 2018</w:t>
      </w:r>
    </w:p>
    <w:tbl>
      <w:tblPr>
        <w:tblW w:w="9229" w:type="dxa"/>
        <w:tblInd w:w="93" w:type="dxa"/>
        <w:tblLayout w:type="fixed"/>
        <w:tblLook w:val="04A0" w:firstRow="1" w:lastRow="0" w:firstColumn="1" w:lastColumn="0" w:noHBand="0" w:noVBand="1"/>
        <w:tblCaption w:val="Appendix 2"/>
        <w:tblDescription w:val="Summary of PBS listings as at July 2018"/>
      </w:tblPr>
      <w:tblGrid>
        <w:gridCol w:w="866"/>
        <w:gridCol w:w="850"/>
        <w:gridCol w:w="709"/>
        <w:gridCol w:w="1134"/>
        <w:gridCol w:w="2977"/>
        <w:gridCol w:w="2693"/>
      </w:tblGrid>
      <w:tr w:rsidR="00D06E90" w:rsidRPr="00E5732B" w14:paraId="4510BAC4" w14:textId="77777777" w:rsidTr="00845DAE">
        <w:trPr>
          <w:trHeight w:val="765"/>
          <w:tblHeader/>
        </w:trPr>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5F9309" w14:textId="77777777" w:rsidR="00D06E90" w:rsidRPr="00E5732B" w:rsidRDefault="00D06E90" w:rsidP="00EF5D3B">
            <w:pPr>
              <w:spacing w:after="0"/>
              <w:jc w:val="center"/>
              <w:rPr>
                <w:rFonts w:ascii="Arial Narrow" w:eastAsia="Times New Roman" w:hAnsi="Arial Narrow" w:cs="Times New Roman"/>
                <w:b/>
                <w:sz w:val="18"/>
                <w:szCs w:val="18"/>
              </w:rPr>
            </w:pPr>
            <w:r w:rsidRPr="00E5732B" w:rsidDel="00EE2BBB">
              <w:rPr>
                <w:b/>
                <w:sz w:val="18"/>
                <w:szCs w:val="18"/>
              </w:rPr>
              <w:t>Item</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hideMark/>
          </w:tcPr>
          <w:p w14:paraId="0698A99F" w14:textId="77777777" w:rsidR="00D06E90" w:rsidRPr="00E5732B" w:rsidRDefault="00D06E90" w:rsidP="00EF5D3B">
            <w:pPr>
              <w:spacing w:after="0"/>
              <w:jc w:val="center"/>
              <w:rPr>
                <w:rFonts w:ascii="Arial Narrow" w:eastAsia="Times New Roman" w:hAnsi="Arial Narrow" w:cs="Times New Roman"/>
                <w:b/>
                <w:sz w:val="18"/>
                <w:szCs w:val="18"/>
              </w:rPr>
            </w:pPr>
            <w:r w:rsidRPr="00E5732B" w:rsidDel="00EE2BBB">
              <w:rPr>
                <w:b/>
                <w:sz w:val="18"/>
                <w:szCs w:val="18"/>
              </w:rPr>
              <w:t>Max. quant.</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hideMark/>
          </w:tcPr>
          <w:p w14:paraId="29AFFB3A" w14:textId="77777777" w:rsidR="00D06E90" w:rsidRPr="00E5732B" w:rsidRDefault="00D06E90" w:rsidP="00EF5D3B">
            <w:pPr>
              <w:spacing w:after="0"/>
              <w:jc w:val="center"/>
              <w:rPr>
                <w:rFonts w:ascii="Arial Narrow" w:eastAsia="Times New Roman" w:hAnsi="Arial Narrow" w:cs="Times New Roman"/>
                <w:b/>
                <w:sz w:val="18"/>
                <w:szCs w:val="18"/>
              </w:rPr>
            </w:pPr>
            <w:r w:rsidRPr="00E5732B" w:rsidDel="00EE2BBB">
              <w:rPr>
                <w:b/>
                <w:sz w:val="18"/>
                <w:szCs w:val="18"/>
              </w:rPr>
              <w:t>Rpts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5F4597F7" w14:textId="77777777" w:rsidR="00D06E90" w:rsidRPr="00E5732B" w:rsidRDefault="00D06E90" w:rsidP="00EF5D3B">
            <w:pPr>
              <w:spacing w:after="0"/>
              <w:jc w:val="center"/>
              <w:rPr>
                <w:b/>
                <w:sz w:val="18"/>
                <w:szCs w:val="18"/>
              </w:rPr>
            </w:pPr>
            <w:r w:rsidRPr="00E5732B" w:rsidDel="00EE2BBB">
              <w:rPr>
                <w:b/>
                <w:sz w:val="18"/>
                <w:szCs w:val="18"/>
              </w:rPr>
              <w:t>DPMQ</w:t>
            </w:r>
          </w:p>
          <w:p w14:paraId="0BE3CBE8" w14:textId="77777777" w:rsidR="00FC699B" w:rsidRPr="00E5732B" w:rsidRDefault="00FC699B" w:rsidP="00EF5D3B">
            <w:pPr>
              <w:spacing w:after="0"/>
              <w:jc w:val="center"/>
              <w:rPr>
                <w:rFonts w:ascii="Arial Narrow" w:eastAsia="Times New Roman" w:hAnsi="Arial Narrow" w:cs="Times New Roman"/>
                <w:b/>
                <w:sz w:val="18"/>
                <w:szCs w:val="18"/>
                <w:vertAlign w:val="superscript"/>
              </w:rPr>
            </w:pPr>
            <w:r w:rsidRPr="00E5732B">
              <w:rPr>
                <w:b/>
                <w:sz w:val="18"/>
                <w:szCs w:val="18"/>
              </w:rPr>
              <w:t>Published prices</w:t>
            </w:r>
            <w:r w:rsidRPr="00E5732B">
              <w:rPr>
                <w:b/>
                <w:sz w:val="18"/>
                <w:szCs w:val="18"/>
                <w:vertAlign w:val="superscript"/>
              </w:rPr>
              <w:t>1</w:t>
            </w: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hideMark/>
          </w:tcPr>
          <w:p w14:paraId="3D122958" w14:textId="77777777" w:rsidR="00D06E90" w:rsidRPr="00E5732B" w:rsidRDefault="00D06E90" w:rsidP="00EF5D3B">
            <w:pPr>
              <w:spacing w:after="0"/>
              <w:jc w:val="center"/>
              <w:rPr>
                <w:rFonts w:ascii="Arial Narrow" w:eastAsia="Times New Roman" w:hAnsi="Arial Narrow" w:cs="Times New Roman"/>
                <w:b/>
                <w:sz w:val="18"/>
                <w:szCs w:val="18"/>
              </w:rPr>
            </w:pPr>
            <w:r w:rsidRPr="00E5732B" w:rsidDel="00EE2BBB">
              <w:rPr>
                <w:b/>
                <w:sz w:val="18"/>
                <w:szCs w:val="18"/>
              </w:rPr>
              <w:t>Name, form &amp; strength, pack size</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hideMark/>
          </w:tcPr>
          <w:p w14:paraId="7CC8F94B" w14:textId="77777777" w:rsidR="00D06E90" w:rsidRPr="00E5732B" w:rsidRDefault="00D06E90" w:rsidP="00EF5D3B">
            <w:pPr>
              <w:spacing w:after="0"/>
              <w:jc w:val="center"/>
              <w:rPr>
                <w:rFonts w:ascii="Arial Narrow" w:eastAsia="Times New Roman" w:hAnsi="Arial Narrow" w:cs="Times New Roman"/>
                <w:b/>
                <w:sz w:val="18"/>
                <w:szCs w:val="18"/>
              </w:rPr>
            </w:pPr>
            <w:r w:rsidRPr="00E5732B" w:rsidDel="00EE2BBB">
              <w:rPr>
                <w:b/>
                <w:sz w:val="18"/>
                <w:szCs w:val="18"/>
              </w:rPr>
              <w:t>Brand name and manufacturer</w:t>
            </w:r>
          </w:p>
        </w:tc>
      </w:tr>
      <w:tr w:rsidR="00051F26" w:rsidRPr="00E5732B" w14:paraId="51D8A88F"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DD9C93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10623D</w:t>
            </w:r>
          </w:p>
        </w:tc>
        <w:tc>
          <w:tcPr>
            <w:tcW w:w="850" w:type="dxa"/>
            <w:tcBorders>
              <w:top w:val="nil"/>
              <w:left w:val="nil"/>
              <w:bottom w:val="single" w:sz="4" w:space="0" w:color="auto"/>
              <w:right w:val="single" w:sz="4" w:space="0" w:color="auto"/>
            </w:tcBorders>
            <w:shd w:val="clear" w:color="auto" w:fill="auto"/>
            <w:hideMark/>
          </w:tcPr>
          <w:p w14:paraId="170A39C6"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7E572A2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70F845F2"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$152.75</w:t>
            </w:r>
          </w:p>
        </w:tc>
        <w:tc>
          <w:tcPr>
            <w:tcW w:w="2977" w:type="dxa"/>
            <w:tcBorders>
              <w:top w:val="nil"/>
              <w:left w:val="nil"/>
              <w:bottom w:val="single" w:sz="4" w:space="0" w:color="auto"/>
              <w:right w:val="single" w:sz="4" w:space="0" w:color="auto"/>
            </w:tcBorders>
            <w:shd w:val="clear" w:color="auto" w:fill="auto"/>
            <w:hideMark/>
          </w:tcPr>
          <w:p w14:paraId="7FA04ED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400 mg</w:t>
            </w:r>
          </w:p>
        </w:tc>
        <w:tc>
          <w:tcPr>
            <w:tcW w:w="2693" w:type="dxa"/>
            <w:tcBorders>
              <w:top w:val="nil"/>
              <w:left w:val="nil"/>
              <w:bottom w:val="single" w:sz="4" w:space="0" w:color="auto"/>
              <w:right w:val="single" w:sz="4" w:space="0" w:color="auto"/>
            </w:tcBorders>
            <w:shd w:val="clear" w:color="auto" w:fill="auto"/>
            <w:hideMark/>
          </w:tcPr>
          <w:p w14:paraId="43FCBC82" w14:textId="77777777" w:rsidR="0027492C" w:rsidRPr="00E5732B" w:rsidRDefault="004F2D43"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Ibavyr, Clinect Pty Ltd</w:t>
            </w:r>
          </w:p>
        </w:tc>
      </w:tr>
      <w:tr w:rsidR="00051F26" w:rsidRPr="00E5732B" w14:paraId="04ACE65B"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FC74DE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10624E</w:t>
            </w:r>
          </w:p>
        </w:tc>
        <w:tc>
          <w:tcPr>
            <w:tcW w:w="850" w:type="dxa"/>
            <w:tcBorders>
              <w:top w:val="nil"/>
              <w:left w:val="nil"/>
              <w:bottom w:val="single" w:sz="4" w:space="0" w:color="auto"/>
              <w:right w:val="single" w:sz="4" w:space="0" w:color="auto"/>
            </w:tcBorders>
            <w:shd w:val="clear" w:color="auto" w:fill="auto"/>
            <w:hideMark/>
          </w:tcPr>
          <w:p w14:paraId="1C04ED4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040FFD4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7474A558"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$19,447.27</w:t>
            </w:r>
          </w:p>
        </w:tc>
        <w:tc>
          <w:tcPr>
            <w:tcW w:w="2977" w:type="dxa"/>
            <w:tcBorders>
              <w:top w:val="nil"/>
              <w:left w:val="nil"/>
              <w:bottom w:val="single" w:sz="4" w:space="0" w:color="auto"/>
              <w:right w:val="single" w:sz="4" w:space="0" w:color="auto"/>
            </w:tcBorders>
            <w:shd w:val="clear" w:color="auto" w:fill="auto"/>
            <w:hideMark/>
          </w:tcPr>
          <w:p w14:paraId="39F81A4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Tablet 400 mg</w:t>
            </w:r>
          </w:p>
        </w:tc>
        <w:tc>
          <w:tcPr>
            <w:tcW w:w="2693" w:type="dxa"/>
            <w:tcBorders>
              <w:top w:val="nil"/>
              <w:left w:val="nil"/>
              <w:bottom w:val="single" w:sz="4" w:space="0" w:color="auto"/>
              <w:right w:val="single" w:sz="4" w:space="0" w:color="auto"/>
            </w:tcBorders>
            <w:shd w:val="clear" w:color="auto" w:fill="auto"/>
            <w:hideMark/>
          </w:tcPr>
          <w:p w14:paraId="7E14F2A0" w14:textId="77777777" w:rsidR="0027492C" w:rsidRPr="00E5732B" w:rsidRDefault="004F2D43"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Sovaldi, Gilead Sciences Pty Limited</w:t>
            </w:r>
          </w:p>
        </w:tc>
      </w:tr>
      <w:tr w:rsidR="00051F26" w:rsidRPr="00E5732B" w14:paraId="22A74045"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80DD8D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10625F</w:t>
            </w:r>
          </w:p>
        </w:tc>
        <w:tc>
          <w:tcPr>
            <w:tcW w:w="850" w:type="dxa"/>
            <w:tcBorders>
              <w:top w:val="nil"/>
              <w:left w:val="nil"/>
              <w:bottom w:val="single" w:sz="4" w:space="0" w:color="auto"/>
              <w:right w:val="single" w:sz="4" w:space="0" w:color="auto"/>
            </w:tcBorders>
            <w:shd w:val="clear" w:color="auto" w:fill="auto"/>
            <w:hideMark/>
          </w:tcPr>
          <w:p w14:paraId="4644C19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6C49AA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4F6D9A6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$19,297.75</w:t>
            </w:r>
          </w:p>
        </w:tc>
        <w:tc>
          <w:tcPr>
            <w:tcW w:w="2977" w:type="dxa"/>
            <w:tcBorders>
              <w:top w:val="nil"/>
              <w:left w:val="nil"/>
              <w:bottom w:val="single" w:sz="4" w:space="0" w:color="auto"/>
              <w:right w:val="single" w:sz="4" w:space="0" w:color="auto"/>
            </w:tcBorders>
            <w:shd w:val="clear" w:color="auto" w:fill="auto"/>
            <w:hideMark/>
          </w:tcPr>
          <w:p w14:paraId="3AC897C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Tablet 400 mg</w:t>
            </w:r>
          </w:p>
        </w:tc>
        <w:tc>
          <w:tcPr>
            <w:tcW w:w="2693" w:type="dxa"/>
            <w:tcBorders>
              <w:top w:val="nil"/>
              <w:left w:val="nil"/>
              <w:bottom w:val="single" w:sz="4" w:space="0" w:color="auto"/>
              <w:right w:val="single" w:sz="4" w:space="0" w:color="auto"/>
            </w:tcBorders>
            <w:shd w:val="clear" w:color="auto" w:fill="auto"/>
            <w:hideMark/>
          </w:tcPr>
          <w:p w14:paraId="3C72FED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Sovaldi, </w:t>
            </w:r>
            <w:r w:rsidR="004F2D43" w:rsidRPr="00E5732B">
              <w:rPr>
                <w:rFonts w:ascii="Arial Narrow" w:eastAsia="Times New Roman" w:hAnsi="Arial Narrow" w:cs="Times New Roman"/>
                <w:sz w:val="18"/>
                <w:szCs w:val="18"/>
              </w:rPr>
              <w:t>Gilead Sciences Pty Limited</w:t>
            </w:r>
          </w:p>
        </w:tc>
      </w:tr>
      <w:tr w:rsidR="00051F26" w:rsidRPr="00E5732B" w14:paraId="6CE716DA"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0559597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10628J</w:t>
            </w:r>
          </w:p>
        </w:tc>
        <w:tc>
          <w:tcPr>
            <w:tcW w:w="850" w:type="dxa"/>
            <w:tcBorders>
              <w:top w:val="nil"/>
              <w:left w:val="nil"/>
              <w:bottom w:val="single" w:sz="4" w:space="0" w:color="auto"/>
              <w:right w:val="single" w:sz="4" w:space="0" w:color="auto"/>
            </w:tcBorders>
            <w:shd w:val="clear" w:color="auto" w:fill="auto"/>
            <w:hideMark/>
          </w:tcPr>
          <w:p w14:paraId="4FC98E6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026A034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380BA0AB"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$22,216.19</w:t>
            </w:r>
          </w:p>
        </w:tc>
        <w:tc>
          <w:tcPr>
            <w:tcW w:w="2977" w:type="dxa"/>
            <w:tcBorders>
              <w:top w:val="nil"/>
              <w:left w:val="nil"/>
              <w:bottom w:val="single" w:sz="4" w:space="0" w:color="auto"/>
              <w:right w:val="single" w:sz="4" w:space="0" w:color="auto"/>
            </w:tcBorders>
            <w:shd w:val="clear" w:color="auto" w:fill="auto"/>
            <w:hideMark/>
          </w:tcPr>
          <w:p w14:paraId="311F819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20BC251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12D2EC67"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86497F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10629K</w:t>
            </w:r>
          </w:p>
        </w:tc>
        <w:tc>
          <w:tcPr>
            <w:tcW w:w="850" w:type="dxa"/>
            <w:tcBorders>
              <w:top w:val="nil"/>
              <w:left w:val="nil"/>
              <w:bottom w:val="single" w:sz="4" w:space="0" w:color="auto"/>
              <w:right w:val="single" w:sz="4" w:space="0" w:color="auto"/>
            </w:tcBorders>
            <w:shd w:val="clear" w:color="auto" w:fill="auto"/>
            <w:hideMark/>
          </w:tcPr>
          <w:p w14:paraId="4625BE0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30F73B4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17A8EF01"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$7,666.67</w:t>
            </w:r>
          </w:p>
        </w:tc>
        <w:tc>
          <w:tcPr>
            <w:tcW w:w="2977" w:type="dxa"/>
            <w:tcBorders>
              <w:top w:val="nil"/>
              <w:left w:val="nil"/>
              <w:bottom w:val="single" w:sz="4" w:space="0" w:color="auto"/>
              <w:right w:val="single" w:sz="4" w:space="0" w:color="auto"/>
            </w:tcBorders>
            <w:shd w:val="clear" w:color="auto" w:fill="auto"/>
            <w:hideMark/>
          </w:tcPr>
          <w:p w14:paraId="46E5AA4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30 mg</w:t>
            </w:r>
          </w:p>
        </w:tc>
        <w:tc>
          <w:tcPr>
            <w:tcW w:w="2693" w:type="dxa"/>
            <w:tcBorders>
              <w:top w:val="nil"/>
              <w:left w:val="nil"/>
              <w:bottom w:val="single" w:sz="4" w:space="0" w:color="auto"/>
              <w:right w:val="single" w:sz="4" w:space="0" w:color="auto"/>
            </w:tcBorders>
            <w:shd w:val="clear" w:color="auto" w:fill="auto"/>
            <w:hideMark/>
          </w:tcPr>
          <w:p w14:paraId="73C2CA2C" w14:textId="77777777" w:rsidR="0027492C" w:rsidRPr="00E5732B" w:rsidRDefault="00E85F16"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Daklinza, Bristol-Myers Squibb Australia Pty Ltd</w:t>
            </w:r>
          </w:p>
        </w:tc>
      </w:tr>
      <w:tr w:rsidR="00051F26" w:rsidRPr="00E5732B" w14:paraId="5046D997"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40C3ECF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10630L</w:t>
            </w:r>
          </w:p>
        </w:tc>
        <w:tc>
          <w:tcPr>
            <w:tcW w:w="850" w:type="dxa"/>
            <w:tcBorders>
              <w:top w:val="nil"/>
              <w:left w:val="nil"/>
              <w:bottom w:val="single" w:sz="4" w:space="0" w:color="auto"/>
              <w:right w:val="single" w:sz="4" w:space="0" w:color="auto"/>
            </w:tcBorders>
            <w:shd w:val="clear" w:color="auto" w:fill="auto"/>
            <w:hideMark/>
          </w:tcPr>
          <w:p w14:paraId="3767308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0CBE631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7EED643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$7,713.82</w:t>
            </w:r>
          </w:p>
        </w:tc>
        <w:tc>
          <w:tcPr>
            <w:tcW w:w="2977" w:type="dxa"/>
            <w:tcBorders>
              <w:top w:val="nil"/>
              <w:left w:val="nil"/>
              <w:bottom w:val="single" w:sz="4" w:space="0" w:color="auto"/>
              <w:right w:val="single" w:sz="4" w:space="0" w:color="auto"/>
            </w:tcBorders>
            <w:shd w:val="clear" w:color="auto" w:fill="auto"/>
            <w:hideMark/>
          </w:tcPr>
          <w:p w14:paraId="7429940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30 mg</w:t>
            </w:r>
          </w:p>
        </w:tc>
        <w:tc>
          <w:tcPr>
            <w:tcW w:w="2693" w:type="dxa"/>
            <w:tcBorders>
              <w:top w:val="nil"/>
              <w:left w:val="nil"/>
              <w:bottom w:val="single" w:sz="4" w:space="0" w:color="auto"/>
              <w:right w:val="single" w:sz="4" w:space="0" w:color="auto"/>
            </w:tcBorders>
            <w:shd w:val="clear" w:color="auto" w:fill="auto"/>
            <w:hideMark/>
          </w:tcPr>
          <w:p w14:paraId="7A209D7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5170FF93"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4916689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10631M</w:t>
            </w:r>
          </w:p>
        </w:tc>
        <w:tc>
          <w:tcPr>
            <w:tcW w:w="850" w:type="dxa"/>
            <w:tcBorders>
              <w:top w:val="nil"/>
              <w:left w:val="nil"/>
              <w:bottom w:val="single" w:sz="4" w:space="0" w:color="auto"/>
              <w:right w:val="single" w:sz="4" w:space="0" w:color="auto"/>
            </w:tcBorders>
            <w:shd w:val="clear" w:color="auto" w:fill="auto"/>
            <w:hideMark/>
          </w:tcPr>
          <w:p w14:paraId="7BB6866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244EDD5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008DDD79"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$7,713.82</w:t>
            </w:r>
          </w:p>
        </w:tc>
        <w:tc>
          <w:tcPr>
            <w:tcW w:w="2977" w:type="dxa"/>
            <w:tcBorders>
              <w:top w:val="nil"/>
              <w:left w:val="nil"/>
              <w:bottom w:val="single" w:sz="4" w:space="0" w:color="auto"/>
              <w:right w:val="single" w:sz="4" w:space="0" w:color="auto"/>
            </w:tcBorders>
            <w:shd w:val="clear" w:color="auto" w:fill="auto"/>
            <w:hideMark/>
          </w:tcPr>
          <w:p w14:paraId="5D762B6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60 mg</w:t>
            </w:r>
          </w:p>
        </w:tc>
        <w:tc>
          <w:tcPr>
            <w:tcW w:w="2693" w:type="dxa"/>
            <w:tcBorders>
              <w:top w:val="nil"/>
              <w:left w:val="nil"/>
              <w:bottom w:val="single" w:sz="4" w:space="0" w:color="auto"/>
              <w:right w:val="single" w:sz="4" w:space="0" w:color="auto"/>
            </w:tcBorders>
            <w:shd w:val="clear" w:color="auto" w:fill="auto"/>
            <w:hideMark/>
          </w:tcPr>
          <w:p w14:paraId="196BA3A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6A6A77B9"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7098B0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10635R</w:t>
            </w:r>
          </w:p>
        </w:tc>
        <w:tc>
          <w:tcPr>
            <w:tcW w:w="850" w:type="dxa"/>
            <w:tcBorders>
              <w:top w:val="nil"/>
              <w:left w:val="nil"/>
              <w:bottom w:val="single" w:sz="4" w:space="0" w:color="auto"/>
              <w:right w:val="single" w:sz="4" w:space="0" w:color="auto"/>
            </w:tcBorders>
            <w:shd w:val="clear" w:color="auto" w:fill="auto"/>
            <w:hideMark/>
          </w:tcPr>
          <w:p w14:paraId="4428A46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638CBA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BEAA32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$152.75</w:t>
            </w:r>
          </w:p>
        </w:tc>
        <w:tc>
          <w:tcPr>
            <w:tcW w:w="2977" w:type="dxa"/>
            <w:tcBorders>
              <w:top w:val="nil"/>
              <w:left w:val="nil"/>
              <w:bottom w:val="single" w:sz="4" w:space="0" w:color="auto"/>
              <w:right w:val="single" w:sz="4" w:space="0" w:color="auto"/>
            </w:tcBorders>
            <w:shd w:val="clear" w:color="auto" w:fill="auto"/>
            <w:hideMark/>
          </w:tcPr>
          <w:p w14:paraId="63812FC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400 mg</w:t>
            </w:r>
          </w:p>
        </w:tc>
        <w:tc>
          <w:tcPr>
            <w:tcW w:w="2693" w:type="dxa"/>
            <w:tcBorders>
              <w:top w:val="nil"/>
              <w:left w:val="nil"/>
              <w:bottom w:val="single" w:sz="4" w:space="0" w:color="auto"/>
              <w:right w:val="single" w:sz="4" w:space="0" w:color="auto"/>
            </w:tcBorders>
            <w:shd w:val="clear" w:color="auto" w:fill="auto"/>
            <w:hideMark/>
          </w:tcPr>
          <w:p w14:paraId="6E13031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596EE3CB"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117FE37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10637W</w:t>
            </w:r>
          </w:p>
        </w:tc>
        <w:tc>
          <w:tcPr>
            <w:tcW w:w="850" w:type="dxa"/>
            <w:tcBorders>
              <w:top w:val="nil"/>
              <w:left w:val="nil"/>
              <w:bottom w:val="single" w:sz="4" w:space="0" w:color="auto"/>
              <w:right w:val="single" w:sz="4" w:space="0" w:color="auto"/>
            </w:tcBorders>
            <w:shd w:val="clear" w:color="auto" w:fill="auto"/>
            <w:hideMark/>
          </w:tcPr>
          <w:p w14:paraId="72468F0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7EA7D0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19CB3BE7"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$225.55</w:t>
            </w:r>
          </w:p>
        </w:tc>
        <w:tc>
          <w:tcPr>
            <w:tcW w:w="2977" w:type="dxa"/>
            <w:tcBorders>
              <w:top w:val="nil"/>
              <w:left w:val="nil"/>
              <w:bottom w:val="single" w:sz="4" w:space="0" w:color="auto"/>
              <w:right w:val="single" w:sz="4" w:space="0" w:color="auto"/>
            </w:tcBorders>
            <w:shd w:val="clear" w:color="auto" w:fill="auto"/>
            <w:hideMark/>
          </w:tcPr>
          <w:p w14:paraId="24C5D5E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600 mg</w:t>
            </w:r>
          </w:p>
        </w:tc>
        <w:tc>
          <w:tcPr>
            <w:tcW w:w="2693" w:type="dxa"/>
            <w:tcBorders>
              <w:top w:val="nil"/>
              <w:left w:val="nil"/>
              <w:bottom w:val="single" w:sz="4" w:space="0" w:color="auto"/>
              <w:right w:val="single" w:sz="4" w:space="0" w:color="auto"/>
            </w:tcBorders>
            <w:shd w:val="clear" w:color="auto" w:fill="auto"/>
            <w:hideMark/>
          </w:tcPr>
          <w:p w14:paraId="54ABAF3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4D6A7A6F"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0E25CFC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10638X</w:t>
            </w:r>
          </w:p>
        </w:tc>
        <w:tc>
          <w:tcPr>
            <w:tcW w:w="850" w:type="dxa"/>
            <w:tcBorders>
              <w:top w:val="nil"/>
              <w:left w:val="nil"/>
              <w:bottom w:val="single" w:sz="4" w:space="0" w:color="auto"/>
              <w:right w:val="single" w:sz="4" w:space="0" w:color="auto"/>
            </w:tcBorders>
            <w:shd w:val="clear" w:color="auto" w:fill="auto"/>
            <w:hideMark/>
          </w:tcPr>
          <w:p w14:paraId="5BA0770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360440A8"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5C314E7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$210.00</w:t>
            </w:r>
          </w:p>
        </w:tc>
        <w:tc>
          <w:tcPr>
            <w:tcW w:w="2977" w:type="dxa"/>
            <w:tcBorders>
              <w:top w:val="nil"/>
              <w:left w:val="nil"/>
              <w:bottom w:val="single" w:sz="4" w:space="0" w:color="auto"/>
              <w:right w:val="single" w:sz="4" w:space="0" w:color="auto"/>
            </w:tcBorders>
            <w:shd w:val="clear" w:color="auto" w:fill="auto"/>
            <w:hideMark/>
          </w:tcPr>
          <w:p w14:paraId="6A9AFD9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600 mg</w:t>
            </w:r>
          </w:p>
        </w:tc>
        <w:tc>
          <w:tcPr>
            <w:tcW w:w="2693" w:type="dxa"/>
            <w:tcBorders>
              <w:top w:val="nil"/>
              <w:left w:val="nil"/>
              <w:bottom w:val="single" w:sz="4" w:space="0" w:color="auto"/>
              <w:right w:val="single" w:sz="4" w:space="0" w:color="auto"/>
            </w:tcBorders>
            <w:shd w:val="clear" w:color="auto" w:fill="auto"/>
            <w:hideMark/>
          </w:tcPr>
          <w:p w14:paraId="57009BE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67C926EB"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08E7DC0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10641C</w:t>
            </w:r>
          </w:p>
        </w:tc>
        <w:tc>
          <w:tcPr>
            <w:tcW w:w="850" w:type="dxa"/>
            <w:tcBorders>
              <w:top w:val="nil"/>
              <w:left w:val="nil"/>
              <w:bottom w:val="single" w:sz="4" w:space="0" w:color="auto"/>
              <w:right w:val="single" w:sz="4" w:space="0" w:color="auto"/>
            </w:tcBorders>
            <w:shd w:val="clear" w:color="auto" w:fill="auto"/>
            <w:hideMark/>
          </w:tcPr>
          <w:p w14:paraId="41F0BB0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B42F39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628907EE"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$7,666.67</w:t>
            </w:r>
          </w:p>
        </w:tc>
        <w:tc>
          <w:tcPr>
            <w:tcW w:w="2977" w:type="dxa"/>
            <w:tcBorders>
              <w:top w:val="nil"/>
              <w:left w:val="nil"/>
              <w:bottom w:val="single" w:sz="4" w:space="0" w:color="auto"/>
              <w:right w:val="single" w:sz="4" w:space="0" w:color="auto"/>
            </w:tcBorders>
            <w:shd w:val="clear" w:color="auto" w:fill="auto"/>
            <w:hideMark/>
          </w:tcPr>
          <w:p w14:paraId="3E02284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60 mg</w:t>
            </w:r>
          </w:p>
        </w:tc>
        <w:tc>
          <w:tcPr>
            <w:tcW w:w="2693" w:type="dxa"/>
            <w:tcBorders>
              <w:top w:val="nil"/>
              <w:left w:val="nil"/>
              <w:bottom w:val="single" w:sz="4" w:space="0" w:color="auto"/>
              <w:right w:val="single" w:sz="4" w:space="0" w:color="auto"/>
            </w:tcBorders>
            <w:shd w:val="clear" w:color="auto" w:fill="auto"/>
            <w:hideMark/>
          </w:tcPr>
          <w:p w14:paraId="73CF039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13A3501A"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AE703C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10642D</w:t>
            </w:r>
          </w:p>
        </w:tc>
        <w:tc>
          <w:tcPr>
            <w:tcW w:w="850" w:type="dxa"/>
            <w:tcBorders>
              <w:top w:val="nil"/>
              <w:left w:val="nil"/>
              <w:bottom w:val="single" w:sz="4" w:space="0" w:color="auto"/>
              <w:right w:val="single" w:sz="4" w:space="0" w:color="auto"/>
            </w:tcBorders>
            <w:shd w:val="clear" w:color="auto" w:fill="auto"/>
            <w:hideMark/>
          </w:tcPr>
          <w:p w14:paraId="7B88AD2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56886E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560CAAAE"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$7,816.19</w:t>
            </w:r>
          </w:p>
        </w:tc>
        <w:tc>
          <w:tcPr>
            <w:tcW w:w="2977" w:type="dxa"/>
            <w:tcBorders>
              <w:top w:val="nil"/>
              <w:left w:val="nil"/>
              <w:bottom w:val="single" w:sz="4" w:space="0" w:color="auto"/>
              <w:right w:val="single" w:sz="4" w:space="0" w:color="auto"/>
            </w:tcBorders>
            <w:shd w:val="clear" w:color="auto" w:fill="auto"/>
            <w:hideMark/>
          </w:tcPr>
          <w:p w14:paraId="3EFCAFB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60 mg</w:t>
            </w:r>
          </w:p>
        </w:tc>
        <w:tc>
          <w:tcPr>
            <w:tcW w:w="2693" w:type="dxa"/>
            <w:tcBorders>
              <w:top w:val="nil"/>
              <w:left w:val="nil"/>
              <w:bottom w:val="single" w:sz="4" w:space="0" w:color="auto"/>
              <w:right w:val="single" w:sz="4" w:space="0" w:color="auto"/>
            </w:tcBorders>
            <w:shd w:val="clear" w:color="auto" w:fill="auto"/>
            <w:hideMark/>
          </w:tcPr>
          <w:p w14:paraId="7EEE363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4E70B921"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B44A0D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10643E</w:t>
            </w:r>
          </w:p>
        </w:tc>
        <w:tc>
          <w:tcPr>
            <w:tcW w:w="850" w:type="dxa"/>
            <w:tcBorders>
              <w:top w:val="nil"/>
              <w:left w:val="nil"/>
              <w:bottom w:val="single" w:sz="4" w:space="0" w:color="auto"/>
              <w:right w:val="single" w:sz="4" w:space="0" w:color="auto"/>
            </w:tcBorders>
            <w:shd w:val="clear" w:color="auto" w:fill="auto"/>
            <w:hideMark/>
          </w:tcPr>
          <w:p w14:paraId="12DAC56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DD2BE2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48D4D20D"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$7,713.82</w:t>
            </w:r>
          </w:p>
        </w:tc>
        <w:tc>
          <w:tcPr>
            <w:tcW w:w="2977" w:type="dxa"/>
            <w:tcBorders>
              <w:top w:val="nil"/>
              <w:left w:val="nil"/>
              <w:bottom w:val="single" w:sz="4" w:space="0" w:color="auto"/>
              <w:right w:val="single" w:sz="4" w:space="0" w:color="auto"/>
            </w:tcBorders>
            <w:shd w:val="clear" w:color="auto" w:fill="auto"/>
            <w:hideMark/>
          </w:tcPr>
          <w:p w14:paraId="278B237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30 mg</w:t>
            </w:r>
          </w:p>
        </w:tc>
        <w:tc>
          <w:tcPr>
            <w:tcW w:w="2693" w:type="dxa"/>
            <w:tcBorders>
              <w:top w:val="nil"/>
              <w:left w:val="nil"/>
              <w:bottom w:val="single" w:sz="4" w:space="0" w:color="auto"/>
              <w:right w:val="single" w:sz="4" w:space="0" w:color="auto"/>
            </w:tcBorders>
            <w:shd w:val="clear" w:color="auto" w:fill="auto"/>
            <w:hideMark/>
          </w:tcPr>
          <w:p w14:paraId="1FDBCDB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24E3DB2B"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557B0F4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10644F</w:t>
            </w:r>
          </w:p>
        </w:tc>
        <w:tc>
          <w:tcPr>
            <w:tcW w:w="850" w:type="dxa"/>
            <w:tcBorders>
              <w:top w:val="nil"/>
              <w:left w:val="nil"/>
              <w:bottom w:val="single" w:sz="4" w:space="0" w:color="auto"/>
              <w:right w:val="single" w:sz="4" w:space="0" w:color="auto"/>
            </w:tcBorders>
            <w:shd w:val="clear" w:color="auto" w:fill="auto"/>
            <w:hideMark/>
          </w:tcPr>
          <w:p w14:paraId="6D065DB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28468C3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357E5707"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$7,713.82</w:t>
            </w:r>
          </w:p>
        </w:tc>
        <w:tc>
          <w:tcPr>
            <w:tcW w:w="2977" w:type="dxa"/>
            <w:tcBorders>
              <w:top w:val="nil"/>
              <w:left w:val="nil"/>
              <w:bottom w:val="single" w:sz="4" w:space="0" w:color="auto"/>
              <w:right w:val="single" w:sz="4" w:space="0" w:color="auto"/>
            </w:tcBorders>
            <w:shd w:val="clear" w:color="auto" w:fill="auto"/>
            <w:hideMark/>
          </w:tcPr>
          <w:p w14:paraId="4ADD65B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60 mg</w:t>
            </w:r>
          </w:p>
        </w:tc>
        <w:tc>
          <w:tcPr>
            <w:tcW w:w="2693" w:type="dxa"/>
            <w:tcBorders>
              <w:top w:val="nil"/>
              <w:left w:val="nil"/>
              <w:bottom w:val="single" w:sz="4" w:space="0" w:color="auto"/>
              <w:right w:val="single" w:sz="4" w:space="0" w:color="auto"/>
            </w:tcBorders>
            <w:shd w:val="clear" w:color="auto" w:fill="auto"/>
            <w:hideMark/>
          </w:tcPr>
          <w:p w14:paraId="2A94ADF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7BFCF619"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545BB7B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10645G</w:t>
            </w:r>
          </w:p>
        </w:tc>
        <w:tc>
          <w:tcPr>
            <w:tcW w:w="850" w:type="dxa"/>
            <w:tcBorders>
              <w:top w:val="nil"/>
              <w:left w:val="nil"/>
              <w:bottom w:val="single" w:sz="4" w:space="0" w:color="auto"/>
              <w:right w:val="single" w:sz="4" w:space="0" w:color="auto"/>
            </w:tcBorders>
            <w:shd w:val="clear" w:color="auto" w:fill="auto"/>
            <w:hideMark/>
          </w:tcPr>
          <w:p w14:paraId="5DA2EE8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EA6444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5B9551D2"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$7,816.19</w:t>
            </w:r>
          </w:p>
        </w:tc>
        <w:tc>
          <w:tcPr>
            <w:tcW w:w="2977" w:type="dxa"/>
            <w:tcBorders>
              <w:top w:val="nil"/>
              <w:left w:val="nil"/>
              <w:bottom w:val="single" w:sz="4" w:space="0" w:color="auto"/>
              <w:right w:val="single" w:sz="4" w:space="0" w:color="auto"/>
            </w:tcBorders>
            <w:shd w:val="clear" w:color="auto" w:fill="auto"/>
            <w:hideMark/>
          </w:tcPr>
          <w:p w14:paraId="0A70C7D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30 mg</w:t>
            </w:r>
          </w:p>
        </w:tc>
        <w:tc>
          <w:tcPr>
            <w:tcW w:w="2693" w:type="dxa"/>
            <w:tcBorders>
              <w:top w:val="nil"/>
              <w:left w:val="nil"/>
              <w:bottom w:val="single" w:sz="4" w:space="0" w:color="auto"/>
              <w:right w:val="single" w:sz="4" w:space="0" w:color="auto"/>
            </w:tcBorders>
            <w:shd w:val="clear" w:color="auto" w:fill="auto"/>
            <w:hideMark/>
          </w:tcPr>
          <w:p w14:paraId="23AE97A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4EB150D4"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327A16C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10646H</w:t>
            </w:r>
          </w:p>
        </w:tc>
        <w:tc>
          <w:tcPr>
            <w:tcW w:w="850" w:type="dxa"/>
            <w:tcBorders>
              <w:top w:val="nil"/>
              <w:left w:val="nil"/>
              <w:bottom w:val="single" w:sz="4" w:space="0" w:color="auto"/>
              <w:right w:val="single" w:sz="4" w:space="0" w:color="auto"/>
            </w:tcBorders>
            <w:shd w:val="clear" w:color="auto" w:fill="auto"/>
            <w:hideMark/>
          </w:tcPr>
          <w:p w14:paraId="10C8367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BDD73B3"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9AC946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$140.00</w:t>
            </w:r>
          </w:p>
        </w:tc>
        <w:tc>
          <w:tcPr>
            <w:tcW w:w="2977" w:type="dxa"/>
            <w:tcBorders>
              <w:top w:val="nil"/>
              <w:left w:val="nil"/>
              <w:bottom w:val="single" w:sz="4" w:space="0" w:color="auto"/>
              <w:right w:val="single" w:sz="4" w:space="0" w:color="auto"/>
            </w:tcBorders>
            <w:shd w:val="clear" w:color="auto" w:fill="auto"/>
            <w:hideMark/>
          </w:tcPr>
          <w:p w14:paraId="5CC5654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400 mg</w:t>
            </w:r>
          </w:p>
        </w:tc>
        <w:tc>
          <w:tcPr>
            <w:tcW w:w="2693" w:type="dxa"/>
            <w:tcBorders>
              <w:top w:val="nil"/>
              <w:left w:val="nil"/>
              <w:bottom w:val="single" w:sz="4" w:space="0" w:color="auto"/>
              <w:right w:val="single" w:sz="4" w:space="0" w:color="auto"/>
            </w:tcBorders>
            <w:shd w:val="clear" w:color="auto" w:fill="auto"/>
            <w:hideMark/>
          </w:tcPr>
          <w:p w14:paraId="1BCAD09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3D133C08"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0376A74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10647J</w:t>
            </w:r>
          </w:p>
        </w:tc>
        <w:tc>
          <w:tcPr>
            <w:tcW w:w="850" w:type="dxa"/>
            <w:tcBorders>
              <w:top w:val="nil"/>
              <w:left w:val="nil"/>
              <w:bottom w:val="single" w:sz="4" w:space="0" w:color="auto"/>
              <w:right w:val="single" w:sz="4" w:space="0" w:color="auto"/>
            </w:tcBorders>
            <w:shd w:val="clear" w:color="auto" w:fill="auto"/>
            <w:hideMark/>
          </w:tcPr>
          <w:p w14:paraId="79FC864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7B8BED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357F1966"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$161.62</w:t>
            </w:r>
          </w:p>
        </w:tc>
        <w:tc>
          <w:tcPr>
            <w:tcW w:w="2977" w:type="dxa"/>
            <w:tcBorders>
              <w:top w:val="nil"/>
              <w:left w:val="nil"/>
              <w:bottom w:val="single" w:sz="4" w:space="0" w:color="auto"/>
              <w:right w:val="single" w:sz="4" w:space="0" w:color="auto"/>
            </w:tcBorders>
            <w:shd w:val="clear" w:color="auto" w:fill="auto"/>
            <w:hideMark/>
          </w:tcPr>
          <w:p w14:paraId="67FE343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400 mg</w:t>
            </w:r>
          </w:p>
        </w:tc>
        <w:tc>
          <w:tcPr>
            <w:tcW w:w="2693" w:type="dxa"/>
            <w:tcBorders>
              <w:top w:val="nil"/>
              <w:left w:val="nil"/>
              <w:bottom w:val="single" w:sz="4" w:space="0" w:color="auto"/>
              <w:right w:val="single" w:sz="4" w:space="0" w:color="auto"/>
            </w:tcBorders>
            <w:shd w:val="clear" w:color="auto" w:fill="auto"/>
            <w:hideMark/>
          </w:tcPr>
          <w:p w14:paraId="1E26443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5C40C466"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5F2E12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10648K</w:t>
            </w:r>
          </w:p>
        </w:tc>
        <w:tc>
          <w:tcPr>
            <w:tcW w:w="850" w:type="dxa"/>
            <w:tcBorders>
              <w:top w:val="nil"/>
              <w:left w:val="nil"/>
              <w:bottom w:val="single" w:sz="4" w:space="0" w:color="auto"/>
              <w:right w:val="single" w:sz="4" w:space="0" w:color="auto"/>
            </w:tcBorders>
            <w:shd w:val="clear" w:color="auto" w:fill="auto"/>
            <w:hideMark/>
          </w:tcPr>
          <w:p w14:paraId="71B3DA9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BD51198"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5810C61D"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$19,297.75</w:t>
            </w:r>
          </w:p>
        </w:tc>
        <w:tc>
          <w:tcPr>
            <w:tcW w:w="2977" w:type="dxa"/>
            <w:tcBorders>
              <w:top w:val="nil"/>
              <w:left w:val="nil"/>
              <w:bottom w:val="single" w:sz="4" w:space="0" w:color="auto"/>
              <w:right w:val="single" w:sz="4" w:space="0" w:color="auto"/>
            </w:tcBorders>
            <w:shd w:val="clear" w:color="auto" w:fill="auto"/>
            <w:hideMark/>
          </w:tcPr>
          <w:p w14:paraId="168D34D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Tablet 400 mg</w:t>
            </w:r>
          </w:p>
        </w:tc>
        <w:tc>
          <w:tcPr>
            <w:tcW w:w="2693" w:type="dxa"/>
            <w:tcBorders>
              <w:top w:val="nil"/>
              <w:left w:val="nil"/>
              <w:bottom w:val="single" w:sz="4" w:space="0" w:color="auto"/>
              <w:right w:val="single" w:sz="4" w:space="0" w:color="auto"/>
            </w:tcBorders>
            <w:shd w:val="clear" w:color="auto" w:fill="auto"/>
            <w:hideMark/>
          </w:tcPr>
          <w:p w14:paraId="4230913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Sovaldi, </w:t>
            </w:r>
            <w:r w:rsidR="004F2D43" w:rsidRPr="00E5732B">
              <w:rPr>
                <w:rFonts w:ascii="Arial Narrow" w:eastAsia="Times New Roman" w:hAnsi="Arial Narrow" w:cs="Times New Roman"/>
                <w:sz w:val="18"/>
                <w:szCs w:val="18"/>
              </w:rPr>
              <w:t>Gilead Sciences Pty Limited</w:t>
            </w:r>
          </w:p>
        </w:tc>
      </w:tr>
      <w:tr w:rsidR="00051F26" w:rsidRPr="00E5732B" w14:paraId="2252051F"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3BBB64D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10651N</w:t>
            </w:r>
          </w:p>
        </w:tc>
        <w:tc>
          <w:tcPr>
            <w:tcW w:w="850" w:type="dxa"/>
            <w:tcBorders>
              <w:top w:val="nil"/>
              <w:left w:val="nil"/>
              <w:bottom w:val="single" w:sz="4" w:space="0" w:color="auto"/>
              <w:right w:val="single" w:sz="4" w:space="0" w:color="auto"/>
            </w:tcBorders>
            <w:shd w:val="clear" w:color="auto" w:fill="auto"/>
            <w:hideMark/>
          </w:tcPr>
          <w:p w14:paraId="1F1808D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7816C756"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CEA1BCA"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$7,666.67</w:t>
            </w:r>
          </w:p>
        </w:tc>
        <w:tc>
          <w:tcPr>
            <w:tcW w:w="2977" w:type="dxa"/>
            <w:tcBorders>
              <w:top w:val="nil"/>
              <w:left w:val="nil"/>
              <w:bottom w:val="single" w:sz="4" w:space="0" w:color="auto"/>
              <w:right w:val="single" w:sz="4" w:space="0" w:color="auto"/>
            </w:tcBorders>
            <w:shd w:val="clear" w:color="auto" w:fill="auto"/>
            <w:hideMark/>
          </w:tcPr>
          <w:p w14:paraId="5C38DD7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30 mg</w:t>
            </w:r>
          </w:p>
        </w:tc>
        <w:tc>
          <w:tcPr>
            <w:tcW w:w="2693" w:type="dxa"/>
            <w:tcBorders>
              <w:top w:val="nil"/>
              <w:left w:val="nil"/>
              <w:bottom w:val="single" w:sz="4" w:space="0" w:color="auto"/>
              <w:right w:val="single" w:sz="4" w:space="0" w:color="auto"/>
            </w:tcBorders>
            <w:shd w:val="clear" w:color="auto" w:fill="auto"/>
            <w:hideMark/>
          </w:tcPr>
          <w:p w14:paraId="0C93EF5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3B3C9404"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3F9B3D4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10653Q</w:t>
            </w:r>
          </w:p>
        </w:tc>
        <w:tc>
          <w:tcPr>
            <w:tcW w:w="850" w:type="dxa"/>
            <w:tcBorders>
              <w:top w:val="nil"/>
              <w:left w:val="nil"/>
              <w:bottom w:val="single" w:sz="4" w:space="0" w:color="auto"/>
              <w:right w:val="single" w:sz="4" w:space="0" w:color="auto"/>
            </w:tcBorders>
            <w:shd w:val="clear" w:color="auto" w:fill="auto"/>
            <w:hideMark/>
          </w:tcPr>
          <w:p w14:paraId="418B479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745D0B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1134" w:type="dxa"/>
            <w:tcBorders>
              <w:top w:val="nil"/>
              <w:left w:val="nil"/>
              <w:bottom w:val="single" w:sz="4" w:space="0" w:color="auto"/>
              <w:right w:val="single" w:sz="4" w:space="0" w:color="auto"/>
            </w:tcBorders>
            <w:shd w:val="clear" w:color="auto" w:fill="auto"/>
            <w:hideMark/>
          </w:tcPr>
          <w:p w14:paraId="6C657936"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$22,113.82</w:t>
            </w:r>
          </w:p>
        </w:tc>
        <w:tc>
          <w:tcPr>
            <w:tcW w:w="2977" w:type="dxa"/>
            <w:tcBorders>
              <w:top w:val="nil"/>
              <w:left w:val="nil"/>
              <w:bottom w:val="single" w:sz="4" w:space="0" w:color="auto"/>
              <w:right w:val="single" w:sz="4" w:space="0" w:color="auto"/>
            </w:tcBorders>
            <w:shd w:val="clear" w:color="auto" w:fill="auto"/>
            <w:hideMark/>
          </w:tcPr>
          <w:p w14:paraId="0BE8004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5E609B8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4E2CE3D2"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1E0739D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10654R</w:t>
            </w:r>
          </w:p>
        </w:tc>
        <w:tc>
          <w:tcPr>
            <w:tcW w:w="850" w:type="dxa"/>
            <w:tcBorders>
              <w:top w:val="nil"/>
              <w:left w:val="nil"/>
              <w:bottom w:val="single" w:sz="4" w:space="0" w:color="auto"/>
              <w:right w:val="single" w:sz="4" w:space="0" w:color="auto"/>
            </w:tcBorders>
            <w:shd w:val="clear" w:color="auto" w:fill="auto"/>
            <w:hideMark/>
          </w:tcPr>
          <w:p w14:paraId="1642C586"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AA0660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6778EF6"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$19,344.90</w:t>
            </w:r>
          </w:p>
        </w:tc>
        <w:tc>
          <w:tcPr>
            <w:tcW w:w="2977" w:type="dxa"/>
            <w:tcBorders>
              <w:top w:val="nil"/>
              <w:left w:val="nil"/>
              <w:bottom w:val="single" w:sz="4" w:space="0" w:color="auto"/>
              <w:right w:val="single" w:sz="4" w:space="0" w:color="auto"/>
            </w:tcBorders>
            <w:shd w:val="clear" w:color="auto" w:fill="auto"/>
            <w:hideMark/>
          </w:tcPr>
          <w:p w14:paraId="03B43A7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Tablet 400 mg</w:t>
            </w:r>
          </w:p>
        </w:tc>
        <w:tc>
          <w:tcPr>
            <w:tcW w:w="2693" w:type="dxa"/>
            <w:tcBorders>
              <w:top w:val="nil"/>
              <w:left w:val="nil"/>
              <w:bottom w:val="single" w:sz="4" w:space="0" w:color="auto"/>
              <w:right w:val="single" w:sz="4" w:space="0" w:color="auto"/>
            </w:tcBorders>
            <w:shd w:val="clear" w:color="auto" w:fill="auto"/>
            <w:hideMark/>
          </w:tcPr>
          <w:p w14:paraId="34341C4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Sovaldi, </w:t>
            </w:r>
            <w:r w:rsidR="004F2D43" w:rsidRPr="00E5732B">
              <w:rPr>
                <w:rFonts w:ascii="Arial Narrow" w:eastAsia="Times New Roman" w:hAnsi="Arial Narrow" w:cs="Times New Roman"/>
                <w:sz w:val="18"/>
                <w:szCs w:val="18"/>
              </w:rPr>
              <w:t>Gilead Sciences Pty Limited</w:t>
            </w:r>
          </w:p>
        </w:tc>
      </w:tr>
      <w:tr w:rsidR="00051F26" w:rsidRPr="00E5732B" w14:paraId="7AA73A97"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B2CD2F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10657X</w:t>
            </w:r>
          </w:p>
        </w:tc>
        <w:tc>
          <w:tcPr>
            <w:tcW w:w="850" w:type="dxa"/>
            <w:tcBorders>
              <w:top w:val="nil"/>
              <w:left w:val="nil"/>
              <w:bottom w:val="single" w:sz="4" w:space="0" w:color="auto"/>
              <w:right w:val="single" w:sz="4" w:space="0" w:color="auto"/>
            </w:tcBorders>
            <w:shd w:val="clear" w:color="auto" w:fill="auto"/>
            <w:hideMark/>
          </w:tcPr>
          <w:p w14:paraId="71A557B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F23047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D6EFBCF"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$19,447.27</w:t>
            </w:r>
          </w:p>
        </w:tc>
        <w:tc>
          <w:tcPr>
            <w:tcW w:w="2977" w:type="dxa"/>
            <w:tcBorders>
              <w:top w:val="nil"/>
              <w:left w:val="nil"/>
              <w:bottom w:val="single" w:sz="4" w:space="0" w:color="auto"/>
              <w:right w:val="single" w:sz="4" w:space="0" w:color="auto"/>
            </w:tcBorders>
            <w:shd w:val="clear" w:color="auto" w:fill="auto"/>
            <w:hideMark/>
          </w:tcPr>
          <w:p w14:paraId="15BEFF0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Tablet 400 mg</w:t>
            </w:r>
          </w:p>
        </w:tc>
        <w:tc>
          <w:tcPr>
            <w:tcW w:w="2693" w:type="dxa"/>
            <w:tcBorders>
              <w:top w:val="nil"/>
              <w:left w:val="nil"/>
              <w:bottom w:val="single" w:sz="4" w:space="0" w:color="auto"/>
              <w:right w:val="single" w:sz="4" w:space="0" w:color="auto"/>
            </w:tcBorders>
            <w:shd w:val="clear" w:color="auto" w:fill="auto"/>
            <w:hideMark/>
          </w:tcPr>
          <w:p w14:paraId="5B4B812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Sovaldi, </w:t>
            </w:r>
            <w:r w:rsidR="004F2D43" w:rsidRPr="00E5732B">
              <w:rPr>
                <w:rFonts w:ascii="Arial Narrow" w:eastAsia="Times New Roman" w:hAnsi="Arial Narrow" w:cs="Times New Roman"/>
                <w:sz w:val="18"/>
                <w:szCs w:val="18"/>
              </w:rPr>
              <w:t>Gilead Sciences Pty Limited</w:t>
            </w:r>
          </w:p>
        </w:tc>
      </w:tr>
      <w:tr w:rsidR="00051F26" w:rsidRPr="00E5732B" w14:paraId="1B9537D9"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C7FA93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10659B</w:t>
            </w:r>
          </w:p>
        </w:tc>
        <w:tc>
          <w:tcPr>
            <w:tcW w:w="850" w:type="dxa"/>
            <w:tcBorders>
              <w:top w:val="nil"/>
              <w:left w:val="nil"/>
              <w:bottom w:val="single" w:sz="4" w:space="0" w:color="auto"/>
              <w:right w:val="single" w:sz="4" w:space="0" w:color="auto"/>
            </w:tcBorders>
            <w:shd w:val="clear" w:color="auto" w:fill="auto"/>
            <w:hideMark/>
          </w:tcPr>
          <w:p w14:paraId="488C891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273070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1E24834"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$7,816.19</w:t>
            </w:r>
          </w:p>
        </w:tc>
        <w:tc>
          <w:tcPr>
            <w:tcW w:w="2977" w:type="dxa"/>
            <w:tcBorders>
              <w:top w:val="nil"/>
              <w:left w:val="nil"/>
              <w:bottom w:val="single" w:sz="4" w:space="0" w:color="auto"/>
              <w:right w:val="single" w:sz="4" w:space="0" w:color="auto"/>
            </w:tcBorders>
            <w:shd w:val="clear" w:color="auto" w:fill="auto"/>
            <w:hideMark/>
          </w:tcPr>
          <w:p w14:paraId="00F8BB8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60 mg</w:t>
            </w:r>
          </w:p>
        </w:tc>
        <w:tc>
          <w:tcPr>
            <w:tcW w:w="2693" w:type="dxa"/>
            <w:tcBorders>
              <w:top w:val="nil"/>
              <w:left w:val="nil"/>
              <w:bottom w:val="single" w:sz="4" w:space="0" w:color="auto"/>
              <w:right w:val="single" w:sz="4" w:space="0" w:color="auto"/>
            </w:tcBorders>
            <w:shd w:val="clear" w:color="auto" w:fill="auto"/>
            <w:hideMark/>
          </w:tcPr>
          <w:p w14:paraId="613DD15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345F7646"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468C501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10660C</w:t>
            </w:r>
          </w:p>
        </w:tc>
        <w:tc>
          <w:tcPr>
            <w:tcW w:w="850" w:type="dxa"/>
            <w:tcBorders>
              <w:top w:val="nil"/>
              <w:left w:val="nil"/>
              <w:bottom w:val="single" w:sz="4" w:space="0" w:color="auto"/>
              <w:right w:val="single" w:sz="4" w:space="0" w:color="auto"/>
            </w:tcBorders>
            <w:shd w:val="clear" w:color="auto" w:fill="auto"/>
            <w:hideMark/>
          </w:tcPr>
          <w:p w14:paraId="0FE8FDB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7859FEE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2F954202"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$7,666.67</w:t>
            </w:r>
          </w:p>
        </w:tc>
        <w:tc>
          <w:tcPr>
            <w:tcW w:w="2977" w:type="dxa"/>
            <w:tcBorders>
              <w:top w:val="nil"/>
              <w:left w:val="nil"/>
              <w:bottom w:val="single" w:sz="4" w:space="0" w:color="auto"/>
              <w:right w:val="single" w:sz="4" w:space="0" w:color="auto"/>
            </w:tcBorders>
            <w:shd w:val="clear" w:color="auto" w:fill="auto"/>
            <w:hideMark/>
          </w:tcPr>
          <w:p w14:paraId="0C1208E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60 mg</w:t>
            </w:r>
          </w:p>
        </w:tc>
        <w:tc>
          <w:tcPr>
            <w:tcW w:w="2693" w:type="dxa"/>
            <w:tcBorders>
              <w:top w:val="nil"/>
              <w:left w:val="nil"/>
              <w:bottom w:val="single" w:sz="4" w:space="0" w:color="auto"/>
              <w:right w:val="single" w:sz="4" w:space="0" w:color="auto"/>
            </w:tcBorders>
            <w:shd w:val="clear" w:color="auto" w:fill="auto"/>
            <w:hideMark/>
          </w:tcPr>
          <w:p w14:paraId="2AEBD53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1D3F5724"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4D49265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10661D</w:t>
            </w:r>
          </w:p>
        </w:tc>
        <w:tc>
          <w:tcPr>
            <w:tcW w:w="850" w:type="dxa"/>
            <w:tcBorders>
              <w:top w:val="nil"/>
              <w:left w:val="nil"/>
              <w:bottom w:val="single" w:sz="4" w:space="0" w:color="auto"/>
              <w:right w:val="single" w:sz="4" w:space="0" w:color="auto"/>
            </w:tcBorders>
            <w:shd w:val="clear" w:color="auto" w:fill="auto"/>
            <w:hideMark/>
          </w:tcPr>
          <w:p w14:paraId="0A51637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F6200C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DC5D59A"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$22,066.67</w:t>
            </w:r>
          </w:p>
        </w:tc>
        <w:tc>
          <w:tcPr>
            <w:tcW w:w="2977" w:type="dxa"/>
            <w:tcBorders>
              <w:top w:val="nil"/>
              <w:left w:val="nil"/>
              <w:bottom w:val="single" w:sz="4" w:space="0" w:color="auto"/>
              <w:right w:val="single" w:sz="4" w:space="0" w:color="auto"/>
            </w:tcBorders>
            <w:shd w:val="clear" w:color="auto" w:fill="auto"/>
            <w:hideMark/>
          </w:tcPr>
          <w:p w14:paraId="49A024A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1FABCF6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520841A4"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1FEBB9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10663F</w:t>
            </w:r>
          </w:p>
        </w:tc>
        <w:tc>
          <w:tcPr>
            <w:tcW w:w="850" w:type="dxa"/>
            <w:tcBorders>
              <w:top w:val="nil"/>
              <w:left w:val="nil"/>
              <w:bottom w:val="single" w:sz="4" w:space="0" w:color="auto"/>
              <w:right w:val="single" w:sz="4" w:space="0" w:color="auto"/>
            </w:tcBorders>
            <w:shd w:val="clear" w:color="auto" w:fill="auto"/>
            <w:hideMark/>
          </w:tcPr>
          <w:p w14:paraId="446EB26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5BF9FA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035D331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$210.00</w:t>
            </w:r>
          </w:p>
        </w:tc>
        <w:tc>
          <w:tcPr>
            <w:tcW w:w="2977" w:type="dxa"/>
            <w:tcBorders>
              <w:top w:val="nil"/>
              <w:left w:val="nil"/>
              <w:bottom w:val="single" w:sz="4" w:space="0" w:color="auto"/>
              <w:right w:val="single" w:sz="4" w:space="0" w:color="auto"/>
            </w:tcBorders>
            <w:shd w:val="clear" w:color="auto" w:fill="auto"/>
            <w:hideMark/>
          </w:tcPr>
          <w:p w14:paraId="297D0C1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600 mg</w:t>
            </w:r>
          </w:p>
        </w:tc>
        <w:tc>
          <w:tcPr>
            <w:tcW w:w="2693" w:type="dxa"/>
            <w:tcBorders>
              <w:top w:val="nil"/>
              <w:left w:val="nil"/>
              <w:bottom w:val="single" w:sz="4" w:space="0" w:color="auto"/>
              <w:right w:val="single" w:sz="4" w:space="0" w:color="auto"/>
            </w:tcBorders>
            <w:shd w:val="clear" w:color="auto" w:fill="auto"/>
            <w:hideMark/>
          </w:tcPr>
          <w:p w14:paraId="3D466E7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1454E8ED"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1CB00D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10665H</w:t>
            </w:r>
          </w:p>
        </w:tc>
        <w:tc>
          <w:tcPr>
            <w:tcW w:w="850" w:type="dxa"/>
            <w:tcBorders>
              <w:top w:val="nil"/>
              <w:left w:val="nil"/>
              <w:bottom w:val="single" w:sz="4" w:space="0" w:color="auto"/>
              <w:right w:val="single" w:sz="4" w:space="0" w:color="auto"/>
            </w:tcBorders>
            <w:shd w:val="clear" w:color="auto" w:fill="auto"/>
            <w:hideMark/>
          </w:tcPr>
          <w:p w14:paraId="03EB8D1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7E90C7E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350EDBD"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$238.48</w:t>
            </w:r>
          </w:p>
        </w:tc>
        <w:tc>
          <w:tcPr>
            <w:tcW w:w="2977" w:type="dxa"/>
            <w:tcBorders>
              <w:top w:val="nil"/>
              <w:left w:val="nil"/>
              <w:bottom w:val="single" w:sz="4" w:space="0" w:color="auto"/>
              <w:right w:val="single" w:sz="4" w:space="0" w:color="auto"/>
            </w:tcBorders>
            <w:shd w:val="clear" w:color="auto" w:fill="auto"/>
            <w:hideMark/>
          </w:tcPr>
          <w:p w14:paraId="22BD2DD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600 mg</w:t>
            </w:r>
          </w:p>
        </w:tc>
        <w:tc>
          <w:tcPr>
            <w:tcW w:w="2693" w:type="dxa"/>
            <w:tcBorders>
              <w:top w:val="nil"/>
              <w:left w:val="nil"/>
              <w:bottom w:val="single" w:sz="4" w:space="0" w:color="auto"/>
              <w:right w:val="single" w:sz="4" w:space="0" w:color="auto"/>
            </w:tcBorders>
            <w:shd w:val="clear" w:color="auto" w:fill="auto"/>
            <w:hideMark/>
          </w:tcPr>
          <w:p w14:paraId="4E93BA0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5EFCDDF2"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1878970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10666J</w:t>
            </w:r>
          </w:p>
        </w:tc>
        <w:tc>
          <w:tcPr>
            <w:tcW w:w="850" w:type="dxa"/>
            <w:tcBorders>
              <w:top w:val="nil"/>
              <w:left w:val="nil"/>
              <w:bottom w:val="single" w:sz="4" w:space="0" w:color="auto"/>
              <w:right w:val="single" w:sz="4" w:space="0" w:color="auto"/>
            </w:tcBorders>
            <w:shd w:val="clear" w:color="auto" w:fill="auto"/>
            <w:hideMark/>
          </w:tcPr>
          <w:p w14:paraId="6546B398"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464B61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06A9A0F1"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$238.48</w:t>
            </w:r>
          </w:p>
        </w:tc>
        <w:tc>
          <w:tcPr>
            <w:tcW w:w="2977" w:type="dxa"/>
            <w:tcBorders>
              <w:top w:val="nil"/>
              <w:left w:val="nil"/>
              <w:bottom w:val="single" w:sz="4" w:space="0" w:color="auto"/>
              <w:right w:val="single" w:sz="4" w:space="0" w:color="auto"/>
            </w:tcBorders>
            <w:shd w:val="clear" w:color="auto" w:fill="auto"/>
            <w:hideMark/>
          </w:tcPr>
          <w:p w14:paraId="348FED3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600 mg</w:t>
            </w:r>
          </w:p>
        </w:tc>
        <w:tc>
          <w:tcPr>
            <w:tcW w:w="2693" w:type="dxa"/>
            <w:tcBorders>
              <w:top w:val="nil"/>
              <w:left w:val="nil"/>
              <w:bottom w:val="single" w:sz="4" w:space="0" w:color="auto"/>
              <w:right w:val="single" w:sz="4" w:space="0" w:color="auto"/>
            </w:tcBorders>
            <w:shd w:val="clear" w:color="auto" w:fill="auto"/>
            <w:hideMark/>
          </w:tcPr>
          <w:p w14:paraId="108BD1D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5D92C10D"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25DB6E6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10667K</w:t>
            </w:r>
          </w:p>
        </w:tc>
        <w:tc>
          <w:tcPr>
            <w:tcW w:w="850" w:type="dxa"/>
            <w:tcBorders>
              <w:top w:val="nil"/>
              <w:left w:val="nil"/>
              <w:bottom w:val="single" w:sz="4" w:space="0" w:color="auto"/>
              <w:right w:val="single" w:sz="4" w:space="0" w:color="auto"/>
            </w:tcBorders>
            <w:shd w:val="clear" w:color="auto" w:fill="auto"/>
            <w:hideMark/>
          </w:tcPr>
          <w:p w14:paraId="6E26FE9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901E84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1134" w:type="dxa"/>
            <w:tcBorders>
              <w:top w:val="nil"/>
              <w:left w:val="nil"/>
              <w:bottom w:val="single" w:sz="4" w:space="0" w:color="auto"/>
              <w:right w:val="single" w:sz="4" w:space="0" w:color="auto"/>
            </w:tcBorders>
            <w:shd w:val="clear" w:color="auto" w:fill="auto"/>
            <w:hideMark/>
          </w:tcPr>
          <w:p w14:paraId="0937FA21"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$22,066.67</w:t>
            </w:r>
          </w:p>
        </w:tc>
        <w:tc>
          <w:tcPr>
            <w:tcW w:w="2977" w:type="dxa"/>
            <w:tcBorders>
              <w:top w:val="nil"/>
              <w:left w:val="nil"/>
              <w:bottom w:val="single" w:sz="4" w:space="0" w:color="auto"/>
              <w:right w:val="single" w:sz="4" w:space="0" w:color="auto"/>
            </w:tcBorders>
            <w:shd w:val="clear" w:color="auto" w:fill="auto"/>
            <w:hideMark/>
          </w:tcPr>
          <w:p w14:paraId="438388C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2822E40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4D3D23E1"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6204E7C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10668L</w:t>
            </w:r>
          </w:p>
        </w:tc>
        <w:tc>
          <w:tcPr>
            <w:tcW w:w="850" w:type="dxa"/>
            <w:tcBorders>
              <w:top w:val="nil"/>
              <w:left w:val="nil"/>
              <w:bottom w:val="single" w:sz="4" w:space="0" w:color="auto"/>
              <w:right w:val="single" w:sz="4" w:space="0" w:color="auto"/>
            </w:tcBorders>
            <w:shd w:val="clear" w:color="auto" w:fill="auto"/>
            <w:hideMark/>
          </w:tcPr>
          <w:p w14:paraId="713C0E16"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27F5519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1134" w:type="dxa"/>
            <w:tcBorders>
              <w:top w:val="nil"/>
              <w:left w:val="nil"/>
              <w:bottom w:val="single" w:sz="4" w:space="0" w:color="auto"/>
              <w:right w:val="single" w:sz="4" w:space="0" w:color="auto"/>
            </w:tcBorders>
            <w:shd w:val="clear" w:color="auto" w:fill="auto"/>
            <w:hideMark/>
          </w:tcPr>
          <w:p w14:paraId="0946C6A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$22,216.19</w:t>
            </w:r>
          </w:p>
        </w:tc>
        <w:tc>
          <w:tcPr>
            <w:tcW w:w="2977" w:type="dxa"/>
            <w:tcBorders>
              <w:top w:val="nil"/>
              <w:left w:val="nil"/>
              <w:bottom w:val="single" w:sz="4" w:space="0" w:color="auto"/>
              <w:right w:val="single" w:sz="4" w:space="0" w:color="auto"/>
            </w:tcBorders>
            <w:shd w:val="clear" w:color="auto" w:fill="auto"/>
            <w:hideMark/>
          </w:tcPr>
          <w:p w14:paraId="7B3E9C4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2BFE137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43015BD0"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3D96474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10669M</w:t>
            </w:r>
          </w:p>
        </w:tc>
        <w:tc>
          <w:tcPr>
            <w:tcW w:w="850" w:type="dxa"/>
            <w:tcBorders>
              <w:top w:val="nil"/>
              <w:left w:val="nil"/>
              <w:bottom w:val="single" w:sz="4" w:space="0" w:color="auto"/>
              <w:right w:val="single" w:sz="4" w:space="0" w:color="auto"/>
            </w:tcBorders>
            <w:shd w:val="clear" w:color="auto" w:fill="auto"/>
            <w:hideMark/>
          </w:tcPr>
          <w:p w14:paraId="493A49A3"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C27C4E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7CBAF30A"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$22,066.67</w:t>
            </w:r>
          </w:p>
        </w:tc>
        <w:tc>
          <w:tcPr>
            <w:tcW w:w="2977" w:type="dxa"/>
            <w:tcBorders>
              <w:top w:val="nil"/>
              <w:left w:val="nil"/>
              <w:bottom w:val="single" w:sz="4" w:space="0" w:color="auto"/>
              <w:right w:val="single" w:sz="4" w:space="0" w:color="auto"/>
            </w:tcBorders>
            <w:shd w:val="clear" w:color="auto" w:fill="auto"/>
            <w:hideMark/>
          </w:tcPr>
          <w:p w14:paraId="2B0ACE4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589764C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78DC59D3"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262C25A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10670N</w:t>
            </w:r>
          </w:p>
        </w:tc>
        <w:tc>
          <w:tcPr>
            <w:tcW w:w="850" w:type="dxa"/>
            <w:tcBorders>
              <w:top w:val="nil"/>
              <w:left w:val="nil"/>
              <w:bottom w:val="single" w:sz="4" w:space="0" w:color="auto"/>
              <w:right w:val="single" w:sz="4" w:space="0" w:color="auto"/>
            </w:tcBorders>
            <w:shd w:val="clear" w:color="auto" w:fill="auto"/>
            <w:hideMark/>
          </w:tcPr>
          <w:p w14:paraId="06ACA759"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289CBF99"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06F284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$22,216.19</w:t>
            </w:r>
          </w:p>
        </w:tc>
        <w:tc>
          <w:tcPr>
            <w:tcW w:w="2977" w:type="dxa"/>
            <w:tcBorders>
              <w:top w:val="nil"/>
              <w:left w:val="nil"/>
              <w:bottom w:val="single" w:sz="4" w:space="0" w:color="auto"/>
              <w:right w:val="single" w:sz="4" w:space="0" w:color="auto"/>
            </w:tcBorders>
            <w:shd w:val="clear" w:color="auto" w:fill="auto"/>
            <w:hideMark/>
          </w:tcPr>
          <w:p w14:paraId="6367E6A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240898D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339BA5C5"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386EFF2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10671P</w:t>
            </w:r>
          </w:p>
        </w:tc>
        <w:tc>
          <w:tcPr>
            <w:tcW w:w="850" w:type="dxa"/>
            <w:tcBorders>
              <w:top w:val="nil"/>
              <w:left w:val="nil"/>
              <w:bottom w:val="single" w:sz="4" w:space="0" w:color="auto"/>
              <w:right w:val="single" w:sz="4" w:space="0" w:color="auto"/>
            </w:tcBorders>
            <w:shd w:val="clear" w:color="auto" w:fill="auto"/>
            <w:hideMark/>
          </w:tcPr>
          <w:p w14:paraId="153FF6D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1EDE80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EEC3947"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$7,816.19</w:t>
            </w:r>
          </w:p>
        </w:tc>
        <w:tc>
          <w:tcPr>
            <w:tcW w:w="2977" w:type="dxa"/>
            <w:tcBorders>
              <w:top w:val="nil"/>
              <w:left w:val="nil"/>
              <w:bottom w:val="single" w:sz="4" w:space="0" w:color="auto"/>
              <w:right w:val="single" w:sz="4" w:space="0" w:color="auto"/>
            </w:tcBorders>
            <w:shd w:val="clear" w:color="auto" w:fill="auto"/>
            <w:hideMark/>
          </w:tcPr>
          <w:p w14:paraId="375E2A9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Daclatasvir, Tablet 30 mg</w:t>
            </w:r>
          </w:p>
        </w:tc>
        <w:tc>
          <w:tcPr>
            <w:tcW w:w="2693" w:type="dxa"/>
            <w:tcBorders>
              <w:top w:val="nil"/>
              <w:left w:val="nil"/>
              <w:bottom w:val="single" w:sz="4" w:space="0" w:color="auto"/>
              <w:right w:val="single" w:sz="4" w:space="0" w:color="auto"/>
            </w:tcBorders>
            <w:shd w:val="clear" w:color="auto" w:fill="auto"/>
            <w:hideMark/>
          </w:tcPr>
          <w:p w14:paraId="3295B05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Daklinza, </w:t>
            </w:r>
            <w:r w:rsidR="00483428" w:rsidRPr="00E5732B">
              <w:rPr>
                <w:rFonts w:ascii="Arial Narrow" w:eastAsia="Times New Roman" w:hAnsi="Arial Narrow" w:cs="Times New Roman"/>
                <w:sz w:val="18"/>
                <w:szCs w:val="18"/>
              </w:rPr>
              <w:t>Bristol-Myers Squibb Australia Pty Ltd</w:t>
            </w:r>
          </w:p>
        </w:tc>
      </w:tr>
      <w:tr w:rsidR="00051F26" w:rsidRPr="00E5732B" w14:paraId="60C4C6E8"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7533431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10672Q</w:t>
            </w:r>
          </w:p>
        </w:tc>
        <w:tc>
          <w:tcPr>
            <w:tcW w:w="850" w:type="dxa"/>
            <w:tcBorders>
              <w:top w:val="nil"/>
              <w:left w:val="nil"/>
              <w:bottom w:val="single" w:sz="4" w:space="0" w:color="auto"/>
              <w:right w:val="single" w:sz="4" w:space="0" w:color="auto"/>
            </w:tcBorders>
            <w:shd w:val="clear" w:color="auto" w:fill="auto"/>
            <w:hideMark/>
          </w:tcPr>
          <w:p w14:paraId="4AA0CE79"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61DD5F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1A7498B"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$22,113.82</w:t>
            </w:r>
          </w:p>
        </w:tc>
        <w:tc>
          <w:tcPr>
            <w:tcW w:w="2977" w:type="dxa"/>
            <w:tcBorders>
              <w:top w:val="nil"/>
              <w:left w:val="nil"/>
              <w:bottom w:val="single" w:sz="4" w:space="0" w:color="auto"/>
              <w:right w:val="single" w:sz="4" w:space="0" w:color="auto"/>
            </w:tcBorders>
            <w:shd w:val="clear" w:color="auto" w:fill="auto"/>
            <w:hideMark/>
          </w:tcPr>
          <w:p w14:paraId="59BD0BE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447F3FF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6A72C7" w:rsidRPr="00E5732B">
              <w:rPr>
                <w:rFonts w:ascii="Arial Narrow" w:eastAsia="Times New Roman" w:hAnsi="Arial Narrow" w:cs="Times New Roman"/>
                <w:sz w:val="18"/>
                <w:szCs w:val="18"/>
              </w:rPr>
              <w:t>Gilead Sciences Pty Limited</w:t>
            </w:r>
          </w:p>
        </w:tc>
      </w:tr>
      <w:tr w:rsidR="00051F26" w:rsidRPr="00E5732B" w14:paraId="0A330AD8"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80FA19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10673R</w:t>
            </w:r>
          </w:p>
        </w:tc>
        <w:tc>
          <w:tcPr>
            <w:tcW w:w="850" w:type="dxa"/>
            <w:tcBorders>
              <w:top w:val="nil"/>
              <w:left w:val="nil"/>
              <w:bottom w:val="single" w:sz="4" w:space="0" w:color="auto"/>
              <w:right w:val="single" w:sz="4" w:space="0" w:color="auto"/>
            </w:tcBorders>
            <w:shd w:val="clear" w:color="auto" w:fill="auto"/>
            <w:hideMark/>
          </w:tcPr>
          <w:p w14:paraId="0AB84DD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B8E2AE8"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7810FA44"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$161.62</w:t>
            </w:r>
          </w:p>
        </w:tc>
        <w:tc>
          <w:tcPr>
            <w:tcW w:w="2977" w:type="dxa"/>
            <w:tcBorders>
              <w:top w:val="nil"/>
              <w:left w:val="nil"/>
              <w:bottom w:val="single" w:sz="4" w:space="0" w:color="auto"/>
              <w:right w:val="single" w:sz="4" w:space="0" w:color="auto"/>
            </w:tcBorders>
            <w:shd w:val="clear" w:color="auto" w:fill="auto"/>
            <w:hideMark/>
          </w:tcPr>
          <w:p w14:paraId="3E5E09C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400 mg</w:t>
            </w:r>
          </w:p>
        </w:tc>
        <w:tc>
          <w:tcPr>
            <w:tcW w:w="2693" w:type="dxa"/>
            <w:tcBorders>
              <w:top w:val="nil"/>
              <w:left w:val="nil"/>
              <w:bottom w:val="single" w:sz="4" w:space="0" w:color="auto"/>
              <w:right w:val="single" w:sz="4" w:space="0" w:color="auto"/>
            </w:tcBorders>
            <w:shd w:val="clear" w:color="auto" w:fill="auto"/>
            <w:hideMark/>
          </w:tcPr>
          <w:p w14:paraId="38AAC42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6511E17E"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6333C6A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10675W</w:t>
            </w:r>
          </w:p>
        </w:tc>
        <w:tc>
          <w:tcPr>
            <w:tcW w:w="850" w:type="dxa"/>
            <w:tcBorders>
              <w:top w:val="nil"/>
              <w:left w:val="nil"/>
              <w:bottom w:val="single" w:sz="4" w:space="0" w:color="auto"/>
              <w:right w:val="single" w:sz="4" w:space="0" w:color="auto"/>
            </w:tcBorders>
            <w:shd w:val="clear" w:color="auto" w:fill="auto"/>
            <w:hideMark/>
          </w:tcPr>
          <w:p w14:paraId="5459BC4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197E88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0BC12206"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$225.55</w:t>
            </w:r>
          </w:p>
        </w:tc>
        <w:tc>
          <w:tcPr>
            <w:tcW w:w="2977" w:type="dxa"/>
            <w:tcBorders>
              <w:top w:val="nil"/>
              <w:left w:val="nil"/>
              <w:bottom w:val="single" w:sz="4" w:space="0" w:color="auto"/>
              <w:right w:val="single" w:sz="4" w:space="0" w:color="auto"/>
            </w:tcBorders>
            <w:shd w:val="clear" w:color="auto" w:fill="auto"/>
            <w:hideMark/>
          </w:tcPr>
          <w:p w14:paraId="0B42E78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600 mg</w:t>
            </w:r>
          </w:p>
        </w:tc>
        <w:tc>
          <w:tcPr>
            <w:tcW w:w="2693" w:type="dxa"/>
            <w:tcBorders>
              <w:top w:val="nil"/>
              <w:left w:val="nil"/>
              <w:bottom w:val="single" w:sz="4" w:space="0" w:color="auto"/>
              <w:right w:val="single" w:sz="4" w:space="0" w:color="auto"/>
            </w:tcBorders>
            <w:shd w:val="clear" w:color="auto" w:fill="auto"/>
            <w:hideMark/>
          </w:tcPr>
          <w:p w14:paraId="20B89AA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623C800F"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7A047D0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10676X</w:t>
            </w:r>
          </w:p>
        </w:tc>
        <w:tc>
          <w:tcPr>
            <w:tcW w:w="850" w:type="dxa"/>
            <w:tcBorders>
              <w:top w:val="nil"/>
              <w:left w:val="nil"/>
              <w:bottom w:val="single" w:sz="4" w:space="0" w:color="auto"/>
              <w:right w:val="single" w:sz="4" w:space="0" w:color="auto"/>
            </w:tcBorders>
            <w:shd w:val="clear" w:color="auto" w:fill="auto"/>
            <w:hideMark/>
          </w:tcPr>
          <w:p w14:paraId="193D891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68C090C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3E7E9A8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$19,344.90</w:t>
            </w:r>
          </w:p>
        </w:tc>
        <w:tc>
          <w:tcPr>
            <w:tcW w:w="2977" w:type="dxa"/>
            <w:tcBorders>
              <w:top w:val="nil"/>
              <w:left w:val="nil"/>
              <w:bottom w:val="single" w:sz="4" w:space="0" w:color="auto"/>
              <w:right w:val="single" w:sz="4" w:space="0" w:color="auto"/>
            </w:tcBorders>
            <w:shd w:val="clear" w:color="auto" w:fill="auto"/>
            <w:hideMark/>
          </w:tcPr>
          <w:p w14:paraId="19F9FE8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Tablet 400 mg</w:t>
            </w:r>
          </w:p>
        </w:tc>
        <w:tc>
          <w:tcPr>
            <w:tcW w:w="2693" w:type="dxa"/>
            <w:tcBorders>
              <w:top w:val="nil"/>
              <w:left w:val="nil"/>
              <w:bottom w:val="single" w:sz="4" w:space="0" w:color="auto"/>
              <w:right w:val="single" w:sz="4" w:space="0" w:color="auto"/>
            </w:tcBorders>
            <w:shd w:val="clear" w:color="auto" w:fill="auto"/>
            <w:hideMark/>
          </w:tcPr>
          <w:p w14:paraId="26A6A60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Sovaldi, </w:t>
            </w:r>
            <w:r w:rsidR="004F2D43" w:rsidRPr="00E5732B">
              <w:rPr>
                <w:rFonts w:ascii="Arial Narrow" w:eastAsia="Times New Roman" w:hAnsi="Arial Narrow" w:cs="Times New Roman"/>
                <w:sz w:val="18"/>
                <w:szCs w:val="18"/>
              </w:rPr>
              <w:t>Gilead Sciences Pty Limited</w:t>
            </w:r>
          </w:p>
        </w:tc>
      </w:tr>
      <w:tr w:rsidR="00051F26" w:rsidRPr="00E5732B" w14:paraId="0A7B9430"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4609A2A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10678B</w:t>
            </w:r>
          </w:p>
        </w:tc>
        <w:tc>
          <w:tcPr>
            <w:tcW w:w="850" w:type="dxa"/>
            <w:tcBorders>
              <w:top w:val="nil"/>
              <w:left w:val="nil"/>
              <w:bottom w:val="single" w:sz="4" w:space="0" w:color="auto"/>
              <w:right w:val="single" w:sz="4" w:space="0" w:color="auto"/>
            </w:tcBorders>
            <w:shd w:val="clear" w:color="auto" w:fill="auto"/>
            <w:hideMark/>
          </w:tcPr>
          <w:p w14:paraId="7AB1CD63"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2213E5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2060338B"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$140.00</w:t>
            </w:r>
          </w:p>
        </w:tc>
        <w:tc>
          <w:tcPr>
            <w:tcW w:w="2977" w:type="dxa"/>
            <w:tcBorders>
              <w:top w:val="nil"/>
              <w:left w:val="nil"/>
              <w:bottom w:val="single" w:sz="4" w:space="0" w:color="auto"/>
              <w:right w:val="single" w:sz="4" w:space="0" w:color="auto"/>
            </w:tcBorders>
            <w:shd w:val="clear" w:color="auto" w:fill="auto"/>
            <w:hideMark/>
          </w:tcPr>
          <w:p w14:paraId="25A622F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400 mg</w:t>
            </w:r>
          </w:p>
        </w:tc>
        <w:tc>
          <w:tcPr>
            <w:tcW w:w="2693" w:type="dxa"/>
            <w:tcBorders>
              <w:top w:val="nil"/>
              <w:left w:val="nil"/>
              <w:bottom w:val="single" w:sz="4" w:space="0" w:color="auto"/>
              <w:right w:val="single" w:sz="4" w:space="0" w:color="auto"/>
            </w:tcBorders>
            <w:shd w:val="clear" w:color="auto" w:fill="auto"/>
            <w:hideMark/>
          </w:tcPr>
          <w:p w14:paraId="7198B59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5FC8BF31"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41F0B49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10679C</w:t>
            </w:r>
          </w:p>
        </w:tc>
        <w:tc>
          <w:tcPr>
            <w:tcW w:w="850" w:type="dxa"/>
            <w:tcBorders>
              <w:top w:val="nil"/>
              <w:left w:val="nil"/>
              <w:bottom w:val="single" w:sz="4" w:space="0" w:color="auto"/>
              <w:right w:val="single" w:sz="4" w:space="0" w:color="auto"/>
            </w:tcBorders>
            <w:shd w:val="clear" w:color="auto" w:fill="auto"/>
            <w:hideMark/>
          </w:tcPr>
          <w:p w14:paraId="4A4D568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3FC758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573637CD"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$22,113.82</w:t>
            </w:r>
          </w:p>
        </w:tc>
        <w:tc>
          <w:tcPr>
            <w:tcW w:w="2977" w:type="dxa"/>
            <w:tcBorders>
              <w:top w:val="nil"/>
              <w:left w:val="nil"/>
              <w:bottom w:val="single" w:sz="4" w:space="0" w:color="auto"/>
              <w:right w:val="single" w:sz="4" w:space="0" w:color="auto"/>
            </w:tcBorders>
            <w:shd w:val="clear" w:color="auto" w:fill="auto"/>
            <w:hideMark/>
          </w:tcPr>
          <w:p w14:paraId="5607994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Ledipasvir with sofosbuvir, Tablet containing 90 mg ledipasvir with 400 mg sofosbuvir</w:t>
            </w:r>
          </w:p>
        </w:tc>
        <w:tc>
          <w:tcPr>
            <w:tcW w:w="2693" w:type="dxa"/>
            <w:tcBorders>
              <w:top w:val="nil"/>
              <w:left w:val="nil"/>
              <w:bottom w:val="single" w:sz="4" w:space="0" w:color="auto"/>
              <w:right w:val="single" w:sz="4" w:space="0" w:color="auto"/>
            </w:tcBorders>
            <w:shd w:val="clear" w:color="auto" w:fill="auto"/>
            <w:hideMark/>
          </w:tcPr>
          <w:p w14:paraId="7C90F30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Harvoni, </w:t>
            </w:r>
            <w:r w:rsidR="004F2D43" w:rsidRPr="00E5732B">
              <w:rPr>
                <w:rFonts w:ascii="Arial Narrow" w:eastAsia="Times New Roman" w:hAnsi="Arial Narrow" w:cs="Times New Roman"/>
                <w:sz w:val="18"/>
                <w:szCs w:val="18"/>
              </w:rPr>
              <w:t>Gilead Sciences Pty Limited</w:t>
            </w:r>
          </w:p>
        </w:tc>
      </w:tr>
      <w:tr w:rsidR="00051F26" w:rsidRPr="00E5732B" w14:paraId="6E9A60F5"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335B9EA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10747P</w:t>
            </w:r>
          </w:p>
        </w:tc>
        <w:tc>
          <w:tcPr>
            <w:tcW w:w="850" w:type="dxa"/>
            <w:tcBorders>
              <w:top w:val="nil"/>
              <w:left w:val="nil"/>
              <w:bottom w:val="single" w:sz="4" w:space="0" w:color="auto"/>
              <w:right w:val="single" w:sz="4" w:space="0" w:color="auto"/>
            </w:tcBorders>
            <w:shd w:val="clear" w:color="auto" w:fill="auto"/>
            <w:hideMark/>
          </w:tcPr>
          <w:p w14:paraId="5CE357E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18B0C2F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50353DF9"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$13,997.39</w:t>
            </w:r>
          </w:p>
        </w:tc>
        <w:tc>
          <w:tcPr>
            <w:tcW w:w="2977" w:type="dxa"/>
            <w:tcBorders>
              <w:top w:val="nil"/>
              <w:left w:val="nil"/>
              <w:bottom w:val="single" w:sz="4" w:space="0" w:color="auto"/>
              <w:right w:val="single" w:sz="4" w:space="0" w:color="auto"/>
            </w:tcBorders>
            <w:shd w:val="clear" w:color="auto" w:fill="auto"/>
            <w:hideMark/>
          </w:tcPr>
          <w:p w14:paraId="2597600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3B4C064C" w14:textId="77777777" w:rsidR="0027492C" w:rsidRPr="00E5732B" w:rsidRDefault="00853DE2"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Viekira Pak-RBV, AbbVie Pty Ltd</w:t>
            </w:r>
          </w:p>
        </w:tc>
      </w:tr>
      <w:tr w:rsidR="00051F26" w:rsidRPr="00E5732B" w14:paraId="3C7D6F6B"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33867E8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10749R</w:t>
            </w:r>
          </w:p>
        </w:tc>
        <w:tc>
          <w:tcPr>
            <w:tcW w:w="850" w:type="dxa"/>
            <w:tcBorders>
              <w:top w:val="nil"/>
              <w:left w:val="nil"/>
              <w:bottom w:val="single" w:sz="4" w:space="0" w:color="auto"/>
              <w:right w:val="single" w:sz="4" w:space="0" w:color="auto"/>
            </w:tcBorders>
            <w:shd w:val="clear" w:color="auto" w:fill="auto"/>
            <w:hideMark/>
          </w:tcPr>
          <w:p w14:paraId="49B1E8A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49361033"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3A1858B5"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$13,895.02</w:t>
            </w:r>
          </w:p>
        </w:tc>
        <w:tc>
          <w:tcPr>
            <w:tcW w:w="2977" w:type="dxa"/>
            <w:tcBorders>
              <w:top w:val="nil"/>
              <w:left w:val="nil"/>
              <w:bottom w:val="single" w:sz="4" w:space="0" w:color="auto"/>
              <w:right w:val="single" w:sz="4" w:space="0" w:color="auto"/>
            </w:tcBorders>
            <w:shd w:val="clear" w:color="auto" w:fill="auto"/>
            <w:hideMark/>
          </w:tcPr>
          <w:p w14:paraId="530FEBF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Pack containing 56 tablets paritaprevir 7</w:t>
            </w:r>
          </w:p>
        </w:tc>
        <w:tc>
          <w:tcPr>
            <w:tcW w:w="2693" w:type="dxa"/>
            <w:tcBorders>
              <w:top w:val="nil"/>
              <w:left w:val="nil"/>
              <w:bottom w:val="single" w:sz="4" w:space="0" w:color="auto"/>
              <w:right w:val="single" w:sz="4" w:space="0" w:color="auto"/>
            </w:tcBorders>
            <w:shd w:val="clear" w:color="auto" w:fill="auto"/>
            <w:hideMark/>
          </w:tcPr>
          <w:p w14:paraId="24DC8F9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 </w:t>
            </w:r>
            <w:r w:rsidR="00E53F46" w:rsidRPr="00E5732B">
              <w:rPr>
                <w:rFonts w:ascii="Arial Narrow" w:eastAsia="Times New Roman" w:hAnsi="Arial Narrow" w:cs="Times New Roman"/>
                <w:sz w:val="18"/>
                <w:szCs w:val="18"/>
              </w:rPr>
              <w:t>AbbVie Pty Ltd</w:t>
            </w:r>
          </w:p>
        </w:tc>
      </w:tr>
      <w:tr w:rsidR="00051F26" w:rsidRPr="00E5732B" w14:paraId="1E7CA43E"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3328345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10750T</w:t>
            </w:r>
          </w:p>
        </w:tc>
        <w:tc>
          <w:tcPr>
            <w:tcW w:w="850" w:type="dxa"/>
            <w:tcBorders>
              <w:top w:val="nil"/>
              <w:left w:val="nil"/>
              <w:bottom w:val="single" w:sz="4" w:space="0" w:color="auto"/>
              <w:right w:val="single" w:sz="4" w:space="0" w:color="auto"/>
            </w:tcBorders>
            <w:shd w:val="clear" w:color="auto" w:fill="auto"/>
            <w:hideMark/>
          </w:tcPr>
          <w:p w14:paraId="286D9B1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0FE4A4B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5190D481"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$13,895.02</w:t>
            </w:r>
          </w:p>
        </w:tc>
        <w:tc>
          <w:tcPr>
            <w:tcW w:w="2977" w:type="dxa"/>
            <w:tcBorders>
              <w:top w:val="nil"/>
              <w:left w:val="nil"/>
              <w:bottom w:val="single" w:sz="4" w:space="0" w:color="auto"/>
              <w:right w:val="single" w:sz="4" w:space="0" w:color="auto"/>
            </w:tcBorders>
            <w:shd w:val="clear" w:color="auto" w:fill="auto"/>
            <w:hideMark/>
          </w:tcPr>
          <w:p w14:paraId="3C353DA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618AA22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664993F9"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2EB596B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10751W</w:t>
            </w:r>
          </w:p>
        </w:tc>
        <w:tc>
          <w:tcPr>
            <w:tcW w:w="850" w:type="dxa"/>
            <w:tcBorders>
              <w:top w:val="nil"/>
              <w:left w:val="nil"/>
              <w:bottom w:val="single" w:sz="4" w:space="0" w:color="auto"/>
              <w:right w:val="single" w:sz="4" w:space="0" w:color="auto"/>
            </w:tcBorders>
            <w:shd w:val="clear" w:color="auto" w:fill="auto"/>
            <w:hideMark/>
          </w:tcPr>
          <w:p w14:paraId="0763F38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20823DF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3F90D26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$13,847.87</w:t>
            </w:r>
          </w:p>
        </w:tc>
        <w:tc>
          <w:tcPr>
            <w:tcW w:w="2977" w:type="dxa"/>
            <w:tcBorders>
              <w:top w:val="nil"/>
              <w:left w:val="nil"/>
              <w:bottom w:val="single" w:sz="4" w:space="0" w:color="auto"/>
              <w:right w:val="single" w:sz="4" w:space="0" w:color="auto"/>
            </w:tcBorders>
            <w:shd w:val="clear" w:color="auto" w:fill="auto"/>
            <w:hideMark/>
          </w:tcPr>
          <w:p w14:paraId="31E380F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Pack containing 56 tablets paritaprevir 7</w:t>
            </w:r>
          </w:p>
        </w:tc>
        <w:tc>
          <w:tcPr>
            <w:tcW w:w="2693" w:type="dxa"/>
            <w:tcBorders>
              <w:top w:val="nil"/>
              <w:left w:val="nil"/>
              <w:bottom w:val="single" w:sz="4" w:space="0" w:color="auto"/>
              <w:right w:val="single" w:sz="4" w:space="0" w:color="auto"/>
            </w:tcBorders>
            <w:shd w:val="clear" w:color="auto" w:fill="auto"/>
            <w:hideMark/>
          </w:tcPr>
          <w:p w14:paraId="7FD6961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 </w:t>
            </w:r>
            <w:r w:rsidR="00E53F46" w:rsidRPr="00E5732B">
              <w:rPr>
                <w:rFonts w:ascii="Arial Narrow" w:eastAsia="Times New Roman" w:hAnsi="Arial Narrow" w:cs="Times New Roman"/>
                <w:sz w:val="18"/>
                <w:szCs w:val="18"/>
              </w:rPr>
              <w:t>AbbVie Pty Ltd</w:t>
            </w:r>
          </w:p>
        </w:tc>
      </w:tr>
      <w:tr w:rsidR="00051F26" w:rsidRPr="00E5732B" w14:paraId="6B34436C"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2FBEB59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10752X</w:t>
            </w:r>
          </w:p>
        </w:tc>
        <w:tc>
          <w:tcPr>
            <w:tcW w:w="850" w:type="dxa"/>
            <w:tcBorders>
              <w:top w:val="nil"/>
              <w:left w:val="nil"/>
              <w:bottom w:val="single" w:sz="4" w:space="0" w:color="auto"/>
              <w:right w:val="single" w:sz="4" w:space="0" w:color="auto"/>
            </w:tcBorders>
            <w:shd w:val="clear" w:color="auto" w:fill="auto"/>
            <w:hideMark/>
          </w:tcPr>
          <w:p w14:paraId="424823B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648DF0A0"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34551439"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$13,847.87</w:t>
            </w:r>
          </w:p>
        </w:tc>
        <w:tc>
          <w:tcPr>
            <w:tcW w:w="2977" w:type="dxa"/>
            <w:tcBorders>
              <w:top w:val="nil"/>
              <w:left w:val="nil"/>
              <w:bottom w:val="single" w:sz="4" w:space="0" w:color="auto"/>
              <w:right w:val="single" w:sz="4" w:space="0" w:color="auto"/>
            </w:tcBorders>
            <w:shd w:val="clear" w:color="auto" w:fill="auto"/>
            <w:hideMark/>
          </w:tcPr>
          <w:p w14:paraId="3EF5B05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727AC71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71A9819F"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4F0B7B7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10753Y</w:t>
            </w:r>
          </w:p>
        </w:tc>
        <w:tc>
          <w:tcPr>
            <w:tcW w:w="850" w:type="dxa"/>
            <w:tcBorders>
              <w:top w:val="nil"/>
              <w:left w:val="nil"/>
              <w:bottom w:val="single" w:sz="4" w:space="0" w:color="auto"/>
              <w:right w:val="single" w:sz="4" w:space="0" w:color="auto"/>
            </w:tcBorders>
            <w:shd w:val="clear" w:color="auto" w:fill="auto"/>
            <w:hideMark/>
          </w:tcPr>
          <w:p w14:paraId="068D9B5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018C46A6"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7D7F0812"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$13,895.02</w:t>
            </w:r>
          </w:p>
        </w:tc>
        <w:tc>
          <w:tcPr>
            <w:tcW w:w="2977" w:type="dxa"/>
            <w:tcBorders>
              <w:top w:val="nil"/>
              <w:left w:val="nil"/>
              <w:bottom w:val="single" w:sz="4" w:space="0" w:color="auto"/>
              <w:right w:val="single" w:sz="4" w:space="0" w:color="auto"/>
            </w:tcBorders>
            <w:shd w:val="clear" w:color="auto" w:fill="auto"/>
            <w:hideMark/>
          </w:tcPr>
          <w:p w14:paraId="0D659C7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0E30654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384D9228"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0EDE992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10754B</w:t>
            </w:r>
          </w:p>
        </w:tc>
        <w:tc>
          <w:tcPr>
            <w:tcW w:w="850" w:type="dxa"/>
            <w:tcBorders>
              <w:top w:val="nil"/>
              <w:left w:val="nil"/>
              <w:bottom w:val="single" w:sz="4" w:space="0" w:color="auto"/>
              <w:right w:val="single" w:sz="4" w:space="0" w:color="auto"/>
            </w:tcBorders>
            <w:shd w:val="clear" w:color="auto" w:fill="auto"/>
            <w:hideMark/>
          </w:tcPr>
          <w:p w14:paraId="0CA5AE9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4B28307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5FD771D5"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$13,847.87</w:t>
            </w:r>
          </w:p>
        </w:tc>
        <w:tc>
          <w:tcPr>
            <w:tcW w:w="2977" w:type="dxa"/>
            <w:tcBorders>
              <w:top w:val="nil"/>
              <w:left w:val="nil"/>
              <w:bottom w:val="single" w:sz="4" w:space="0" w:color="auto"/>
              <w:right w:val="single" w:sz="4" w:space="0" w:color="auto"/>
            </w:tcBorders>
            <w:shd w:val="clear" w:color="auto" w:fill="auto"/>
            <w:hideMark/>
          </w:tcPr>
          <w:p w14:paraId="6736F23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41F6E8C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1ABD28E5"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12ECDD4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10761J</w:t>
            </w:r>
          </w:p>
        </w:tc>
        <w:tc>
          <w:tcPr>
            <w:tcW w:w="850" w:type="dxa"/>
            <w:tcBorders>
              <w:top w:val="nil"/>
              <w:left w:val="nil"/>
              <w:bottom w:val="single" w:sz="4" w:space="0" w:color="auto"/>
              <w:right w:val="single" w:sz="4" w:space="0" w:color="auto"/>
            </w:tcBorders>
            <w:shd w:val="clear" w:color="auto" w:fill="auto"/>
            <w:hideMark/>
          </w:tcPr>
          <w:p w14:paraId="23F1B0F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0A1F4BE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6DAF91AA"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$13,895.02</w:t>
            </w:r>
          </w:p>
        </w:tc>
        <w:tc>
          <w:tcPr>
            <w:tcW w:w="2977" w:type="dxa"/>
            <w:tcBorders>
              <w:top w:val="nil"/>
              <w:left w:val="nil"/>
              <w:bottom w:val="single" w:sz="4" w:space="0" w:color="auto"/>
              <w:right w:val="single" w:sz="4" w:space="0" w:color="auto"/>
            </w:tcBorders>
            <w:shd w:val="clear" w:color="auto" w:fill="auto"/>
            <w:hideMark/>
          </w:tcPr>
          <w:p w14:paraId="0374222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194F856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24BF825F"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65D68B5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10765N</w:t>
            </w:r>
          </w:p>
        </w:tc>
        <w:tc>
          <w:tcPr>
            <w:tcW w:w="850" w:type="dxa"/>
            <w:tcBorders>
              <w:top w:val="nil"/>
              <w:left w:val="nil"/>
              <w:bottom w:val="single" w:sz="4" w:space="0" w:color="auto"/>
              <w:right w:val="single" w:sz="4" w:space="0" w:color="auto"/>
            </w:tcBorders>
            <w:shd w:val="clear" w:color="auto" w:fill="auto"/>
            <w:hideMark/>
          </w:tcPr>
          <w:p w14:paraId="72AB901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3AC4CC1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2AD6EF5E"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$13,847.87</w:t>
            </w:r>
          </w:p>
        </w:tc>
        <w:tc>
          <w:tcPr>
            <w:tcW w:w="2977" w:type="dxa"/>
            <w:tcBorders>
              <w:top w:val="nil"/>
              <w:left w:val="nil"/>
              <w:bottom w:val="single" w:sz="4" w:space="0" w:color="auto"/>
              <w:right w:val="single" w:sz="4" w:space="0" w:color="auto"/>
            </w:tcBorders>
            <w:shd w:val="clear" w:color="auto" w:fill="auto"/>
            <w:hideMark/>
          </w:tcPr>
          <w:p w14:paraId="12A9AE8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129978E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4D02B46C"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61F92B2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10766P</w:t>
            </w:r>
          </w:p>
        </w:tc>
        <w:tc>
          <w:tcPr>
            <w:tcW w:w="850" w:type="dxa"/>
            <w:tcBorders>
              <w:top w:val="nil"/>
              <w:left w:val="nil"/>
              <w:bottom w:val="single" w:sz="4" w:space="0" w:color="auto"/>
              <w:right w:val="single" w:sz="4" w:space="0" w:color="auto"/>
            </w:tcBorders>
            <w:shd w:val="clear" w:color="auto" w:fill="auto"/>
            <w:hideMark/>
          </w:tcPr>
          <w:p w14:paraId="2EFA9E8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5F9FEBC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524B8CA"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$13,997.39</w:t>
            </w:r>
          </w:p>
        </w:tc>
        <w:tc>
          <w:tcPr>
            <w:tcW w:w="2977" w:type="dxa"/>
            <w:tcBorders>
              <w:top w:val="nil"/>
              <w:left w:val="nil"/>
              <w:bottom w:val="single" w:sz="4" w:space="0" w:color="auto"/>
              <w:right w:val="single" w:sz="4" w:space="0" w:color="auto"/>
            </w:tcBorders>
            <w:shd w:val="clear" w:color="auto" w:fill="auto"/>
            <w:hideMark/>
          </w:tcPr>
          <w:p w14:paraId="3CD1D72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Pack containing 56 tablets paritaprevir 7</w:t>
            </w:r>
          </w:p>
        </w:tc>
        <w:tc>
          <w:tcPr>
            <w:tcW w:w="2693" w:type="dxa"/>
            <w:tcBorders>
              <w:top w:val="nil"/>
              <w:left w:val="nil"/>
              <w:bottom w:val="single" w:sz="4" w:space="0" w:color="auto"/>
              <w:right w:val="single" w:sz="4" w:space="0" w:color="auto"/>
            </w:tcBorders>
            <w:shd w:val="clear" w:color="auto" w:fill="auto"/>
            <w:hideMark/>
          </w:tcPr>
          <w:p w14:paraId="5937CEB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 </w:t>
            </w:r>
            <w:r w:rsidR="00E53F46" w:rsidRPr="00E5732B">
              <w:rPr>
                <w:rFonts w:ascii="Arial Narrow" w:eastAsia="Times New Roman" w:hAnsi="Arial Narrow" w:cs="Times New Roman"/>
                <w:sz w:val="18"/>
                <w:szCs w:val="18"/>
              </w:rPr>
              <w:t>AbbVie Pty Ltd</w:t>
            </w:r>
          </w:p>
        </w:tc>
      </w:tr>
      <w:tr w:rsidR="00051F26" w:rsidRPr="00E5732B" w14:paraId="59C7DF66"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7BD080E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10768R</w:t>
            </w:r>
          </w:p>
        </w:tc>
        <w:tc>
          <w:tcPr>
            <w:tcW w:w="850" w:type="dxa"/>
            <w:tcBorders>
              <w:top w:val="nil"/>
              <w:left w:val="nil"/>
              <w:bottom w:val="single" w:sz="4" w:space="0" w:color="auto"/>
              <w:right w:val="single" w:sz="4" w:space="0" w:color="auto"/>
            </w:tcBorders>
            <w:shd w:val="clear" w:color="auto" w:fill="auto"/>
            <w:hideMark/>
          </w:tcPr>
          <w:p w14:paraId="08EF014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5411D4E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4B211A9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$13,847.87</w:t>
            </w:r>
          </w:p>
        </w:tc>
        <w:tc>
          <w:tcPr>
            <w:tcW w:w="2977" w:type="dxa"/>
            <w:tcBorders>
              <w:top w:val="nil"/>
              <w:left w:val="nil"/>
              <w:bottom w:val="single" w:sz="4" w:space="0" w:color="auto"/>
              <w:right w:val="single" w:sz="4" w:space="0" w:color="auto"/>
            </w:tcBorders>
            <w:shd w:val="clear" w:color="auto" w:fill="auto"/>
            <w:hideMark/>
          </w:tcPr>
          <w:p w14:paraId="50055AE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787C760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7EF70298"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63D2409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10769T</w:t>
            </w:r>
          </w:p>
        </w:tc>
        <w:tc>
          <w:tcPr>
            <w:tcW w:w="850" w:type="dxa"/>
            <w:tcBorders>
              <w:top w:val="nil"/>
              <w:left w:val="nil"/>
              <w:bottom w:val="single" w:sz="4" w:space="0" w:color="auto"/>
              <w:right w:val="single" w:sz="4" w:space="0" w:color="auto"/>
            </w:tcBorders>
            <w:shd w:val="clear" w:color="auto" w:fill="auto"/>
            <w:hideMark/>
          </w:tcPr>
          <w:p w14:paraId="1403E5D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74949FB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04C1694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$13,997.39</w:t>
            </w:r>
          </w:p>
        </w:tc>
        <w:tc>
          <w:tcPr>
            <w:tcW w:w="2977" w:type="dxa"/>
            <w:tcBorders>
              <w:top w:val="nil"/>
              <w:left w:val="nil"/>
              <w:bottom w:val="single" w:sz="4" w:space="0" w:color="auto"/>
              <w:right w:val="single" w:sz="4" w:space="0" w:color="auto"/>
            </w:tcBorders>
            <w:shd w:val="clear" w:color="auto" w:fill="auto"/>
            <w:hideMark/>
          </w:tcPr>
          <w:p w14:paraId="0AEFE10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2F9840B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7C0C0150"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652B6CD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10771X</w:t>
            </w:r>
          </w:p>
        </w:tc>
        <w:tc>
          <w:tcPr>
            <w:tcW w:w="850" w:type="dxa"/>
            <w:tcBorders>
              <w:top w:val="nil"/>
              <w:left w:val="nil"/>
              <w:bottom w:val="single" w:sz="4" w:space="0" w:color="auto"/>
              <w:right w:val="single" w:sz="4" w:space="0" w:color="auto"/>
            </w:tcBorders>
            <w:shd w:val="clear" w:color="auto" w:fill="auto"/>
            <w:hideMark/>
          </w:tcPr>
          <w:p w14:paraId="4DFA6178"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197A26BE"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7E2CFAF2"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$13,997.39</w:t>
            </w:r>
          </w:p>
        </w:tc>
        <w:tc>
          <w:tcPr>
            <w:tcW w:w="2977" w:type="dxa"/>
            <w:tcBorders>
              <w:top w:val="nil"/>
              <w:left w:val="nil"/>
              <w:bottom w:val="single" w:sz="4" w:space="0" w:color="auto"/>
              <w:right w:val="single" w:sz="4" w:space="0" w:color="auto"/>
            </w:tcBorders>
            <w:shd w:val="clear" w:color="auto" w:fill="auto"/>
            <w:hideMark/>
          </w:tcPr>
          <w:p w14:paraId="1EA4116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173C36B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4518B9A6"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739B5D69"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10772Y</w:t>
            </w:r>
          </w:p>
        </w:tc>
        <w:tc>
          <w:tcPr>
            <w:tcW w:w="850" w:type="dxa"/>
            <w:tcBorders>
              <w:top w:val="nil"/>
              <w:left w:val="nil"/>
              <w:bottom w:val="single" w:sz="4" w:space="0" w:color="auto"/>
              <w:right w:val="single" w:sz="4" w:space="0" w:color="auto"/>
            </w:tcBorders>
            <w:shd w:val="clear" w:color="auto" w:fill="auto"/>
            <w:hideMark/>
          </w:tcPr>
          <w:p w14:paraId="2A5B6F0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10BEDF9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05959136"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$13,997.39</w:t>
            </w:r>
          </w:p>
        </w:tc>
        <w:tc>
          <w:tcPr>
            <w:tcW w:w="2977" w:type="dxa"/>
            <w:tcBorders>
              <w:top w:val="nil"/>
              <w:left w:val="nil"/>
              <w:bottom w:val="single" w:sz="4" w:space="0" w:color="auto"/>
              <w:right w:val="single" w:sz="4" w:space="0" w:color="auto"/>
            </w:tcBorders>
            <w:shd w:val="clear" w:color="auto" w:fill="auto"/>
            <w:hideMark/>
          </w:tcPr>
          <w:p w14:paraId="55F06BCE"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0364979B"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06103A6E"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6096F2D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10773B</w:t>
            </w:r>
          </w:p>
        </w:tc>
        <w:tc>
          <w:tcPr>
            <w:tcW w:w="850" w:type="dxa"/>
            <w:tcBorders>
              <w:top w:val="nil"/>
              <w:left w:val="nil"/>
              <w:bottom w:val="single" w:sz="4" w:space="0" w:color="auto"/>
              <w:right w:val="single" w:sz="4" w:space="0" w:color="auto"/>
            </w:tcBorders>
            <w:shd w:val="clear" w:color="auto" w:fill="auto"/>
            <w:hideMark/>
          </w:tcPr>
          <w:p w14:paraId="19EE09C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1</w:t>
            </w:r>
          </w:p>
        </w:tc>
        <w:tc>
          <w:tcPr>
            <w:tcW w:w="709" w:type="dxa"/>
            <w:tcBorders>
              <w:top w:val="nil"/>
              <w:left w:val="nil"/>
              <w:bottom w:val="single" w:sz="4" w:space="0" w:color="auto"/>
              <w:right w:val="single" w:sz="4" w:space="0" w:color="auto"/>
            </w:tcBorders>
            <w:shd w:val="clear" w:color="auto" w:fill="auto"/>
            <w:hideMark/>
          </w:tcPr>
          <w:p w14:paraId="5BF9E691"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1D0F2943"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$13,895.02</w:t>
            </w:r>
          </w:p>
        </w:tc>
        <w:tc>
          <w:tcPr>
            <w:tcW w:w="2977" w:type="dxa"/>
            <w:tcBorders>
              <w:top w:val="nil"/>
              <w:left w:val="nil"/>
              <w:bottom w:val="single" w:sz="4" w:space="0" w:color="auto"/>
              <w:right w:val="single" w:sz="4" w:space="0" w:color="auto"/>
            </w:tcBorders>
            <w:shd w:val="clear" w:color="auto" w:fill="auto"/>
            <w:hideMark/>
          </w:tcPr>
          <w:p w14:paraId="69AEA7F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Paritaprevir with ritonavir with ombitasvir and dasabuvir and ribavirin, Pack containing 56 tablets</w:t>
            </w:r>
          </w:p>
        </w:tc>
        <w:tc>
          <w:tcPr>
            <w:tcW w:w="2693" w:type="dxa"/>
            <w:tcBorders>
              <w:top w:val="nil"/>
              <w:left w:val="nil"/>
              <w:bottom w:val="single" w:sz="4" w:space="0" w:color="auto"/>
              <w:right w:val="single" w:sz="4" w:space="0" w:color="auto"/>
            </w:tcBorders>
            <w:shd w:val="clear" w:color="auto" w:fill="auto"/>
            <w:hideMark/>
          </w:tcPr>
          <w:p w14:paraId="6C6F54A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Viekira Pak-RBV, </w:t>
            </w:r>
            <w:r w:rsidR="00E53F46" w:rsidRPr="00E5732B">
              <w:rPr>
                <w:rFonts w:ascii="Arial Narrow" w:eastAsia="Times New Roman" w:hAnsi="Arial Narrow" w:cs="Times New Roman"/>
                <w:sz w:val="18"/>
                <w:szCs w:val="18"/>
              </w:rPr>
              <w:t>AbbVie Pty Ltd</w:t>
            </w:r>
          </w:p>
        </w:tc>
      </w:tr>
      <w:tr w:rsidR="00051F26" w:rsidRPr="00E5732B" w14:paraId="3E3289D7"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379E4FD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10914K</w:t>
            </w:r>
          </w:p>
        </w:tc>
        <w:tc>
          <w:tcPr>
            <w:tcW w:w="850" w:type="dxa"/>
            <w:tcBorders>
              <w:top w:val="nil"/>
              <w:left w:val="nil"/>
              <w:bottom w:val="single" w:sz="4" w:space="0" w:color="auto"/>
              <w:right w:val="single" w:sz="4" w:space="0" w:color="auto"/>
            </w:tcBorders>
            <w:shd w:val="clear" w:color="auto" w:fill="auto"/>
            <w:hideMark/>
          </w:tcPr>
          <w:p w14:paraId="4F691E8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0EC508D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37F029B8"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$70.00</w:t>
            </w:r>
          </w:p>
        </w:tc>
        <w:tc>
          <w:tcPr>
            <w:tcW w:w="2977" w:type="dxa"/>
            <w:tcBorders>
              <w:top w:val="nil"/>
              <w:left w:val="nil"/>
              <w:bottom w:val="single" w:sz="4" w:space="0" w:color="auto"/>
              <w:right w:val="single" w:sz="4" w:space="0" w:color="auto"/>
            </w:tcBorders>
            <w:shd w:val="clear" w:color="auto" w:fill="auto"/>
            <w:hideMark/>
          </w:tcPr>
          <w:p w14:paraId="137D51F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200 mg</w:t>
            </w:r>
          </w:p>
        </w:tc>
        <w:tc>
          <w:tcPr>
            <w:tcW w:w="2693" w:type="dxa"/>
            <w:tcBorders>
              <w:top w:val="nil"/>
              <w:left w:val="nil"/>
              <w:bottom w:val="single" w:sz="4" w:space="0" w:color="auto"/>
              <w:right w:val="single" w:sz="4" w:space="0" w:color="auto"/>
            </w:tcBorders>
            <w:shd w:val="clear" w:color="auto" w:fill="auto"/>
            <w:hideMark/>
          </w:tcPr>
          <w:p w14:paraId="49BEF7B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67035106"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33DECCD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10923X</w:t>
            </w:r>
          </w:p>
        </w:tc>
        <w:tc>
          <w:tcPr>
            <w:tcW w:w="850" w:type="dxa"/>
            <w:tcBorders>
              <w:top w:val="nil"/>
              <w:left w:val="nil"/>
              <w:bottom w:val="single" w:sz="4" w:space="0" w:color="auto"/>
              <w:right w:val="single" w:sz="4" w:space="0" w:color="auto"/>
            </w:tcBorders>
            <w:shd w:val="clear" w:color="auto" w:fill="auto"/>
            <w:hideMark/>
          </w:tcPr>
          <w:p w14:paraId="0564C50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05E823A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35AC32F4"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$81.15</w:t>
            </w:r>
          </w:p>
        </w:tc>
        <w:tc>
          <w:tcPr>
            <w:tcW w:w="2977" w:type="dxa"/>
            <w:tcBorders>
              <w:top w:val="nil"/>
              <w:left w:val="nil"/>
              <w:bottom w:val="single" w:sz="4" w:space="0" w:color="auto"/>
              <w:right w:val="single" w:sz="4" w:space="0" w:color="auto"/>
            </w:tcBorders>
            <w:shd w:val="clear" w:color="auto" w:fill="auto"/>
            <w:hideMark/>
          </w:tcPr>
          <w:p w14:paraId="2A2B957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200 mg</w:t>
            </w:r>
          </w:p>
        </w:tc>
        <w:tc>
          <w:tcPr>
            <w:tcW w:w="2693" w:type="dxa"/>
            <w:tcBorders>
              <w:top w:val="nil"/>
              <w:left w:val="nil"/>
              <w:bottom w:val="single" w:sz="4" w:space="0" w:color="auto"/>
              <w:right w:val="single" w:sz="4" w:space="0" w:color="auto"/>
            </w:tcBorders>
            <w:shd w:val="clear" w:color="auto" w:fill="auto"/>
            <w:hideMark/>
          </w:tcPr>
          <w:p w14:paraId="651162A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18413EEB"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05484CA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10928E</w:t>
            </w:r>
          </w:p>
        </w:tc>
        <w:tc>
          <w:tcPr>
            <w:tcW w:w="850" w:type="dxa"/>
            <w:tcBorders>
              <w:top w:val="nil"/>
              <w:left w:val="nil"/>
              <w:bottom w:val="single" w:sz="4" w:space="0" w:color="auto"/>
              <w:right w:val="single" w:sz="4" w:space="0" w:color="auto"/>
            </w:tcBorders>
            <w:shd w:val="clear" w:color="auto" w:fill="auto"/>
            <w:hideMark/>
          </w:tcPr>
          <w:p w14:paraId="41B0F3E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3C8A24A9"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1AAD3A45"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$86.35</w:t>
            </w:r>
          </w:p>
        </w:tc>
        <w:tc>
          <w:tcPr>
            <w:tcW w:w="2977" w:type="dxa"/>
            <w:tcBorders>
              <w:top w:val="nil"/>
              <w:left w:val="nil"/>
              <w:bottom w:val="single" w:sz="4" w:space="0" w:color="auto"/>
              <w:right w:val="single" w:sz="4" w:space="0" w:color="auto"/>
            </w:tcBorders>
            <w:shd w:val="clear" w:color="auto" w:fill="auto"/>
            <w:hideMark/>
          </w:tcPr>
          <w:p w14:paraId="02A1188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200 mg</w:t>
            </w:r>
          </w:p>
        </w:tc>
        <w:tc>
          <w:tcPr>
            <w:tcW w:w="2693" w:type="dxa"/>
            <w:tcBorders>
              <w:top w:val="nil"/>
              <w:left w:val="nil"/>
              <w:bottom w:val="single" w:sz="4" w:space="0" w:color="auto"/>
              <w:right w:val="single" w:sz="4" w:space="0" w:color="auto"/>
            </w:tcBorders>
            <w:shd w:val="clear" w:color="auto" w:fill="auto"/>
            <w:hideMark/>
          </w:tcPr>
          <w:p w14:paraId="7935992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3E7CFA3D"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1A178E5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10929F</w:t>
            </w:r>
          </w:p>
        </w:tc>
        <w:tc>
          <w:tcPr>
            <w:tcW w:w="850" w:type="dxa"/>
            <w:tcBorders>
              <w:top w:val="nil"/>
              <w:left w:val="nil"/>
              <w:bottom w:val="single" w:sz="4" w:space="0" w:color="auto"/>
              <w:right w:val="single" w:sz="4" w:space="0" w:color="auto"/>
            </w:tcBorders>
            <w:shd w:val="clear" w:color="auto" w:fill="auto"/>
            <w:hideMark/>
          </w:tcPr>
          <w:p w14:paraId="14BD938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7D2552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6B1A67BA"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$70.00</w:t>
            </w:r>
          </w:p>
        </w:tc>
        <w:tc>
          <w:tcPr>
            <w:tcW w:w="2977" w:type="dxa"/>
            <w:tcBorders>
              <w:top w:val="nil"/>
              <w:left w:val="nil"/>
              <w:bottom w:val="single" w:sz="4" w:space="0" w:color="auto"/>
              <w:right w:val="single" w:sz="4" w:space="0" w:color="auto"/>
            </w:tcBorders>
            <w:shd w:val="clear" w:color="auto" w:fill="auto"/>
            <w:hideMark/>
          </w:tcPr>
          <w:p w14:paraId="6F0A363D"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200 mg</w:t>
            </w:r>
          </w:p>
        </w:tc>
        <w:tc>
          <w:tcPr>
            <w:tcW w:w="2693" w:type="dxa"/>
            <w:tcBorders>
              <w:top w:val="nil"/>
              <w:left w:val="nil"/>
              <w:bottom w:val="single" w:sz="4" w:space="0" w:color="auto"/>
              <w:right w:val="single" w:sz="4" w:space="0" w:color="auto"/>
            </w:tcBorders>
            <w:shd w:val="clear" w:color="auto" w:fill="auto"/>
            <w:hideMark/>
          </w:tcPr>
          <w:p w14:paraId="75CFC31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60CCDFF7"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5B98D3B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10937P</w:t>
            </w:r>
          </w:p>
        </w:tc>
        <w:tc>
          <w:tcPr>
            <w:tcW w:w="850" w:type="dxa"/>
            <w:tcBorders>
              <w:top w:val="nil"/>
              <w:left w:val="nil"/>
              <w:bottom w:val="single" w:sz="4" w:space="0" w:color="auto"/>
              <w:right w:val="single" w:sz="4" w:space="0" w:color="auto"/>
            </w:tcBorders>
            <w:shd w:val="clear" w:color="auto" w:fill="auto"/>
            <w:hideMark/>
          </w:tcPr>
          <w:p w14:paraId="11001B3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C208B68"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790F5BE"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$86.35</w:t>
            </w:r>
          </w:p>
        </w:tc>
        <w:tc>
          <w:tcPr>
            <w:tcW w:w="2977" w:type="dxa"/>
            <w:tcBorders>
              <w:top w:val="nil"/>
              <w:left w:val="nil"/>
              <w:bottom w:val="single" w:sz="4" w:space="0" w:color="auto"/>
              <w:right w:val="single" w:sz="4" w:space="0" w:color="auto"/>
            </w:tcBorders>
            <w:shd w:val="clear" w:color="auto" w:fill="auto"/>
            <w:hideMark/>
          </w:tcPr>
          <w:p w14:paraId="2F302F26"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200 mg</w:t>
            </w:r>
          </w:p>
        </w:tc>
        <w:tc>
          <w:tcPr>
            <w:tcW w:w="2693" w:type="dxa"/>
            <w:tcBorders>
              <w:top w:val="nil"/>
              <w:left w:val="nil"/>
              <w:bottom w:val="single" w:sz="4" w:space="0" w:color="auto"/>
              <w:right w:val="single" w:sz="4" w:space="0" w:color="auto"/>
            </w:tcBorders>
            <w:shd w:val="clear" w:color="auto" w:fill="auto"/>
            <w:hideMark/>
          </w:tcPr>
          <w:p w14:paraId="668D965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7D0C1EA2" w14:textId="77777777" w:rsidTr="00845DAE">
        <w:trPr>
          <w:trHeight w:val="300"/>
        </w:trPr>
        <w:tc>
          <w:tcPr>
            <w:tcW w:w="866" w:type="dxa"/>
            <w:tcBorders>
              <w:top w:val="nil"/>
              <w:left w:val="single" w:sz="4" w:space="0" w:color="auto"/>
              <w:bottom w:val="single" w:sz="4" w:space="0" w:color="auto"/>
              <w:right w:val="single" w:sz="4" w:space="0" w:color="auto"/>
            </w:tcBorders>
            <w:shd w:val="clear" w:color="auto" w:fill="auto"/>
            <w:hideMark/>
          </w:tcPr>
          <w:p w14:paraId="2EB9039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10938Q</w:t>
            </w:r>
          </w:p>
        </w:tc>
        <w:tc>
          <w:tcPr>
            <w:tcW w:w="850" w:type="dxa"/>
            <w:tcBorders>
              <w:top w:val="nil"/>
              <w:left w:val="nil"/>
              <w:bottom w:val="single" w:sz="4" w:space="0" w:color="auto"/>
              <w:right w:val="single" w:sz="4" w:space="0" w:color="auto"/>
            </w:tcBorders>
            <w:shd w:val="clear" w:color="auto" w:fill="auto"/>
            <w:hideMark/>
          </w:tcPr>
          <w:p w14:paraId="0ACA7652"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429D473"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5</w:t>
            </w:r>
          </w:p>
        </w:tc>
        <w:tc>
          <w:tcPr>
            <w:tcW w:w="1134" w:type="dxa"/>
            <w:tcBorders>
              <w:top w:val="nil"/>
              <w:left w:val="nil"/>
              <w:bottom w:val="single" w:sz="4" w:space="0" w:color="auto"/>
              <w:right w:val="single" w:sz="4" w:space="0" w:color="auto"/>
            </w:tcBorders>
            <w:shd w:val="clear" w:color="auto" w:fill="auto"/>
            <w:hideMark/>
          </w:tcPr>
          <w:p w14:paraId="23C7FD25"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$81.15</w:t>
            </w:r>
          </w:p>
        </w:tc>
        <w:tc>
          <w:tcPr>
            <w:tcW w:w="2977" w:type="dxa"/>
            <w:tcBorders>
              <w:top w:val="nil"/>
              <w:left w:val="nil"/>
              <w:bottom w:val="single" w:sz="4" w:space="0" w:color="auto"/>
              <w:right w:val="single" w:sz="4" w:space="0" w:color="auto"/>
            </w:tcBorders>
            <w:shd w:val="clear" w:color="auto" w:fill="auto"/>
            <w:hideMark/>
          </w:tcPr>
          <w:p w14:paraId="4A47453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Ribavirin, Tablet 200 mg</w:t>
            </w:r>
          </w:p>
        </w:tc>
        <w:tc>
          <w:tcPr>
            <w:tcW w:w="2693" w:type="dxa"/>
            <w:tcBorders>
              <w:top w:val="nil"/>
              <w:left w:val="nil"/>
              <w:bottom w:val="single" w:sz="4" w:space="0" w:color="auto"/>
              <w:right w:val="single" w:sz="4" w:space="0" w:color="auto"/>
            </w:tcBorders>
            <w:shd w:val="clear" w:color="auto" w:fill="auto"/>
            <w:hideMark/>
          </w:tcPr>
          <w:p w14:paraId="2B37217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Ibavyr, </w:t>
            </w:r>
            <w:r w:rsidR="006A72C7" w:rsidRPr="00E5732B">
              <w:rPr>
                <w:rFonts w:ascii="Arial Narrow" w:eastAsia="Times New Roman" w:hAnsi="Arial Narrow" w:cs="Times New Roman"/>
                <w:sz w:val="18"/>
                <w:szCs w:val="18"/>
              </w:rPr>
              <w:t>Clinect Pty Ltd</w:t>
            </w:r>
          </w:p>
        </w:tc>
      </w:tr>
      <w:tr w:rsidR="00051F26" w:rsidRPr="00E5732B" w14:paraId="6AE770FC"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55001A7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10978T</w:t>
            </w:r>
          </w:p>
        </w:tc>
        <w:tc>
          <w:tcPr>
            <w:tcW w:w="850" w:type="dxa"/>
            <w:tcBorders>
              <w:top w:val="nil"/>
              <w:left w:val="nil"/>
              <w:bottom w:val="single" w:sz="4" w:space="0" w:color="auto"/>
              <w:right w:val="single" w:sz="4" w:space="0" w:color="auto"/>
            </w:tcBorders>
            <w:shd w:val="clear" w:color="auto" w:fill="auto"/>
            <w:hideMark/>
          </w:tcPr>
          <w:p w14:paraId="000463E9"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3798DD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2943C47B"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$21,000.00</w:t>
            </w:r>
          </w:p>
        </w:tc>
        <w:tc>
          <w:tcPr>
            <w:tcW w:w="2977" w:type="dxa"/>
            <w:tcBorders>
              <w:top w:val="nil"/>
              <w:left w:val="nil"/>
              <w:bottom w:val="single" w:sz="4" w:space="0" w:color="auto"/>
              <w:right w:val="single" w:sz="4" w:space="0" w:color="auto"/>
            </w:tcBorders>
            <w:shd w:val="clear" w:color="auto" w:fill="auto"/>
            <w:hideMark/>
          </w:tcPr>
          <w:p w14:paraId="27D573A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Grazoprevir with elbasvir, Tablet containing grazoprevir 100 mg with elbasvir 50 mg</w:t>
            </w:r>
          </w:p>
        </w:tc>
        <w:tc>
          <w:tcPr>
            <w:tcW w:w="2693" w:type="dxa"/>
            <w:tcBorders>
              <w:top w:val="nil"/>
              <w:left w:val="nil"/>
              <w:bottom w:val="single" w:sz="4" w:space="0" w:color="auto"/>
              <w:right w:val="single" w:sz="4" w:space="0" w:color="auto"/>
            </w:tcBorders>
            <w:shd w:val="clear" w:color="auto" w:fill="auto"/>
            <w:hideMark/>
          </w:tcPr>
          <w:p w14:paraId="42C3C19D" w14:textId="77777777" w:rsidR="0027492C" w:rsidRPr="00E5732B" w:rsidRDefault="00BB1F56"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Zepatier, Merck Sharp &amp; Dohme (Australia) Pty Ltd</w:t>
            </w:r>
          </w:p>
        </w:tc>
      </w:tr>
      <w:tr w:rsidR="00051F26" w:rsidRPr="00E5732B" w14:paraId="0109F7D3"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4BE6624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10979W</w:t>
            </w:r>
          </w:p>
        </w:tc>
        <w:tc>
          <w:tcPr>
            <w:tcW w:w="850" w:type="dxa"/>
            <w:tcBorders>
              <w:top w:val="nil"/>
              <w:left w:val="nil"/>
              <w:bottom w:val="single" w:sz="4" w:space="0" w:color="auto"/>
              <w:right w:val="single" w:sz="4" w:space="0" w:color="auto"/>
            </w:tcBorders>
            <w:shd w:val="clear" w:color="auto" w:fill="auto"/>
            <w:hideMark/>
          </w:tcPr>
          <w:p w14:paraId="60559CB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F698DD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1F7352E4"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$21,047.15</w:t>
            </w:r>
          </w:p>
        </w:tc>
        <w:tc>
          <w:tcPr>
            <w:tcW w:w="2977" w:type="dxa"/>
            <w:tcBorders>
              <w:top w:val="nil"/>
              <w:left w:val="nil"/>
              <w:bottom w:val="single" w:sz="4" w:space="0" w:color="auto"/>
              <w:right w:val="single" w:sz="4" w:space="0" w:color="auto"/>
            </w:tcBorders>
            <w:shd w:val="clear" w:color="auto" w:fill="auto"/>
            <w:hideMark/>
          </w:tcPr>
          <w:p w14:paraId="263FA9E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Grazoprevir with elbasvir, Tablet containing grazoprevir 100 mg with elbasvir 50 mg</w:t>
            </w:r>
          </w:p>
        </w:tc>
        <w:tc>
          <w:tcPr>
            <w:tcW w:w="2693" w:type="dxa"/>
            <w:tcBorders>
              <w:top w:val="nil"/>
              <w:left w:val="nil"/>
              <w:bottom w:val="single" w:sz="4" w:space="0" w:color="auto"/>
              <w:right w:val="single" w:sz="4" w:space="0" w:color="auto"/>
            </w:tcBorders>
            <w:shd w:val="clear" w:color="auto" w:fill="auto"/>
            <w:hideMark/>
          </w:tcPr>
          <w:p w14:paraId="7364E74A"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Zepatier, </w:t>
            </w:r>
            <w:r w:rsidR="007677BD" w:rsidRPr="00E5732B">
              <w:rPr>
                <w:rFonts w:ascii="Arial Narrow" w:eastAsia="Times New Roman" w:hAnsi="Arial Narrow" w:cs="Times New Roman"/>
                <w:sz w:val="18"/>
                <w:szCs w:val="18"/>
              </w:rPr>
              <w:t>Merck Sharp &amp; Dohme (Australia) Pty Ltd</w:t>
            </w:r>
          </w:p>
        </w:tc>
      </w:tr>
      <w:tr w:rsidR="00051F26" w:rsidRPr="00E5732B" w14:paraId="0F95C321"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7675098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10986F</w:t>
            </w:r>
          </w:p>
        </w:tc>
        <w:tc>
          <w:tcPr>
            <w:tcW w:w="850" w:type="dxa"/>
            <w:tcBorders>
              <w:top w:val="nil"/>
              <w:left w:val="nil"/>
              <w:bottom w:val="single" w:sz="4" w:space="0" w:color="auto"/>
              <w:right w:val="single" w:sz="4" w:space="0" w:color="auto"/>
            </w:tcBorders>
            <w:shd w:val="clear" w:color="auto" w:fill="auto"/>
            <w:hideMark/>
          </w:tcPr>
          <w:p w14:paraId="02FB82DF"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05D86993"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3</w:t>
            </w:r>
          </w:p>
        </w:tc>
        <w:tc>
          <w:tcPr>
            <w:tcW w:w="1134" w:type="dxa"/>
            <w:tcBorders>
              <w:top w:val="nil"/>
              <w:left w:val="nil"/>
              <w:bottom w:val="single" w:sz="4" w:space="0" w:color="auto"/>
              <w:right w:val="single" w:sz="4" w:space="0" w:color="auto"/>
            </w:tcBorders>
            <w:shd w:val="clear" w:color="auto" w:fill="auto"/>
            <w:hideMark/>
          </w:tcPr>
          <w:p w14:paraId="5A56E799"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$21,000.00</w:t>
            </w:r>
          </w:p>
        </w:tc>
        <w:tc>
          <w:tcPr>
            <w:tcW w:w="2977" w:type="dxa"/>
            <w:tcBorders>
              <w:top w:val="nil"/>
              <w:left w:val="nil"/>
              <w:bottom w:val="single" w:sz="4" w:space="0" w:color="auto"/>
              <w:right w:val="single" w:sz="4" w:space="0" w:color="auto"/>
            </w:tcBorders>
            <w:shd w:val="clear" w:color="auto" w:fill="auto"/>
            <w:hideMark/>
          </w:tcPr>
          <w:p w14:paraId="52FFB61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Grazoprevir with elbasvir, Tablet containing grazoprevir 100 mg with elbasvir 50 mg</w:t>
            </w:r>
          </w:p>
        </w:tc>
        <w:tc>
          <w:tcPr>
            <w:tcW w:w="2693" w:type="dxa"/>
            <w:tcBorders>
              <w:top w:val="nil"/>
              <w:left w:val="nil"/>
              <w:bottom w:val="single" w:sz="4" w:space="0" w:color="auto"/>
              <w:right w:val="single" w:sz="4" w:space="0" w:color="auto"/>
            </w:tcBorders>
            <w:shd w:val="clear" w:color="auto" w:fill="auto"/>
            <w:hideMark/>
          </w:tcPr>
          <w:p w14:paraId="36F9288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Zepatier, </w:t>
            </w:r>
            <w:r w:rsidR="007677BD" w:rsidRPr="00E5732B">
              <w:rPr>
                <w:rFonts w:ascii="Arial Narrow" w:eastAsia="Times New Roman" w:hAnsi="Arial Narrow" w:cs="Times New Roman"/>
                <w:sz w:val="18"/>
                <w:szCs w:val="18"/>
              </w:rPr>
              <w:t>Merck Sharp &amp; Dohme (Australia) Pty Ltd</w:t>
            </w:r>
          </w:p>
        </w:tc>
      </w:tr>
      <w:tr w:rsidR="00051F26" w:rsidRPr="00E5732B" w14:paraId="0E0066FA"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7F6B7FE8"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10991L</w:t>
            </w:r>
          </w:p>
        </w:tc>
        <w:tc>
          <w:tcPr>
            <w:tcW w:w="850" w:type="dxa"/>
            <w:tcBorders>
              <w:top w:val="nil"/>
              <w:left w:val="nil"/>
              <w:bottom w:val="single" w:sz="4" w:space="0" w:color="auto"/>
              <w:right w:val="single" w:sz="4" w:space="0" w:color="auto"/>
            </w:tcBorders>
            <w:shd w:val="clear" w:color="auto" w:fill="auto"/>
            <w:hideMark/>
          </w:tcPr>
          <w:p w14:paraId="5A16ECF4"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3C8D284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3</w:t>
            </w:r>
          </w:p>
        </w:tc>
        <w:tc>
          <w:tcPr>
            <w:tcW w:w="1134" w:type="dxa"/>
            <w:tcBorders>
              <w:top w:val="nil"/>
              <w:left w:val="nil"/>
              <w:bottom w:val="single" w:sz="4" w:space="0" w:color="auto"/>
              <w:right w:val="single" w:sz="4" w:space="0" w:color="auto"/>
            </w:tcBorders>
            <w:shd w:val="clear" w:color="auto" w:fill="auto"/>
            <w:hideMark/>
          </w:tcPr>
          <w:p w14:paraId="0E4F0B41"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$21,047.15</w:t>
            </w:r>
          </w:p>
        </w:tc>
        <w:tc>
          <w:tcPr>
            <w:tcW w:w="2977" w:type="dxa"/>
            <w:tcBorders>
              <w:top w:val="nil"/>
              <w:left w:val="nil"/>
              <w:bottom w:val="single" w:sz="4" w:space="0" w:color="auto"/>
              <w:right w:val="single" w:sz="4" w:space="0" w:color="auto"/>
            </w:tcBorders>
            <w:shd w:val="clear" w:color="auto" w:fill="auto"/>
            <w:hideMark/>
          </w:tcPr>
          <w:p w14:paraId="096F7FD4"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Grazoprevir with elbasvir, Tablet containing grazoprevir 100 mg with elbasvir 50 mg</w:t>
            </w:r>
          </w:p>
        </w:tc>
        <w:tc>
          <w:tcPr>
            <w:tcW w:w="2693" w:type="dxa"/>
            <w:tcBorders>
              <w:top w:val="nil"/>
              <w:left w:val="nil"/>
              <w:bottom w:val="single" w:sz="4" w:space="0" w:color="auto"/>
              <w:right w:val="single" w:sz="4" w:space="0" w:color="auto"/>
            </w:tcBorders>
            <w:shd w:val="clear" w:color="auto" w:fill="auto"/>
            <w:hideMark/>
          </w:tcPr>
          <w:p w14:paraId="158798D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Zepatier, </w:t>
            </w:r>
            <w:r w:rsidR="007677BD" w:rsidRPr="00E5732B">
              <w:rPr>
                <w:rFonts w:ascii="Arial Narrow" w:eastAsia="Times New Roman" w:hAnsi="Arial Narrow" w:cs="Times New Roman"/>
                <w:sz w:val="18"/>
                <w:szCs w:val="18"/>
              </w:rPr>
              <w:t>Merck Sharp &amp; Dohme (Australia) Pty Ltd</w:t>
            </w:r>
          </w:p>
        </w:tc>
      </w:tr>
      <w:tr w:rsidR="00051F26" w:rsidRPr="00E5732B" w14:paraId="5FA073BE"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407B2EA1"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11011M</w:t>
            </w:r>
          </w:p>
        </w:tc>
        <w:tc>
          <w:tcPr>
            <w:tcW w:w="850" w:type="dxa"/>
            <w:tcBorders>
              <w:top w:val="nil"/>
              <w:left w:val="nil"/>
              <w:bottom w:val="single" w:sz="4" w:space="0" w:color="auto"/>
              <w:right w:val="single" w:sz="4" w:space="0" w:color="auto"/>
            </w:tcBorders>
            <w:shd w:val="clear" w:color="auto" w:fill="auto"/>
            <w:hideMark/>
          </w:tcPr>
          <w:p w14:paraId="50B8BDF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A5C80A6"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3</w:t>
            </w:r>
          </w:p>
        </w:tc>
        <w:tc>
          <w:tcPr>
            <w:tcW w:w="1134" w:type="dxa"/>
            <w:tcBorders>
              <w:top w:val="nil"/>
              <w:left w:val="nil"/>
              <w:bottom w:val="single" w:sz="4" w:space="0" w:color="auto"/>
              <w:right w:val="single" w:sz="4" w:space="0" w:color="auto"/>
            </w:tcBorders>
            <w:shd w:val="clear" w:color="auto" w:fill="auto"/>
            <w:hideMark/>
          </w:tcPr>
          <w:p w14:paraId="29C04AEE"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$21,149.52</w:t>
            </w:r>
          </w:p>
        </w:tc>
        <w:tc>
          <w:tcPr>
            <w:tcW w:w="2977" w:type="dxa"/>
            <w:tcBorders>
              <w:top w:val="nil"/>
              <w:left w:val="nil"/>
              <w:bottom w:val="single" w:sz="4" w:space="0" w:color="auto"/>
              <w:right w:val="single" w:sz="4" w:space="0" w:color="auto"/>
            </w:tcBorders>
            <w:shd w:val="clear" w:color="auto" w:fill="auto"/>
            <w:hideMark/>
          </w:tcPr>
          <w:p w14:paraId="51075225"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Grazoprevir with elbasvir, Tablet containing grazoprevir 100 mg with elbasvir 50 mg</w:t>
            </w:r>
          </w:p>
        </w:tc>
        <w:tc>
          <w:tcPr>
            <w:tcW w:w="2693" w:type="dxa"/>
            <w:tcBorders>
              <w:top w:val="nil"/>
              <w:left w:val="nil"/>
              <w:bottom w:val="single" w:sz="4" w:space="0" w:color="auto"/>
              <w:right w:val="single" w:sz="4" w:space="0" w:color="auto"/>
            </w:tcBorders>
            <w:shd w:val="clear" w:color="auto" w:fill="auto"/>
            <w:hideMark/>
          </w:tcPr>
          <w:p w14:paraId="20E72C6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Zepatier, </w:t>
            </w:r>
            <w:r w:rsidR="007677BD" w:rsidRPr="00E5732B">
              <w:rPr>
                <w:rFonts w:ascii="Arial Narrow" w:eastAsia="Times New Roman" w:hAnsi="Arial Narrow" w:cs="Times New Roman"/>
                <w:sz w:val="18"/>
                <w:szCs w:val="18"/>
              </w:rPr>
              <w:t>Merck Sharp &amp; Dohme (Australia) Pty Ltd</w:t>
            </w:r>
          </w:p>
        </w:tc>
      </w:tr>
      <w:tr w:rsidR="00051F26" w:rsidRPr="00E5732B" w14:paraId="3CDE7497"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29851C9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11021C</w:t>
            </w:r>
          </w:p>
        </w:tc>
        <w:tc>
          <w:tcPr>
            <w:tcW w:w="850" w:type="dxa"/>
            <w:tcBorders>
              <w:top w:val="nil"/>
              <w:left w:val="nil"/>
              <w:bottom w:val="single" w:sz="4" w:space="0" w:color="auto"/>
              <w:right w:val="single" w:sz="4" w:space="0" w:color="auto"/>
            </w:tcBorders>
            <w:shd w:val="clear" w:color="auto" w:fill="auto"/>
            <w:hideMark/>
          </w:tcPr>
          <w:p w14:paraId="72A5804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5237E875"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45DDAC4B"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$21,149.52</w:t>
            </w:r>
          </w:p>
        </w:tc>
        <w:tc>
          <w:tcPr>
            <w:tcW w:w="2977" w:type="dxa"/>
            <w:tcBorders>
              <w:top w:val="nil"/>
              <w:left w:val="nil"/>
              <w:bottom w:val="single" w:sz="4" w:space="0" w:color="auto"/>
              <w:right w:val="single" w:sz="4" w:space="0" w:color="auto"/>
            </w:tcBorders>
            <w:shd w:val="clear" w:color="auto" w:fill="auto"/>
            <w:hideMark/>
          </w:tcPr>
          <w:p w14:paraId="64278047"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Grazoprevir with elbasvir, Tablet containing grazoprevir 100 mg with elbasvir 50 mg</w:t>
            </w:r>
          </w:p>
        </w:tc>
        <w:tc>
          <w:tcPr>
            <w:tcW w:w="2693" w:type="dxa"/>
            <w:tcBorders>
              <w:top w:val="nil"/>
              <w:left w:val="nil"/>
              <w:bottom w:val="single" w:sz="4" w:space="0" w:color="auto"/>
              <w:right w:val="single" w:sz="4" w:space="0" w:color="auto"/>
            </w:tcBorders>
            <w:shd w:val="clear" w:color="auto" w:fill="auto"/>
            <w:hideMark/>
          </w:tcPr>
          <w:p w14:paraId="5A71052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Zepatier, </w:t>
            </w:r>
            <w:r w:rsidR="007677BD" w:rsidRPr="00E5732B">
              <w:rPr>
                <w:rFonts w:ascii="Arial Narrow" w:eastAsia="Times New Roman" w:hAnsi="Arial Narrow" w:cs="Times New Roman"/>
                <w:sz w:val="18"/>
                <w:szCs w:val="18"/>
              </w:rPr>
              <w:t>Merck Sharp &amp; Dohme (Australia) Pty Ltd</w:t>
            </w:r>
          </w:p>
        </w:tc>
      </w:tr>
      <w:tr w:rsidR="00051F26" w:rsidRPr="00E5732B" w14:paraId="74B6BB16"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3D2BA82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11144M</w:t>
            </w:r>
          </w:p>
        </w:tc>
        <w:tc>
          <w:tcPr>
            <w:tcW w:w="850" w:type="dxa"/>
            <w:tcBorders>
              <w:top w:val="nil"/>
              <w:left w:val="nil"/>
              <w:bottom w:val="single" w:sz="4" w:space="0" w:color="auto"/>
              <w:right w:val="single" w:sz="4" w:space="0" w:color="auto"/>
            </w:tcBorders>
            <w:shd w:val="clear" w:color="auto" w:fill="auto"/>
            <w:hideMark/>
          </w:tcPr>
          <w:p w14:paraId="4EDE140A"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38B3AED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6047DEA0"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$22,113.82</w:t>
            </w:r>
          </w:p>
        </w:tc>
        <w:tc>
          <w:tcPr>
            <w:tcW w:w="2977" w:type="dxa"/>
            <w:tcBorders>
              <w:top w:val="nil"/>
              <w:left w:val="nil"/>
              <w:bottom w:val="single" w:sz="4" w:space="0" w:color="auto"/>
              <w:right w:val="single" w:sz="4" w:space="0" w:color="auto"/>
            </w:tcBorders>
            <w:shd w:val="clear" w:color="auto" w:fill="auto"/>
            <w:hideMark/>
          </w:tcPr>
          <w:p w14:paraId="40347C8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with velpatasvir, Tablet containing 400 mg sofosbuvir with 100 mg velpatasvir</w:t>
            </w:r>
          </w:p>
        </w:tc>
        <w:tc>
          <w:tcPr>
            <w:tcW w:w="2693" w:type="dxa"/>
            <w:tcBorders>
              <w:top w:val="nil"/>
              <w:left w:val="nil"/>
              <w:bottom w:val="single" w:sz="4" w:space="0" w:color="auto"/>
              <w:right w:val="single" w:sz="4" w:space="0" w:color="auto"/>
            </w:tcBorders>
            <w:shd w:val="clear" w:color="auto" w:fill="auto"/>
            <w:hideMark/>
          </w:tcPr>
          <w:p w14:paraId="3899860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Epclusa, </w:t>
            </w:r>
            <w:r w:rsidR="004F2D43" w:rsidRPr="00E5732B">
              <w:rPr>
                <w:rFonts w:ascii="Arial Narrow" w:eastAsia="Times New Roman" w:hAnsi="Arial Narrow" w:cs="Times New Roman"/>
                <w:sz w:val="18"/>
                <w:szCs w:val="18"/>
              </w:rPr>
              <w:t>Gilead Sciences Pty Limited</w:t>
            </w:r>
          </w:p>
        </w:tc>
      </w:tr>
      <w:tr w:rsidR="00051F26" w:rsidRPr="00E5732B" w14:paraId="40A19868"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21343C52"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11145N</w:t>
            </w:r>
          </w:p>
        </w:tc>
        <w:tc>
          <w:tcPr>
            <w:tcW w:w="850" w:type="dxa"/>
            <w:tcBorders>
              <w:top w:val="nil"/>
              <w:left w:val="nil"/>
              <w:bottom w:val="single" w:sz="4" w:space="0" w:color="auto"/>
              <w:right w:val="single" w:sz="4" w:space="0" w:color="auto"/>
            </w:tcBorders>
            <w:shd w:val="clear" w:color="auto" w:fill="auto"/>
            <w:hideMark/>
          </w:tcPr>
          <w:p w14:paraId="6BFADD0B"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11FEE53C"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7AACFA8C"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$22,066.67</w:t>
            </w:r>
          </w:p>
        </w:tc>
        <w:tc>
          <w:tcPr>
            <w:tcW w:w="2977" w:type="dxa"/>
            <w:tcBorders>
              <w:top w:val="nil"/>
              <w:left w:val="nil"/>
              <w:bottom w:val="single" w:sz="4" w:space="0" w:color="auto"/>
              <w:right w:val="single" w:sz="4" w:space="0" w:color="auto"/>
            </w:tcBorders>
            <w:shd w:val="clear" w:color="auto" w:fill="auto"/>
            <w:hideMark/>
          </w:tcPr>
          <w:p w14:paraId="5914BF33"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with velpatasvir, Tablet containing 400 mg sofosbuvir with 100 mg velpatasvir</w:t>
            </w:r>
          </w:p>
        </w:tc>
        <w:tc>
          <w:tcPr>
            <w:tcW w:w="2693" w:type="dxa"/>
            <w:tcBorders>
              <w:top w:val="nil"/>
              <w:left w:val="nil"/>
              <w:bottom w:val="single" w:sz="4" w:space="0" w:color="auto"/>
              <w:right w:val="single" w:sz="4" w:space="0" w:color="auto"/>
            </w:tcBorders>
            <w:shd w:val="clear" w:color="auto" w:fill="auto"/>
            <w:hideMark/>
          </w:tcPr>
          <w:p w14:paraId="0BF7E89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Epclusa, </w:t>
            </w:r>
            <w:r w:rsidR="004F2D43" w:rsidRPr="00E5732B">
              <w:rPr>
                <w:rFonts w:ascii="Arial Narrow" w:eastAsia="Times New Roman" w:hAnsi="Arial Narrow" w:cs="Times New Roman"/>
                <w:sz w:val="18"/>
                <w:szCs w:val="18"/>
              </w:rPr>
              <w:t>Gilead Sciences Pty Limited</w:t>
            </w:r>
          </w:p>
        </w:tc>
      </w:tr>
      <w:tr w:rsidR="00051F26" w:rsidRPr="00E5732B" w14:paraId="799AFD21" w14:textId="77777777" w:rsidTr="00845DAE">
        <w:trPr>
          <w:trHeight w:val="510"/>
        </w:trPr>
        <w:tc>
          <w:tcPr>
            <w:tcW w:w="866" w:type="dxa"/>
            <w:tcBorders>
              <w:top w:val="nil"/>
              <w:left w:val="single" w:sz="4" w:space="0" w:color="auto"/>
              <w:bottom w:val="single" w:sz="4" w:space="0" w:color="auto"/>
              <w:right w:val="single" w:sz="4" w:space="0" w:color="auto"/>
            </w:tcBorders>
            <w:shd w:val="clear" w:color="auto" w:fill="auto"/>
            <w:hideMark/>
          </w:tcPr>
          <w:p w14:paraId="12609B2F"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11147Q</w:t>
            </w:r>
          </w:p>
        </w:tc>
        <w:tc>
          <w:tcPr>
            <w:tcW w:w="850" w:type="dxa"/>
            <w:tcBorders>
              <w:top w:val="nil"/>
              <w:left w:val="nil"/>
              <w:bottom w:val="single" w:sz="4" w:space="0" w:color="auto"/>
              <w:right w:val="single" w:sz="4" w:space="0" w:color="auto"/>
            </w:tcBorders>
            <w:shd w:val="clear" w:color="auto" w:fill="auto"/>
            <w:hideMark/>
          </w:tcPr>
          <w:p w14:paraId="1F2E25E7"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28</w:t>
            </w:r>
          </w:p>
        </w:tc>
        <w:tc>
          <w:tcPr>
            <w:tcW w:w="709" w:type="dxa"/>
            <w:tcBorders>
              <w:top w:val="nil"/>
              <w:left w:val="nil"/>
              <w:bottom w:val="single" w:sz="4" w:space="0" w:color="auto"/>
              <w:right w:val="single" w:sz="4" w:space="0" w:color="auto"/>
            </w:tcBorders>
            <w:shd w:val="clear" w:color="auto" w:fill="auto"/>
            <w:hideMark/>
          </w:tcPr>
          <w:p w14:paraId="4870E1DD" w14:textId="77777777" w:rsidR="0027492C" w:rsidRPr="00E5732B" w:rsidRDefault="0027492C" w:rsidP="00EF5D3B">
            <w:pPr>
              <w:spacing w:after="0"/>
              <w:jc w:val="center"/>
              <w:rPr>
                <w:rFonts w:ascii="Arial Narrow" w:eastAsia="Times New Roman" w:hAnsi="Arial Narrow" w:cs="Times New Roman"/>
                <w:sz w:val="18"/>
                <w:szCs w:val="18"/>
              </w:rPr>
            </w:pPr>
            <w:r w:rsidRPr="00E5732B">
              <w:rPr>
                <w:rFonts w:ascii="Arial Narrow" w:eastAsia="Times New Roman" w:hAnsi="Arial Narrow" w:cs="Times New Roman"/>
                <w:sz w:val="18"/>
                <w:szCs w:val="18"/>
              </w:rPr>
              <w:t>2</w:t>
            </w:r>
          </w:p>
        </w:tc>
        <w:tc>
          <w:tcPr>
            <w:tcW w:w="1134" w:type="dxa"/>
            <w:tcBorders>
              <w:top w:val="nil"/>
              <w:left w:val="nil"/>
              <w:bottom w:val="single" w:sz="4" w:space="0" w:color="auto"/>
              <w:right w:val="single" w:sz="4" w:space="0" w:color="auto"/>
            </w:tcBorders>
            <w:shd w:val="clear" w:color="auto" w:fill="auto"/>
            <w:hideMark/>
          </w:tcPr>
          <w:p w14:paraId="2D95B80C" w14:textId="77777777" w:rsidR="0027492C" w:rsidRPr="00E5732B" w:rsidRDefault="0027492C" w:rsidP="00EF5D3B">
            <w:pPr>
              <w:spacing w:after="0"/>
              <w:jc w:val="center"/>
              <w:rPr>
                <w:rFonts w:ascii="Arial Narrow" w:eastAsia="Times New Roman" w:hAnsi="Arial Narrow" w:cs="Times New Roman"/>
                <w:color w:val="000000"/>
                <w:sz w:val="18"/>
                <w:szCs w:val="18"/>
              </w:rPr>
            </w:pPr>
            <w:r w:rsidRPr="00E5732B">
              <w:rPr>
                <w:rFonts w:ascii="Arial Narrow" w:eastAsia="Times New Roman" w:hAnsi="Arial Narrow" w:cs="Times New Roman"/>
                <w:color w:val="000000"/>
                <w:sz w:val="18"/>
                <w:szCs w:val="18"/>
              </w:rPr>
              <w:t>$22,216.19</w:t>
            </w:r>
          </w:p>
        </w:tc>
        <w:tc>
          <w:tcPr>
            <w:tcW w:w="2977" w:type="dxa"/>
            <w:tcBorders>
              <w:top w:val="nil"/>
              <w:left w:val="nil"/>
              <w:bottom w:val="single" w:sz="4" w:space="0" w:color="auto"/>
              <w:right w:val="single" w:sz="4" w:space="0" w:color="auto"/>
            </w:tcBorders>
            <w:shd w:val="clear" w:color="auto" w:fill="auto"/>
            <w:hideMark/>
          </w:tcPr>
          <w:p w14:paraId="63C27940"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Sofosbuvir with velpatasvir, Tablet containing 400 mg sofosbuvir with 100 mg velpatasvir</w:t>
            </w:r>
          </w:p>
        </w:tc>
        <w:tc>
          <w:tcPr>
            <w:tcW w:w="2693" w:type="dxa"/>
            <w:tcBorders>
              <w:top w:val="nil"/>
              <w:left w:val="nil"/>
              <w:bottom w:val="single" w:sz="4" w:space="0" w:color="auto"/>
              <w:right w:val="single" w:sz="4" w:space="0" w:color="auto"/>
            </w:tcBorders>
            <w:shd w:val="clear" w:color="auto" w:fill="auto"/>
            <w:hideMark/>
          </w:tcPr>
          <w:p w14:paraId="36B284BC" w14:textId="77777777" w:rsidR="0027492C" w:rsidRPr="00E5732B" w:rsidRDefault="0027492C" w:rsidP="00EF5D3B">
            <w:pPr>
              <w:spacing w:after="0"/>
              <w:rPr>
                <w:rFonts w:ascii="Arial Narrow" w:eastAsia="Times New Roman" w:hAnsi="Arial Narrow" w:cs="Times New Roman"/>
                <w:sz w:val="18"/>
                <w:szCs w:val="18"/>
              </w:rPr>
            </w:pPr>
            <w:r w:rsidRPr="00E5732B">
              <w:rPr>
                <w:rFonts w:ascii="Arial Narrow" w:eastAsia="Times New Roman" w:hAnsi="Arial Narrow" w:cs="Times New Roman"/>
                <w:sz w:val="18"/>
                <w:szCs w:val="18"/>
              </w:rPr>
              <w:t xml:space="preserve">Epclusa, </w:t>
            </w:r>
            <w:r w:rsidR="004F2D43" w:rsidRPr="00E5732B">
              <w:rPr>
                <w:rFonts w:ascii="Arial Narrow" w:eastAsia="Times New Roman" w:hAnsi="Arial Narrow" w:cs="Times New Roman"/>
                <w:sz w:val="18"/>
                <w:szCs w:val="18"/>
              </w:rPr>
              <w:t>Gilead Sciences Pty Limited</w:t>
            </w:r>
          </w:p>
        </w:tc>
      </w:tr>
    </w:tbl>
    <w:p w14:paraId="49EDDD37" w14:textId="77777777" w:rsidR="002572E0" w:rsidRDefault="001611A1" w:rsidP="00EF5D3B">
      <w:pPr>
        <w:pStyle w:val="Notes"/>
      </w:pPr>
      <w:r w:rsidRPr="00A35800" w:rsidDel="00EE2BBB">
        <w:t xml:space="preserve">Source: </w:t>
      </w:r>
      <w:r w:rsidDel="00EE2BBB">
        <w:t xml:space="preserve">the </w:t>
      </w:r>
      <w:r w:rsidRPr="00EB5E6F" w:rsidDel="00EE2BBB">
        <w:t>PBS website</w:t>
      </w:r>
      <w:r w:rsidR="00724AAF">
        <w:t xml:space="preserve">. </w:t>
      </w:r>
    </w:p>
    <w:p w14:paraId="454C5521" w14:textId="77777777" w:rsidR="000433A5" w:rsidRDefault="002572E0" w:rsidP="00EF5D3B">
      <w:pPr>
        <w:pStyle w:val="Notes"/>
        <w:sectPr w:rsidR="000433A5" w:rsidSect="00051F26">
          <w:pgSz w:w="11906" w:h="16838"/>
          <w:pgMar w:top="1644" w:right="1361" w:bottom="1644" w:left="1588" w:header="709" w:footer="709" w:gutter="0"/>
          <w:cols w:space="708"/>
          <w:docGrid w:linePitch="360"/>
        </w:sectPr>
      </w:pPr>
      <w:r>
        <w:rPr>
          <w:vertAlign w:val="superscript"/>
        </w:rPr>
        <w:t xml:space="preserve">1 </w:t>
      </w:r>
      <w:r w:rsidR="001611A1" w:rsidRPr="0080485E" w:rsidDel="00EE2BBB">
        <w:t>Special Pricing Arrangement</w:t>
      </w:r>
      <w:r w:rsidR="001611A1">
        <w:t>s</w:t>
      </w:r>
      <w:r w:rsidR="001611A1" w:rsidRPr="0080485E" w:rsidDel="00EE2BBB">
        <w:t xml:space="preserve"> </w:t>
      </w:r>
      <w:r w:rsidR="001611A1">
        <w:t>apply, the listed prices are presented in this table.</w:t>
      </w:r>
    </w:p>
    <w:p w14:paraId="1C6ABE23" w14:textId="77777777" w:rsidR="00FB0F0E" w:rsidRPr="00DE360B" w:rsidRDefault="00FB0F0E" w:rsidP="00EF5D3B">
      <w:pPr>
        <w:pStyle w:val="Heading1"/>
        <w:spacing w:before="0"/>
        <w:rPr>
          <w:sz w:val="24"/>
          <w:szCs w:val="24"/>
        </w:rPr>
      </w:pPr>
      <w:r w:rsidRPr="00FB0F0E">
        <w:rPr>
          <w:sz w:val="24"/>
          <w:szCs w:val="24"/>
        </w:rPr>
        <w:t xml:space="preserve">Appendix </w:t>
      </w:r>
      <w:r w:rsidR="00F3554C">
        <w:rPr>
          <w:sz w:val="24"/>
          <w:szCs w:val="24"/>
        </w:rPr>
        <w:t>3</w:t>
      </w:r>
      <w:r w:rsidRPr="00FB0F0E">
        <w:rPr>
          <w:sz w:val="24"/>
          <w:szCs w:val="24"/>
        </w:rPr>
        <w:t>: General Statement for Drugs for the Treatment of Hepatitis C, August 2018</w:t>
      </w:r>
    </w:p>
    <w:p w14:paraId="460D14D0" w14:textId="77777777" w:rsidR="00DE360B" w:rsidRPr="00DE360B" w:rsidRDefault="00DE360B" w:rsidP="00EF5D3B">
      <w:pPr>
        <w:shd w:val="clear" w:color="auto" w:fill="FFFFFF"/>
        <w:spacing w:before="240"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Use the following criteria to determine patient eligibility for subsidisation under the PBS for hepatitis C treating agents.</w:t>
      </w:r>
    </w:p>
    <w:p w14:paraId="7EE45011" w14:textId="77777777" w:rsidR="00DE360B" w:rsidRPr="00DE360B" w:rsidRDefault="00DE360B" w:rsidP="00EF5D3B">
      <w:pPr>
        <w:shd w:val="clear" w:color="auto" w:fill="FFFFFF"/>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By writing a PBS prescription, the prescriber is certifying the patient satisfies the qualifying criteria set out below and the use in accordance with the registered indications which differ between agents in this class – refer to the current Product Information for details.</w:t>
      </w:r>
    </w:p>
    <w:tbl>
      <w:tblPr>
        <w:tblW w:w="943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Caption w:val="Appendix 3"/>
        <w:tblDescription w:val="General statement of drugs for the treatment of hepatitis C"/>
      </w:tblPr>
      <w:tblGrid>
        <w:gridCol w:w="9431"/>
      </w:tblGrid>
      <w:tr w:rsidR="00DE360B" w:rsidRPr="00DE360B" w14:paraId="1E970A17" w14:textId="77777777" w:rsidTr="007A44B5">
        <w:tc>
          <w:tcPr>
            <w:tcW w:w="94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E09A95" w14:textId="77777777" w:rsidR="007A44B5"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Population criteria:</w:t>
            </w:r>
            <w:r w:rsidRPr="00DE360B">
              <w:rPr>
                <w:rFonts w:ascii="Arial" w:eastAsia="Times New Roman" w:hAnsi="Arial" w:cs="Arial"/>
                <w:color w:val="000000"/>
                <w:sz w:val="20"/>
                <w:szCs w:val="20"/>
              </w:rPr>
              <w:br/>
              <w:t>Patient must be aged 18 years or older.</w:t>
            </w:r>
          </w:p>
        </w:tc>
      </w:tr>
      <w:tr w:rsidR="00DE360B" w:rsidRPr="00DE360B" w14:paraId="56CDF685" w14:textId="77777777" w:rsidTr="007A44B5">
        <w:tc>
          <w:tcPr>
            <w:tcW w:w="94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6AE488" w14:textId="77777777" w:rsidR="007A44B5"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Treatment criteria:</w:t>
            </w:r>
            <w:r w:rsidRPr="00DE360B">
              <w:rPr>
                <w:rFonts w:ascii="Arial" w:eastAsia="Times New Roman" w:hAnsi="Arial" w:cs="Arial"/>
                <w:color w:val="000000"/>
                <w:sz w:val="20"/>
                <w:szCs w:val="20"/>
              </w:rPr>
              <w:br/>
              <w:t>Must be treated by a medical practitioner or an authorised nurse practitioner </w:t>
            </w:r>
            <w:r w:rsidRPr="00DE360B">
              <w:rPr>
                <w:rFonts w:ascii="Arial" w:eastAsia="Times New Roman" w:hAnsi="Arial" w:cs="Arial"/>
                <w:color w:val="000000"/>
                <w:sz w:val="20"/>
                <w:szCs w:val="20"/>
                <w:u w:val="single"/>
                <w:bdr w:val="none" w:sz="0" w:space="0" w:color="auto" w:frame="1"/>
              </w:rPr>
              <w:t>[1]</w:t>
            </w:r>
            <w:r w:rsidRPr="00DE360B">
              <w:rPr>
                <w:rFonts w:ascii="Arial" w:eastAsia="Times New Roman" w:hAnsi="Arial" w:cs="Arial"/>
                <w:color w:val="000000"/>
                <w:sz w:val="20"/>
                <w:szCs w:val="20"/>
              </w:rPr>
              <w:t> experienced in the treatment of chronic hepatitis C infection; or in consultation with a gastroenterologist, hepatologist or infectious diseases physician experienced in the treatment of chronic hepatitis C infection.</w:t>
            </w:r>
          </w:p>
        </w:tc>
      </w:tr>
      <w:tr w:rsidR="00DE360B" w:rsidRPr="00DE360B" w14:paraId="03D6F5F4" w14:textId="77777777" w:rsidTr="007A44B5">
        <w:tc>
          <w:tcPr>
            <w:tcW w:w="94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77203D"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The following information must be provided at the time of application:</w:t>
            </w:r>
          </w:p>
          <w:p w14:paraId="131C886C" w14:textId="77777777" w:rsidR="00DE360B" w:rsidRPr="00DE360B" w:rsidRDefault="00DE360B" w:rsidP="00EF5D3B">
            <w:pPr>
              <w:numPr>
                <w:ilvl w:val="0"/>
                <w:numId w:val="7"/>
              </w:numPr>
              <w:spacing w:after="90" w:line="300" w:lineRule="atLeast"/>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the hepatitis C virus genotype; and</w:t>
            </w:r>
          </w:p>
          <w:p w14:paraId="48AA5CEB" w14:textId="77777777" w:rsidR="00DE360B" w:rsidRPr="00DE360B" w:rsidRDefault="00DE360B" w:rsidP="00EF5D3B">
            <w:pPr>
              <w:numPr>
                <w:ilvl w:val="0"/>
                <w:numId w:val="7"/>
              </w:numPr>
              <w:spacing w:after="90" w:line="300" w:lineRule="atLeast"/>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the patient’s cirrhotic status (non-cirrhotic or cirrhotic)</w:t>
            </w:r>
          </w:p>
          <w:p w14:paraId="4ABB7A5D"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The following information must be documented in the patient’s medical records:</w:t>
            </w:r>
          </w:p>
          <w:p w14:paraId="15521735" w14:textId="77777777" w:rsidR="00DE360B" w:rsidRPr="00DE360B" w:rsidRDefault="00DE360B" w:rsidP="00EF5D3B">
            <w:pPr>
              <w:numPr>
                <w:ilvl w:val="0"/>
                <w:numId w:val="8"/>
              </w:numPr>
              <w:spacing w:after="90" w:line="300" w:lineRule="atLeast"/>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evidence of chronic hepatitis C infection (repeatedly antibody to hepatitis C virus (anti-HCV) positive and hepatitis C virus ribonucleic acid (HCV RNA) positive); and</w:t>
            </w:r>
          </w:p>
          <w:p w14:paraId="0951026E" w14:textId="77777777" w:rsidR="00DE360B" w:rsidRPr="00DE360B" w:rsidRDefault="00DE360B" w:rsidP="00EF5D3B">
            <w:pPr>
              <w:numPr>
                <w:ilvl w:val="0"/>
                <w:numId w:val="8"/>
              </w:numPr>
              <w:spacing w:after="90" w:line="300" w:lineRule="atLeast"/>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evidence of the hepatitis C virus genotype</w:t>
            </w:r>
          </w:p>
        </w:tc>
      </w:tr>
    </w:tbl>
    <w:p w14:paraId="68A649C2" w14:textId="0BF9DEFA" w:rsidR="00B9552A" w:rsidRDefault="00DE360B" w:rsidP="00EF5D3B">
      <w:pPr>
        <w:shd w:val="clear" w:color="auto" w:fill="FFFFFF"/>
        <w:spacing w:before="240"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The following matrices identify the regimens which are available for PBS prescription for eligible patients, based on the hepatitis C virus genotype and treatment history.</w:t>
      </w:r>
    </w:p>
    <w:p w14:paraId="0BEBD1F3" w14:textId="77777777" w:rsidR="00B9552A" w:rsidRDefault="00B9552A">
      <w:p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14:paraId="37FA65FE" w14:textId="77777777" w:rsidR="00DE360B" w:rsidRPr="00DE360B" w:rsidRDefault="00DE360B" w:rsidP="00EF5D3B">
      <w:pPr>
        <w:shd w:val="clear" w:color="auto" w:fill="FFFFFF"/>
        <w:spacing w:after="120"/>
        <w:outlineLvl w:val="1"/>
        <w:rPr>
          <w:rFonts w:ascii="Arial" w:eastAsia="Times New Roman" w:hAnsi="Arial" w:cs="Arial"/>
          <w:b/>
          <w:color w:val="000000"/>
        </w:rPr>
      </w:pPr>
      <w:r w:rsidRPr="00DE360B">
        <w:rPr>
          <w:rFonts w:ascii="Arial" w:eastAsia="Times New Roman" w:hAnsi="Arial" w:cs="Arial"/>
          <w:b/>
          <w:color w:val="000000"/>
        </w:rPr>
        <w:t>Hepatitis C - Non-cirrhotic patients</w:t>
      </w:r>
    </w:p>
    <w:tbl>
      <w:tblPr>
        <w:tblW w:w="950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Caption w:val="Appendix 3"/>
        <w:tblDescription w:val="General statement of drugs for the treatment of hepatitis C"/>
      </w:tblPr>
      <w:tblGrid>
        <w:gridCol w:w="1995"/>
        <w:gridCol w:w="3684"/>
        <w:gridCol w:w="3827"/>
      </w:tblGrid>
      <w:tr w:rsidR="00DE360B" w:rsidRPr="00E176F5" w14:paraId="0DEC1C84" w14:textId="77777777" w:rsidTr="00E176F5">
        <w:trPr>
          <w:trHeight w:val="569"/>
        </w:trPr>
        <w:tc>
          <w:tcPr>
            <w:tcW w:w="0" w:type="auto"/>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1C2783F6"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bdr w:val="none" w:sz="0" w:space="0" w:color="auto" w:frame="1"/>
              </w:rPr>
              <w:t> </w:t>
            </w:r>
          </w:p>
        </w:tc>
        <w:tc>
          <w:tcPr>
            <w:tcW w:w="3684"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32FE412B"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Treatment naïve</w:t>
            </w:r>
          </w:p>
        </w:tc>
        <w:tc>
          <w:tcPr>
            <w:tcW w:w="3827"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5F16EF6D"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Treatment experienced</w:t>
            </w:r>
          </w:p>
        </w:tc>
      </w:tr>
      <w:tr w:rsidR="00DE360B" w:rsidRPr="00E176F5" w14:paraId="6A6AD35A" w14:textId="77777777" w:rsidTr="007A44B5">
        <w:tc>
          <w:tcPr>
            <w:tcW w:w="0" w:type="auto"/>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360EA75B"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Genotype 1</w:t>
            </w:r>
          </w:p>
        </w:tc>
        <w:tc>
          <w:tcPr>
            <w:tcW w:w="3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3718C3"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LEDIPASVIR + SOFOSBUVIR</w:t>
            </w:r>
            <w:r w:rsidRPr="00E176F5">
              <w:rPr>
                <w:rFonts w:ascii="Arial" w:eastAsia="Times New Roman" w:hAnsi="Arial" w:cs="Arial"/>
                <w:color w:val="000000"/>
                <w:sz w:val="20"/>
                <w:szCs w:val="20"/>
              </w:rPr>
              <w:br/>
              <w:t>[8 or 12 weeks] </w:t>
            </w:r>
            <w:r w:rsidRPr="00E176F5">
              <w:rPr>
                <w:rFonts w:ascii="Arial" w:eastAsia="Times New Roman" w:hAnsi="Arial" w:cs="Arial"/>
                <w:color w:val="000000"/>
                <w:sz w:val="20"/>
                <w:szCs w:val="20"/>
                <w:u w:val="single"/>
                <w:bdr w:val="none" w:sz="0" w:space="0" w:color="auto" w:frame="1"/>
              </w:rPr>
              <w:t>[2]</w:t>
            </w:r>
          </w:p>
          <w:p w14:paraId="3BBDCE5A"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BA2208B"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DACLATASVIR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br/>
              <w:t>[12 weeks]</w:t>
            </w:r>
          </w:p>
          <w:p w14:paraId="15C76A23"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1E3F7B1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0461C194"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54C024A"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PARITAPREVIR + RITONAVIR + OMBITASVIR (&amp;) DASABUVIR</w:t>
            </w:r>
            <w:r w:rsidRPr="00E176F5">
              <w:rPr>
                <w:rFonts w:ascii="Arial" w:eastAsia="Times New Roman" w:hAnsi="Arial" w:cs="Arial"/>
                <w:color w:val="000000"/>
                <w:sz w:val="20"/>
                <w:szCs w:val="20"/>
              </w:rPr>
              <w:br/>
              <w:t>[12 weeks] </w:t>
            </w:r>
            <w:r w:rsidRPr="00E176F5">
              <w:rPr>
                <w:rFonts w:ascii="Arial" w:eastAsia="Times New Roman" w:hAnsi="Arial" w:cs="Arial"/>
                <w:color w:val="000000"/>
                <w:sz w:val="20"/>
                <w:szCs w:val="20"/>
                <w:u w:val="single"/>
                <w:bdr w:val="none" w:sz="0" w:space="0" w:color="auto" w:frame="1"/>
              </w:rPr>
              <w:t>[3]</w:t>
            </w:r>
          </w:p>
          <w:p w14:paraId="40009B3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24F47A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PARITAPREVIR + RITONAVIR + OMBITASVIR (&amp;) DASABUVIR (&amp;) RBV</w:t>
            </w:r>
            <w:r w:rsidRPr="00E176F5">
              <w:rPr>
                <w:rFonts w:ascii="Arial" w:eastAsia="Times New Roman" w:hAnsi="Arial" w:cs="Arial"/>
                <w:color w:val="000000"/>
                <w:sz w:val="20"/>
                <w:szCs w:val="20"/>
              </w:rPr>
              <w:br/>
              <w:t>[12 weeks] </w:t>
            </w:r>
            <w:r w:rsidRPr="00E176F5">
              <w:rPr>
                <w:rFonts w:ascii="Arial" w:eastAsia="Times New Roman" w:hAnsi="Arial" w:cs="Arial"/>
                <w:color w:val="000000"/>
                <w:sz w:val="20"/>
                <w:szCs w:val="20"/>
                <w:u w:val="single"/>
                <w:bdr w:val="none" w:sz="0" w:space="0" w:color="auto" w:frame="1"/>
              </w:rPr>
              <w:t>[4]</w:t>
            </w:r>
          </w:p>
          <w:p w14:paraId="667C8DC2"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53573F64"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GRAZOPREVIR + ELBASVIR</w:t>
            </w:r>
            <w:r w:rsidRPr="00E176F5">
              <w:rPr>
                <w:rFonts w:ascii="Arial" w:eastAsia="Times New Roman" w:hAnsi="Arial" w:cs="Arial"/>
                <w:color w:val="000000"/>
                <w:sz w:val="20"/>
                <w:szCs w:val="20"/>
              </w:rPr>
              <w:br/>
              <w:t>[12 weeks]</w:t>
            </w:r>
          </w:p>
          <w:p w14:paraId="5527B917"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6FF4986B"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158844BF"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27C2213D"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81F06F"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LEDIPASVIR + SOFOSBUVIR</w:t>
            </w:r>
            <w:r w:rsidRPr="00E176F5">
              <w:rPr>
                <w:rFonts w:ascii="Arial" w:eastAsia="Times New Roman" w:hAnsi="Arial" w:cs="Arial"/>
                <w:color w:val="000000"/>
                <w:sz w:val="20"/>
                <w:szCs w:val="20"/>
              </w:rPr>
              <w:br/>
              <w:t>[12 weeks]</w:t>
            </w:r>
          </w:p>
          <w:p w14:paraId="5CF1B2E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F694D4A"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DACLATASVIR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br/>
              <w:t>[12 or 24 weeks]</w:t>
            </w:r>
          </w:p>
          <w:p w14:paraId="45C6F603"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CD89AAB"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1CB27A33"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0606B58C"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PARITAPREVIR + RITONAVIR + OMBITASVIR (&amp;) DASABUVIR</w:t>
            </w:r>
            <w:r w:rsidRPr="00E176F5">
              <w:rPr>
                <w:rFonts w:ascii="Arial" w:eastAsia="Times New Roman" w:hAnsi="Arial" w:cs="Arial"/>
                <w:color w:val="000000"/>
                <w:sz w:val="20"/>
                <w:szCs w:val="20"/>
              </w:rPr>
              <w:br/>
              <w:t>[12 weeks] </w:t>
            </w:r>
            <w:r w:rsidRPr="00E176F5">
              <w:rPr>
                <w:rFonts w:ascii="Arial" w:eastAsia="Times New Roman" w:hAnsi="Arial" w:cs="Arial"/>
                <w:color w:val="000000"/>
                <w:sz w:val="20"/>
                <w:szCs w:val="20"/>
                <w:u w:val="single"/>
                <w:bdr w:val="none" w:sz="0" w:space="0" w:color="auto" w:frame="1"/>
              </w:rPr>
              <w:t>[3]</w:t>
            </w:r>
          </w:p>
          <w:p w14:paraId="4A6F661E"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2EAD77D3"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PARITAPREVIR + RITONAVIR + OMBITASVIR (&amp;) DASABUVIR (&amp;) RBV</w:t>
            </w:r>
            <w:r w:rsidRPr="00E176F5">
              <w:rPr>
                <w:rFonts w:ascii="Arial" w:eastAsia="Times New Roman" w:hAnsi="Arial" w:cs="Arial"/>
                <w:color w:val="000000"/>
                <w:sz w:val="20"/>
                <w:szCs w:val="20"/>
              </w:rPr>
              <w:br/>
              <w:t>[12 weeks] </w:t>
            </w:r>
            <w:r w:rsidRPr="00E176F5">
              <w:rPr>
                <w:rFonts w:ascii="Arial" w:eastAsia="Times New Roman" w:hAnsi="Arial" w:cs="Arial"/>
                <w:color w:val="000000"/>
                <w:sz w:val="20"/>
                <w:szCs w:val="20"/>
                <w:u w:val="single"/>
                <w:bdr w:val="none" w:sz="0" w:space="0" w:color="auto" w:frame="1"/>
              </w:rPr>
              <w:t>[4]</w:t>
            </w:r>
          </w:p>
          <w:p w14:paraId="4FDA94D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0F8D0F5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GRAZOPREVIR + ELBASVIR</w:t>
            </w:r>
            <w:r w:rsidRPr="00E176F5">
              <w:rPr>
                <w:rFonts w:ascii="Arial" w:eastAsia="Times New Roman" w:hAnsi="Arial" w:cs="Arial"/>
                <w:color w:val="000000"/>
                <w:sz w:val="20"/>
                <w:szCs w:val="20"/>
              </w:rPr>
              <w:br/>
              <w:t>[12 weeks]</w:t>
            </w:r>
          </w:p>
          <w:p w14:paraId="3192538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559B0A2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GRAZOPREVIR + ELBASVIR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[16 weeks] </w:t>
            </w:r>
            <w:r w:rsidRPr="00E176F5">
              <w:rPr>
                <w:rFonts w:ascii="Arial" w:eastAsia="Times New Roman" w:hAnsi="Arial" w:cs="Arial"/>
                <w:color w:val="000000"/>
                <w:sz w:val="20"/>
                <w:szCs w:val="20"/>
                <w:u w:val="single"/>
                <w:bdr w:val="none" w:sz="0" w:space="0" w:color="auto" w:frame="1"/>
              </w:rPr>
              <w:t>[5]</w:t>
            </w:r>
          </w:p>
          <w:p w14:paraId="37E074A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8E7C3EB"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2E53F06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65398331"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or 12 or 16 weeks] </w:t>
            </w:r>
            <w:r w:rsidRPr="00E176F5">
              <w:rPr>
                <w:rFonts w:ascii="Arial" w:eastAsia="Times New Roman" w:hAnsi="Arial" w:cs="Arial"/>
                <w:color w:val="000000"/>
                <w:sz w:val="20"/>
                <w:szCs w:val="20"/>
                <w:u w:val="single"/>
                <w:bdr w:val="none" w:sz="0" w:space="0" w:color="auto" w:frame="1"/>
              </w:rPr>
              <w:t>[6]</w:t>
            </w:r>
          </w:p>
        </w:tc>
      </w:tr>
      <w:tr w:rsidR="00DE360B" w:rsidRPr="00E176F5" w14:paraId="421E4C2A" w14:textId="77777777" w:rsidTr="007A44B5">
        <w:tc>
          <w:tcPr>
            <w:tcW w:w="0" w:type="auto"/>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1F3B1AC2"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Genotype 2</w:t>
            </w:r>
          </w:p>
        </w:tc>
        <w:tc>
          <w:tcPr>
            <w:tcW w:w="3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97E5001"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3DD013CD"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294665A"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42278474"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0111366D"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61B6BD"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1BAC1A8C"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483407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2A4C0D80"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42AEAC8C"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r>
      <w:tr w:rsidR="00DE360B" w:rsidRPr="00E176F5" w14:paraId="0396B704" w14:textId="77777777" w:rsidTr="00DE360B">
        <w:trPr>
          <w:trHeight w:val="1111"/>
        </w:trPr>
        <w:tc>
          <w:tcPr>
            <w:tcW w:w="0" w:type="auto"/>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1F5CCC90"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Genotype 3</w:t>
            </w:r>
          </w:p>
        </w:tc>
        <w:tc>
          <w:tcPr>
            <w:tcW w:w="3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62079F8"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DACLATASVIR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br/>
              <w:t>[12 weeks]</w:t>
            </w:r>
          </w:p>
          <w:p w14:paraId="66F3E7C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60F781D"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[24 weeks]</w:t>
            </w:r>
          </w:p>
          <w:p w14:paraId="0A7FBA9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612511D5"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662A0B5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60114B0"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2283A43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2F3FAA9F"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8816B08"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DACLATASVIR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br/>
              <w:t>[12 weeks]</w:t>
            </w:r>
          </w:p>
          <w:p w14:paraId="57F3E08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41F8A375"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[24 weeks]</w:t>
            </w:r>
          </w:p>
          <w:p w14:paraId="7AA39D3C"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1D40FEA"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6F736D6E"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A3A04AE"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5ED25A74"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46E50CC6"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[16 weeks]</w:t>
            </w:r>
          </w:p>
          <w:p w14:paraId="5C27F2B3" w14:textId="77777777" w:rsidR="007A44B5" w:rsidRPr="00E176F5" w:rsidRDefault="007A44B5" w:rsidP="00EF5D3B">
            <w:pPr>
              <w:spacing w:after="240" w:line="300" w:lineRule="atLeast"/>
              <w:rPr>
                <w:rFonts w:ascii="Arial" w:eastAsia="Times New Roman" w:hAnsi="Arial" w:cs="Arial"/>
                <w:color w:val="000000"/>
                <w:sz w:val="20"/>
                <w:szCs w:val="20"/>
              </w:rPr>
            </w:pPr>
          </w:p>
        </w:tc>
      </w:tr>
      <w:tr w:rsidR="00DE360B" w:rsidRPr="00E176F5" w14:paraId="4E81CF4B" w14:textId="77777777" w:rsidTr="00DE360B">
        <w:trPr>
          <w:trHeight w:val="6499"/>
        </w:trPr>
        <w:tc>
          <w:tcPr>
            <w:tcW w:w="0" w:type="auto"/>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47F7BCD7"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Genotype 4</w:t>
            </w:r>
          </w:p>
        </w:tc>
        <w:tc>
          <w:tcPr>
            <w:tcW w:w="3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145A47"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55D804EC"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5B41B53D"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GRAZOPREVIR + ELBASVIR</w:t>
            </w:r>
            <w:r w:rsidRPr="00E176F5">
              <w:rPr>
                <w:rFonts w:ascii="Arial" w:eastAsia="Times New Roman" w:hAnsi="Arial" w:cs="Arial"/>
                <w:color w:val="000000"/>
                <w:sz w:val="20"/>
                <w:szCs w:val="20"/>
              </w:rPr>
              <w:br/>
              <w:t>[12 weeks]</w:t>
            </w:r>
          </w:p>
          <w:p w14:paraId="02D2C765"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6B38262F"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641DD7A1"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67E62450"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0BEF54"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7BE909F5"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62FEECC"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GRAZOPREVIR + ELBASVIR</w:t>
            </w:r>
            <w:r w:rsidRPr="00E176F5">
              <w:rPr>
                <w:rFonts w:ascii="Arial" w:eastAsia="Times New Roman" w:hAnsi="Arial" w:cs="Arial"/>
                <w:color w:val="000000"/>
                <w:sz w:val="20"/>
                <w:szCs w:val="20"/>
              </w:rPr>
              <w:br/>
              <w:t>[12 weeks]</w:t>
            </w:r>
          </w:p>
          <w:p w14:paraId="67E8DD27"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6B790139"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GRAZOPREVIR + ELBASVIR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[16 weeks] </w:t>
            </w:r>
            <w:r w:rsidRPr="00E176F5">
              <w:rPr>
                <w:rFonts w:ascii="Arial" w:eastAsia="Times New Roman" w:hAnsi="Arial" w:cs="Arial"/>
                <w:color w:val="000000"/>
                <w:sz w:val="20"/>
                <w:szCs w:val="20"/>
                <w:u w:val="single"/>
                <w:bdr w:val="none" w:sz="0" w:space="0" w:color="auto" w:frame="1"/>
              </w:rPr>
              <w:t>[5]</w:t>
            </w:r>
          </w:p>
          <w:p w14:paraId="1C30E2AB"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1A747072"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000A935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0C346D9"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r>
      <w:tr w:rsidR="00DE360B" w:rsidRPr="00E176F5" w14:paraId="1B21FB16" w14:textId="77777777" w:rsidTr="007A44B5">
        <w:tc>
          <w:tcPr>
            <w:tcW w:w="0" w:type="auto"/>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64FA5D44" w14:textId="77777777" w:rsidR="007A44B5" w:rsidRPr="00E176F5" w:rsidRDefault="00DE360B" w:rsidP="00EF5D3B">
            <w:pPr>
              <w:spacing w:before="240" w:after="240" w:line="300" w:lineRule="atLeast"/>
              <w:jc w:val="center"/>
              <w:rPr>
                <w:rFonts w:ascii="Arial" w:eastAsia="Times New Roman" w:hAnsi="Arial" w:cs="Arial"/>
                <w:b/>
                <w:bCs/>
                <w:color w:val="000000"/>
                <w:sz w:val="20"/>
                <w:szCs w:val="20"/>
              </w:rPr>
            </w:pPr>
            <w:r w:rsidRPr="00E176F5">
              <w:rPr>
                <w:rFonts w:ascii="Arial" w:eastAsia="Times New Roman" w:hAnsi="Arial" w:cs="Arial"/>
                <w:b/>
                <w:bCs/>
                <w:color w:val="000000"/>
                <w:sz w:val="20"/>
                <w:szCs w:val="20"/>
              </w:rPr>
              <w:t>Genotype 5 &amp; 6</w:t>
            </w:r>
          </w:p>
        </w:tc>
        <w:tc>
          <w:tcPr>
            <w:tcW w:w="3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D8DE8E"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61DEDA2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3D641203"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r w:rsidRPr="00E176F5">
              <w:rPr>
                <w:rFonts w:ascii="Arial" w:eastAsia="Times New Roman" w:hAnsi="Arial" w:cs="Arial"/>
                <w:color w:val="000000"/>
                <w:sz w:val="20"/>
                <w:szCs w:val="20"/>
              </w:rPr>
              <w:br/>
            </w:r>
            <w:r w:rsidRPr="00E176F5">
              <w:rPr>
                <w:rFonts w:ascii="Arial" w:eastAsia="Times New Roman" w:hAnsi="Arial" w:cs="Arial"/>
                <w:color w:val="000000"/>
                <w:sz w:val="20"/>
                <w:szCs w:val="20"/>
              </w:rPr>
              <w:br/>
              <w:t>OR</w:t>
            </w:r>
          </w:p>
          <w:p w14:paraId="4313E2FE"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F8054F" w14:textId="77777777" w:rsidR="00DE360B" w:rsidRPr="00E176F5" w:rsidRDefault="00DE360B" w:rsidP="00EF5D3B">
            <w:pPr>
              <w:spacing w:before="240"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PEG-IFN</w:t>
            </w:r>
            <w:r w:rsidRPr="00E176F5">
              <w:rPr>
                <w:rFonts w:ascii="Arial" w:eastAsia="Times New Roman" w:hAnsi="Arial" w:cs="Arial"/>
                <w:color w:val="000000"/>
                <w:sz w:val="20"/>
                <w:szCs w:val="20"/>
              </w:rPr>
              <w:t> and </w:t>
            </w:r>
            <w:r w:rsidRPr="00E176F5">
              <w:rPr>
                <w:rFonts w:ascii="Arial" w:eastAsia="Times New Roman" w:hAnsi="Arial" w:cs="Arial"/>
                <w:b/>
                <w:bCs/>
                <w:color w:val="000000"/>
                <w:sz w:val="20"/>
                <w:szCs w:val="20"/>
                <w:bdr w:val="none" w:sz="0" w:space="0" w:color="auto" w:frame="1"/>
              </w:rPr>
              <w:t>RBV</w:t>
            </w:r>
            <w:r w:rsidRPr="00E176F5">
              <w:rPr>
                <w:rFonts w:ascii="Arial" w:eastAsia="Times New Roman" w:hAnsi="Arial" w:cs="Arial"/>
                <w:color w:val="000000"/>
                <w:sz w:val="20"/>
                <w:szCs w:val="20"/>
              </w:rPr>
              <w:br/>
              <w:t>[12 weeks]</w:t>
            </w:r>
          </w:p>
          <w:p w14:paraId="01F09C24"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06A2CF0C"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SOFOSBUVIR + VELPATASVIR</w:t>
            </w:r>
            <w:r w:rsidRPr="00E176F5">
              <w:rPr>
                <w:rFonts w:ascii="Arial" w:eastAsia="Times New Roman" w:hAnsi="Arial" w:cs="Arial"/>
                <w:color w:val="000000"/>
                <w:sz w:val="20"/>
                <w:szCs w:val="20"/>
              </w:rPr>
              <w:br/>
              <w:t>[12 weeks]</w:t>
            </w:r>
          </w:p>
          <w:p w14:paraId="2EEDBB28" w14:textId="77777777" w:rsidR="00DE360B"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color w:val="000000"/>
                <w:sz w:val="20"/>
                <w:szCs w:val="20"/>
              </w:rPr>
              <w:t>OR</w:t>
            </w:r>
          </w:p>
          <w:p w14:paraId="7131B60D" w14:textId="77777777" w:rsidR="007A44B5" w:rsidRPr="00E176F5" w:rsidRDefault="00DE360B" w:rsidP="00EF5D3B">
            <w:pPr>
              <w:spacing w:after="240" w:line="300" w:lineRule="atLeast"/>
              <w:rPr>
                <w:rFonts w:ascii="Arial" w:eastAsia="Times New Roman" w:hAnsi="Arial" w:cs="Arial"/>
                <w:color w:val="000000"/>
                <w:sz w:val="20"/>
                <w:szCs w:val="20"/>
              </w:rPr>
            </w:pPr>
            <w:r w:rsidRPr="00E176F5">
              <w:rPr>
                <w:rFonts w:ascii="Arial" w:eastAsia="Times New Roman" w:hAnsi="Arial" w:cs="Arial"/>
                <w:b/>
                <w:bCs/>
                <w:color w:val="000000"/>
                <w:sz w:val="20"/>
                <w:szCs w:val="20"/>
                <w:bdr w:val="none" w:sz="0" w:space="0" w:color="auto" w:frame="1"/>
              </w:rPr>
              <w:t>GLECAPREVIR + PIBRENTASVIR</w:t>
            </w:r>
            <w:r w:rsidRPr="00E176F5">
              <w:rPr>
                <w:rFonts w:ascii="Arial" w:eastAsia="Times New Roman" w:hAnsi="Arial" w:cs="Arial"/>
                <w:color w:val="000000"/>
                <w:sz w:val="20"/>
                <w:szCs w:val="20"/>
              </w:rPr>
              <w:br/>
              <w:t>[8 weeks]</w:t>
            </w:r>
          </w:p>
        </w:tc>
      </w:tr>
    </w:tbl>
    <w:p w14:paraId="01AA3B82" w14:textId="77777777" w:rsidR="00DE360B" w:rsidRPr="00DE360B" w:rsidRDefault="00DE360B" w:rsidP="00EF5D3B">
      <w:pPr>
        <w:spacing w:after="0"/>
      </w:pPr>
      <w:r w:rsidRPr="00042AB2">
        <w:rPr>
          <w:rFonts w:ascii="Arial" w:hAnsi="Arial" w:cs="Arial"/>
        </w:rPr>
        <w:t>KEY</w:t>
      </w:r>
    </w:p>
    <w:p w14:paraId="7AB9ACC2" w14:textId="77777777" w:rsidR="00DE360B" w:rsidRPr="00DE360B" w:rsidRDefault="00DE360B" w:rsidP="00EF5D3B">
      <w:pPr>
        <w:numPr>
          <w:ilvl w:val="0"/>
          <w:numId w:val="9"/>
        </w:numPr>
        <w:shd w:val="clear" w:color="auto" w:fill="FFFFFF"/>
        <w:spacing w:after="0" w:line="300" w:lineRule="atLeast"/>
        <w:ind w:left="600" w:right="150"/>
        <w:contextualSpacing/>
        <w:rPr>
          <w:rFonts w:ascii="Arial" w:eastAsia="Times New Roman" w:hAnsi="Arial" w:cs="Arial"/>
          <w:color w:val="000000"/>
          <w:sz w:val="20"/>
          <w:szCs w:val="20"/>
        </w:rPr>
      </w:pPr>
      <w:r w:rsidRPr="00DE360B">
        <w:rPr>
          <w:rFonts w:ascii="Arial" w:eastAsia="Times New Roman" w:hAnsi="Arial" w:cs="Arial"/>
          <w:color w:val="000000"/>
          <w:sz w:val="20"/>
          <w:szCs w:val="20"/>
        </w:rPr>
        <w:t>PEG-IFN - peginterferon alfa-2a</w:t>
      </w:r>
    </w:p>
    <w:p w14:paraId="40259A12" w14:textId="6EC6DDF0" w:rsidR="00B9552A" w:rsidRDefault="00DE360B" w:rsidP="00EF5D3B">
      <w:pPr>
        <w:numPr>
          <w:ilvl w:val="0"/>
          <w:numId w:val="9"/>
        </w:numPr>
        <w:shd w:val="clear" w:color="auto" w:fill="FFFFFF"/>
        <w:spacing w:after="0" w:line="300" w:lineRule="atLeast"/>
        <w:ind w:left="600" w:right="150"/>
        <w:contextualSpacing/>
        <w:rPr>
          <w:rFonts w:ascii="Arial" w:eastAsia="Times New Roman" w:hAnsi="Arial" w:cs="Arial"/>
          <w:color w:val="000000"/>
          <w:sz w:val="20"/>
          <w:szCs w:val="20"/>
        </w:rPr>
      </w:pPr>
      <w:r w:rsidRPr="00DE360B">
        <w:rPr>
          <w:rFonts w:ascii="Arial" w:eastAsia="Times New Roman" w:hAnsi="Arial" w:cs="Arial"/>
          <w:color w:val="000000"/>
          <w:sz w:val="20"/>
          <w:szCs w:val="20"/>
        </w:rPr>
        <w:t>RBV – ribavirin</w:t>
      </w:r>
    </w:p>
    <w:p w14:paraId="5E3D3CC1" w14:textId="77777777" w:rsidR="00B9552A" w:rsidRDefault="00B9552A">
      <w:p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14:paraId="7D46F40F" w14:textId="77777777" w:rsidR="00DE360B" w:rsidRPr="00DE360B" w:rsidRDefault="00DE360B" w:rsidP="00EF5D3B">
      <w:pPr>
        <w:shd w:val="clear" w:color="auto" w:fill="FFFFFF"/>
        <w:spacing w:after="120"/>
        <w:outlineLvl w:val="1"/>
        <w:rPr>
          <w:rFonts w:ascii="Arial" w:eastAsia="Times New Roman" w:hAnsi="Arial" w:cs="Arial"/>
          <w:b/>
          <w:color w:val="000000"/>
          <w:sz w:val="28"/>
          <w:szCs w:val="28"/>
        </w:rPr>
      </w:pPr>
      <w:r w:rsidRPr="00DE360B">
        <w:rPr>
          <w:rFonts w:ascii="Arial" w:eastAsia="Times New Roman" w:hAnsi="Arial" w:cs="Arial"/>
          <w:b/>
          <w:color w:val="000000"/>
          <w:sz w:val="28"/>
          <w:szCs w:val="28"/>
        </w:rPr>
        <w:t>Hepatitis C – Cirrhotic patients</w:t>
      </w:r>
    </w:p>
    <w:tbl>
      <w:tblPr>
        <w:tblW w:w="9506"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Caption w:val="Appendix 3"/>
        <w:tblDescription w:val="General Statement of Drugs for the Treatment of Hepatitis C"/>
      </w:tblPr>
      <w:tblGrid>
        <w:gridCol w:w="1223"/>
        <w:gridCol w:w="4218"/>
        <w:gridCol w:w="4065"/>
      </w:tblGrid>
      <w:tr w:rsidR="00DE360B" w:rsidRPr="00DE360B" w14:paraId="39E6DAB7" w14:textId="77777777" w:rsidTr="00DE360B">
        <w:trPr>
          <w:trHeight w:val="537"/>
        </w:trPr>
        <w:tc>
          <w:tcPr>
            <w:tcW w:w="1223"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260DF137"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bdr w:val="none" w:sz="0" w:space="0" w:color="auto" w:frame="1"/>
              </w:rPr>
              <w:t> </w:t>
            </w:r>
          </w:p>
        </w:tc>
        <w:tc>
          <w:tcPr>
            <w:tcW w:w="4218"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7FEB97EE"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Treatment naïve</w:t>
            </w:r>
          </w:p>
        </w:tc>
        <w:tc>
          <w:tcPr>
            <w:tcW w:w="4065"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0C307435"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Treatment experienced</w:t>
            </w:r>
          </w:p>
        </w:tc>
      </w:tr>
      <w:tr w:rsidR="00DE360B" w:rsidRPr="00DE360B" w14:paraId="33F6EA0D" w14:textId="77777777" w:rsidTr="00042AB2">
        <w:trPr>
          <w:trHeight w:val="820"/>
        </w:trPr>
        <w:tc>
          <w:tcPr>
            <w:tcW w:w="1223"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68616091"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Genotype 1</w:t>
            </w:r>
          </w:p>
        </w:tc>
        <w:tc>
          <w:tcPr>
            <w:tcW w:w="42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27C74"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LEDIPASVIR + SOFOSBUVIR</w:t>
            </w:r>
            <w:r w:rsidRPr="00DE360B">
              <w:rPr>
                <w:rFonts w:ascii="Arial" w:eastAsia="Times New Roman" w:hAnsi="Arial" w:cs="Arial"/>
                <w:color w:val="000000"/>
                <w:sz w:val="20"/>
                <w:szCs w:val="20"/>
              </w:rPr>
              <w:br/>
              <w:t>[12 weeks]</w:t>
            </w:r>
          </w:p>
          <w:p w14:paraId="122D6FEB"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42B54EC"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3D65D7AC"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070FB7BB"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br/>
              <w:t>[24 weeks]</w:t>
            </w:r>
          </w:p>
          <w:p w14:paraId="01083709"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33340D4B"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6EEEB27D"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56424C4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PARITAPREVIR + RITONAVIR + OMBITASVIR (&amp;) DASABUVIR (&amp;) RBV</w:t>
            </w:r>
            <w:r w:rsidRPr="00DE360B">
              <w:rPr>
                <w:rFonts w:ascii="Arial" w:eastAsia="Times New Roman" w:hAnsi="Arial" w:cs="Arial"/>
                <w:color w:val="000000"/>
                <w:sz w:val="20"/>
                <w:szCs w:val="20"/>
              </w:rPr>
              <w:br/>
              <w:t>[12 weeks]</w:t>
            </w:r>
          </w:p>
          <w:p w14:paraId="48740599"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260789F6"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GRAZOPREVIR + ELBASVIR</w:t>
            </w:r>
            <w:r w:rsidRPr="00DE360B">
              <w:rPr>
                <w:rFonts w:ascii="Arial" w:eastAsia="Times New Roman" w:hAnsi="Arial" w:cs="Arial"/>
                <w:color w:val="000000"/>
                <w:sz w:val="20"/>
                <w:szCs w:val="20"/>
              </w:rPr>
              <w:br/>
              <w:t>[12 weeks]</w:t>
            </w:r>
          </w:p>
          <w:p w14:paraId="0A4471DF"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ED120C5"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37E31E94"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1F18D4BB"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c>
          <w:tcPr>
            <w:tcW w:w="40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A5CFEB"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LEDIPASVIR + SOFOSBUVIR</w:t>
            </w:r>
            <w:r w:rsidRPr="00DE360B">
              <w:rPr>
                <w:rFonts w:ascii="Arial" w:eastAsia="Times New Roman" w:hAnsi="Arial" w:cs="Arial"/>
                <w:color w:val="000000"/>
                <w:sz w:val="20"/>
                <w:szCs w:val="20"/>
              </w:rPr>
              <w:br/>
              <w:t>[24 weeks]</w:t>
            </w:r>
          </w:p>
          <w:p w14:paraId="722636DF"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3F13F44F"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br/>
              <w:t>[24 weeks]</w:t>
            </w:r>
          </w:p>
          <w:p w14:paraId="7B9058BB"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BA8FC8F"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4CEDF94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07FFD77"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292BA9AE"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0B193DD3"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PARITAPREVIR + RITONAVIR + OMBITASVIR (&amp;)</w:t>
            </w:r>
            <w:r w:rsidRPr="00DE360B">
              <w:rPr>
                <w:rFonts w:ascii="Arial" w:eastAsia="Times New Roman" w:hAnsi="Arial" w:cs="Arial"/>
                <w:color w:val="000000"/>
                <w:sz w:val="20"/>
                <w:szCs w:val="20"/>
              </w:rPr>
              <w:t> </w:t>
            </w:r>
            <w:r w:rsidRPr="00DE360B">
              <w:rPr>
                <w:rFonts w:ascii="Arial" w:eastAsia="Times New Roman" w:hAnsi="Arial" w:cs="Arial"/>
                <w:b/>
                <w:bCs/>
                <w:color w:val="000000"/>
                <w:sz w:val="20"/>
                <w:szCs w:val="20"/>
                <w:bdr w:val="none" w:sz="0" w:space="0" w:color="auto" w:frame="1"/>
              </w:rPr>
              <w:t>DASABUVIR (&amp;) RBV</w:t>
            </w:r>
            <w:r w:rsidRPr="00DE360B">
              <w:rPr>
                <w:rFonts w:ascii="Arial" w:eastAsia="Times New Roman" w:hAnsi="Arial" w:cs="Arial"/>
                <w:color w:val="000000"/>
                <w:sz w:val="20"/>
                <w:szCs w:val="20"/>
              </w:rPr>
              <w:br/>
              <w:t>[12 or 24 weeks] </w:t>
            </w:r>
            <w:r w:rsidRPr="00DE360B">
              <w:rPr>
                <w:rFonts w:ascii="Arial" w:eastAsia="Times New Roman" w:hAnsi="Arial" w:cs="Arial"/>
                <w:color w:val="000000"/>
                <w:sz w:val="20"/>
                <w:szCs w:val="20"/>
                <w:u w:val="single"/>
                <w:bdr w:val="none" w:sz="0" w:space="0" w:color="auto" w:frame="1"/>
              </w:rPr>
              <w:t>[8]</w:t>
            </w:r>
          </w:p>
          <w:p w14:paraId="6265715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8B8E39A"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GRAZOPREVIR + ELBASVIR</w:t>
            </w:r>
            <w:r w:rsidRPr="00DE360B">
              <w:rPr>
                <w:rFonts w:ascii="Arial" w:eastAsia="Times New Roman" w:hAnsi="Arial" w:cs="Arial"/>
                <w:color w:val="000000"/>
                <w:sz w:val="20"/>
                <w:szCs w:val="20"/>
              </w:rPr>
              <w:br/>
              <w:t>[12 weeks]</w:t>
            </w:r>
          </w:p>
          <w:p w14:paraId="1800671C"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28060AE"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GRAZOPREVIR + ELBASVIR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[16 weeks] </w:t>
            </w:r>
            <w:r w:rsidRPr="00DE360B">
              <w:rPr>
                <w:rFonts w:ascii="Arial" w:eastAsia="Times New Roman" w:hAnsi="Arial" w:cs="Arial"/>
                <w:color w:val="000000"/>
                <w:sz w:val="20"/>
                <w:szCs w:val="20"/>
                <w:u w:val="single"/>
                <w:bdr w:val="none" w:sz="0" w:space="0" w:color="auto" w:frame="1"/>
              </w:rPr>
              <w:t>[5]</w:t>
            </w:r>
          </w:p>
          <w:p w14:paraId="7209E64C"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00D4F1D1"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044D8A5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2DBFD90F"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or 16 weeks]</w:t>
            </w:r>
          </w:p>
        </w:tc>
      </w:tr>
      <w:tr w:rsidR="00DE360B" w:rsidRPr="00DE360B" w14:paraId="31909D5F" w14:textId="77777777" w:rsidTr="00DE360B">
        <w:trPr>
          <w:trHeight w:val="141"/>
        </w:trPr>
        <w:tc>
          <w:tcPr>
            <w:tcW w:w="1223"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227DC7DC"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Genotype 2</w:t>
            </w:r>
          </w:p>
        </w:tc>
        <w:tc>
          <w:tcPr>
            <w:tcW w:w="42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E68F78F"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2BEE06B9"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584BA3A"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2FE926CD"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1E82573F"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c>
          <w:tcPr>
            <w:tcW w:w="40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959DE63"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57B52EEA"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5CD5B4A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0D7F545E"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8D43F63"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r>
      <w:tr w:rsidR="00DE360B" w:rsidRPr="00DE360B" w14:paraId="255CEC46" w14:textId="77777777" w:rsidTr="00042AB2">
        <w:trPr>
          <w:trHeight w:val="1245"/>
        </w:trPr>
        <w:tc>
          <w:tcPr>
            <w:tcW w:w="1223"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13F20847"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Genotype 3</w:t>
            </w:r>
          </w:p>
        </w:tc>
        <w:tc>
          <w:tcPr>
            <w:tcW w:w="42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7343933"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[24 weeks]</w:t>
            </w:r>
          </w:p>
          <w:p w14:paraId="39833637"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9C3A9E7"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br/>
              <w:t>[24 weeks]</w:t>
            </w:r>
          </w:p>
          <w:p w14:paraId="6259FF86"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31AC9438"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44BEE855"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AE3E35C" w14:textId="77777777" w:rsidR="00DE360B" w:rsidRPr="00DE360B" w:rsidRDefault="00AC1E13"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w:t>
            </w:r>
            <w:r>
              <w:rPr>
                <w:rFonts w:ascii="Arial" w:eastAsia="Times New Roman" w:hAnsi="Arial" w:cs="Arial"/>
                <w:color w:val="000000"/>
                <w:sz w:val="20"/>
                <w:szCs w:val="20"/>
              </w:rPr>
              <w:t xml:space="preserve">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w:t>
            </w:r>
            <w:r>
              <w:rPr>
                <w:rFonts w:ascii="Arial" w:eastAsia="Times New Roman" w:hAnsi="Arial" w:cs="Arial"/>
                <w:color w:val="000000"/>
                <w:sz w:val="20"/>
                <w:szCs w:val="20"/>
              </w:rPr>
              <w:t xml:space="preserve">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or 24 weeks] </w:t>
            </w:r>
            <w:r w:rsidRPr="00DE360B">
              <w:rPr>
                <w:rFonts w:ascii="Arial" w:eastAsia="Times New Roman" w:hAnsi="Arial" w:cs="Arial"/>
                <w:color w:val="000000"/>
                <w:sz w:val="20"/>
                <w:szCs w:val="20"/>
                <w:u w:val="single"/>
                <w:bdr w:val="none" w:sz="0" w:space="0" w:color="auto" w:frame="1"/>
              </w:rPr>
              <w:t>[9]</w:t>
            </w:r>
          </w:p>
          <w:p w14:paraId="4396427F"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681E89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r w:rsidRPr="00DE360B">
              <w:rPr>
                <w:rFonts w:ascii="Arial" w:eastAsia="Times New Roman" w:hAnsi="Arial" w:cs="Arial"/>
                <w:color w:val="000000"/>
                <w:sz w:val="20"/>
                <w:szCs w:val="20"/>
              </w:rPr>
              <w:t>, </w:t>
            </w:r>
            <w:r w:rsidRPr="00DE360B">
              <w:rPr>
                <w:rFonts w:ascii="Arial" w:eastAsia="Times New Roman" w:hAnsi="Arial" w:cs="Arial"/>
                <w:color w:val="000000"/>
                <w:sz w:val="20"/>
                <w:szCs w:val="20"/>
                <w:u w:val="single"/>
                <w:bdr w:val="none" w:sz="0" w:space="0" w:color="auto" w:frame="1"/>
              </w:rPr>
              <w:t>[10]</w:t>
            </w:r>
          </w:p>
          <w:p w14:paraId="70C3C1C3"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20ED53F2"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c>
          <w:tcPr>
            <w:tcW w:w="40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BA395D"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br/>
              <w:t>[24 weeks]</w:t>
            </w:r>
          </w:p>
          <w:p w14:paraId="42378571"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7072607"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[24 weeks]</w:t>
            </w:r>
          </w:p>
          <w:p w14:paraId="184ABC8D"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0630372E"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02C19DE8"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58D3779D" w14:textId="77777777" w:rsidR="00DE360B" w:rsidRPr="00DE360B" w:rsidRDefault="00AC1E13"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DACLATASVIR</w:t>
            </w:r>
            <w:r>
              <w:rPr>
                <w:rFonts w:ascii="Arial" w:eastAsia="Times New Roman" w:hAnsi="Arial" w:cs="Arial"/>
                <w:b/>
                <w:bCs/>
                <w:color w:val="000000"/>
                <w:sz w:val="20"/>
                <w:szCs w:val="20"/>
                <w:bdr w:val="none" w:sz="0" w:space="0" w:color="auto" w:frame="1"/>
              </w:rPr>
              <w:t xml:space="preserve"> </w:t>
            </w:r>
            <w:r w:rsidRPr="00DE360B">
              <w:rPr>
                <w:rFonts w:ascii="Arial" w:eastAsia="Times New Roman" w:hAnsi="Arial" w:cs="Arial"/>
                <w:color w:val="000000"/>
                <w:sz w:val="20"/>
                <w:szCs w:val="20"/>
              </w:rPr>
              <w:t>and</w:t>
            </w:r>
            <w:r>
              <w:rPr>
                <w:rFonts w:ascii="Arial" w:eastAsia="Times New Roman" w:hAnsi="Arial" w:cs="Arial"/>
                <w:color w:val="000000"/>
                <w:sz w:val="20"/>
                <w:szCs w:val="20"/>
              </w:rPr>
              <w:t xml:space="preserve"> </w:t>
            </w:r>
            <w:r w:rsidRPr="00DE360B">
              <w:rPr>
                <w:rFonts w:ascii="Arial" w:eastAsia="Times New Roman" w:hAnsi="Arial" w:cs="Arial"/>
                <w:b/>
                <w:bCs/>
                <w:color w:val="000000"/>
                <w:sz w:val="20"/>
                <w:szCs w:val="20"/>
                <w:bdr w:val="none" w:sz="0" w:space="0" w:color="auto" w:frame="1"/>
              </w:rPr>
              <w:t>SOFOSBUVIR</w:t>
            </w:r>
            <w:r>
              <w:rPr>
                <w:rFonts w:ascii="Arial" w:eastAsia="Times New Roman" w:hAnsi="Arial" w:cs="Arial"/>
                <w:b/>
                <w:bCs/>
                <w:color w:val="000000"/>
                <w:sz w:val="20"/>
                <w:szCs w:val="20"/>
                <w:bdr w:val="none" w:sz="0" w:space="0" w:color="auto" w:frame="1"/>
              </w:rPr>
              <w:t xml:space="preserve"> </w:t>
            </w:r>
            <w:r w:rsidRPr="00DE360B">
              <w:rPr>
                <w:rFonts w:ascii="Arial" w:eastAsia="Times New Roman" w:hAnsi="Arial" w:cs="Arial"/>
                <w:color w:val="000000"/>
                <w:sz w:val="20"/>
                <w:szCs w:val="20"/>
              </w:rPr>
              <w:t>and</w:t>
            </w:r>
            <w:r w:rsidR="00DE360B" w:rsidRPr="00DE360B">
              <w:rPr>
                <w:rFonts w:ascii="Arial" w:eastAsia="Times New Roman" w:hAnsi="Arial" w:cs="Arial"/>
                <w:color w:val="000000"/>
                <w:sz w:val="20"/>
                <w:szCs w:val="20"/>
              </w:rPr>
              <w:t> </w:t>
            </w:r>
            <w:r w:rsidR="00DE360B" w:rsidRPr="00DE360B">
              <w:rPr>
                <w:rFonts w:ascii="Arial" w:eastAsia="Times New Roman" w:hAnsi="Arial" w:cs="Arial"/>
                <w:b/>
                <w:bCs/>
                <w:color w:val="000000"/>
                <w:sz w:val="20"/>
                <w:szCs w:val="20"/>
                <w:bdr w:val="none" w:sz="0" w:space="0" w:color="auto" w:frame="1"/>
              </w:rPr>
              <w:t>RBV</w:t>
            </w:r>
            <w:r w:rsidR="00DE360B" w:rsidRPr="00DE360B">
              <w:rPr>
                <w:rFonts w:ascii="Arial" w:eastAsia="Times New Roman" w:hAnsi="Arial" w:cs="Arial"/>
                <w:color w:val="000000"/>
                <w:sz w:val="20"/>
                <w:szCs w:val="20"/>
              </w:rPr>
              <w:br/>
              <w:t>[12 or 24 weeks] </w:t>
            </w:r>
            <w:r w:rsidR="00DE360B" w:rsidRPr="00DE360B">
              <w:rPr>
                <w:rFonts w:ascii="Arial" w:eastAsia="Times New Roman" w:hAnsi="Arial" w:cs="Arial"/>
                <w:color w:val="000000"/>
                <w:sz w:val="20"/>
                <w:szCs w:val="20"/>
                <w:u w:val="single"/>
                <w:bdr w:val="none" w:sz="0" w:space="0" w:color="auto" w:frame="1"/>
              </w:rPr>
              <w:t>[9]</w:t>
            </w:r>
          </w:p>
          <w:p w14:paraId="43A0B3EE"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07237F8A"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r w:rsidRPr="00DE360B">
              <w:rPr>
                <w:rFonts w:ascii="Arial" w:eastAsia="Times New Roman" w:hAnsi="Arial" w:cs="Arial"/>
                <w:color w:val="000000"/>
                <w:sz w:val="20"/>
                <w:szCs w:val="20"/>
              </w:rPr>
              <w:t>, </w:t>
            </w:r>
            <w:r w:rsidRPr="00DE360B">
              <w:rPr>
                <w:rFonts w:ascii="Arial" w:eastAsia="Times New Roman" w:hAnsi="Arial" w:cs="Arial"/>
                <w:color w:val="000000"/>
                <w:sz w:val="20"/>
                <w:szCs w:val="20"/>
                <w:u w:val="single"/>
                <w:bdr w:val="none" w:sz="0" w:space="0" w:color="auto" w:frame="1"/>
              </w:rPr>
              <w:t>[10]</w:t>
            </w:r>
          </w:p>
          <w:p w14:paraId="77E08EF2"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CD8D47E"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[16 weeks]</w:t>
            </w:r>
          </w:p>
        </w:tc>
      </w:tr>
      <w:tr w:rsidR="00DE360B" w:rsidRPr="00DE360B" w14:paraId="5F385BFA" w14:textId="77777777" w:rsidTr="00042AB2">
        <w:trPr>
          <w:trHeight w:val="6009"/>
        </w:trPr>
        <w:tc>
          <w:tcPr>
            <w:tcW w:w="1223"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78E0EEB3"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Genotype 4</w:t>
            </w:r>
          </w:p>
        </w:tc>
        <w:tc>
          <w:tcPr>
            <w:tcW w:w="42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8324ED9"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6D07C48E"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5E0C60BD"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GRAZOPREVIR + ELBASVIR</w:t>
            </w:r>
            <w:r w:rsidRPr="00DE360B">
              <w:rPr>
                <w:rFonts w:ascii="Arial" w:eastAsia="Times New Roman" w:hAnsi="Arial" w:cs="Arial"/>
                <w:color w:val="000000"/>
                <w:sz w:val="20"/>
                <w:szCs w:val="20"/>
              </w:rPr>
              <w:br/>
              <w:t>[12 weeks]</w:t>
            </w:r>
          </w:p>
          <w:p w14:paraId="1BE814E5"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31764DB0"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228F3121"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6A5C90CF"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c>
          <w:tcPr>
            <w:tcW w:w="40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2C3C86"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481ACD07"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47385232"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GRAZOPREVIR + ELBASVIR</w:t>
            </w:r>
            <w:r w:rsidRPr="00DE360B">
              <w:rPr>
                <w:rFonts w:ascii="Arial" w:eastAsia="Times New Roman" w:hAnsi="Arial" w:cs="Arial"/>
                <w:color w:val="000000"/>
                <w:sz w:val="20"/>
                <w:szCs w:val="20"/>
              </w:rPr>
              <w:br/>
              <w:t>[12 weeks]</w:t>
            </w:r>
          </w:p>
          <w:p w14:paraId="56B61B09"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2337FE11"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GRAZOPREVIR + ELBASVIR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[16 weeks] </w:t>
            </w:r>
            <w:r w:rsidRPr="00DE360B">
              <w:rPr>
                <w:rFonts w:ascii="Arial" w:eastAsia="Times New Roman" w:hAnsi="Arial" w:cs="Arial"/>
                <w:color w:val="000000"/>
                <w:sz w:val="20"/>
                <w:szCs w:val="20"/>
                <w:u w:val="single"/>
                <w:bdr w:val="none" w:sz="0" w:space="0" w:color="auto" w:frame="1"/>
              </w:rPr>
              <w:t>[5]</w:t>
            </w:r>
          </w:p>
          <w:p w14:paraId="361A84D4"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32668AC3"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22E63B33"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579DDA1"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r>
      <w:tr w:rsidR="00DE360B" w:rsidRPr="00DE360B" w14:paraId="0D7C95AD" w14:textId="77777777" w:rsidTr="00042AB2">
        <w:trPr>
          <w:trHeight w:val="3280"/>
        </w:trPr>
        <w:tc>
          <w:tcPr>
            <w:tcW w:w="1223" w:type="dxa"/>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14:paraId="102D74A4" w14:textId="77777777" w:rsidR="007A44B5" w:rsidRPr="00DE360B" w:rsidRDefault="00DE360B" w:rsidP="00EF5D3B">
            <w:pPr>
              <w:spacing w:before="240" w:after="240" w:line="300" w:lineRule="atLeast"/>
              <w:jc w:val="center"/>
              <w:rPr>
                <w:rFonts w:ascii="Arial" w:eastAsia="Times New Roman" w:hAnsi="Arial" w:cs="Arial"/>
                <w:b/>
                <w:bCs/>
                <w:color w:val="000000"/>
                <w:sz w:val="20"/>
                <w:szCs w:val="20"/>
              </w:rPr>
            </w:pPr>
            <w:r w:rsidRPr="00DE360B">
              <w:rPr>
                <w:rFonts w:ascii="Arial" w:eastAsia="Times New Roman" w:hAnsi="Arial" w:cs="Arial"/>
                <w:b/>
                <w:bCs/>
                <w:color w:val="000000"/>
                <w:sz w:val="20"/>
                <w:szCs w:val="20"/>
              </w:rPr>
              <w:t>Genotype 5 &amp; 6</w:t>
            </w:r>
          </w:p>
        </w:tc>
        <w:tc>
          <w:tcPr>
            <w:tcW w:w="42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E083DB"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522F3EF3"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798EDAAC"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7867F5FC"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4754CE57"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c>
          <w:tcPr>
            <w:tcW w:w="40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7CBAF2" w14:textId="77777777" w:rsidR="00DE360B" w:rsidRPr="00DE360B" w:rsidRDefault="00DE360B" w:rsidP="00EF5D3B">
            <w:pPr>
              <w:spacing w:before="240"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PEG-IFN</w:t>
            </w:r>
            <w:r w:rsidRPr="00DE360B">
              <w:rPr>
                <w:rFonts w:ascii="Arial" w:eastAsia="Times New Roman" w:hAnsi="Arial" w:cs="Arial"/>
                <w:color w:val="000000"/>
                <w:sz w:val="20"/>
                <w:szCs w:val="20"/>
              </w:rPr>
              <w:t> and </w:t>
            </w:r>
            <w:r w:rsidRPr="00DE360B">
              <w:rPr>
                <w:rFonts w:ascii="Arial" w:eastAsia="Times New Roman" w:hAnsi="Arial" w:cs="Arial"/>
                <w:b/>
                <w:bCs/>
                <w:color w:val="000000"/>
                <w:sz w:val="20"/>
                <w:szCs w:val="20"/>
                <w:bdr w:val="none" w:sz="0" w:space="0" w:color="auto" w:frame="1"/>
              </w:rPr>
              <w:t>RBV</w:t>
            </w:r>
            <w:r w:rsidRPr="00DE360B">
              <w:rPr>
                <w:rFonts w:ascii="Arial" w:eastAsia="Times New Roman" w:hAnsi="Arial" w:cs="Arial"/>
                <w:color w:val="000000"/>
                <w:sz w:val="20"/>
                <w:szCs w:val="20"/>
              </w:rPr>
              <w:br/>
              <w:t>[12 weeks]</w:t>
            </w:r>
          </w:p>
          <w:p w14:paraId="1B1C9981"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33399732"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SOFOSBUVIR + VELPATASVIR</w:t>
            </w:r>
            <w:r w:rsidRPr="00DE360B">
              <w:rPr>
                <w:rFonts w:ascii="Arial" w:eastAsia="Times New Roman" w:hAnsi="Arial" w:cs="Arial"/>
                <w:color w:val="000000"/>
                <w:sz w:val="20"/>
                <w:szCs w:val="20"/>
              </w:rPr>
              <w:br/>
              <w:t>[12 weeks] </w:t>
            </w:r>
            <w:r w:rsidRPr="00DE360B">
              <w:rPr>
                <w:rFonts w:ascii="Arial" w:eastAsia="Times New Roman" w:hAnsi="Arial" w:cs="Arial"/>
                <w:color w:val="000000"/>
                <w:sz w:val="20"/>
                <w:szCs w:val="20"/>
                <w:u w:val="single"/>
                <w:bdr w:val="none" w:sz="0" w:space="0" w:color="auto" w:frame="1"/>
              </w:rPr>
              <w:t>[7]</w:t>
            </w:r>
          </w:p>
          <w:p w14:paraId="436A2EE2" w14:textId="77777777" w:rsidR="00DE360B"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rPr>
              <w:t>OR</w:t>
            </w:r>
          </w:p>
          <w:p w14:paraId="5B956626" w14:textId="77777777" w:rsidR="007A44B5" w:rsidRPr="00DE360B" w:rsidRDefault="00DE360B" w:rsidP="00EF5D3B">
            <w:pPr>
              <w:spacing w:after="240" w:line="300" w:lineRule="atLeast"/>
              <w:rPr>
                <w:rFonts w:ascii="Arial" w:eastAsia="Times New Roman" w:hAnsi="Arial" w:cs="Arial"/>
                <w:color w:val="000000"/>
                <w:sz w:val="20"/>
                <w:szCs w:val="20"/>
              </w:rPr>
            </w:pPr>
            <w:r w:rsidRPr="00DE360B">
              <w:rPr>
                <w:rFonts w:ascii="Arial" w:eastAsia="Times New Roman" w:hAnsi="Arial" w:cs="Arial"/>
                <w:b/>
                <w:bCs/>
                <w:color w:val="000000"/>
                <w:sz w:val="20"/>
                <w:szCs w:val="20"/>
                <w:bdr w:val="none" w:sz="0" w:space="0" w:color="auto" w:frame="1"/>
              </w:rPr>
              <w:t>GLECAPREVIR + PIBRENTASVIR</w:t>
            </w:r>
            <w:r w:rsidRPr="00DE360B">
              <w:rPr>
                <w:rFonts w:ascii="Arial" w:eastAsia="Times New Roman" w:hAnsi="Arial" w:cs="Arial"/>
                <w:color w:val="000000"/>
                <w:sz w:val="20"/>
                <w:szCs w:val="20"/>
              </w:rPr>
              <w:br/>
              <w:t>[12 weeks]</w:t>
            </w:r>
          </w:p>
        </w:tc>
      </w:tr>
    </w:tbl>
    <w:p w14:paraId="7F86C777" w14:textId="77777777" w:rsidR="00042AB2" w:rsidRPr="00DE360B" w:rsidRDefault="00042AB2" w:rsidP="00EF5D3B">
      <w:pPr>
        <w:spacing w:after="0"/>
      </w:pPr>
      <w:r w:rsidRPr="00042AB2">
        <w:rPr>
          <w:rFonts w:ascii="Arial" w:hAnsi="Arial" w:cs="Arial"/>
        </w:rPr>
        <w:t>KEY</w:t>
      </w:r>
    </w:p>
    <w:p w14:paraId="709F1438" w14:textId="77777777" w:rsidR="00DE360B" w:rsidRPr="00DE360B" w:rsidRDefault="00DE360B" w:rsidP="00EF5D3B">
      <w:pPr>
        <w:numPr>
          <w:ilvl w:val="0"/>
          <w:numId w:val="10"/>
        </w:numPr>
        <w:shd w:val="clear" w:color="auto" w:fill="FFFFFF"/>
        <w:spacing w:after="0" w:line="300" w:lineRule="atLeast"/>
        <w:ind w:left="600" w:right="150"/>
        <w:contextualSpacing/>
        <w:rPr>
          <w:rFonts w:ascii="Arial" w:eastAsia="Times New Roman" w:hAnsi="Arial" w:cs="Arial"/>
          <w:color w:val="000000"/>
          <w:sz w:val="20"/>
          <w:szCs w:val="20"/>
        </w:rPr>
      </w:pPr>
      <w:r w:rsidRPr="00DE360B">
        <w:rPr>
          <w:rFonts w:ascii="Arial" w:eastAsia="Times New Roman" w:hAnsi="Arial" w:cs="Arial"/>
          <w:color w:val="000000"/>
          <w:sz w:val="20"/>
          <w:szCs w:val="20"/>
        </w:rPr>
        <w:t>PEG-IFN - peginterferon alfa-2a</w:t>
      </w:r>
    </w:p>
    <w:p w14:paraId="21D78914" w14:textId="77777777" w:rsidR="00DE360B" w:rsidRPr="00DE360B" w:rsidRDefault="00DE360B" w:rsidP="00EF5D3B">
      <w:pPr>
        <w:numPr>
          <w:ilvl w:val="0"/>
          <w:numId w:val="10"/>
        </w:numPr>
        <w:shd w:val="clear" w:color="auto" w:fill="FFFFFF"/>
        <w:spacing w:after="0" w:line="300" w:lineRule="atLeast"/>
        <w:ind w:left="600" w:right="150"/>
        <w:contextualSpacing/>
        <w:rPr>
          <w:rFonts w:ascii="Arial" w:eastAsia="Times New Roman" w:hAnsi="Arial" w:cs="Arial"/>
          <w:color w:val="000000"/>
          <w:sz w:val="20"/>
          <w:szCs w:val="20"/>
        </w:rPr>
      </w:pPr>
      <w:r w:rsidRPr="00DE360B">
        <w:rPr>
          <w:rFonts w:ascii="Arial" w:eastAsia="Times New Roman" w:hAnsi="Arial" w:cs="Arial"/>
          <w:color w:val="000000"/>
          <w:sz w:val="20"/>
          <w:szCs w:val="20"/>
        </w:rPr>
        <w:t>RBV – ribavirin</w:t>
      </w:r>
    </w:p>
    <w:p w14:paraId="64B28AEC" w14:textId="77777777" w:rsidR="00DE360B" w:rsidRPr="00DE360B" w:rsidRDefault="00DE360B" w:rsidP="00EF5D3B">
      <w:pPr>
        <w:shd w:val="clear" w:color="auto" w:fill="FFFFFF"/>
        <w:spacing w:before="240" w:after="240" w:line="300" w:lineRule="atLeast"/>
        <w:rPr>
          <w:rFonts w:ascii="Arial" w:eastAsia="Times New Roman" w:hAnsi="Arial" w:cs="Arial"/>
          <w:color w:val="000000"/>
          <w:sz w:val="20"/>
          <w:szCs w:val="20"/>
        </w:rPr>
      </w:pPr>
      <w:bookmarkStart w:id="1" w:name="ft"/>
      <w:r w:rsidRPr="00DE360B">
        <w:rPr>
          <w:rFonts w:ascii="Arial" w:eastAsia="Times New Roman" w:hAnsi="Arial" w:cs="Arial"/>
          <w:color w:val="000000"/>
          <w:sz w:val="20"/>
          <w:szCs w:val="20"/>
          <w:u w:val="single"/>
        </w:rPr>
        <w:t>[1]</w:t>
      </w:r>
      <w:bookmarkEnd w:id="1"/>
      <w:r w:rsidRPr="00DE360B">
        <w:rPr>
          <w:rFonts w:ascii="Arial" w:eastAsia="Times New Roman" w:hAnsi="Arial" w:cs="Arial"/>
          <w:color w:val="000000"/>
          <w:sz w:val="20"/>
          <w:szCs w:val="20"/>
        </w:rPr>
        <w:t> Medicines for the treatment of hepatitis C are listed for prescribing by authorised nurse practitioners under the General Schedule only.  Medicines for the treatment of hepatitis C are not listed for prescribing by authorised nurse practitioners under the S100 Highly Specialised Drugs Program.</w:t>
      </w:r>
    </w:p>
    <w:p w14:paraId="30886497" w14:textId="77777777" w:rsidR="00DE360B" w:rsidRPr="00DE360B" w:rsidRDefault="00DE360B" w:rsidP="00EF5D3B">
      <w:pPr>
        <w:shd w:val="clear" w:color="auto" w:fill="FFFFFF"/>
        <w:spacing w:after="240" w:line="300" w:lineRule="atLeast"/>
        <w:rPr>
          <w:rFonts w:ascii="Arial" w:eastAsia="Times New Roman" w:hAnsi="Arial" w:cs="Arial"/>
          <w:color w:val="000000"/>
          <w:sz w:val="20"/>
          <w:szCs w:val="20"/>
        </w:rPr>
      </w:pPr>
      <w:bookmarkStart w:id="2" w:name="ft1"/>
      <w:r w:rsidRPr="00DE360B">
        <w:rPr>
          <w:rFonts w:ascii="Arial" w:eastAsia="Times New Roman" w:hAnsi="Arial" w:cs="Arial"/>
          <w:color w:val="000000"/>
          <w:sz w:val="20"/>
          <w:szCs w:val="20"/>
          <w:u w:val="single"/>
        </w:rPr>
        <w:t>[2]</w:t>
      </w:r>
      <w:r w:rsidRPr="00DE360B">
        <w:rPr>
          <w:rFonts w:ascii="Arial" w:eastAsia="Times New Roman" w:hAnsi="Arial" w:cs="Arial"/>
          <w:color w:val="000000"/>
          <w:sz w:val="20"/>
          <w:szCs w:val="20"/>
        </w:rPr>
        <w:t> [LEDIPASVIR + SOFOSBUVIR] for treatment-naïve, non-cirrhotic patients:</w:t>
      </w:r>
      <w:r w:rsidRPr="00DE360B">
        <w:rPr>
          <w:rFonts w:ascii="Arial" w:eastAsia="Times New Roman" w:hAnsi="Arial" w:cs="Arial"/>
          <w:color w:val="000000"/>
          <w:sz w:val="20"/>
          <w:szCs w:val="20"/>
        </w:rPr>
        <w:br/>
        <w:t>- consider treatment for 8 weeks where pre-treatment HCV RNA is less than 6 million IU/mL;</w:t>
      </w:r>
      <w:r w:rsidRPr="00DE360B">
        <w:rPr>
          <w:rFonts w:ascii="Arial" w:eastAsia="Times New Roman" w:hAnsi="Arial" w:cs="Arial"/>
          <w:color w:val="000000"/>
          <w:sz w:val="20"/>
          <w:szCs w:val="20"/>
        </w:rPr>
        <w:br/>
        <w:t>- otherwise treatment for 12 weeks where pre-treatment HCV RNA is 6 million IU/mL or greater.</w:t>
      </w:r>
    </w:p>
    <w:p w14:paraId="7B87BB0F" w14:textId="77777777" w:rsidR="00DE360B" w:rsidRPr="00DE360B" w:rsidRDefault="00DE360B" w:rsidP="00EF5D3B">
      <w:pPr>
        <w:shd w:val="clear" w:color="auto" w:fill="FFFFFF"/>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u w:val="single"/>
        </w:rPr>
        <w:t>[3]</w:t>
      </w:r>
      <w:r w:rsidRPr="00DE360B">
        <w:rPr>
          <w:rFonts w:ascii="Arial" w:eastAsia="Times New Roman" w:hAnsi="Arial" w:cs="Arial"/>
          <w:color w:val="000000"/>
          <w:sz w:val="20"/>
          <w:szCs w:val="20"/>
        </w:rPr>
        <w:t> [PARITAPREVIR + RITONAVIR + OMBITASVIR (&amp;) DASABUVIR] for treatment-naïve and treatment experienced, non-cirrhotic patients, treatment for 12 weeks in patients with genotype 1b HCV.</w:t>
      </w:r>
    </w:p>
    <w:p w14:paraId="21203639" w14:textId="77777777" w:rsidR="00DE360B" w:rsidRPr="00DE360B" w:rsidRDefault="00DE360B" w:rsidP="00EF5D3B">
      <w:pPr>
        <w:shd w:val="clear" w:color="auto" w:fill="FFFFFF"/>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u w:val="single"/>
        </w:rPr>
        <w:t>[4]</w:t>
      </w:r>
      <w:r w:rsidRPr="00DE360B">
        <w:rPr>
          <w:rFonts w:ascii="Arial" w:eastAsia="Times New Roman" w:hAnsi="Arial" w:cs="Arial"/>
          <w:color w:val="000000"/>
          <w:sz w:val="20"/>
          <w:szCs w:val="20"/>
        </w:rPr>
        <w:t> [PARITAPREVIR + RITONAVIR + OMBITASVIR (&amp;) DASABUVIR (&amp;) RBV] for treatment-naïve and treatment experienced, non-cirrhotic patients, treatment for 12 weeks in patients with genotype 1a HCV.</w:t>
      </w:r>
    </w:p>
    <w:p w14:paraId="6BCCE147" w14:textId="77777777" w:rsidR="00DE360B" w:rsidRPr="00DE360B" w:rsidRDefault="00DE360B" w:rsidP="00EF5D3B">
      <w:pPr>
        <w:shd w:val="clear" w:color="auto" w:fill="FFFFFF"/>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u w:val="single"/>
        </w:rPr>
        <w:t>[5]</w:t>
      </w:r>
      <w:r w:rsidRPr="00DE360B">
        <w:rPr>
          <w:rFonts w:ascii="Arial" w:eastAsia="Times New Roman" w:hAnsi="Arial" w:cs="Arial"/>
          <w:color w:val="000000"/>
          <w:sz w:val="20"/>
          <w:szCs w:val="20"/>
        </w:rPr>
        <w:t> [GRAZOPREVIR + ELBASVIR and RBV] for treatment-experienced, non-cirrhotic and cirrhotic patients, treatment for 16 weeks in patients with genotype 1a or 4 HCV who have experienced on-treatment virologic failure to prior treatment.</w:t>
      </w:r>
    </w:p>
    <w:p w14:paraId="2DEB3FF4" w14:textId="77777777" w:rsidR="00DE360B" w:rsidRPr="00DE360B" w:rsidRDefault="00DE360B" w:rsidP="00EF5D3B">
      <w:pPr>
        <w:shd w:val="clear" w:color="auto" w:fill="FFFFFF"/>
        <w:spacing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u w:val="single"/>
        </w:rPr>
        <w:t>[6]</w:t>
      </w:r>
      <w:r w:rsidRPr="00DE360B">
        <w:rPr>
          <w:rFonts w:ascii="Arial" w:eastAsia="Times New Roman" w:hAnsi="Arial" w:cs="Arial"/>
          <w:color w:val="000000"/>
          <w:sz w:val="20"/>
          <w:szCs w:val="20"/>
        </w:rPr>
        <w:t> [GLECAPREVIR + PIBRENTASVIR] - treatment for 8 weeks for treatment-experienced patients with genotype 1 who have failed regimens containing peginterferon, ribavirin, and/or sofosbuvir but no prior treatment experience with an HCV NS3/4A PI or NS5A inhibitor; treatment for 12 weeks for treatment-experienced patients with genotype 1 who have failed regimens containing an NS3/4A PI; treatment for 16 weeks for treatment-experienced patients with genotype 1 who have failed regimens containing an NS5A inhibitor.</w:t>
      </w:r>
    </w:p>
    <w:p w14:paraId="3501417E" w14:textId="77777777" w:rsidR="00DE360B" w:rsidRPr="00DE360B" w:rsidRDefault="00DE360B" w:rsidP="00EF5D3B">
      <w:pPr>
        <w:shd w:val="clear" w:color="auto" w:fill="FFFFFF"/>
        <w:spacing w:after="240" w:line="300" w:lineRule="atLeast"/>
        <w:contextualSpacing/>
        <w:rPr>
          <w:rFonts w:ascii="Arial" w:eastAsia="Times New Roman" w:hAnsi="Arial" w:cs="Arial"/>
          <w:color w:val="000000"/>
          <w:sz w:val="20"/>
          <w:szCs w:val="20"/>
        </w:rPr>
      </w:pPr>
      <w:r w:rsidRPr="00DE360B">
        <w:rPr>
          <w:rFonts w:ascii="Arial" w:eastAsia="Times New Roman" w:hAnsi="Arial" w:cs="Arial"/>
          <w:color w:val="000000"/>
          <w:sz w:val="20"/>
          <w:szCs w:val="20"/>
          <w:u w:val="single"/>
        </w:rPr>
        <w:t>[7]</w:t>
      </w:r>
      <w:r w:rsidRPr="00DE360B">
        <w:rPr>
          <w:rFonts w:ascii="Arial" w:eastAsia="Times New Roman" w:hAnsi="Arial" w:cs="Arial"/>
          <w:color w:val="000000"/>
          <w:sz w:val="20"/>
          <w:szCs w:val="20"/>
        </w:rPr>
        <w:t> [SOFOSBUVIR + VELPATASVIR] for patients with decompensated cirrhosis:</w:t>
      </w:r>
    </w:p>
    <w:p w14:paraId="0C3A4E0D" w14:textId="77777777" w:rsidR="00DE360B" w:rsidRPr="00DE360B" w:rsidRDefault="00DE360B" w:rsidP="00EF5D3B">
      <w:pPr>
        <w:numPr>
          <w:ilvl w:val="0"/>
          <w:numId w:val="11"/>
        </w:numPr>
        <w:shd w:val="clear" w:color="auto" w:fill="FFFFFF"/>
        <w:spacing w:after="90" w:line="300" w:lineRule="atLeast"/>
        <w:ind w:left="600" w:right="150"/>
        <w:contextualSpacing/>
        <w:rPr>
          <w:rFonts w:ascii="Arial" w:eastAsia="Times New Roman" w:hAnsi="Arial" w:cs="Arial"/>
          <w:color w:val="000000"/>
          <w:sz w:val="20"/>
          <w:szCs w:val="20"/>
        </w:rPr>
      </w:pPr>
      <w:r w:rsidRPr="00DE360B">
        <w:rPr>
          <w:rFonts w:ascii="Arial" w:eastAsia="Times New Roman" w:hAnsi="Arial" w:cs="Arial"/>
          <w:color w:val="000000"/>
          <w:sz w:val="20"/>
          <w:szCs w:val="20"/>
        </w:rPr>
        <w:t>Use in combination with ribavirin.</w:t>
      </w:r>
    </w:p>
    <w:p w14:paraId="33D102F1" w14:textId="77777777" w:rsidR="00DE360B" w:rsidRPr="00DE360B" w:rsidRDefault="00DE360B" w:rsidP="00EF5D3B">
      <w:pPr>
        <w:shd w:val="clear" w:color="auto" w:fill="FFFFFF"/>
        <w:spacing w:before="240" w:after="240" w:line="300" w:lineRule="atLeast"/>
        <w:contextualSpacing/>
        <w:rPr>
          <w:rFonts w:ascii="Arial" w:eastAsia="Times New Roman" w:hAnsi="Arial" w:cs="Arial"/>
          <w:color w:val="000000"/>
          <w:sz w:val="20"/>
          <w:szCs w:val="20"/>
        </w:rPr>
      </w:pPr>
      <w:r w:rsidRPr="00DE360B">
        <w:rPr>
          <w:rFonts w:ascii="Arial" w:eastAsia="Times New Roman" w:hAnsi="Arial" w:cs="Arial"/>
          <w:color w:val="000000"/>
          <w:sz w:val="20"/>
          <w:szCs w:val="20"/>
          <w:u w:val="single"/>
        </w:rPr>
        <w:t>[8]</w:t>
      </w:r>
      <w:r w:rsidRPr="00DE360B">
        <w:rPr>
          <w:rFonts w:ascii="Arial" w:eastAsia="Times New Roman" w:hAnsi="Arial" w:cs="Arial"/>
          <w:color w:val="000000"/>
          <w:sz w:val="20"/>
          <w:szCs w:val="20"/>
        </w:rPr>
        <w:t> [PARITAPREVIR + RITONAVIR + OMBITASVIR (&amp;) DASABUVIR (&amp;) RBV] for treatment-experienced, cirrhotic patients:</w:t>
      </w:r>
    </w:p>
    <w:p w14:paraId="746AB68F" w14:textId="77777777" w:rsidR="00DE360B" w:rsidRPr="00DE360B" w:rsidRDefault="00DE360B" w:rsidP="00EF5D3B">
      <w:pPr>
        <w:numPr>
          <w:ilvl w:val="0"/>
          <w:numId w:val="12"/>
        </w:numPr>
        <w:shd w:val="clear" w:color="auto" w:fill="FFFFFF"/>
        <w:spacing w:after="90" w:line="300" w:lineRule="atLeast"/>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consider treatment for 12 weeks in patients with genotype 1a HCV (except prior null responders to PEG-IFN and RBV) and genotype 1b HCV; or</w:t>
      </w:r>
    </w:p>
    <w:p w14:paraId="3CEA7214" w14:textId="77777777" w:rsidR="00DE360B" w:rsidRPr="00DE360B" w:rsidRDefault="00DE360B" w:rsidP="00EF5D3B">
      <w:pPr>
        <w:numPr>
          <w:ilvl w:val="0"/>
          <w:numId w:val="12"/>
        </w:numPr>
        <w:shd w:val="clear" w:color="auto" w:fill="FFFFFF"/>
        <w:spacing w:after="90" w:line="300" w:lineRule="atLeast"/>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consider treatment for 24 weeks in patients with genotype 1a HCV who have had a previous null response to PEG-IFN and RBV.</w:t>
      </w:r>
    </w:p>
    <w:p w14:paraId="092732EC" w14:textId="77777777" w:rsidR="00DE360B" w:rsidRPr="00DE360B" w:rsidRDefault="00DE360B" w:rsidP="00EF5D3B">
      <w:pPr>
        <w:shd w:val="clear" w:color="auto" w:fill="FFFFFF"/>
        <w:spacing w:before="240" w:after="240" w:line="300" w:lineRule="atLeast"/>
        <w:rPr>
          <w:rFonts w:ascii="Arial" w:eastAsia="Times New Roman" w:hAnsi="Arial" w:cs="Arial"/>
          <w:color w:val="000000"/>
          <w:sz w:val="20"/>
          <w:szCs w:val="20"/>
        </w:rPr>
      </w:pPr>
      <w:r w:rsidRPr="00DE360B">
        <w:rPr>
          <w:rFonts w:ascii="Arial" w:eastAsia="Times New Roman" w:hAnsi="Arial" w:cs="Arial"/>
          <w:color w:val="000000"/>
          <w:sz w:val="20"/>
          <w:szCs w:val="20"/>
          <w:u w:val="single"/>
        </w:rPr>
        <w:t>[9]</w:t>
      </w:r>
      <w:r w:rsidRPr="00DE360B">
        <w:rPr>
          <w:rFonts w:ascii="Arial" w:eastAsia="Times New Roman" w:hAnsi="Arial" w:cs="Arial"/>
          <w:color w:val="000000"/>
          <w:sz w:val="20"/>
          <w:szCs w:val="20"/>
        </w:rPr>
        <w:t> [DACLATASVIR and SOFOSBUVIR and RBV] for cirrhotic patients  consider a 24 week regimen of where clinically appropriate.</w:t>
      </w:r>
    </w:p>
    <w:p w14:paraId="3FD9506A" w14:textId="77777777" w:rsidR="00DE360B" w:rsidRPr="00DE360B" w:rsidRDefault="00DE360B" w:rsidP="00EF5D3B">
      <w:pPr>
        <w:shd w:val="clear" w:color="auto" w:fill="FFFFFF"/>
        <w:spacing w:after="0"/>
        <w:rPr>
          <w:rFonts w:ascii="Arial" w:eastAsia="Times New Roman" w:hAnsi="Arial" w:cs="Arial"/>
          <w:color w:val="000000"/>
          <w:sz w:val="20"/>
          <w:szCs w:val="20"/>
        </w:rPr>
      </w:pPr>
      <w:r w:rsidRPr="00DE360B">
        <w:rPr>
          <w:rFonts w:ascii="Arial" w:eastAsia="Times New Roman" w:hAnsi="Arial" w:cs="Arial"/>
          <w:color w:val="000000"/>
          <w:sz w:val="20"/>
          <w:szCs w:val="20"/>
          <w:u w:val="single"/>
        </w:rPr>
        <w:t>[10]</w:t>
      </w:r>
      <w:bookmarkEnd w:id="2"/>
      <w:r w:rsidRPr="00DE360B">
        <w:rPr>
          <w:rFonts w:ascii="Arial" w:eastAsia="Times New Roman" w:hAnsi="Arial" w:cs="Arial"/>
          <w:color w:val="000000"/>
          <w:sz w:val="20"/>
          <w:szCs w:val="20"/>
        </w:rPr>
        <w:t> [SOFOSBUVIR + VELPATASVIR] for patients with genotype 3 infection with compensated cirrhosis:</w:t>
      </w:r>
    </w:p>
    <w:p w14:paraId="0EEED3B1" w14:textId="77777777" w:rsidR="00DE360B" w:rsidRPr="00DE360B" w:rsidRDefault="00DE360B" w:rsidP="00EF5D3B">
      <w:pPr>
        <w:numPr>
          <w:ilvl w:val="0"/>
          <w:numId w:val="13"/>
        </w:numPr>
        <w:shd w:val="clear" w:color="auto" w:fill="FFFFFF"/>
        <w:spacing w:after="0"/>
        <w:ind w:left="600" w:right="150"/>
        <w:rPr>
          <w:rFonts w:ascii="Arial" w:eastAsia="Times New Roman" w:hAnsi="Arial" w:cs="Arial"/>
          <w:color w:val="000000"/>
          <w:sz w:val="20"/>
          <w:szCs w:val="20"/>
        </w:rPr>
      </w:pPr>
      <w:r w:rsidRPr="00DE360B">
        <w:rPr>
          <w:rFonts w:ascii="Arial" w:eastAsia="Times New Roman" w:hAnsi="Arial" w:cs="Arial"/>
          <w:color w:val="000000"/>
          <w:sz w:val="20"/>
          <w:szCs w:val="20"/>
        </w:rPr>
        <w:t>Consider addition of ribavirin.</w:t>
      </w:r>
    </w:p>
    <w:p w14:paraId="7B3BF754" w14:textId="77777777" w:rsidR="00DE360B" w:rsidRPr="00DE360B" w:rsidRDefault="00DE360B" w:rsidP="00EF5D3B">
      <w:pPr>
        <w:spacing w:after="0"/>
        <w:rPr>
          <w:rFonts w:ascii="Times New Roman" w:eastAsia="Times New Roman" w:hAnsi="Times New Roman" w:cs="Times New Roman"/>
          <w:color w:val="000000"/>
          <w:lang w:eastAsia="en-US"/>
        </w:rPr>
      </w:pPr>
    </w:p>
    <w:p w14:paraId="468C3D0A" w14:textId="77777777" w:rsidR="00FB0F0E" w:rsidRPr="00FB0F0E" w:rsidRDefault="00FB0F0E" w:rsidP="00EF5D3B">
      <w:pPr>
        <w:sectPr w:rsidR="00FB0F0E" w:rsidRPr="00FB0F0E" w:rsidSect="00051F26">
          <w:pgSz w:w="11906" w:h="16838"/>
          <w:pgMar w:top="1644" w:right="1361" w:bottom="1644" w:left="1588" w:header="709" w:footer="709" w:gutter="0"/>
          <w:cols w:space="708"/>
          <w:docGrid w:linePitch="360"/>
        </w:sectPr>
      </w:pPr>
    </w:p>
    <w:p w14:paraId="0D0E754A" w14:textId="77777777" w:rsidR="000433A5" w:rsidRPr="004C6C78" w:rsidRDefault="000433A5" w:rsidP="00EF5D3B">
      <w:pPr>
        <w:pStyle w:val="Heading1"/>
        <w:rPr>
          <w:sz w:val="24"/>
          <w:szCs w:val="24"/>
        </w:rPr>
      </w:pPr>
      <w:r w:rsidRPr="000433A5">
        <w:rPr>
          <w:sz w:val="24"/>
          <w:szCs w:val="24"/>
        </w:rPr>
        <w:t xml:space="preserve">Appendix </w:t>
      </w:r>
      <w:r w:rsidR="00F3554C">
        <w:rPr>
          <w:sz w:val="24"/>
          <w:szCs w:val="24"/>
        </w:rPr>
        <w:t>4</w:t>
      </w:r>
      <w:r w:rsidRPr="000433A5">
        <w:rPr>
          <w:sz w:val="24"/>
          <w:szCs w:val="24"/>
        </w:rPr>
        <w:t>: Classification of prescribers into major specialities</w:t>
      </w:r>
    </w:p>
    <w:tbl>
      <w:tblPr>
        <w:tblStyle w:val="TableGrid"/>
        <w:tblW w:w="0" w:type="auto"/>
        <w:tblLook w:val="04A0" w:firstRow="1" w:lastRow="0" w:firstColumn="1" w:lastColumn="0" w:noHBand="0" w:noVBand="1"/>
        <w:tblCaption w:val="Appendix 4"/>
        <w:tblDescription w:val="Classification of prescribers into major specialties"/>
      </w:tblPr>
      <w:tblGrid>
        <w:gridCol w:w="2744"/>
        <w:gridCol w:w="6203"/>
      </w:tblGrid>
      <w:tr w:rsidR="00C14036" w14:paraId="5EA82C5A" w14:textId="77777777" w:rsidTr="0099210C">
        <w:trPr>
          <w:tblHeader/>
        </w:trPr>
        <w:tc>
          <w:tcPr>
            <w:tcW w:w="2802" w:type="dxa"/>
            <w:shd w:val="clear" w:color="auto" w:fill="F2F2F2" w:themeFill="background1" w:themeFillShade="F2"/>
          </w:tcPr>
          <w:p w14:paraId="7EB64463" w14:textId="77777777" w:rsidR="00C14036" w:rsidRPr="004C6C78" w:rsidRDefault="004C6C78" w:rsidP="00EF5D3B">
            <w:pPr>
              <w:pStyle w:val="Notes"/>
              <w:rPr>
                <w:b/>
              </w:rPr>
            </w:pPr>
            <w:r w:rsidRPr="004C6C78">
              <w:rPr>
                <w:b/>
              </w:rPr>
              <w:t>Main prescriber group</w:t>
            </w:r>
          </w:p>
        </w:tc>
        <w:tc>
          <w:tcPr>
            <w:tcW w:w="6371" w:type="dxa"/>
            <w:shd w:val="clear" w:color="auto" w:fill="F2F2F2" w:themeFill="background1" w:themeFillShade="F2"/>
          </w:tcPr>
          <w:p w14:paraId="316A861F" w14:textId="77777777" w:rsidR="00C14036" w:rsidRPr="004C6C78" w:rsidRDefault="004C6C78" w:rsidP="00EF5D3B">
            <w:pPr>
              <w:pStyle w:val="Notes"/>
              <w:rPr>
                <w:b/>
              </w:rPr>
            </w:pPr>
            <w:r w:rsidRPr="004C6C78">
              <w:rPr>
                <w:b/>
              </w:rPr>
              <w:t>Specialities</w:t>
            </w:r>
          </w:p>
        </w:tc>
      </w:tr>
      <w:tr w:rsidR="00C14036" w14:paraId="56254B27" w14:textId="77777777" w:rsidTr="004C6C78">
        <w:tc>
          <w:tcPr>
            <w:tcW w:w="2802" w:type="dxa"/>
          </w:tcPr>
          <w:p w14:paraId="74BA5168" w14:textId="77777777" w:rsidR="00C14036" w:rsidRPr="004C6C78" w:rsidRDefault="004C6C78" w:rsidP="00EF5D3B">
            <w:pPr>
              <w:pStyle w:val="Notes"/>
              <w:rPr>
                <w:rFonts w:ascii="Calibri" w:hAnsi="Calibri" w:cs="Calibri"/>
              </w:rPr>
            </w:pPr>
            <w:r w:rsidRPr="004C6C78">
              <w:rPr>
                <w:rFonts w:ascii="Calibri" w:hAnsi="Calibri" w:cs="Calibri"/>
              </w:rPr>
              <w:t>General practitioner</w:t>
            </w:r>
          </w:p>
        </w:tc>
        <w:tc>
          <w:tcPr>
            <w:tcW w:w="6371" w:type="dxa"/>
          </w:tcPr>
          <w:p w14:paraId="2AD20562" w14:textId="77777777" w:rsidR="00C14036" w:rsidRPr="004C6C78" w:rsidRDefault="004C6C78" w:rsidP="00EF5D3B">
            <w:pPr>
              <w:pStyle w:val="Notes"/>
              <w:rPr>
                <w:rFonts w:ascii="Calibri" w:hAnsi="Calibri" w:cs="Calibri"/>
              </w:rPr>
            </w:pPr>
            <w:r w:rsidRPr="004C6C78">
              <w:rPr>
                <w:rFonts w:ascii="Calibri" w:hAnsi="Calibri" w:cs="Calibri"/>
              </w:rPr>
              <w:t>Vocationally registered GP, non-vocationally registered GP, GP trainee and GP unclassified.</w:t>
            </w:r>
          </w:p>
        </w:tc>
      </w:tr>
      <w:tr w:rsidR="00C14036" w14:paraId="69E35E84" w14:textId="77777777" w:rsidTr="004C6C78">
        <w:tc>
          <w:tcPr>
            <w:tcW w:w="2802" w:type="dxa"/>
          </w:tcPr>
          <w:p w14:paraId="6FC10D1A" w14:textId="77777777" w:rsidR="00C14036" w:rsidRPr="004C6C78" w:rsidRDefault="004C6C78" w:rsidP="00EF5D3B">
            <w:pPr>
              <w:pStyle w:val="Notes"/>
              <w:rPr>
                <w:rFonts w:ascii="Calibri" w:hAnsi="Calibri" w:cs="Calibri"/>
              </w:rPr>
            </w:pPr>
            <w:r w:rsidRPr="004C6C78">
              <w:rPr>
                <w:rFonts w:ascii="Calibri" w:hAnsi="Calibri" w:cs="Calibri"/>
              </w:rPr>
              <w:t>Specialist</w:t>
            </w:r>
          </w:p>
        </w:tc>
        <w:tc>
          <w:tcPr>
            <w:tcW w:w="6371" w:type="dxa"/>
          </w:tcPr>
          <w:p w14:paraId="5C209AE6" w14:textId="77777777" w:rsidR="00C14036" w:rsidRPr="00E81E07" w:rsidRDefault="00E81E07" w:rsidP="00EF5D3B">
            <w:pPr>
              <w:autoSpaceDE w:val="0"/>
              <w:autoSpaceDN w:val="0"/>
              <w:adjustRightInd w:val="0"/>
              <w:rPr>
                <w:rFonts w:ascii="Calibri" w:hAnsi="Calibri" w:cs="Calibri"/>
                <w:color w:val="000000"/>
                <w:sz w:val="20"/>
                <w:szCs w:val="20"/>
                <w:shd w:val="clear" w:color="auto" w:fill="FFFFFF"/>
              </w:rPr>
            </w:pPr>
            <w:r w:rsidRPr="00E81E07">
              <w:rPr>
                <w:rFonts w:ascii="Calibri" w:hAnsi="Calibri" w:cs="Calibri"/>
                <w:b/>
                <w:color w:val="000000"/>
                <w:sz w:val="20"/>
                <w:szCs w:val="20"/>
                <w:shd w:val="clear" w:color="auto" w:fill="FFFFFF"/>
              </w:rPr>
              <w:t>Addiction Medicine</w:t>
            </w:r>
            <w:r>
              <w:rPr>
                <w:rFonts w:ascii="Calibri" w:hAnsi="Calibri" w:cs="Calibri"/>
                <w:color w:val="000000"/>
                <w:sz w:val="20"/>
                <w:szCs w:val="20"/>
                <w:shd w:val="clear" w:color="auto" w:fill="FFFFFF"/>
              </w:rPr>
              <w:t xml:space="preserve">, Anaesthetics, </w:t>
            </w:r>
            <w:r w:rsidR="004C6C78">
              <w:rPr>
                <w:rFonts w:ascii="Calibri" w:hAnsi="Calibri" w:cs="Calibri"/>
                <w:color w:val="000000"/>
                <w:sz w:val="20"/>
                <w:szCs w:val="20"/>
                <w:shd w:val="clear" w:color="auto" w:fill="FFFFFF"/>
              </w:rPr>
              <w:t xml:space="preserve">Cardiology, </w:t>
            </w:r>
            <w:r>
              <w:rPr>
                <w:rFonts w:ascii="Calibri" w:hAnsi="Calibri" w:cs="Calibri"/>
                <w:color w:val="000000"/>
                <w:sz w:val="20"/>
                <w:szCs w:val="20"/>
                <w:shd w:val="clear" w:color="auto" w:fill="FFFFFF"/>
              </w:rPr>
              <w:t>College Trainee - Physician</w:t>
            </w:r>
            <w:r w:rsidRPr="004C6C78">
              <w:rPr>
                <w:rFonts w:ascii="Calibri" w:hAnsi="Calibri" w:cs="Calibri"/>
                <w:color w:val="000000"/>
                <w:sz w:val="20"/>
                <w:szCs w:val="20"/>
                <w:shd w:val="clear" w:color="auto" w:fill="FFFFFF"/>
              </w:rPr>
              <w:t>,</w:t>
            </w:r>
            <w:r>
              <w:rPr>
                <w:rFonts w:ascii="Calibri" w:hAnsi="Calibri" w:cs="Calibri"/>
                <w:color w:val="000000"/>
                <w:sz w:val="20"/>
                <w:szCs w:val="20"/>
                <w:shd w:val="clear" w:color="auto" w:fill="FFFFFF"/>
              </w:rPr>
              <w:t xml:space="preserve"> Dermatology, </w:t>
            </w:r>
            <w:r w:rsidRPr="00E81E07">
              <w:rPr>
                <w:rFonts w:ascii="Calibri" w:hAnsi="Calibri" w:cs="Calibri"/>
                <w:b/>
                <w:color w:val="000000"/>
                <w:sz w:val="20"/>
                <w:szCs w:val="20"/>
                <w:shd w:val="clear" w:color="auto" w:fill="FFFFFF"/>
              </w:rPr>
              <w:t>Gastroenterology and Hepatology</w:t>
            </w:r>
            <w:r>
              <w:rPr>
                <w:rFonts w:ascii="Calibri" w:hAnsi="Calibri" w:cs="Calibri"/>
                <w:color w:val="000000"/>
                <w:sz w:val="20"/>
                <w:szCs w:val="20"/>
                <w:shd w:val="clear" w:color="auto" w:fill="FFFFFF"/>
              </w:rPr>
              <w:t xml:space="preserve">, Geriatric Medicine, </w:t>
            </w:r>
            <w:r w:rsidR="004C6C78">
              <w:rPr>
                <w:rFonts w:ascii="Calibri" w:hAnsi="Calibri" w:cs="Calibri"/>
                <w:color w:val="000000"/>
                <w:sz w:val="20"/>
                <w:szCs w:val="20"/>
                <w:shd w:val="clear" w:color="auto" w:fill="FFFFFF"/>
              </w:rPr>
              <w:t xml:space="preserve">Haematology, Endocrinology, </w:t>
            </w:r>
            <w:r>
              <w:rPr>
                <w:rFonts w:ascii="Calibri" w:hAnsi="Calibri" w:cs="Calibri"/>
                <w:color w:val="000000"/>
                <w:sz w:val="20"/>
                <w:szCs w:val="20"/>
                <w:shd w:val="clear" w:color="auto" w:fill="FFFFFF"/>
              </w:rPr>
              <w:t xml:space="preserve">ENT, </w:t>
            </w:r>
            <w:r w:rsidRPr="00E81E07">
              <w:rPr>
                <w:rFonts w:ascii="Calibri" w:hAnsi="Calibri" w:cs="Calibri"/>
                <w:b/>
                <w:color w:val="000000"/>
                <w:sz w:val="20"/>
                <w:szCs w:val="20"/>
                <w:shd w:val="clear" w:color="auto" w:fill="FFFFFF"/>
              </w:rPr>
              <w:t>Infectious Diseases</w:t>
            </w:r>
            <w:r>
              <w:rPr>
                <w:rFonts w:ascii="Calibri" w:hAnsi="Calibri" w:cs="Calibri"/>
                <w:color w:val="000000"/>
                <w:sz w:val="20"/>
                <w:szCs w:val="20"/>
                <w:shd w:val="clear" w:color="auto" w:fill="FFFFFF"/>
              </w:rPr>
              <w:t xml:space="preserve">, Intensive Care,  </w:t>
            </w:r>
            <w:r w:rsidRPr="00E81E07">
              <w:rPr>
                <w:rFonts w:ascii="Calibri" w:hAnsi="Calibri" w:cs="Calibri"/>
                <w:b/>
                <w:color w:val="000000"/>
                <w:sz w:val="20"/>
                <w:szCs w:val="20"/>
                <w:shd w:val="clear" w:color="auto" w:fill="FFFFFF"/>
              </w:rPr>
              <w:t>Internal Medicine</w:t>
            </w:r>
            <w:r>
              <w:rPr>
                <w:rFonts w:ascii="Calibri" w:hAnsi="Calibri" w:cs="Calibri"/>
                <w:color w:val="000000"/>
                <w:sz w:val="20"/>
                <w:szCs w:val="20"/>
                <w:shd w:val="clear" w:color="auto" w:fill="FFFFFF"/>
              </w:rPr>
              <w:t xml:space="preserve">, Medical Oncology, </w:t>
            </w:r>
            <w:r w:rsidR="004C6C78">
              <w:rPr>
                <w:rFonts w:ascii="Calibri" w:hAnsi="Calibri" w:cs="Calibri"/>
                <w:color w:val="000000"/>
                <w:sz w:val="20"/>
                <w:szCs w:val="20"/>
                <w:shd w:val="clear" w:color="auto" w:fill="FFFFFF"/>
              </w:rPr>
              <w:t xml:space="preserve">Nephrology,  Neurology, Nuclear Medicine, </w:t>
            </w:r>
            <w:r>
              <w:rPr>
                <w:rFonts w:ascii="Calibri" w:hAnsi="Calibri" w:cs="Calibri"/>
                <w:color w:val="000000"/>
                <w:sz w:val="20"/>
                <w:szCs w:val="20"/>
                <w:shd w:val="clear" w:color="auto" w:fill="FFFFFF"/>
              </w:rPr>
              <w:t>Obstetrics and Gynaecology,  Ophthalmology</w:t>
            </w:r>
            <w:r w:rsidRPr="004C6C78">
              <w:rPr>
                <w:rFonts w:ascii="Calibri" w:hAnsi="Calibri" w:cs="Calibri"/>
                <w:color w:val="000000"/>
                <w:sz w:val="20"/>
                <w:szCs w:val="20"/>
                <w:shd w:val="clear" w:color="auto" w:fill="FFFFFF"/>
              </w:rPr>
              <w:t>,</w:t>
            </w:r>
            <w:r>
              <w:rPr>
                <w:rFonts w:ascii="Calibri" w:hAnsi="Calibri" w:cs="Calibri"/>
                <w:color w:val="000000"/>
                <w:sz w:val="20"/>
                <w:szCs w:val="20"/>
                <w:shd w:val="clear" w:color="auto" w:fill="FFFFFF"/>
              </w:rPr>
              <w:t xml:space="preserve"> Oral and Maxillofacial Surgery</w:t>
            </w:r>
            <w:r w:rsidRPr="004C6C78">
              <w:rPr>
                <w:rFonts w:ascii="Calibri" w:hAnsi="Calibri" w:cs="Calibri"/>
                <w:color w:val="000000"/>
                <w:sz w:val="20"/>
                <w:szCs w:val="20"/>
                <w:shd w:val="clear" w:color="auto" w:fill="FFFFFF"/>
              </w:rPr>
              <w:t xml:space="preserve">,  </w:t>
            </w:r>
            <w:r w:rsidR="004C6C78">
              <w:rPr>
                <w:rFonts w:ascii="Calibri" w:hAnsi="Calibri" w:cs="Calibri"/>
                <w:color w:val="000000"/>
                <w:sz w:val="20"/>
                <w:szCs w:val="20"/>
                <w:shd w:val="clear" w:color="auto" w:fill="FFFFFF"/>
              </w:rPr>
              <w:t xml:space="preserve">Paediatric Medicine, </w:t>
            </w:r>
            <w:r>
              <w:rPr>
                <w:rFonts w:ascii="Calibri" w:hAnsi="Calibri" w:cs="Calibri"/>
                <w:color w:val="000000"/>
                <w:sz w:val="20"/>
                <w:szCs w:val="20"/>
                <w:shd w:val="clear" w:color="auto" w:fill="FFFFFF"/>
              </w:rPr>
              <w:t>Palliative Medicine</w:t>
            </w:r>
            <w:r>
              <w:rPr>
                <w:rFonts w:ascii="Calibri" w:hAnsi="Calibri" w:cs="Calibri"/>
                <w:b/>
                <w:color w:val="000000"/>
                <w:sz w:val="20"/>
                <w:szCs w:val="20"/>
                <w:shd w:val="clear" w:color="auto" w:fill="FFFFFF"/>
              </w:rPr>
              <w:t xml:space="preserve">, </w:t>
            </w:r>
            <w:r>
              <w:rPr>
                <w:rFonts w:ascii="Calibri" w:hAnsi="Calibri" w:cs="Calibri"/>
                <w:color w:val="000000"/>
                <w:sz w:val="20"/>
                <w:szCs w:val="20"/>
                <w:shd w:val="clear" w:color="auto" w:fill="FFFFFF"/>
              </w:rPr>
              <w:t xml:space="preserve">Psychiatry, </w:t>
            </w:r>
            <w:r w:rsidRPr="00E81E07">
              <w:rPr>
                <w:rFonts w:ascii="Calibri" w:hAnsi="Calibri" w:cs="Calibri"/>
                <w:b/>
                <w:color w:val="000000"/>
                <w:sz w:val="20"/>
                <w:szCs w:val="20"/>
                <w:shd w:val="clear" w:color="auto" w:fill="FFFFFF"/>
              </w:rPr>
              <w:t>Public Health Medicine</w:t>
            </w:r>
            <w:r>
              <w:rPr>
                <w:rFonts w:ascii="Calibri" w:hAnsi="Calibri" w:cs="Calibri"/>
                <w:color w:val="000000"/>
                <w:sz w:val="20"/>
                <w:szCs w:val="20"/>
                <w:shd w:val="clear" w:color="auto" w:fill="FFFFFF"/>
              </w:rPr>
              <w:t xml:space="preserve">, </w:t>
            </w:r>
            <w:r w:rsidR="004C6C78">
              <w:rPr>
                <w:rFonts w:ascii="Calibri" w:hAnsi="Calibri" w:cs="Calibri"/>
                <w:color w:val="000000"/>
                <w:sz w:val="20"/>
                <w:szCs w:val="20"/>
                <w:shd w:val="clear" w:color="auto" w:fill="FFFFFF"/>
              </w:rPr>
              <w:t>Rehabilitation</w:t>
            </w:r>
            <w:r>
              <w:rPr>
                <w:rFonts w:ascii="Calibri" w:hAnsi="Calibri" w:cs="Calibri"/>
                <w:color w:val="000000"/>
                <w:sz w:val="20"/>
                <w:szCs w:val="20"/>
                <w:shd w:val="clear" w:color="auto" w:fill="FFFFFF"/>
              </w:rPr>
              <w:t xml:space="preserve"> Medicine,</w:t>
            </w:r>
            <w:r w:rsidR="004C6C78">
              <w:rPr>
                <w:rFonts w:ascii="Calibri" w:hAnsi="Calibri" w:cs="Calibri"/>
                <w:color w:val="000000"/>
                <w:sz w:val="20"/>
                <w:szCs w:val="20"/>
                <w:shd w:val="clear" w:color="auto" w:fill="FFFFFF"/>
              </w:rPr>
              <w:t xml:space="preserve"> </w:t>
            </w:r>
            <w:r>
              <w:rPr>
                <w:rFonts w:ascii="Calibri" w:hAnsi="Calibri" w:cs="Calibri"/>
                <w:color w:val="000000"/>
                <w:sz w:val="20"/>
                <w:szCs w:val="20"/>
                <w:shd w:val="clear" w:color="auto" w:fill="FFFFFF"/>
              </w:rPr>
              <w:t>Maternal-foetal Medicine</w:t>
            </w:r>
            <w:r w:rsidR="004C6C78">
              <w:rPr>
                <w:rFonts w:ascii="Calibri" w:hAnsi="Calibri" w:cs="Calibri"/>
                <w:color w:val="000000"/>
                <w:sz w:val="20"/>
                <w:szCs w:val="20"/>
                <w:shd w:val="clear" w:color="auto" w:fill="FFFFFF"/>
              </w:rPr>
              <w:t xml:space="preserve">, </w:t>
            </w:r>
            <w:r w:rsidRPr="004C6C78">
              <w:rPr>
                <w:rFonts w:ascii="Calibri" w:hAnsi="Calibri" w:cs="Calibri"/>
                <w:color w:val="000000"/>
                <w:sz w:val="20"/>
                <w:szCs w:val="20"/>
                <w:shd w:val="clear" w:color="auto" w:fill="FFFFFF"/>
              </w:rPr>
              <w:t>Reproductiv</w:t>
            </w:r>
            <w:r>
              <w:rPr>
                <w:rFonts w:ascii="Calibri" w:hAnsi="Calibri" w:cs="Calibri"/>
                <w:color w:val="000000"/>
                <w:sz w:val="20"/>
                <w:szCs w:val="20"/>
                <w:shd w:val="clear" w:color="auto" w:fill="FFFFFF"/>
              </w:rPr>
              <w:t xml:space="preserve">e Endocrinology and Infertility,  </w:t>
            </w:r>
            <w:r w:rsidR="004C6C78">
              <w:rPr>
                <w:rFonts w:ascii="Calibri" w:hAnsi="Calibri" w:cs="Calibri"/>
                <w:color w:val="000000"/>
                <w:sz w:val="20"/>
                <w:szCs w:val="20"/>
                <w:shd w:val="clear" w:color="auto" w:fill="FFFFFF"/>
              </w:rPr>
              <w:t>Rheumatology</w:t>
            </w:r>
            <w:r w:rsidR="004C6C78" w:rsidRPr="004C6C78">
              <w:rPr>
                <w:rFonts w:ascii="Calibri" w:hAnsi="Calibri" w:cs="Calibri"/>
                <w:color w:val="000000"/>
                <w:sz w:val="20"/>
                <w:szCs w:val="20"/>
                <w:shd w:val="clear" w:color="auto" w:fill="FFFFFF"/>
              </w:rPr>
              <w:t>,</w:t>
            </w:r>
            <w:r w:rsidR="004C6C78">
              <w:rPr>
                <w:rFonts w:ascii="Calibri" w:hAnsi="Calibri" w:cs="Calibri"/>
                <w:color w:val="000000"/>
                <w:sz w:val="20"/>
                <w:szCs w:val="20"/>
                <w:shd w:val="clear" w:color="auto" w:fill="FFFFFF"/>
              </w:rPr>
              <w:t xml:space="preserve">  Respiratory and Sleep Medicine, </w:t>
            </w:r>
            <w:r w:rsidRPr="00E81E07">
              <w:rPr>
                <w:rFonts w:ascii="Calibri" w:hAnsi="Calibri" w:cs="Calibri"/>
                <w:b/>
                <w:color w:val="000000"/>
                <w:sz w:val="20"/>
                <w:szCs w:val="20"/>
                <w:shd w:val="clear" w:color="auto" w:fill="FFFFFF"/>
              </w:rPr>
              <w:t>Sexual Health Medicine</w:t>
            </w:r>
            <w:r>
              <w:rPr>
                <w:rFonts w:ascii="Calibri" w:hAnsi="Calibri" w:cs="Calibri"/>
                <w:color w:val="000000"/>
                <w:sz w:val="20"/>
                <w:szCs w:val="20"/>
                <w:shd w:val="clear" w:color="auto" w:fill="FFFFFF"/>
              </w:rPr>
              <w:t xml:space="preserve">, </w:t>
            </w:r>
            <w:r w:rsidRPr="00E81E07">
              <w:rPr>
                <w:rFonts w:ascii="Calibri" w:hAnsi="Calibri" w:cs="Calibri"/>
                <w:color w:val="000000"/>
                <w:sz w:val="20"/>
                <w:szCs w:val="20"/>
                <w:shd w:val="clear" w:color="auto" w:fill="FFFFFF"/>
              </w:rPr>
              <w:t>Specialist Unclassified</w:t>
            </w:r>
            <w:r>
              <w:rPr>
                <w:rFonts w:ascii="Calibri" w:hAnsi="Calibri" w:cs="Calibri"/>
                <w:color w:val="000000"/>
                <w:sz w:val="20"/>
                <w:szCs w:val="20"/>
                <w:shd w:val="clear" w:color="auto" w:fill="FFFFFF"/>
              </w:rPr>
              <w:t>, Surgery and Urogynaecology.</w:t>
            </w:r>
          </w:p>
        </w:tc>
      </w:tr>
      <w:tr w:rsidR="00E81E07" w14:paraId="666CDDF9" w14:textId="77777777" w:rsidTr="004C6C78">
        <w:tc>
          <w:tcPr>
            <w:tcW w:w="2802" w:type="dxa"/>
          </w:tcPr>
          <w:p w14:paraId="52ADDC8C" w14:textId="77777777" w:rsidR="00E81E07" w:rsidRPr="004C6C78" w:rsidRDefault="00E81E07" w:rsidP="00EF5D3B">
            <w:pPr>
              <w:pStyle w:val="Notes"/>
              <w:rPr>
                <w:rFonts w:ascii="Calibri" w:hAnsi="Calibri" w:cs="Calibri"/>
              </w:rPr>
            </w:pPr>
            <w:r>
              <w:rPr>
                <w:rFonts w:ascii="Calibri" w:hAnsi="Calibri" w:cs="Calibri"/>
              </w:rPr>
              <w:t>Nurse practitioner</w:t>
            </w:r>
          </w:p>
        </w:tc>
        <w:tc>
          <w:tcPr>
            <w:tcW w:w="6371" w:type="dxa"/>
          </w:tcPr>
          <w:p w14:paraId="72F2C498" w14:textId="77777777" w:rsidR="00E81E07" w:rsidRDefault="00E81E07" w:rsidP="00EF5D3B">
            <w:pPr>
              <w:autoSpaceDE w:val="0"/>
              <w:autoSpaceDN w:val="0"/>
              <w:adjustRightInd w:val="0"/>
              <w:rPr>
                <w:rFonts w:ascii="Calibri" w:hAnsi="Calibri" w:cs="Calibri"/>
                <w:color w:val="000000"/>
                <w:sz w:val="20"/>
                <w:szCs w:val="20"/>
                <w:shd w:val="clear" w:color="auto" w:fill="FFFFFF"/>
              </w:rPr>
            </w:pPr>
            <w:r>
              <w:rPr>
                <w:rFonts w:ascii="Calibri" w:hAnsi="Calibri" w:cs="Calibri"/>
                <w:color w:val="000000"/>
                <w:sz w:val="20"/>
                <w:szCs w:val="20"/>
                <w:shd w:val="clear" w:color="auto" w:fill="FFFFFF"/>
              </w:rPr>
              <w:t>Nurse practitioner</w:t>
            </w:r>
          </w:p>
        </w:tc>
      </w:tr>
    </w:tbl>
    <w:p w14:paraId="798C82E1" w14:textId="77777777" w:rsidR="00C14036" w:rsidRDefault="00C14036" w:rsidP="00EF5D3B">
      <w:pPr>
        <w:pStyle w:val="Notes"/>
      </w:pPr>
    </w:p>
    <w:p w14:paraId="1E85E162" w14:textId="77777777" w:rsidR="000433A5" w:rsidRDefault="000433A5" w:rsidP="00EF5D3B">
      <w:pPr>
        <w:pStyle w:val="Notes"/>
      </w:pPr>
    </w:p>
    <w:p w14:paraId="112438F5" w14:textId="77777777" w:rsidR="000433A5" w:rsidRPr="0033504C" w:rsidRDefault="000433A5" w:rsidP="00EF5D3B">
      <w:pPr>
        <w:pStyle w:val="Notes"/>
      </w:pPr>
    </w:p>
    <w:sectPr w:rsidR="000433A5" w:rsidRPr="0033504C" w:rsidSect="00051F2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31C2E" w14:textId="77777777" w:rsidR="00714A48" w:rsidRDefault="00714A48" w:rsidP="00A35800">
      <w:r>
        <w:separator/>
      </w:r>
    </w:p>
  </w:endnote>
  <w:endnote w:type="continuationSeparator" w:id="0">
    <w:p w14:paraId="5B4463C4" w14:textId="77777777" w:rsidR="00714A48" w:rsidRDefault="00714A4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2287" w:usb1="00000060" w:usb2="00000008" w:usb3="00000000" w:csb0="00000093"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C82B9" w14:textId="77777777" w:rsidR="00714A48" w:rsidRDefault="00714A4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D6FC481" w14:textId="77777777" w:rsidR="00714A48" w:rsidRDefault="00714A48"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947156"/>
      <w:docPartObj>
        <w:docPartGallery w:val="Page Numbers (Bottom of Page)"/>
        <w:docPartUnique/>
      </w:docPartObj>
    </w:sdtPr>
    <w:sdtEndPr/>
    <w:sdtContent>
      <w:sdt>
        <w:sdtPr>
          <w:id w:val="1108705322"/>
          <w:docPartObj>
            <w:docPartGallery w:val="Page Numbers (Top of Page)"/>
            <w:docPartUnique/>
          </w:docPartObj>
        </w:sdtPr>
        <w:sdtEndPr/>
        <w:sdtContent>
          <w:p w14:paraId="39973FC3" w14:textId="77777777" w:rsidR="00714A48" w:rsidRPr="000E72C6" w:rsidRDefault="00714A48" w:rsidP="00AB49D8">
            <w:pPr>
              <w:pStyle w:val="Footer"/>
              <w:jc w:val="center"/>
              <w:rPr>
                <w:i/>
                <w:sz w:val="20"/>
              </w:rPr>
            </w:pPr>
            <w:r>
              <w:rPr>
                <w:i/>
                <w:sz w:val="20"/>
              </w:rPr>
              <w:t>Public Release Document, September 2018 DUSC meeting</w:t>
            </w:r>
          </w:p>
          <w:p w14:paraId="7A75E5B7" w14:textId="6FF6B538" w:rsidR="00714A48" w:rsidRDefault="00714A48"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CB6652">
              <w:rPr>
                <w:bCs/>
                <w:i/>
                <w:noProof/>
                <w:sz w:val="20"/>
              </w:rPr>
              <w:t>51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CB6652">
              <w:rPr>
                <w:bCs/>
                <w:i/>
                <w:noProof/>
                <w:sz w:val="20"/>
              </w:rPr>
              <w:t>52</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E1C0C" w14:textId="77777777" w:rsidR="00714A48" w:rsidRDefault="00714A48" w:rsidP="007A5733">
    <w:pPr>
      <w:pStyle w:val="Footer"/>
      <w:jc w:val="center"/>
      <w:rPr>
        <w:rStyle w:val="PageNumber"/>
      </w:rPr>
    </w:pPr>
    <w:r>
      <w:rPr>
        <w:rStyle w:val="PageNumber"/>
      </w:rPr>
      <w:t>Committee-in-Confidence</w:t>
    </w:r>
  </w:p>
  <w:p w14:paraId="4D76D439" w14:textId="77777777" w:rsidR="00714A48" w:rsidRDefault="00714A48"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DB3A4" w14:textId="77777777" w:rsidR="00714A48" w:rsidRDefault="00714A48" w:rsidP="00A35800">
      <w:r>
        <w:separator/>
      </w:r>
    </w:p>
  </w:footnote>
  <w:footnote w:type="continuationSeparator" w:id="0">
    <w:p w14:paraId="2387BE58" w14:textId="77777777" w:rsidR="00714A48" w:rsidRDefault="00714A48" w:rsidP="00A35800">
      <w:r>
        <w:continuationSeparator/>
      </w:r>
    </w:p>
  </w:footnote>
  <w:footnote w:id="1">
    <w:p w14:paraId="2ACCA413" w14:textId="77777777" w:rsidR="00714A48" w:rsidRDefault="00714A48">
      <w:pPr>
        <w:pStyle w:val="FootnoteText"/>
      </w:pPr>
      <w:r>
        <w:rPr>
          <w:rStyle w:val="FootnoteReference"/>
        </w:rPr>
        <w:footnoteRef/>
      </w:r>
      <w:r>
        <w:t xml:space="preserve"> Hepatitis Australia. Accessed on 28 August 2018 at: </w:t>
      </w:r>
      <w:r w:rsidRPr="00BD23EB">
        <w:t>https://www.hepatitisaustralia.com/newsarticles/</w:t>
      </w:r>
    </w:p>
  </w:footnote>
  <w:footnote w:id="2">
    <w:p w14:paraId="07BF264D" w14:textId="77777777" w:rsidR="00714A48" w:rsidRDefault="00714A48">
      <w:pPr>
        <w:pStyle w:val="FootnoteText"/>
      </w:pPr>
      <w:r>
        <w:rPr>
          <w:rStyle w:val="FootnoteReference"/>
        </w:rPr>
        <w:footnoteRef/>
      </w:r>
      <w:r>
        <w:t xml:space="preserve"> ‘New Hepatitis C medicines – Factsheet for patients and consumers’. Accessed from the Department of Health website on 23 August 2018 at: </w:t>
      </w:r>
      <w:r w:rsidRPr="00C615E2">
        <w:t>https://www.health.gov.au/internet/ministers/publishing.nsf/Content/FAE2B65331456243CA257F20006D4C48/$File/Hepatitis%20C%20Factsheet%20for%20patients%20and%20consumers.pdf</w:t>
      </w:r>
    </w:p>
  </w:footnote>
  <w:footnote w:id="3">
    <w:p w14:paraId="4B2D10B1" w14:textId="77777777" w:rsidR="00714A48" w:rsidRDefault="00714A48" w:rsidP="004855EB">
      <w:pPr>
        <w:pStyle w:val="FootnoteText"/>
      </w:pPr>
      <w:r>
        <w:rPr>
          <w:rStyle w:val="FootnoteReference"/>
        </w:rPr>
        <w:footnoteRef/>
      </w:r>
      <w:r>
        <w:t xml:space="preserve"> </w:t>
      </w:r>
      <w:hyperlink r:id="rId1" w:history="1">
        <w:r w:rsidRPr="00A464C1">
          <w:rPr>
            <w:rStyle w:val="Hyperlink"/>
          </w:rPr>
          <w:t>Public Summary Document, sofosbuvir, March 2015</w:t>
        </w:r>
      </w:hyperlink>
      <w:r>
        <w:t>.</w:t>
      </w:r>
    </w:p>
  </w:footnote>
  <w:footnote w:id="4">
    <w:p w14:paraId="1AE64366" w14:textId="77777777" w:rsidR="00714A48" w:rsidRDefault="00714A48">
      <w:pPr>
        <w:pStyle w:val="FootnoteText"/>
      </w:pPr>
      <w:r>
        <w:rPr>
          <w:rStyle w:val="FootnoteReference"/>
        </w:rPr>
        <w:footnoteRef/>
      </w:r>
      <w:r>
        <w:t xml:space="preserve"> Clinicaltrials.gov. Accessed on 27 August 2018 at: </w:t>
      </w:r>
      <w:r w:rsidRPr="00601FA1">
        <w:t>https://clinicaltrials.gov/ct2/show/NCT02064049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0E8" w14:textId="77777777" w:rsidR="00714A48" w:rsidRDefault="00714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2E781" w14:textId="77777777" w:rsidR="00714A48" w:rsidRDefault="00714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FCDDC" w14:textId="77777777" w:rsidR="00714A48" w:rsidRDefault="00714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8CE"/>
    <w:multiLevelType w:val="multilevel"/>
    <w:tmpl w:val="829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835BB"/>
    <w:multiLevelType w:val="multilevel"/>
    <w:tmpl w:val="23BA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B36E4"/>
    <w:multiLevelType w:val="hybridMultilevel"/>
    <w:tmpl w:val="E172737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B26334A"/>
    <w:multiLevelType w:val="hybridMultilevel"/>
    <w:tmpl w:val="DB68D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E52936"/>
    <w:multiLevelType w:val="multilevel"/>
    <w:tmpl w:val="9460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F16DFB"/>
    <w:multiLevelType w:val="hybridMultilevel"/>
    <w:tmpl w:val="0EDA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E841271"/>
    <w:multiLevelType w:val="multilevel"/>
    <w:tmpl w:val="3C58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5017B7"/>
    <w:multiLevelType w:val="multilevel"/>
    <w:tmpl w:val="01D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9306A8"/>
    <w:multiLevelType w:val="hybridMultilevel"/>
    <w:tmpl w:val="031499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100318A"/>
    <w:multiLevelType w:val="hybridMultilevel"/>
    <w:tmpl w:val="8C2CD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F563B8D"/>
    <w:multiLevelType w:val="multilevel"/>
    <w:tmpl w:val="BCF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92500EE"/>
    <w:multiLevelType w:val="multilevel"/>
    <w:tmpl w:val="C328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3E783B"/>
    <w:multiLevelType w:val="hybridMultilevel"/>
    <w:tmpl w:val="F79A7D88"/>
    <w:lvl w:ilvl="0" w:tplc="3488997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880EB7"/>
    <w:multiLevelType w:val="hybridMultilevel"/>
    <w:tmpl w:val="459839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DAA69CA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2"/>
  </w:num>
  <w:num w:numId="3">
    <w:abstractNumId w:val="5"/>
  </w:num>
  <w:num w:numId="4">
    <w:abstractNumId w:val="16"/>
  </w:num>
  <w:num w:numId="5">
    <w:abstractNumId w:val="10"/>
  </w:num>
  <w:num w:numId="6">
    <w:abstractNumId w:val="6"/>
  </w:num>
  <w:num w:numId="7">
    <w:abstractNumId w:val="4"/>
  </w:num>
  <w:num w:numId="8">
    <w:abstractNumId w:val="0"/>
  </w:num>
  <w:num w:numId="9">
    <w:abstractNumId w:val="7"/>
  </w:num>
  <w:num w:numId="10">
    <w:abstractNumId w:val="8"/>
  </w:num>
  <w:num w:numId="11">
    <w:abstractNumId w:val="11"/>
  </w:num>
  <w:num w:numId="12">
    <w:abstractNumId w:val="13"/>
  </w:num>
  <w:num w:numId="13">
    <w:abstractNumId w:val="1"/>
  </w:num>
  <w:num w:numId="14">
    <w:abstractNumId w:val="9"/>
  </w:num>
  <w:num w:numId="15">
    <w:abstractNumId w:val="3"/>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2F0"/>
    <w:rsid w:val="00000793"/>
    <w:rsid w:val="00001AF6"/>
    <w:rsid w:val="00001DDF"/>
    <w:rsid w:val="00001E56"/>
    <w:rsid w:val="000021FD"/>
    <w:rsid w:val="00002230"/>
    <w:rsid w:val="00002D95"/>
    <w:rsid w:val="0000398E"/>
    <w:rsid w:val="000043BF"/>
    <w:rsid w:val="000063FC"/>
    <w:rsid w:val="00006470"/>
    <w:rsid w:val="00006C91"/>
    <w:rsid w:val="00007E85"/>
    <w:rsid w:val="00010D2B"/>
    <w:rsid w:val="00013465"/>
    <w:rsid w:val="000140F3"/>
    <w:rsid w:val="000142F5"/>
    <w:rsid w:val="00014311"/>
    <w:rsid w:val="00014655"/>
    <w:rsid w:val="00014A3D"/>
    <w:rsid w:val="00014CC3"/>
    <w:rsid w:val="00016114"/>
    <w:rsid w:val="00021239"/>
    <w:rsid w:val="00021CB9"/>
    <w:rsid w:val="00021E9A"/>
    <w:rsid w:val="00022353"/>
    <w:rsid w:val="000226B3"/>
    <w:rsid w:val="00023DB3"/>
    <w:rsid w:val="00024549"/>
    <w:rsid w:val="00025E42"/>
    <w:rsid w:val="0002601A"/>
    <w:rsid w:val="00026BE4"/>
    <w:rsid w:val="00026FF2"/>
    <w:rsid w:val="000301D3"/>
    <w:rsid w:val="0003039E"/>
    <w:rsid w:val="00030896"/>
    <w:rsid w:val="000309D1"/>
    <w:rsid w:val="00030E51"/>
    <w:rsid w:val="000311F1"/>
    <w:rsid w:val="0003267C"/>
    <w:rsid w:val="000333F5"/>
    <w:rsid w:val="0003635A"/>
    <w:rsid w:val="00036808"/>
    <w:rsid w:val="00036CE2"/>
    <w:rsid w:val="00037950"/>
    <w:rsid w:val="00037E9F"/>
    <w:rsid w:val="00037ED1"/>
    <w:rsid w:val="00037F67"/>
    <w:rsid w:val="0004157B"/>
    <w:rsid w:val="0004205E"/>
    <w:rsid w:val="00042AB2"/>
    <w:rsid w:val="00042E81"/>
    <w:rsid w:val="000432D1"/>
    <w:rsid w:val="000433A5"/>
    <w:rsid w:val="00043BB4"/>
    <w:rsid w:val="000442A5"/>
    <w:rsid w:val="00044772"/>
    <w:rsid w:val="00047787"/>
    <w:rsid w:val="000501F1"/>
    <w:rsid w:val="0005061B"/>
    <w:rsid w:val="0005066F"/>
    <w:rsid w:val="00050BB9"/>
    <w:rsid w:val="00051F26"/>
    <w:rsid w:val="00052229"/>
    <w:rsid w:val="00052C91"/>
    <w:rsid w:val="0005361D"/>
    <w:rsid w:val="00053638"/>
    <w:rsid w:val="000544B6"/>
    <w:rsid w:val="00054D84"/>
    <w:rsid w:val="00055CDF"/>
    <w:rsid w:val="00056C1D"/>
    <w:rsid w:val="00060057"/>
    <w:rsid w:val="00060073"/>
    <w:rsid w:val="000604AF"/>
    <w:rsid w:val="0006188A"/>
    <w:rsid w:val="000618BE"/>
    <w:rsid w:val="00062475"/>
    <w:rsid w:val="00062F3F"/>
    <w:rsid w:val="00063386"/>
    <w:rsid w:val="000639F7"/>
    <w:rsid w:val="00063A34"/>
    <w:rsid w:val="00063EA3"/>
    <w:rsid w:val="00064823"/>
    <w:rsid w:val="00065476"/>
    <w:rsid w:val="00065FF2"/>
    <w:rsid w:val="0006621E"/>
    <w:rsid w:val="00066F05"/>
    <w:rsid w:val="00066F45"/>
    <w:rsid w:val="0007048E"/>
    <w:rsid w:val="00070620"/>
    <w:rsid w:val="000708FE"/>
    <w:rsid w:val="00071BE8"/>
    <w:rsid w:val="00071E5D"/>
    <w:rsid w:val="00072253"/>
    <w:rsid w:val="00072275"/>
    <w:rsid w:val="00073C49"/>
    <w:rsid w:val="00074AA2"/>
    <w:rsid w:val="0007547D"/>
    <w:rsid w:val="00080071"/>
    <w:rsid w:val="000810D1"/>
    <w:rsid w:val="00081C2C"/>
    <w:rsid w:val="00083180"/>
    <w:rsid w:val="000840C7"/>
    <w:rsid w:val="000851F2"/>
    <w:rsid w:val="000856FC"/>
    <w:rsid w:val="00086711"/>
    <w:rsid w:val="00086AFA"/>
    <w:rsid w:val="00086C11"/>
    <w:rsid w:val="00086F28"/>
    <w:rsid w:val="00087662"/>
    <w:rsid w:val="00087CD5"/>
    <w:rsid w:val="00090D59"/>
    <w:rsid w:val="00091F66"/>
    <w:rsid w:val="00092318"/>
    <w:rsid w:val="000939AB"/>
    <w:rsid w:val="000946CD"/>
    <w:rsid w:val="00094DCF"/>
    <w:rsid w:val="00094EEB"/>
    <w:rsid w:val="000956B5"/>
    <w:rsid w:val="000965E5"/>
    <w:rsid w:val="00096EE5"/>
    <w:rsid w:val="00096F70"/>
    <w:rsid w:val="0009743B"/>
    <w:rsid w:val="00097841"/>
    <w:rsid w:val="000979F0"/>
    <w:rsid w:val="000A1785"/>
    <w:rsid w:val="000A26C3"/>
    <w:rsid w:val="000A26E2"/>
    <w:rsid w:val="000A3CA9"/>
    <w:rsid w:val="000A4154"/>
    <w:rsid w:val="000A6BFF"/>
    <w:rsid w:val="000A6CFD"/>
    <w:rsid w:val="000A7037"/>
    <w:rsid w:val="000A703D"/>
    <w:rsid w:val="000A7AA5"/>
    <w:rsid w:val="000B0982"/>
    <w:rsid w:val="000B0BEC"/>
    <w:rsid w:val="000B2486"/>
    <w:rsid w:val="000B25CD"/>
    <w:rsid w:val="000B3094"/>
    <w:rsid w:val="000B3335"/>
    <w:rsid w:val="000B37F2"/>
    <w:rsid w:val="000B4177"/>
    <w:rsid w:val="000B4368"/>
    <w:rsid w:val="000B653A"/>
    <w:rsid w:val="000B6DD0"/>
    <w:rsid w:val="000B796C"/>
    <w:rsid w:val="000B7DE9"/>
    <w:rsid w:val="000C03AA"/>
    <w:rsid w:val="000C087B"/>
    <w:rsid w:val="000C240B"/>
    <w:rsid w:val="000C2726"/>
    <w:rsid w:val="000C2B4B"/>
    <w:rsid w:val="000C4454"/>
    <w:rsid w:val="000C4570"/>
    <w:rsid w:val="000C46BB"/>
    <w:rsid w:val="000C46C2"/>
    <w:rsid w:val="000C4D9D"/>
    <w:rsid w:val="000C5037"/>
    <w:rsid w:val="000C7C4B"/>
    <w:rsid w:val="000C7D8B"/>
    <w:rsid w:val="000D0F63"/>
    <w:rsid w:val="000D1712"/>
    <w:rsid w:val="000D2E94"/>
    <w:rsid w:val="000D4C8F"/>
    <w:rsid w:val="000D5051"/>
    <w:rsid w:val="000D59F4"/>
    <w:rsid w:val="000D5FDD"/>
    <w:rsid w:val="000D668E"/>
    <w:rsid w:val="000D7506"/>
    <w:rsid w:val="000D7819"/>
    <w:rsid w:val="000E02AE"/>
    <w:rsid w:val="000E2F50"/>
    <w:rsid w:val="000E485D"/>
    <w:rsid w:val="000E4FDF"/>
    <w:rsid w:val="000E5DC5"/>
    <w:rsid w:val="000E72C6"/>
    <w:rsid w:val="000E7A15"/>
    <w:rsid w:val="000E7D50"/>
    <w:rsid w:val="000F0BFD"/>
    <w:rsid w:val="000F1893"/>
    <w:rsid w:val="000F1DB8"/>
    <w:rsid w:val="000F2238"/>
    <w:rsid w:val="000F2D5F"/>
    <w:rsid w:val="000F2F51"/>
    <w:rsid w:val="000F31FB"/>
    <w:rsid w:val="000F3ED6"/>
    <w:rsid w:val="000F5249"/>
    <w:rsid w:val="000F5CD1"/>
    <w:rsid w:val="000F6018"/>
    <w:rsid w:val="000F6162"/>
    <w:rsid w:val="000F67F3"/>
    <w:rsid w:val="0010026B"/>
    <w:rsid w:val="00100597"/>
    <w:rsid w:val="001019D9"/>
    <w:rsid w:val="001028A1"/>
    <w:rsid w:val="0010332B"/>
    <w:rsid w:val="00103409"/>
    <w:rsid w:val="00103C35"/>
    <w:rsid w:val="00103C64"/>
    <w:rsid w:val="00103DF6"/>
    <w:rsid w:val="00106362"/>
    <w:rsid w:val="0010762D"/>
    <w:rsid w:val="001109CC"/>
    <w:rsid w:val="00110B5E"/>
    <w:rsid w:val="0011135F"/>
    <w:rsid w:val="00113CF8"/>
    <w:rsid w:val="00113D74"/>
    <w:rsid w:val="00114172"/>
    <w:rsid w:val="001161FB"/>
    <w:rsid w:val="00116958"/>
    <w:rsid w:val="00116B2F"/>
    <w:rsid w:val="00117C5C"/>
    <w:rsid w:val="00117E51"/>
    <w:rsid w:val="00117E69"/>
    <w:rsid w:val="00120424"/>
    <w:rsid w:val="00120A26"/>
    <w:rsid w:val="00120FA5"/>
    <w:rsid w:val="00121787"/>
    <w:rsid w:val="001223A3"/>
    <w:rsid w:val="0012258F"/>
    <w:rsid w:val="00123108"/>
    <w:rsid w:val="0012381B"/>
    <w:rsid w:val="00124725"/>
    <w:rsid w:val="00124839"/>
    <w:rsid w:val="001254DF"/>
    <w:rsid w:val="00125807"/>
    <w:rsid w:val="00125EAC"/>
    <w:rsid w:val="0012632F"/>
    <w:rsid w:val="00127F22"/>
    <w:rsid w:val="00130E76"/>
    <w:rsid w:val="001310AE"/>
    <w:rsid w:val="001313A3"/>
    <w:rsid w:val="00133423"/>
    <w:rsid w:val="00133441"/>
    <w:rsid w:val="001347B0"/>
    <w:rsid w:val="001347F2"/>
    <w:rsid w:val="00134D65"/>
    <w:rsid w:val="00136305"/>
    <w:rsid w:val="001376C1"/>
    <w:rsid w:val="00137C8A"/>
    <w:rsid w:val="00137C8D"/>
    <w:rsid w:val="00140627"/>
    <w:rsid w:val="00141466"/>
    <w:rsid w:val="0014206C"/>
    <w:rsid w:val="001420B3"/>
    <w:rsid w:val="00142429"/>
    <w:rsid w:val="001427BB"/>
    <w:rsid w:val="0014530A"/>
    <w:rsid w:val="0014576E"/>
    <w:rsid w:val="00146044"/>
    <w:rsid w:val="001460C4"/>
    <w:rsid w:val="00146A5A"/>
    <w:rsid w:val="00146CF6"/>
    <w:rsid w:val="00150819"/>
    <w:rsid w:val="00150CA4"/>
    <w:rsid w:val="00150CF6"/>
    <w:rsid w:val="00151839"/>
    <w:rsid w:val="00152003"/>
    <w:rsid w:val="00152869"/>
    <w:rsid w:val="00152919"/>
    <w:rsid w:val="00155291"/>
    <w:rsid w:val="00155905"/>
    <w:rsid w:val="00155BFD"/>
    <w:rsid w:val="0015691C"/>
    <w:rsid w:val="001575D5"/>
    <w:rsid w:val="0015766D"/>
    <w:rsid w:val="00160CE0"/>
    <w:rsid w:val="00160FD4"/>
    <w:rsid w:val="001611A1"/>
    <w:rsid w:val="001613BB"/>
    <w:rsid w:val="00161620"/>
    <w:rsid w:val="001621F7"/>
    <w:rsid w:val="001622B5"/>
    <w:rsid w:val="001624D7"/>
    <w:rsid w:val="00163B22"/>
    <w:rsid w:val="001640BA"/>
    <w:rsid w:val="00164880"/>
    <w:rsid w:val="00164896"/>
    <w:rsid w:val="0016520B"/>
    <w:rsid w:val="00165EA2"/>
    <w:rsid w:val="00166844"/>
    <w:rsid w:val="00166999"/>
    <w:rsid w:val="0016729A"/>
    <w:rsid w:val="00167CBF"/>
    <w:rsid w:val="001705DC"/>
    <w:rsid w:val="00171451"/>
    <w:rsid w:val="00171928"/>
    <w:rsid w:val="001721F7"/>
    <w:rsid w:val="0017232D"/>
    <w:rsid w:val="00172E38"/>
    <w:rsid w:val="001755CB"/>
    <w:rsid w:val="001755E7"/>
    <w:rsid w:val="001760DE"/>
    <w:rsid w:val="00177B86"/>
    <w:rsid w:val="00180767"/>
    <w:rsid w:val="00180EBB"/>
    <w:rsid w:val="001814E5"/>
    <w:rsid w:val="001815BE"/>
    <w:rsid w:val="00182585"/>
    <w:rsid w:val="00182F65"/>
    <w:rsid w:val="00185287"/>
    <w:rsid w:val="00185E30"/>
    <w:rsid w:val="00187856"/>
    <w:rsid w:val="00187A46"/>
    <w:rsid w:val="00187CAC"/>
    <w:rsid w:val="00190735"/>
    <w:rsid w:val="00190ACD"/>
    <w:rsid w:val="00191182"/>
    <w:rsid w:val="001922BE"/>
    <w:rsid w:val="001929D4"/>
    <w:rsid w:val="00192A03"/>
    <w:rsid w:val="00192BBF"/>
    <w:rsid w:val="00192DC5"/>
    <w:rsid w:val="0019302E"/>
    <w:rsid w:val="00195979"/>
    <w:rsid w:val="001960A4"/>
    <w:rsid w:val="0019612F"/>
    <w:rsid w:val="00196332"/>
    <w:rsid w:val="0019664D"/>
    <w:rsid w:val="00196A0D"/>
    <w:rsid w:val="00197EC8"/>
    <w:rsid w:val="001A084C"/>
    <w:rsid w:val="001A177E"/>
    <w:rsid w:val="001A25A0"/>
    <w:rsid w:val="001A472E"/>
    <w:rsid w:val="001A49A9"/>
    <w:rsid w:val="001A49D0"/>
    <w:rsid w:val="001A6103"/>
    <w:rsid w:val="001B0AC5"/>
    <w:rsid w:val="001B1374"/>
    <w:rsid w:val="001B221B"/>
    <w:rsid w:val="001B26ED"/>
    <w:rsid w:val="001B3E1F"/>
    <w:rsid w:val="001B5D37"/>
    <w:rsid w:val="001C0725"/>
    <w:rsid w:val="001C2940"/>
    <w:rsid w:val="001C2F0A"/>
    <w:rsid w:val="001C4016"/>
    <w:rsid w:val="001C4033"/>
    <w:rsid w:val="001C420F"/>
    <w:rsid w:val="001C4E0F"/>
    <w:rsid w:val="001C529E"/>
    <w:rsid w:val="001C548D"/>
    <w:rsid w:val="001C5FB7"/>
    <w:rsid w:val="001C6178"/>
    <w:rsid w:val="001C6A5D"/>
    <w:rsid w:val="001D038D"/>
    <w:rsid w:val="001D0F01"/>
    <w:rsid w:val="001D2216"/>
    <w:rsid w:val="001D231E"/>
    <w:rsid w:val="001D2468"/>
    <w:rsid w:val="001D4B64"/>
    <w:rsid w:val="001D4EE3"/>
    <w:rsid w:val="001D4F2F"/>
    <w:rsid w:val="001D519C"/>
    <w:rsid w:val="001D5682"/>
    <w:rsid w:val="001D7955"/>
    <w:rsid w:val="001E002E"/>
    <w:rsid w:val="001E0379"/>
    <w:rsid w:val="001E1619"/>
    <w:rsid w:val="001E176E"/>
    <w:rsid w:val="001E17B6"/>
    <w:rsid w:val="001E1FF1"/>
    <w:rsid w:val="001E31A6"/>
    <w:rsid w:val="001E394E"/>
    <w:rsid w:val="001E42C7"/>
    <w:rsid w:val="001E4C8F"/>
    <w:rsid w:val="001E4CAB"/>
    <w:rsid w:val="001E5C5D"/>
    <w:rsid w:val="001E784E"/>
    <w:rsid w:val="001F07C5"/>
    <w:rsid w:val="001F0A4E"/>
    <w:rsid w:val="001F1CEC"/>
    <w:rsid w:val="001F21E2"/>
    <w:rsid w:val="001F2612"/>
    <w:rsid w:val="001F2F3E"/>
    <w:rsid w:val="001F3143"/>
    <w:rsid w:val="001F3418"/>
    <w:rsid w:val="001F3CC6"/>
    <w:rsid w:val="001F4661"/>
    <w:rsid w:val="001F472F"/>
    <w:rsid w:val="001F4906"/>
    <w:rsid w:val="001F4D28"/>
    <w:rsid w:val="001F591C"/>
    <w:rsid w:val="001F5D78"/>
    <w:rsid w:val="001F61E2"/>
    <w:rsid w:val="001F6E8E"/>
    <w:rsid w:val="001F6F61"/>
    <w:rsid w:val="001F75CA"/>
    <w:rsid w:val="001F7C4A"/>
    <w:rsid w:val="00200D87"/>
    <w:rsid w:val="0020219C"/>
    <w:rsid w:val="00202258"/>
    <w:rsid w:val="0020239D"/>
    <w:rsid w:val="002042ED"/>
    <w:rsid w:val="00204DDC"/>
    <w:rsid w:val="00205289"/>
    <w:rsid w:val="0020557B"/>
    <w:rsid w:val="0020578A"/>
    <w:rsid w:val="00206914"/>
    <w:rsid w:val="00207485"/>
    <w:rsid w:val="00207631"/>
    <w:rsid w:val="00210224"/>
    <w:rsid w:val="00210742"/>
    <w:rsid w:val="00210D59"/>
    <w:rsid w:val="00211834"/>
    <w:rsid w:val="00211927"/>
    <w:rsid w:val="00211F9A"/>
    <w:rsid w:val="002131A6"/>
    <w:rsid w:val="00213F84"/>
    <w:rsid w:val="00214013"/>
    <w:rsid w:val="002147E6"/>
    <w:rsid w:val="002157FE"/>
    <w:rsid w:val="00215DC8"/>
    <w:rsid w:val="00217B28"/>
    <w:rsid w:val="00217CB2"/>
    <w:rsid w:val="00220B41"/>
    <w:rsid w:val="00220FC1"/>
    <w:rsid w:val="00222E9A"/>
    <w:rsid w:val="002248BC"/>
    <w:rsid w:val="002265D5"/>
    <w:rsid w:val="00226F6C"/>
    <w:rsid w:val="002315B4"/>
    <w:rsid w:val="00231795"/>
    <w:rsid w:val="0023179D"/>
    <w:rsid w:val="00233341"/>
    <w:rsid w:val="002344E5"/>
    <w:rsid w:val="00234ED4"/>
    <w:rsid w:val="00235C9B"/>
    <w:rsid w:val="0023637F"/>
    <w:rsid w:val="002365E0"/>
    <w:rsid w:val="00236B6C"/>
    <w:rsid w:val="0024017E"/>
    <w:rsid w:val="00240555"/>
    <w:rsid w:val="002410B4"/>
    <w:rsid w:val="00241F31"/>
    <w:rsid w:val="002423BC"/>
    <w:rsid w:val="00244259"/>
    <w:rsid w:val="00245AE6"/>
    <w:rsid w:val="00247007"/>
    <w:rsid w:val="0025144A"/>
    <w:rsid w:val="00251A1B"/>
    <w:rsid w:val="0025275F"/>
    <w:rsid w:val="002536AF"/>
    <w:rsid w:val="0025389D"/>
    <w:rsid w:val="00253A11"/>
    <w:rsid w:val="002543B4"/>
    <w:rsid w:val="00254527"/>
    <w:rsid w:val="00254E02"/>
    <w:rsid w:val="00255A76"/>
    <w:rsid w:val="00255AC1"/>
    <w:rsid w:val="00255F2C"/>
    <w:rsid w:val="00256BCF"/>
    <w:rsid w:val="002572E0"/>
    <w:rsid w:val="00257F2A"/>
    <w:rsid w:val="00260416"/>
    <w:rsid w:val="002615AA"/>
    <w:rsid w:val="002622E7"/>
    <w:rsid w:val="0026265F"/>
    <w:rsid w:val="00263291"/>
    <w:rsid w:val="00263686"/>
    <w:rsid w:val="00263C79"/>
    <w:rsid w:val="00264D19"/>
    <w:rsid w:val="00265127"/>
    <w:rsid w:val="00265E12"/>
    <w:rsid w:val="002661E2"/>
    <w:rsid w:val="00267818"/>
    <w:rsid w:val="0026797D"/>
    <w:rsid w:val="002679BA"/>
    <w:rsid w:val="00270330"/>
    <w:rsid w:val="002706CB"/>
    <w:rsid w:val="00270FCA"/>
    <w:rsid w:val="0027134F"/>
    <w:rsid w:val="00273B48"/>
    <w:rsid w:val="0027492C"/>
    <w:rsid w:val="00274AF9"/>
    <w:rsid w:val="0027685E"/>
    <w:rsid w:val="00276CE9"/>
    <w:rsid w:val="0027743A"/>
    <w:rsid w:val="00280CC3"/>
    <w:rsid w:val="002810F5"/>
    <w:rsid w:val="002831E0"/>
    <w:rsid w:val="002850FE"/>
    <w:rsid w:val="002856DE"/>
    <w:rsid w:val="002858CD"/>
    <w:rsid w:val="00286138"/>
    <w:rsid w:val="00286C3A"/>
    <w:rsid w:val="002906EC"/>
    <w:rsid w:val="00290C68"/>
    <w:rsid w:val="00291409"/>
    <w:rsid w:val="002930F5"/>
    <w:rsid w:val="00295600"/>
    <w:rsid w:val="0029671B"/>
    <w:rsid w:val="00296B71"/>
    <w:rsid w:val="00297E7D"/>
    <w:rsid w:val="002A0683"/>
    <w:rsid w:val="002A06B7"/>
    <w:rsid w:val="002A2DF6"/>
    <w:rsid w:val="002A3AF8"/>
    <w:rsid w:val="002A43C2"/>
    <w:rsid w:val="002A4F89"/>
    <w:rsid w:val="002A5587"/>
    <w:rsid w:val="002A74EF"/>
    <w:rsid w:val="002A75A5"/>
    <w:rsid w:val="002B1D02"/>
    <w:rsid w:val="002B2157"/>
    <w:rsid w:val="002B2954"/>
    <w:rsid w:val="002B3DC5"/>
    <w:rsid w:val="002B400C"/>
    <w:rsid w:val="002B42EF"/>
    <w:rsid w:val="002B4912"/>
    <w:rsid w:val="002B568E"/>
    <w:rsid w:val="002B5746"/>
    <w:rsid w:val="002B5C84"/>
    <w:rsid w:val="002B6825"/>
    <w:rsid w:val="002B7E4D"/>
    <w:rsid w:val="002C1845"/>
    <w:rsid w:val="002C22D3"/>
    <w:rsid w:val="002C2D0D"/>
    <w:rsid w:val="002C2EE6"/>
    <w:rsid w:val="002C31A8"/>
    <w:rsid w:val="002C3316"/>
    <w:rsid w:val="002C4008"/>
    <w:rsid w:val="002C588B"/>
    <w:rsid w:val="002C6247"/>
    <w:rsid w:val="002C6E0C"/>
    <w:rsid w:val="002C7811"/>
    <w:rsid w:val="002D009B"/>
    <w:rsid w:val="002D144A"/>
    <w:rsid w:val="002D2ABA"/>
    <w:rsid w:val="002D314F"/>
    <w:rsid w:val="002D3F69"/>
    <w:rsid w:val="002D62F2"/>
    <w:rsid w:val="002D662D"/>
    <w:rsid w:val="002E07AE"/>
    <w:rsid w:val="002E19A3"/>
    <w:rsid w:val="002E1A1D"/>
    <w:rsid w:val="002E212B"/>
    <w:rsid w:val="002E3145"/>
    <w:rsid w:val="002E3337"/>
    <w:rsid w:val="002E3419"/>
    <w:rsid w:val="002E3D45"/>
    <w:rsid w:val="002E4251"/>
    <w:rsid w:val="002E5524"/>
    <w:rsid w:val="002E6D03"/>
    <w:rsid w:val="002E6E84"/>
    <w:rsid w:val="002E7B98"/>
    <w:rsid w:val="002F0685"/>
    <w:rsid w:val="002F1801"/>
    <w:rsid w:val="002F2DD5"/>
    <w:rsid w:val="002F3A72"/>
    <w:rsid w:val="002F3CEA"/>
    <w:rsid w:val="002F49A8"/>
    <w:rsid w:val="002F5E66"/>
    <w:rsid w:val="002F61CA"/>
    <w:rsid w:val="002F7854"/>
    <w:rsid w:val="0030010D"/>
    <w:rsid w:val="003005DF"/>
    <w:rsid w:val="00300B46"/>
    <w:rsid w:val="00301F7F"/>
    <w:rsid w:val="00303DE0"/>
    <w:rsid w:val="00303F1A"/>
    <w:rsid w:val="00304CC8"/>
    <w:rsid w:val="0030528C"/>
    <w:rsid w:val="00305F09"/>
    <w:rsid w:val="00305F53"/>
    <w:rsid w:val="003073B8"/>
    <w:rsid w:val="00310196"/>
    <w:rsid w:val="003107EA"/>
    <w:rsid w:val="00310CEA"/>
    <w:rsid w:val="003110A7"/>
    <w:rsid w:val="00311658"/>
    <w:rsid w:val="0031283F"/>
    <w:rsid w:val="00312984"/>
    <w:rsid w:val="003131D5"/>
    <w:rsid w:val="00314124"/>
    <w:rsid w:val="00314364"/>
    <w:rsid w:val="00314634"/>
    <w:rsid w:val="00314CC4"/>
    <w:rsid w:val="0031605F"/>
    <w:rsid w:val="003162DF"/>
    <w:rsid w:val="003206B6"/>
    <w:rsid w:val="00320FFF"/>
    <w:rsid w:val="003211F0"/>
    <w:rsid w:val="00323824"/>
    <w:rsid w:val="00324413"/>
    <w:rsid w:val="00327B04"/>
    <w:rsid w:val="00330349"/>
    <w:rsid w:val="003303F1"/>
    <w:rsid w:val="003305F3"/>
    <w:rsid w:val="00331417"/>
    <w:rsid w:val="003319F3"/>
    <w:rsid w:val="00331D6C"/>
    <w:rsid w:val="00331FD0"/>
    <w:rsid w:val="00332A36"/>
    <w:rsid w:val="00332DEE"/>
    <w:rsid w:val="00332F4E"/>
    <w:rsid w:val="0033422C"/>
    <w:rsid w:val="0033504C"/>
    <w:rsid w:val="003352F4"/>
    <w:rsid w:val="00335E9A"/>
    <w:rsid w:val="00336294"/>
    <w:rsid w:val="00336344"/>
    <w:rsid w:val="003367AC"/>
    <w:rsid w:val="00336816"/>
    <w:rsid w:val="003370D0"/>
    <w:rsid w:val="00337355"/>
    <w:rsid w:val="003402E4"/>
    <w:rsid w:val="003409C8"/>
    <w:rsid w:val="00340F95"/>
    <w:rsid w:val="00342279"/>
    <w:rsid w:val="00344405"/>
    <w:rsid w:val="00344BC6"/>
    <w:rsid w:val="0034580F"/>
    <w:rsid w:val="00345AB3"/>
    <w:rsid w:val="00347F54"/>
    <w:rsid w:val="00350062"/>
    <w:rsid w:val="0035014D"/>
    <w:rsid w:val="003528D4"/>
    <w:rsid w:val="00352CFA"/>
    <w:rsid w:val="003531ED"/>
    <w:rsid w:val="00353232"/>
    <w:rsid w:val="00353583"/>
    <w:rsid w:val="00354094"/>
    <w:rsid w:val="003549D2"/>
    <w:rsid w:val="0035552F"/>
    <w:rsid w:val="00355D6E"/>
    <w:rsid w:val="00356421"/>
    <w:rsid w:val="00357816"/>
    <w:rsid w:val="00357B77"/>
    <w:rsid w:val="00360B9A"/>
    <w:rsid w:val="0036101F"/>
    <w:rsid w:val="00361F0D"/>
    <w:rsid w:val="003652AA"/>
    <w:rsid w:val="00366635"/>
    <w:rsid w:val="00366BAE"/>
    <w:rsid w:val="00366C22"/>
    <w:rsid w:val="00366CD5"/>
    <w:rsid w:val="00367B82"/>
    <w:rsid w:val="003702FD"/>
    <w:rsid w:val="003703AE"/>
    <w:rsid w:val="00372007"/>
    <w:rsid w:val="00373032"/>
    <w:rsid w:val="00374026"/>
    <w:rsid w:val="00375543"/>
    <w:rsid w:val="00376C2F"/>
    <w:rsid w:val="003830FD"/>
    <w:rsid w:val="00383AA5"/>
    <w:rsid w:val="00383AB4"/>
    <w:rsid w:val="00384DCC"/>
    <w:rsid w:val="00385301"/>
    <w:rsid w:val="00385E8A"/>
    <w:rsid w:val="00386B3F"/>
    <w:rsid w:val="00386CC9"/>
    <w:rsid w:val="003875A2"/>
    <w:rsid w:val="0039017F"/>
    <w:rsid w:val="0039103E"/>
    <w:rsid w:val="00391043"/>
    <w:rsid w:val="00392122"/>
    <w:rsid w:val="0039238B"/>
    <w:rsid w:val="00392706"/>
    <w:rsid w:val="00392ED6"/>
    <w:rsid w:val="00392FC7"/>
    <w:rsid w:val="00393732"/>
    <w:rsid w:val="00394AEE"/>
    <w:rsid w:val="0039506A"/>
    <w:rsid w:val="00395D72"/>
    <w:rsid w:val="00396151"/>
    <w:rsid w:val="003961D2"/>
    <w:rsid w:val="003968C8"/>
    <w:rsid w:val="003975EC"/>
    <w:rsid w:val="003A051B"/>
    <w:rsid w:val="003A064D"/>
    <w:rsid w:val="003A2C9E"/>
    <w:rsid w:val="003A317E"/>
    <w:rsid w:val="003A3D53"/>
    <w:rsid w:val="003A3E16"/>
    <w:rsid w:val="003A3FB7"/>
    <w:rsid w:val="003A4F33"/>
    <w:rsid w:val="003A5907"/>
    <w:rsid w:val="003A6461"/>
    <w:rsid w:val="003A6645"/>
    <w:rsid w:val="003A73C6"/>
    <w:rsid w:val="003A7A1D"/>
    <w:rsid w:val="003B018A"/>
    <w:rsid w:val="003B02C2"/>
    <w:rsid w:val="003B03F9"/>
    <w:rsid w:val="003B0C01"/>
    <w:rsid w:val="003B1769"/>
    <w:rsid w:val="003B2A66"/>
    <w:rsid w:val="003B3CCE"/>
    <w:rsid w:val="003B4161"/>
    <w:rsid w:val="003B6E76"/>
    <w:rsid w:val="003B7A6B"/>
    <w:rsid w:val="003B7ED9"/>
    <w:rsid w:val="003C2D98"/>
    <w:rsid w:val="003C5143"/>
    <w:rsid w:val="003D1D1A"/>
    <w:rsid w:val="003D33FF"/>
    <w:rsid w:val="003D3A96"/>
    <w:rsid w:val="003D3B9C"/>
    <w:rsid w:val="003D3E8B"/>
    <w:rsid w:val="003D5686"/>
    <w:rsid w:val="003D630B"/>
    <w:rsid w:val="003D6667"/>
    <w:rsid w:val="003E2308"/>
    <w:rsid w:val="003E2AF5"/>
    <w:rsid w:val="003E4C0C"/>
    <w:rsid w:val="003E580A"/>
    <w:rsid w:val="003E5C01"/>
    <w:rsid w:val="003E604C"/>
    <w:rsid w:val="003E646D"/>
    <w:rsid w:val="003E7C0B"/>
    <w:rsid w:val="003F21A7"/>
    <w:rsid w:val="003F4A52"/>
    <w:rsid w:val="003F7D59"/>
    <w:rsid w:val="003F7FC3"/>
    <w:rsid w:val="004000BA"/>
    <w:rsid w:val="004000E1"/>
    <w:rsid w:val="00401307"/>
    <w:rsid w:val="00401827"/>
    <w:rsid w:val="00401952"/>
    <w:rsid w:val="004043EC"/>
    <w:rsid w:val="00404F03"/>
    <w:rsid w:val="00405855"/>
    <w:rsid w:val="00406FA9"/>
    <w:rsid w:val="00407D87"/>
    <w:rsid w:val="004106C4"/>
    <w:rsid w:val="00410E36"/>
    <w:rsid w:val="00412051"/>
    <w:rsid w:val="004166AD"/>
    <w:rsid w:val="004167DA"/>
    <w:rsid w:val="00416F95"/>
    <w:rsid w:val="00417784"/>
    <w:rsid w:val="00420817"/>
    <w:rsid w:val="00421289"/>
    <w:rsid w:val="0042188C"/>
    <w:rsid w:val="00422959"/>
    <w:rsid w:val="00423B94"/>
    <w:rsid w:val="00423F9B"/>
    <w:rsid w:val="00425CCE"/>
    <w:rsid w:val="004269AC"/>
    <w:rsid w:val="0043008C"/>
    <w:rsid w:val="004309B1"/>
    <w:rsid w:val="00430A9F"/>
    <w:rsid w:val="0043102D"/>
    <w:rsid w:val="004323F8"/>
    <w:rsid w:val="00432DEB"/>
    <w:rsid w:val="00432E37"/>
    <w:rsid w:val="004332F6"/>
    <w:rsid w:val="00436E89"/>
    <w:rsid w:val="00437EDD"/>
    <w:rsid w:val="004406DE"/>
    <w:rsid w:val="004408C7"/>
    <w:rsid w:val="00442EBE"/>
    <w:rsid w:val="00443228"/>
    <w:rsid w:val="004438C1"/>
    <w:rsid w:val="00443961"/>
    <w:rsid w:val="004459C5"/>
    <w:rsid w:val="00447AE2"/>
    <w:rsid w:val="00447DE5"/>
    <w:rsid w:val="00447E78"/>
    <w:rsid w:val="00447ED6"/>
    <w:rsid w:val="00450D75"/>
    <w:rsid w:val="0045164F"/>
    <w:rsid w:val="004517D8"/>
    <w:rsid w:val="00451E2E"/>
    <w:rsid w:val="00453DBE"/>
    <w:rsid w:val="0045492E"/>
    <w:rsid w:val="00454984"/>
    <w:rsid w:val="00454BF0"/>
    <w:rsid w:val="00454C44"/>
    <w:rsid w:val="00454E63"/>
    <w:rsid w:val="00455A66"/>
    <w:rsid w:val="00456277"/>
    <w:rsid w:val="0045778A"/>
    <w:rsid w:val="00460487"/>
    <w:rsid w:val="00462096"/>
    <w:rsid w:val="00462A90"/>
    <w:rsid w:val="00462BB8"/>
    <w:rsid w:val="00463731"/>
    <w:rsid w:val="0046400A"/>
    <w:rsid w:val="004649C3"/>
    <w:rsid w:val="0046535A"/>
    <w:rsid w:val="004658C6"/>
    <w:rsid w:val="00466330"/>
    <w:rsid w:val="00466613"/>
    <w:rsid w:val="004667CC"/>
    <w:rsid w:val="00466BD1"/>
    <w:rsid w:val="004673A2"/>
    <w:rsid w:val="004676A2"/>
    <w:rsid w:val="00467B25"/>
    <w:rsid w:val="00470E97"/>
    <w:rsid w:val="00471249"/>
    <w:rsid w:val="004722FF"/>
    <w:rsid w:val="004726E3"/>
    <w:rsid w:val="00472D5B"/>
    <w:rsid w:val="0047355D"/>
    <w:rsid w:val="00474802"/>
    <w:rsid w:val="00474860"/>
    <w:rsid w:val="00474991"/>
    <w:rsid w:val="00476855"/>
    <w:rsid w:val="00477562"/>
    <w:rsid w:val="004810FD"/>
    <w:rsid w:val="00481108"/>
    <w:rsid w:val="00482AF2"/>
    <w:rsid w:val="00483428"/>
    <w:rsid w:val="00483AD2"/>
    <w:rsid w:val="00484DE1"/>
    <w:rsid w:val="004855EB"/>
    <w:rsid w:val="00486709"/>
    <w:rsid w:val="00486A55"/>
    <w:rsid w:val="00486A8D"/>
    <w:rsid w:val="00486AD1"/>
    <w:rsid w:val="00486E99"/>
    <w:rsid w:val="00487155"/>
    <w:rsid w:val="0049042B"/>
    <w:rsid w:val="0049109F"/>
    <w:rsid w:val="004929C5"/>
    <w:rsid w:val="00495473"/>
    <w:rsid w:val="004965B9"/>
    <w:rsid w:val="00496ABA"/>
    <w:rsid w:val="00496AEC"/>
    <w:rsid w:val="004A03A3"/>
    <w:rsid w:val="004A0614"/>
    <w:rsid w:val="004A0D0D"/>
    <w:rsid w:val="004A1D50"/>
    <w:rsid w:val="004A2A22"/>
    <w:rsid w:val="004A458E"/>
    <w:rsid w:val="004A5F02"/>
    <w:rsid w:val="004B0D95"/>
    <w:rsid w:val="004B23E7"/>
    <w:rsid w:val="004B2A5E"/>
    <w:rsid w:val="004B306F"/>
    <w:rsid w:val="004B37DD"/>
    <w:rsid w:val="004B66F8"/>
    <w:rsid w:val="004B6957"/>
    <w:rsid w:val="004B7244"/>
    <w:rsid w:val="004B76CC"/>
    <w:rsid w:val="004C0078"/>
    <w:rsid w:val="004C070A"/>
    <w:rsid w:val="004C0EBD"/>
    <w:rsid w:val="004C3186"/>
    <w:rsid w:val="004C3345"/>
    <w:rsid w:val="004C3F89"/>
    <w:rsid w:val="004C5042"/>
    <w:rsid w:val="004C5CCE"/>
    <w:rsid w:val="004C6829"/>
    <w:rsid w:val="004C69D9"/>
    <w:rsid w:val="004C6C78"/>
    <w:rsid w:val="004C7690"/>
    <w:rsid w:val="004D0741"/>
    <w:rsid w:val="004D1AB4"/>
    <w:rsid w:val="004D5C69"/>
    <w:rsid w:val="004D5E1A"/>
    <w:rsid w:val="004D64AB"/>
    <w:rsid w:val="004D67FB"/>
    <w:rsid w:val="004D6B5D"/>
    <w:rsid w:val="004D6DEB"/>
    <w:rsid w:val="004D71CB"/>
    <w:rsid w:val="004D755B"/>
    <w:rsid w:val="004E0117"/>
    <w:rsid w:val="004E1F0C"/>
    <w:rsid w:val="004E1FE3"/>
    <w:rsid w:val="004E38FC"/>
    <w:rsid w:val="004E4422"/>
    <w:rsid w:val="004E4749"/>
    <w:rsid w:val="004E731D"/>
    <w:rsid w:val="004F03AB"/>
    <w:rsid w:val="004F05D2"/>
    <w:rsid w:val="004F06AB"/>
    <w:rsid w:val="004F0FCE"/>
    <w:rsid w:val="004F26C4"/>
    <w:rsid w:val="004F2D43"/>
    <w:rsid w:val="004F52C6"/>
    <w:rsid w:val="004F61A4"/>
    <w:rsid w:val="00500DB1"/>
    <w:rsid w:val="00501866"/>
    <w:rsid w:val="0050239C"/>
    <w:rsid w:val="00503016"/>
    <w:rsid w:val="0050325C"/>
    <w:rsid w:val="005034F0"/>
    <w:rsid w:val="00503998"/>
    <w:rsid w:val="00503BEF"/>
    <w:rsid w:val="00504A8A"/>
    <w:rsid w:val="00505555"/>
    <w:rsid w:val="00505940"/>
    <w:rsid w:val="0050623B"/>
    <w:rsid w:val="00506CB3"/>
    <w:rsid w:val="0050705C"/>
    <w:rsid w:val="00507BC2"/>
    <w:rsid w:val="00510B8F"/>
    <w:rsid w:val="00510EAE"/>
    <w:rsid w:val="00511177"/>
    <w:rsid w:val="00511A11"/>
    <w:rsid w:val="00511D9B"/>
    <w:rsid w:val="00512FB0"/>
    <w:rsid w:val="00513B6A"/>
    <w:rsid w:val="00516417"/>
    <w:rsid w:val="005169C8"/>
    <w:rsid w:val="0051754D"/>
    <w:rsid w:val="0051755A"/>
    <w:rsid w:val="00517D9A"/>
    <w:rsid w:val="00520A9C"/>
    <w:rsid w:val="005213F8"/>
    <w:rsid w:val="00522EC0"/>
    <w:rsid w:val="00523181"/>
    <w:rsid w:val="005239A6"/>
    <w:rsid w:val="00523B30"/>
    <w:rsid w:val="00524D13"/>
    <w:rsid w:val="00525DE8"/>
    <w:rsid w:val="00525FAF"/>
    <w:rsid w:val="005260E3"/>
    <w:rsid w:val="00526906"/>
    <w:rsid w:val="0052758B"/>
    <w:rsid w:val="005276EB"/>
    <w:rsid w:val="00527B87"/>
    <w:rsid w:val="005301DC"/>
    <w:rsid w:val="00530409"/>
    <w:rsid w:val="0053116A"/>
    <w:rsid w:val="005312EC"/>
    <w:rsid w:val="005319D6"/>
    <w:rsid w:val="00533182"/>
    <w:rsid w:val="00533804"/>
    <w:rsid w:val="005339F6"/>
    <w:rsid w:val="00533C95"/>
    <w:rsid w:val="00533F48"/>
    <w:rsid w:val="0053503D"/>
    <w:rsid w:val="00536699"/>
    <w:rsid w:val="005371F1"/>
    <w:rsid w:val="00537375"/>
    <w:rsid w:val="005379E1"/>
    <w:rsid w:val="00537F32"/>
    <w:rsid w:val="005409BF"/>
    <w:rsid w:val="0054188A"/>
    <w:rsid w:val="00542353"/>
    <w:rsid w:val="005423DC"/>
    <w:rsid w:val="0054259E"/>
    <w:rsid w:val="005429A9"/>
    <w:rsid w:val="00542B9A"/>
    <w:rsid w:val="00546EEF"/>
    <w:rsid w:val="005471C4"/>
    <w:rsid w:val="00547D1C"/>
    <w:rsid w:val="00550EF8"/>
    <w:rsid w:val="00551BEF"/>
    <w:rsid w:val="00551DD9"/>
    <w:rsid w:val="00551EE1"/>
    <w:rsid w:val="005524A3"/>
    <w:rsid w:val="00555725"/>
    <w:rsid w:val="005563FC"/>
    <w:rsid w:val="0055660E"/>
    <w:rsid w:val="005567F3"/>
    <w:rsid w:val="00557A84"/>
    <w:rsid w:val="005601F3"/>
    <w:rsid w:val="005613D3"/>
    <w:rsid w:val="005618C1"/>
    <w:rsid w:val="00563343"/>
    <w:rsid w:val="005643F6"/>
    <w:rsid w:val="0056458E"/>
    <w:rsid w:val="00564B85"/>
    <w:rsid w:val="005654F6"/>
    <w:rsid w:val="005656FE"/>
    <w:rsid w:val="00565A61"/>
    <w:rsid w:val="0056603C"/>
    <w:rsid w:val="00567AEF"/>
    <w:rsid w:val="0057090B"/>
    <w:rsid w:val="00571C51"/>
    <w:rsid w:val="00571C71"/>
    <w:rsid w:val="005722EC"/>
    <w:rsid w:val="00572B2D"/>
    <w:rsid w:val="005730F8"/>
    <w:rsid w:val="005736FC"/>
    <w:rsid w:val="00574ED7"/>
    <w:rsid w:val="00575966"/>
    <w:rsid w:val="00576B18"/>
    <w:rsid w:val="005776DE"/>
    <w:rsid w:val="00577D2F"/>
    <w:rsid w:val="00577EDC"/>
    <w:rsid w:val="00581593"/>
    <w:rsid w:val="005815CF"/>
    <w:rsid w:val="00582226"/>
    <w:rsid w:val="005825DD"/>
    <w:rsid w:val="00582FD9"/>
    <w:rsid w:val="005832BC"/>
    <w:rsid w:val="00584BB0"/>
    <w:rsid w:val="00584FCF"/>
    <w:rsid w:val="00587215"/>
    <w:rsid w:val="00587724"/>
    <w:rsid w:val="00590128"/>
    <w:rsid w:val="00590191"/>
    <w:rsid w:val="00590A02"/>
    <w:rsid w:val="005912A1"/>
    <w:rsid w:val="00591512"/>
    <w:rsid w:val="00593351"/>
    <w:rsid w:val="0059370F"/>
    <w:rsid w:val="00593B60"/>
    <w:rsid w:val="00594436"/>
    <w:rsid w:val="00594736"/>
    <w:rsid w:val="0059579E"/>
    <w:rsid w:val="005958DC"/>
    <w:rsid w:val="00597D91"/>
    <w:rsid w:val="005A0A63"/>
    <w:rsid w:val="005A1013"/>
    <w:rsid w:val="005A231A"/>
    <w:rsid w:val="005A26B7"/>
    <w:rsid w:val="005A3108"/>
    <w:rsid w:val="005A3AA6"/>
    <w:rsid w:val="005A4418"/>
    <w:rsid w:val="005A4D4B"/>
    <w:rsid w:val="005A6E3C"/>
    <w:rsid w:val="005B0AEE"/>
    <w:rsid w:val="005B1ED1"/>
    <w:rsid w:val="005B2D91"/>
    <w:rsid w:val="005B48B4"/>
    <w:rsid w:val="005B5118"/>
    <w:rsid w:val="005B640B"/>
    <w:rsid w:val="005B679C"/>
    <w:rsid w:val="005B7702"/>
    <w:rsid w:val="005C01BE"/>
    <w:rsid w:val="005C0483"/>
    <w:rsid w:val="005C04F0"/>
    <w:rsid w:val="005C0A4D"/>
    <w:rsid w:val="005C0D1D"/>
    <w:rsid w:val="005C2620"/>
    <w:rsid w:val="005C3CE8"/>
    <w:rsid w:val="005C432E"/>
    <w:rsid w:val="005C6661"/>
    <w:rsid w:val="005C6BDF"/>
    <w:rsid w:val="005C6E3B"/>
    <w:rsid w:val="005C765A"/>
    <w:rsid w:val="005C789A"/>
    <w:rsid w:val="005C7D40"/>
    <w:rsid w:val="005D08ED"/>
    <w:rsid w:val="005D29FE"/>
    <w:rsid w:val="005D3CE4"/>
    <w:rsid w:val="005D3DFD"/>
    <w:rsid w:val="005D474B"/>
    <w:rsid w:val="005D4C0B"/>
    <w:rsid w:val="005D4D45"/>
    <w:rsid w:val="005D4D92"/>
    <w:rsid w:val="005D5991"/>
    <w:rsid w:val="005D5BF2"/>
    <w:rsid w:val="005D6ECC"/>
    <w:rsid w:val="005D70E8"/>
    <w:rsid w:val="005D7407"/>
    <w:rsid w:val="005D77EE"/>
    <w:rsid w:val="005E06BD"/>
    <w:rsid w:val="005E085C"/>
    <w:rsid w:val="005E147D"/>
    <w:rsid w:val="005E1544"/>
    <w:rsid w:val="005E15C6"/>
    <w:rsid w:val="005E209F"/>
    <w:rsid w:val="005E22C2"/>
    <w:rsid w:val="005E2366"/>
    <w:rsid w:val="005E57BB"/>
    <w:rsid w:val="005E5D63"/>
    <w:rsid w:val="005F0017"/>
    <w:rsid w:val="005F051F"/>
    <w:rsid w:val="005F1662"/>
    <w:rsid w:val="005F1A4A"/>
    <w:rsid w:val="005F205D"/>
    <w:rsid w:val="005F2E07"/>
    <w:rsid w:val="005F36BA"/>
    <w:rsid w:val="005F4429"/>
    <w:rsid w:val="005F6885"/>
    <w:rsid w:val="005F6C6C"/>
    <w:rsid w:val="005F7D3C"/>
    <w:rsid w:val="00600676"/>
    <w:rsid w:val="006014F1"/>
    <w:rsid w:val="00601FA1"/>
    <w:rsid w:val="0060208D"/>
    <w:rsid w:val="00602182"/>
    <w:rsid w:val="0060289E"/>
    <w:rsid w:val="00603A38"/>
    <w:rsid w:val="0060487E"/>
    <w:rsid w:val="00604DD7"/>
    <w:rsid w:val="00605805"/>
    <w:rsid w:val="0060662C"/>
    <w:rsid w:val="00607C33"/>
    <w:rsid w:val="00607FC5"/>
    <w:rsid w:val="00610ABE"/>
    <w:rsid w:val="00611A05"/>
    <w:rsid w:val="00611D2A"/>
    <w:rsid w:val="00612C2C"/>
    <w:rsid w:val="00612D90"/>
    <w:rsid w:val="0061357B"/>
    <w:rsid w:val="0061359E"/>
    <w:rsid w:val="00614659"/>
    <w:rsid w:val="00614A7D"/>
    <w:rsid w:val="006163D2"/>
    <w:rsid w:val="0061679F"/>
    <w:rsid w:val="00616A4E"/>
    <w:rsid w:val="00616DFF"/>
    <w:rsid w:val="006178E9"/>
    <w:rsid w:val="0062011D"/>
    <w:rsid w:val="006213D5"/>
    <w:rsid w:val="00622FAC"/>
    <w:rsid w:val="00623102"/>
    <w:rsid w:val="0062332F"/>
    <w:rsid w:val="00623619"/>
    <w:rsid w:val="006255FA"/>
    <w:rsid w:val="00625689"/>
    <w:rsid w:val="00625D77"/>
    <w:rsid w:val="00625F81"/>
    <w:rsid w:val="006261B8"/>
    <w:rsid w:val="00626A9A"/>
    <w:rsid w:val="00626BF5"/>
    <w:rsid w:val="00630573"/>
    <w:rsid w:val="006315DA"/>
    <w:rsid w:val="0063291D"/>
    <w:rsid w:val="00632B34"/>
    <w:rsid w:val="00633E6D"/>
    <w:rsid w:val="00634198"/>
    <w:rsid w:val="00634C49"/>
    <w:rsid w:val="00635D3E"/>
    <w:rsid w:val="0063631C"/>
    <w:rsid w:val="0063757B"/>
    <w:rsid w:val="006377CE"/>
    <w:rsid w:val="00640559"/>
    <w:rsid w:val="00640D9C"/>
    <w:rsid w:val="00641AE5"/>
    <w:rsid w:val="00643925"/>
    <w:rsid w:val="00644424"/>
    <w:rsid w:val="0064460C"/>
    <w:rsid w:val="006458A3"/>
    <w:rsid w:val="006462E1"/>
    <w:rsid w:val="006468A1"/>
    <w:rsid w:val="00646B6E"/>
    <w:rsid w:val="006471B8"/>
    <w:rsid w:val="006475F1"/>
    <w:rsid w:val="0065011B"/>
    <w:rsid w:val="00650869"/>
    <w:rsid w:val="00650FBA"/>
    <w:rsid w:val="0065104B"/>
    <w:rsid w:val="0065152F"/>
    <w:rsid w:val="00651805"/>
    <w:rsid w:val="00651AEA"/>
    <w:rsid w:val="006527A1"/>
    <w:rsid w:val="006537D9"/>
    <w:rsid w:val="00653D77"/>
    <w:rsid w:val="00653E3E"/>
    <w:rsid w:val="00654E24"/>
    <w:rsid w:val="006559D8"/>
    <w:rsid w:val="0065617F"/>
    <w:rsid w:val="006572C8"/>
    <w:rsid w:val="00657DA0"/>
    <w:rsid w:val="00657E73"/>
    <w:rsid w:val="00660776"/>
    <w:rsid w:val="00660E47"/>
    <w:rsid w:val="00661D01"/>
    <w:rsid w:val="006627B5"/>
    <w:rsid w:val="00662897"/>
    <w:rsid w:val="00662A2C"/>
    <w:rsid w:val="00662AE7"/>
    <w:rsid w:val="00662CAA"/>
    <w:rsid w:val="006635E9"/>
    <w:rsid w:val="00664A48"/>
    <w:rsid w:val="00664BB9"/>
    <w:rsid w:val="00665DEF"/>
    <w:rsid w:val="00665EB1"/>
    <w:rsid w:val="00666EB7"/>
    <w:rsid w:val="0067000E"/>
    <w:rsid w:val="0067046A"/>
    <w:rsid w:val="00673629"/>
    <w:rsid w:val="00675BB1"/>
    <w:rsid w:val="0067691E"/>
    <w:rsid w:val="00676D31"/>
    <w:rsid w:val="006771D7"/>
    <w:rsid w:val="006775F1"/>
    <w:rsid w:val="00677974"/>
    <w:rsid w:val="006805B3"/>
    <w:rsid w:val="00681CDC"/>
    <w:rsid w:val="00682246"/>
    <w:rsid w:val="00683943"/>
    <w:rsid w:val="00683C3E"/>
    <w:rsid w:val="006840FF"/>
    <w:rsid w:val="00684100"/>
    <w:rsid w:val="00686247"/>
    <w:rsid w:val="0068683D"/>
    <w:rsid w:val="00686A47"/>
    <w:rsid w:val="0068725B"/>
    <w:rsid w:val="00687348"/>
    <w:rsid w:val="00687DEC"/>
    <w:rsid w:val="00690A50"/>
    <w:rsid w:val="0069211C"/>
    <w:rsid w:val="00692AA7"/>
    <w:rsid w:val="00693545"/>
    <w:rsid w:val="00694D9B"/>
    <w:rsid w:val="00697473"/>
    <w:rsid w:val="0069792F"/>
    <w:rsid w:val="00697FEC"/>
    <w:rsid w:val="006A0B4C"/>
    <w:rsid w:val="006A11B2"/>
    <w:rsid w:val="006A1392"/>
    <w:rsid w:val="006A175F"/>
    <w:rsid w:val="006A1E2B"/>
    <w:rsid w:val="006A2499"/>
    <w:rsid w:val="006A2AA0"/>
    <w:rsid w:val="006A3774"/>
    <w:rsid w:val="006A3AAD"/>
    <w:rsid w:val="006A44F5"/>
    <w:rsid w:val="006A4BCA"/>
    <w:rsid w:val="006A5E17"/>
    <w:rsid w:val="006A627D"/>
    <w:rsid w:val="006A65A6"/>
    <w:rsid w:val="006A72C7"/>
    <w:rsid w:val="006A77D4"/>
    <w:rsid w:val="006A7C00"/>
    <w:rsid w:val="006B1185"/>
    <w:rsid w:val="006B226D"/>
    <w:rsid w:val="006B2942"/>
    <w:rsid w:val="006B30C6"/>
    <w:rsid w:val="006B36DD"/>
    <w:rsid w:val="006B4537"/>
    <w:rsid w:val="006B4AB2"/>
    <w:rsid w:val="006B5F78"/>
    <w:rsid w:val="006B5F85"/>
    <w:rsid w:val="006B6070"/>
    <w:rsid w:val="006B6929"/>
    <w:rsid w:val="006B709B"/>
    <w:rsid w:val="006B74EE"/>
    <w:rsid w:val="006C0500"/>
    <w:rsid w:val="006C100C"/>
    <w:rsid w:val="006C2D4E"/>
    <w:rsid w:val="006C2FA4"/>
    <w:rsid w:val="006C358D"/>
    <w:rsid w:val="006C4D77"/>
    <w:rsid w:val="006C54AF"/>
    <w:rsid w:val="006C5A1F"/>
    <w:rsid w:val="006C68BC"/>
    <w:rsid w:val="006C6F95"/>
    <w:rsid w:val="006C7315"/>
    <w:rsid w:val="006C77BC"/>
    <w:rsid w:val="006D02DB"/>
    <w:rsid w:val="006D15DE"/>
    <w:rsid w:val="006D34CF"/>
    <w:rsid w:val="006D41E5"/>
    <w:rsid w:val="006D50DE"/>
    <w:rsid w:val="006D7260"/>
    <w:rsid w:val="006E0181"/>
    <w:rsid w:val="006E2119"/>
    <w:rsid w:val="006E43E1"/>
    <w:rsid w:val="006E5907"/>
    <w:rsid w:val="006E61CE"/>
    <w:rsid w:val="006E7EF5"/>
    <w:rsid w:val="006F0499"/>
    <w:rsid w:val="006F0E85"/>
    <w:rsid w:val="006F1126"/>
    <w:rsid w:val="006F1626"/>
    <w:rsid w:val="006F1CC3"/>
    <w:rsid w:val="006F333A"/>
    <w:rsid w:val="006F3730"/>
    <w:rsid w:val="006F3840"/>
    <w:rsid w:val="006F3B7F"/>
    <w:rsid w:val="006F517A"/>
    <w:rsid w:val="006F522D"/>
    <w:rsid w:val="006F5E78"/>
    <w:rsid w:val="006F6360"/>
    <w:rsid w:val="006F6BF5"/>
    <w:rsid w:val="006F7B45"/>
    <w:rsid w:val="006F7E44"/>
    <w:rsid w:val="006F7FBD"/>
    <w:rsid w:val="007003C1"/>
    <w:rsid w:val="00700C0E"/>
    <w:rsid w:val="007035C2"/>
    <w:rsid w:val="00703C24"/>
    <w:rsid w:val="007043B4"/>
    <w:rsid w:val="00704AFB"/>
    <w:rsid w:val="00704E0B"/>
    <w:rsid w:val="00704ED8"/>
    <w:rsid w:val="007050E9"/>
    <w:rsid w:val="0070515A"/>
    <w:rsid w:val="00705DAD"/>
    <w:rsid w:val="00706BDC"/>
    <w:rsid w:val="00706E88"/>
    <w:rsid w:val="00707B2C"/>
    <w:rsid w:val="00707F32"/>
    <w:rsid w:val="00710023"/>
    <w:rsid w:val="00710663"/>
    <w:rsid w:val="00710AA1"/>
    <w:rsid w:val="00711523"/>
    <w:rsid w:val="00712092"/>
    <w:rsid w:val="00712CCB"/>
    <w:rsid w:val="00712D19"/>
    <w:rsid w:val="00712F16"/>
    <w:rsid w:val="00714574"/>
    <w:rsid w:val="00714A48"/>
    <w:rsid w:val="00714C38"/>
    <w:rsid w:val="00715C5A"/>
    <w:rsid w:val="00715F4F"/>
    <w:rsid w:val="007204E3"/>
    <w:rsid w:val="00720BB9"/>
    <w:rsid w:val="00721DF9"/>
    <w:rsid w:val="007224A3"/>
    <w:rsid w:val="00723261"/>
    <w:rsid w:val="00723774"/>
    <w:rsid w:val="007242C1"/>
    <w:rsid w:val="007247B9"/>
    <w:rsid w:val="00724AAF"/>
    <w:rsid w:val="007254C0"/>
    <w:rsid w:val="00726EAC"/>
    <w:rsid w:val="00727D85"/>
    <w:rsid w:val="0073202E"/>
    <w:rsid w:val="007337B4"/>
    <w:rsid w:val="00734195"/>
    <w:rsid w:val="007346C7"/>
    <w:rsid w:val="00734A63"/>
    <w:rsid w:val="00736041"/>
    <w:rsid w:val="007369C2"/>
    <w:rsid w:val="007408C7"/>
    <w:rsid w:val="00740BBF"/>
    <w:rsid w:val="007425D9"/>
    <w:rsid w:val="0074274F"/>
    <w:rsid w:val="00743372"/>
    <w:rsid w:val="00744062"/>
    <w:rsid w:val="00744419"/>
    <w:rsid w:val="00744BB5"/>
    <w:rsid w:val="00744FC9"/>
    <w:rsid w:val="00745788"/>
    <w:rsid w:val="00745DBF"/>
    <w:rsid w:val="00746031"/>
    <w:rsid w:val="007465DA"/>
    <w:rsid w:val="007475CF"/>
    <w:rsid w:val="00750B27"/>
    <w:rsid w:val="0075133C"/>
    <w:rsid w:val="00752C7F"/>
    <w:rsid w:val="00752C80"/>
    <w:rsid w:val="00752FAE"/>
    <w:rsid w:val="00755B95"/>
    <w:rsid w:val="007561DE"/>
    <w:rsid w:val="007567AB"/>
    <w:rsid w:val="00756832"/>
    <w:rsid w:val="007604C5"/>
    <w:rsid w:val="00760F66"/>
    <w:rsid w:val="00760FB8"/>
    <w:rsid w:val="00761380"/>
    <w:rsid w:val="00761E30"/>
    <w:rsid w:val="007623DC"/>
    <w:rsid w:val="00762570"/>
    <w:rsid w:val="00762BD8"/>
    <w:rsid w:val="00763247"/>
    <w:rsid w:val="007645E3"/>
    <w:rsid w:val="0076467D"/>
    <w:rsid w:val="00764CC1"/>
    <w:rsid w:val="0076514D"/>
    <w:rsid w:val="007677BD"/>
    <w:rsid w:val="00771696"/>
    <w:rsid w:val="007724E2"/>
    <w:rsid w:val="007730C8"/>
    <w:rsid w:val="00773736"/>
    <w:rsid w:val="00773E3F"/>
    <w:rsid w:val="00775047"/>
    <w:rsid w:val="007751CA"/>
    <w:rsid w:val="00776598"/>
    <w:rsid w:val="00776B06"/>
    <w:rsid w:val="00777026"/>
    <w:rsid w:val="007774EB"/>
    <w:rsid w:val="0078017F"/>
    <w:rsid w:val="0078027C"/>
    <w:rsid w:val="007808D0"/>
    <w:rsid w:val="00780BDF"/>
    <w:rsid w:val="00781703"/>
    <w:rsid w:val="00781746"/>
    <w:rsid w:val="00781B78"/>
    <w:rsid w:val="007820E6"/>
    <w:rsid w:val="00782CEE"/>
    <w:rsid w:val="00783D56"/>
    <w:rsid w:val="00784E29"/>
    <w:rsid w:val="00785B37"/>
    <w:rsid w:val="00785D6C"/>
    <w:rsid w:val="00786C1B"/>
    <w:rsid w:val="007875AB"/>
    <w:rsid w:val="00787C6D"/>
    <w:rsid w:val="0079011A"/>
    <w:rsid w:val="0079155C"/>
    <w:rsid w:val="007916AE"/>
    <w:rsid w:val="007927DB"/>
    <w:rsid w:val="007928D6"/>
    <w:rsid w:val="00792948"/>
    <w:rsid w:val="00793182"/>
    <w:rsid w:val="00794AE9"/>
    <w:rsid w:val="0079584A"/>
    <w:rsid w:val="0079648F"/>
    <w:rsid w:val="00796716"/>
    <w:rsid w:val="00796E84"/>
    <w:rsid w:val="00797075"/>
    <w:rsid w:val="007A1224"/>
    <w:rsid w:val="007A13D5"/>
    <w:rsid w:val="007A1BF1"/>
    <w:rsid w:val="007A1D7B"/>
    <w:rsid w:val="007A1E7C"/>
    <w:rsid w:val="007A285C"/>
    <w:rsid w:val="007A2B56"/>
    <w:rsid w:val="007A2CA5"/>
    <w:rsid w:val="007A2D5E"/>
    <w:rsid w:val="007A37C2"/>
    <w:rsid w:val="007A3ADE"/>
    <w:rsid w:val="007A43E0"/>
    <w:rsid w:val="007A44B5"/>
    <w:rsid w:val="007A5733"/>
    <w:rsid w:val="007A5774"/>
    <w:rsid w:val="007A6A89"/>
    <w:rsid w:val="007A7D85"/>
    <w:rsid w:val="007B0629"/>
    <w:rsid w:val="007B1344"/>
    <w:rsid w:val="007B13E4"/>
    <w:rsid w:val="007B3187"/>
    <w:rsid w:val="007B37C5"/>
    <w:rsid w:val="007B4478"/>
    <w:rsid w:val="007B5E4F"/>
    <w:rsid w:val="007B663C"/>
    <w:rsid w:val="007B6E79"/>
    <w:rsid w:val="007B70E9"/>
    <w:rsid w:val="007C19DA"/>
    <w:rsid w:val="007C1CDE"/>
    <w:rsid w:val="007C245D"/>
    <w:rsid w:val="007C2967"/>
    <w:rsid w:val="007C32C2"/>
    <w:rsid w:val="007C4DED"/>
    <w:rsid w:val="007C5318"/>
    <w:rsid w:val="007C53E4"/>
    <w:rsid w:val="007C5BC1"/>
    <w:rsid w:val="007C5F1C"/>
    <w:rsid w:val="007C616A"/>
    <w:rsid w:val="007C6DEE"/>
    <w:rsid w:val="007C7457"/>
    <w:rsid w:val="007C77FF"/>
    <w:rsid w:val="007C7800"/>
    <w:rsid w:val="007C79DF"/>
    <w:rsid w:val="007C7CE5"/>
    <w:rsid w:val="007C7F84"/>
    <w:rsid w:val="007D15D4"/>
    <w:rsid w:val="007D31EB"/>
    <w:rsid w:val="007D3B69"/>
    <w:rsid w:val="007D43E8"/>
    <w:rsid w:val="007D56AF"/>
    <w:rsid w:val="007D663E"/>
    <w:rsid w:val="007D6848"/>
    <w:rsid w:val="007D689C"/>
    <w:rsid w:val="007D6B2B"/>
    <w:rsid w:val="007E1719"/>
    <w:rsid w:val="007E3F61"/>
    <w:rsid w:val="007E61C8"/>
    <w:rsid w:val="007E78DE"/>
    <w:rsid w:val="007E7DE4"/>
    <w:rsid w:val="007F0F8C"/>
    <w:rsid w:val="007F1AF1"/>
    <w:rsid w:val="007F3234"/>
    <w:rsid w:val="007F3951"/>
    <w:rsid w:val="007F471F"/>
    <w:rsid w:val="007F64AD"/>
    <w:rsid w:val="007F672F"/>
    <w:rsid w:val="007F7412"/>
    <w:rsid w:val="00800D7A"/>
    <w:rsid w:val="00800F4B"/>
    <w:rsid w:val="00801A54"/>
    <w:rsid w:val="00801E74"/>
    <w:rsid w:val="00802B54"/>
    <w:rsid w:val="0080371C"/>
    <w:rsid w:val="008037B1"/>
    <w:rsid w:val="0080461E"/>
    <w:rsid w:val="00804739"/>
    <w:rsid w:val="0080485E"/>
    <w:rsid w:val="008053A7"/>
    <w:rsid w:val="008068BD"/>
    <w:rsid w:val="008068DB"/>
    <w:rsid w:val="0080700D"/>
    <w:rsid w:val="008108FB"/>
    <w:rsid w:val="00810FE3"/>
    <w:rsid w:val="00811B65"/>
    <w:rsid w:val="00812888"/>
    <w:rsid w:val="0081351E"/>
    <w:rsid w:val="008142B4"/>
    <w:rsid w:val="00814F57"/>
    <w:rsid w:val="00815859"/>
    <w:rsid w:val="0081765B"/>
    <w:rsid w:val="00820278"/>
    <w:rsid w:val="00820BC3"/>
    <w:rsid w:val="00822BF5"/>
    <w:rsid w:val="008230EB"/>
    <w:rsid w:val="00823A42"/>
    <w:rsid w:val="00823D49"/>
    <w:rsid w:val="008254E5"/>
    <w:rsid w:val="00826BA6"/>
    <w:rsid w:val="00826C4D"/>
    <w:rsid w:val="00826D99"/>
    <w:rsid w:val="00827B89"/>
    <w:rsid w:val="008303D0"/>
    <w:rsid w:val="00830931"/>
    <w:rsid w:val="00830B1A"/>
    <w:rsid w:val="00832324"/>
    <w:rsid w:val="00832795"/>
    <w:rsid w:val="00833624"/>
    <w:rsid w:val="008352FC"/>
    <w:rsid w:val="00835337"/>
    <w:rsid w:val="00835A0D"/>
    <w:rsid w:val="00835DB7"/>
    <w:rsid w:val="00836CAD"/>
    <w:rsid w:val="00837200"/>
    <w:rsid w:val="00840AB8"/>
    <w:rsid w:val="00840F2D"/>
    <w:rsid w:val="008415AF"/>
    <w:rsid w:val="00841BFB"/>
    <w:rsid w:val="00843759"/>
    <w:rsid w:val="00844B9D"/>
    <w:rsid w:val="00845DAE"/>
    <w:rsid w:val="00846D4F"/>
    <w:rsid w:val="00846DCD"/>
    <w:rsid w:val="008503E3"/>
    <w:rsid w:val="008506FE"/>
    <w:rsid w:val="008507A7"/>
    <w:rsid w:val="00851D85"/>
    <w:rsid w:val="00853298"/>
    <w:rsid w:val="008536B6"/>
    <w:rsid w:val="00853DE2"/>
    <w:rsid w:val="0085513B"/>
    <w:rsid w:val="008564CB"/>
    <w:rsid w:val="00860CCB"/>
    <w:rsid w:val="008620F5"/>
    <w:rsid w:val="0086247D"/>
    <w:rsid w:val="008634CF"/>
    <w:rsid w:val="0086353A"/>
    <w:rsid w:val="00863E7B"/>
    <w:rsid w:val="008668BB"/>
    <w:rsid w:val="00866B1A"/>
    <w:rsid w:val="00867A3F"/>
    <w:rsid w:val="0087006C"/>
    <w:rsid w:val="008702C1"/>
    <w:rsid w:val="00871AFF"/>
    <w:rsid w:val="008737D5"/>
    <w:rsid w:val="008740A3"/>
    <w:rsid w:val="008742CB"/>
    <w:rsid w:val="00874FA1"/>
    <w:rsid w:val="00876B69"/>
    <w:rsid w:val="00881536"/>
    <w:rsid w:val="00881DC8"/>
    <w:rsid w:val="00881E65"/>
    <w:rsid w:val="008821CF"/>
    <w:rsid w:val="00882BAD"/>
    <w:rsid w:val="00882FC9"/>
    <w:rsid w:val="00882FF2"/>
    <w:rsid w:val="00883A8F"/>
    <w:rsid w:val="00883D43"/>
    <w:rsid w:val="0088431A"/>
    <w:rsid w:val="00884391"/>
    <w:rsid w:val="0088444D"/>
    <w:rsid w:val="00884503"/>
    <w:rsid w:val="008846C1"/>
    <w:rsid w:val="00884EEB"/>
    <w:rsid w:val="008878D7"/>
    <w:rsid w:val="00892632"/>
    <w:rsid w:val="0089297B"/>
    <w:rsid w:val="008929E4"/>
    <w:rsid w:val="00893777"/>
    <w:rsid w:val="00895A63"/>
    <w:rsid w:val="008962F4"/>
    <w:rsid w:val="00896490"/>
    <w:rsid w:val="00897866"/>
    <w:rsid w:val="008A084F"/>
    <w:rsid w:val="008A1A9E"/>
    <w:rsid w:val="008A1D1E"/>
    <w:rsid w:val="008A24CE"/>
    <w:rsid w:val="008A4F8E"/>
    <w:rsid w:val="008A6E42"/>
    <w:rsid w:val="008A780B"/>
    <w:rsid w:val="008A7A74"/>
    <w:rsid w:val="008B0426"/>
    <w:rsid w:val="008B08DD"/>
    <w:rsid w:val="008B1819"/>
    <w:rsid w:val="008B1C8C"/>
    <w:rsid w:val="008B2157"/>
    <w:rsid w:val="008B2A33"/>
    <w:rsid w:val="008B2CD1"/>
    <w:rsid w:val="008B2F8F"/>
    <w:rsid w:val="008B356C"/>
    <w:rsid w:val="008B46E2"/>
    <w:rsid w:val="008B49FC"/>
    <w:rsid w:val="008B4A29"/>
    <w:rsid w:val="008B62EB"/>
    <w:rsid w:val="008B6B83"/>
    <w:rsid w:val="008C0078"/>
    <w:rsid w:val="008C097E"/>
    <w:rsid w:val="008C0BFF"/>
    <w:rsid w:val="008C0C61"/>
    <w:rsid w:val="008C36CA"/>
    <w:rsid w:val="008C3EEF"/>
    <w:rsid w:val="008C52D2"/>
    <w:rsid w:val="008C5861"/>
    <w:rsid w:val="008C5E49"/>
    <w:rsid w:val="008C651D"/>
    <w:rsid w:val="008C6CF8"/>
    <w:rsid w:val="008C7352"/>
    <w:rsid w:val="008C784B"/>
    <w:rsid w:val="008D023F"/>
    <w:rsid w:val="008D03BB"/>
    <w:rsid w:val="008D16B0"/>
    <w:rsid w:val="008D5D3F"/>
    <w:rsid w:val="008D5EF7"/>
    <w:rsid w:val="008E1638"/>
    <w:rsid w:val="008E2311"/>
    <w:rsid w:val="008E24EA"/>
    <w:rsid w:val="008E29EE"/>
    <w:rsid w:val="008E3F8C"/>
    <w:rsid w:val="008E4785"/>
    <w:rsid w:val="008E5750"/>
    <w:rsid w:val="008E579E"/>
    <w:rsid w:val="008E6ACA"/>
    <w:rsid w:val="008E6B6C"/>
    <w:rsid w:val="008E759F"/>
    <w:rsid w:val="008E7CDB"/>
    <w:rsid w:val="008E7CF2"/>
    <w:rsid w:val="008F0257"/>
    <w:rsid w:val="008F0C29"/>
    <w:rsid w:val="008F115E"/>
    <w:rsid w:val="008F1E6F"/>
    <w:rsid w:val="008F2078"/>
    <w:rsid w:val="008F25C9"/>
    <w:rsid w:val="008F3168"/>
    <w:rsid w:val="008F3599"/>
    <w:rsid w:val="008F4577"/>
    <w:rsid w:val="00900ABD"/>
    <w:rsid w:val="00901684"/>
    <w:rsid w:val="009024BD"/>
    <w:rsid w:val="00902FD0"/>
    <w:rsid w:val="00903450"/>
    <w:rsid w:val="009043A5"/>
    <w:rsid w:val="00904400"/>
    <w:rsid w:val="0090454A"/>
    <w:rsid w:val="009053D3"/>
    <w:rsid w:val="00905A7F"/>
    <w:rsid w:val="00905E1B"/>
    <w:rsid w:val="0090691F"/>
    <w:rsid w:val="00910532"/>
    <w:rsid w:val="00913B1F"/>
    <w:rsid w:val="00915D9C"/>
    <w:rsid w:val="009164C0"/>
    <w:rsid w:val="00916B6A"/>
    <w:rsid w:val="00916F94"/>
    <w:rsid w:val="009176B8"/>
    <w:rsid w:val="0092255D"/>
    <w:rsid w:val="0092371A"/>
    <w:rsid w:val="00923AF0"/>
    <w:rsid w:val="009249D9"/>
    <w:rsid w:val="00924DFC"/>
    <w:rsid w:val="00925D22"/>
    <w:rsid w:val="009260E2"/>
    <w:rsid w:val="00926BE1"/>
    <w:rsid w:val="0092708E"/>
    <w:rsid w:val="0092795B"/>
    <w:rsid w:val="00930699"/>
    <w:rsid w:val="00930AE1"/>
    <w:rsid w:val="0093111F"/>
    <w:rsid w:val="009319A3"/>
    <w:rsid w:val="00932808"/>
    <w:rsid w:val="00933262"/>
    <w:rsid w:val="00933396"/>
    <w:rsid w:val="00934608"/>
    <w:rsid w:val="00935689"/>
    <w:rsid w:val="0093626A"/>
    <w:rsid w:val="00936303"/>
    <w:rsid w:val="00937447"/>
    <w:rsid w:val="009413E7"/>
    <w:rsid w:val="009416E0"/>
    <w:rsid w:val="00941BFF"/>
    <w:rsid w:val="00942152"/>
    <w:rsid w:val="00943194"/>
    <w:rsid w:val="009431FF"/>
    <w:rsid w:val="00943F7B"/>
    <w:rsid w:val="009441A9"/>
    <w:rsid w:val="00944768"/>
    <w:rsid w:val="009451ED"/>
    <w:rsid w:val="00945A13"/>
    <w:rsid w:val="009460B7"/>
    <w:rsid w:val="009463B7"/>
    <w:rsid w:val="00946856"/>
    <w:rsid w:val="009506DF"/>
    <w:rsid w:val="00950D05"/>
    <w:rsid w:val="00952466"/>
    <w:rsid w:val="0095303B"/>
    <w:rsid w:val="0095376D"/>
    <w:rsid w:val="00953F95"/>
    <w:rsid w:val="00955016"/>
    <w:rsid w:val="00955AFA"/>
    <w:rsid w:val="009568EE"/>
    <w:rsid w:val="00960303"/>
    <w:rsid w:val="00960A47"/>
    <w:rsid w:val="00961207"/>
    <w:rsid w:val="009627C3"/>
    <w:rsid w:val="009631A7"/>
    <w:rsid w:val="00964DC2"/>
    <w:rsid w:val="00965203"/>
    <w:rsid w:val="00965A04"/>
    <w:rsid w:val="00965C49"/>
    <w:rsid w:val="009663B6"/>
    <w:rsid w:val="00970467"/>
    <w:rsid w:val="00970AC4"/>
    <w:rsid w:val="00970DE2"/>
    <w:rsid w:val="00971353"/>
    <w:rsid w:val="00971509"/>
    <w:rsid w:val="009719A6"/>
    <w:rsid w:val="009719FF"/>
    <w:rsid w:val="0097286C"/>
    <w:rsid w:val="00973220"/>
    <w:rsid w:val="00974084"/>
    <w:rsid w:val="00974948"/>
    <w:rsid w:val="00974A47"/>
    <w:rsid w:val="009757E5"/>
    <w:rsid w:val="00977670"/>
    <w:rsid w:val="0097773D"/>
    <w:rsid w:val="0097796A"/>
    <w:rsid w:val="00980094"/>
    <w:rsid w:val="00980252"/>
    <w:rsid w:val="00980286"/>
    <w:rsid w:val="00980D46"/>
    <w:rsid w:val="00981807"/>
    <w:rsid w:val="00982825"/>
    <w:rsid w:val="00982D35"/>
    <w:rsid w:val="00984239"/>
    <w:rsid w:val="0098474F"/>
    <w:rsid w:val="0098475A"/>
    <w:rsid w:val="009851D7"/>
    <w:rsid w:val="00985CCD"/>
    <w:rsid w:val="00986BDB"/>
    <w:rsid w:val="00987F04"/>
    <w:rsid w:val="00990494"/>
    <w:rsid w:val="00990DCF"/>
    <w:rsid w:val="0099140A"/>
    <w:rsid w:val="0099151C"/>
    <w:rsid w:val="0099210C"/>
    <w:rsid w:val="0099290A"/>
    <w:rsid w:val="00993346"/>
    <w:rsid w:val="009948BE"/>
    <w:rsid w:val="00995D4F"/>
    <w:rsid w:val="00997734"/>
    <w:rsid w:val="009A0FDE"/>
    <w:rsid w:val="009A1473"/>
    <w:rsid w:val="009A1DD5"/>
    <w:rsid w:val="009A2714"/>
    <w:rsid w:val="009A29CB"/>
    <w:rsid w:val="009A36B3"/>
    <w:rsid w:val="009A40B5"/>
    <w:rsid w:val="009A4CD6"/>
    <w:rsid w:val="009A537C"/>
    <w:rsid w:val="009A63E8"/>
    <w:rsid w:val="009A6DE5"/>
    <w:rsid w:val="009A74EA"/>
    <w:rsid w:val="009A7BCB"/>
    <w:rsid w:val="009B1B06"/>
    <w:rsid w:val="009B2BF7"/>
    <w:rsid w:val="009B4DC5"/>
    <w:rsid w:val="009B5AA1"/>
    <w:rsid w:val="009B6699"/>
    <w:rsid w:val="009B6858"/>
    <w:rsid w:val="009C0734"/>
    <w:rsid w:val="009C0886"/>
    <w:rsid w:val="009C097C"/>
    <w:rsid w:val="009C1671"/>
    <w:rsid w:val="009C19EE"/>
    <w:rsid w:val="009C2151"/>
    <w:rsid w:val="009C28D0"/>
    <w:rsid w:val="009C35F2"/>
    <w:rsid w:val="009C4518"/>
    <w:rsid w:val="009C519E"/>
    <w:rsid w:val="009C58C7"/>
    <w:rsid w:val="009C5C99"/>
    <w:rsid w:val="009C6555"/>
    <w:rsid w:val="009C6CCF"/>
    <w:rsid w:val="009C7782"/>
    <w:rsid w:val="009C78FC"/>
    <w:rsid w:val="009D1BEF"/>
    <w:rsid w:val="009D1DA6"/>
    <w:rsid w:val="009D1ED5"/>
    <w:rsid w:val="009D2118"/>
    <w:rsid w:val="009D28B7"/>
    <w:rsid w:val="009D2B0B"/>
    <w:rsid w:val="009D304C"/>
    <w:rsid w:val="009D3485"/>
    <w:rsid w:val="009D3614"/>
    <w:rsid w:val="009D456F"/>
    <w:rsid w:val="009D4C13"/>
    <w:rsid w:val="009E04FE"/>
    <w:rsid w:val="009E11A6"/>
    <w:rsid w:val="009E134C"/>
    <w:rsid w:val="009E21A7"/>
    <w:rsid w:val="009E2A9E"/>
    <w:rsid w:val="009E30A7"/>
    <w:rsid w:val="009E4E86"/>
    <w:rsid w:val="009E5217"/>
    <w:rsid w:val="009E5C6F"/>
    <w:rsid w:val="009E5F83"/>
    <w:rsid w:val="009E60C9"/>
    <w:rsid w:val="009E6831"/>
    <w:rsid w:val="009E759E"/>
    <w:rsid w:val="009E7A40"/>
    <w:rsid w:val="009E7B0D"/>
    <w:rsid w:val="009F0B87"/>
    <w:rsid w:val="009F0F4E"/>
    <w:rsid w:val="009F1AE6"/>
    <w:rsid w:val="009F2862"/>
    <w:rsid w:val="009F4F23"/>
    <w:rsid w:val="009F6BD5"/>
    <w:rsid w:val="009F7330"/>
    <w:rsid w:val="009F7A06"/>
    <w:rsid w:val="00A0335A"/>
    <w:rsid w:val="00A0343C"/>
    <w:rsid w:val="00A034CF"/>
    <w:rsid w:val="00A047A1"/>
    <w:rsid w:val="00A04A3F"/>
    <w:rsid w:val="00A04A8B"/>
    <w:rsid w:val="00A0606B"/>
    <w:rsid w:val="00A06871"/>
    <w:rsid w:val="00A103ED"/>
    <w:rsid w:val="00A10CD7"/>
    <w:rsid w:val="00A10D2C"/>
    <w:rsid w:val="00A115EF"/>
    <w:rsid w:val="00A1199A"/>
    <w:rsid w:val="00A11B02"/>
    <w:rsid w:val="00A12588"/>
    <w:rsid w:val="00A13C60"/>
    <w:rsid w:val="00A14DC8"/>
    <w:rsid w:val="00A1503D"/>
    <w:rsid w:val="00A15134"/>
    <w:rsid w:val="00A15C9E"/>
    <w:rsid w:val="00A164D0"/>
    <w:rsid w:val="00A17D48"/>
    <w:rsid w:val="00A208C9"/>
    <w:rsid w:val="00A21DAB"/>
    <w:rsid w:val="00A225E5"/>
    <w:rsid w:val="00A233C0"/>
    <w:rsid w:val="00A2351A"/>
    <w:rsid w:val="00A24592"/>
    <w:rsid w:val="00A260FE"/>
    <w:rsid w:val="00A26326"/>
    <w:rsid w:val="00A26987"/>
    <w:rsid w:val="00A26CA2"/>
    <w:rsid w:val="00A2757C"/>
    <w:rsid w:val="00A27CFB"/>
    <w:rsid w:val="00A30CCC"/>
    <w:rsid w:val="00A313E1"/>
    <w:rsid w:val="00A320D8"/>
    <w:rsid w:val="00A33974"/>
    <w:rsid w:val="00A341A3"/>
    <w:rsid w:val="00A34411"/>
    <w:rsid w:val="00A34FFD"/>
    <w:rsid w:val="00A35800"/>
    <w:rsid w:val="00A35EA5"/>
    <w:rsid w:val="00A36208"/>
    <w:rsid w:val="00A36AFC"/>
    <w:rsid w:val="00A400BE"/>
    <w:rsid w:val="00A41D7C"/>
    <w:rsid w:val="00A426F2"/>
    <w:rsid w:val="00A43B9D"/>
    <w:rsid w:val="00A4492D"/>
    <w:rsid w:val="00A464C1"/>
    <w:rsid w:val="00A47335"/>
    <w:rsid w:val="00A5073C"/>
    <w:rsid w:val="00A52918"/>
    <w:rsid w:val="00A53A6D"/>
    <w:rsid w:val="00A54674"/>
    <w:rsid w:val="00A547B3"/>
    <w:rsid w:val="00A54BC7"/>
    <w:rsid w:val="00A55B8D"/>
    <w:rsid w:val="00A55ED9"/>
    <w:rsid w:val="00A56F9C"/>
    <w:rsid w:val="00A57687"/>
    <w:rsid w:val="00A605F5"/>
    <w:rsid w:val="00A60A40"/>
    <w:rsid w:val="00A6122C"/>
    <w:rsid w:val="00A612D3"/>
    <w:rsid w:val="00A63008"/>
    <w:rsid w:val="00A64218"/>
    <w:rsid w:val="00A675A1"/>
    <w:rsid w:val="00A6778F"/>
    <w:rsid w:val="00A7076E"/>
    <w:rsid w:val="00A70E82"/>
    <w:rsid w:val="00A71468"/>
    <w:rsid w:val="00A7212F"/>
    <w:rsid w:val="00A72422"/>
    <w:rsid w:val="00A73D96"/>
    <w:rsid w:val="00A73DB8"/>
    <w:rsid w:val="00A73E88"/>
    <w:rsid w:val="00A74063"/>
    <w:rsid w:val="00A7581B"/>
    <w:rsid w:val="00A76179"/>
    <w:rsid w:val="00A77BA9"/>
    <w:rsid w:val="00A8019F"/>
    <w:rsid w:val="00A801F2"/>
    <w:rsid w:val="00A8055F"/>
    <w:rsid w:val="00A8071B"/>
    <w:rsid w:val="00A80DB7"/>
    <w:rsid w:val="00A8188D"/>
    <w:rsid w:val="00A81BBF"/>
    <w:rsid w:val="00A81BD6"/>
    <w:rsid w:val="00A82068"/>
    <w:rsid w:val="00A830FF"/>
    <w:rsid w:val="00A8341B"/>
    <w:rsid w:val="00A8375B"/>
    <w:rsid w:val="00A84CAD"/>
    <w:rsid w:val="00A85BD9"/>
    <w:rsid w:val="00A87133"/>
    <w:rsid w:val="00A90453"/>
    <w:rsid w:val="00A906C0"/>
    <w:rsid w:val="00A908CC"/>
    <w:rsid w:val="00A90E50"/>
    <w:rsid w:val="00A91E58"/>
    <w:rsid w:val="00A93DC3"/>
    <w:rsid w:val="00A94716"/>
    <w:rsid w:val="00A94FCE"/>
    <w:rsid w:val="00A95FA5"/>
    <w:rsid w:val="00A96BF9"/>
    <w:rsid w:val="00A96D92"/>
    <w:rsid w:val="00A9743B"/>
    <w:rsid w:val="00AA02DF"/>
    <w:rsid w:val="00AA10C8"/>
    <w:rsid w:val="00AA24E3"/>
    <w:rsid w:val="00AA2797"/>
    <w:rsid w:val="00AA4E08"/>
    <w:rsid w:val="00AA50DE"/>
    <w:rsid w:val="00AA539B"/>
    <w:rsid w:val="00AA56EA"/>
    <w:rsid w:val="00AA68C3"/>
    <w:rsid w:val="00AA6B83"/>
    <w:rsid w:val="00AA6F6E"/>
    <w:rsid w:val="00AA7720"/>
    <w:rsid w:val="00AA7770"/>
    <w:rsid w:val="00AB0149"/>
    <w:rsid w:val="00AB1715"/>
    <w:rsid w:val="00AB1766"/>
    <w:rsid w:val="00AB199C"/>
    <w:rsid w:val="00AB1FB2"/>
    <w:rsid w:val="00AB2142"/>
    <w:rsid w:val="00AB3733"/>
    <w:rsid w:val="00AB3C7E"/>
    <w:rsid w:val="00AB49D8"/>
    <w:rsid w:val="00AB588C"/>
    <w:rsid w:val="00AB636A"/>
    <w:rsid w:val="00AB6D41"/>
    <w:rsid w:val="00AB6E29"/>
    <w:rsid w:val="00AB777B"/>
    <w:rsid w:val="00AB7897"/>
    <w:rsid w:val="00AB7EA4"/>
    <w:rsid w:val="00AC14A6"/>
    <w:rsid w:val="00AC15EC"/>
    <w:rsid w:val="00AC1D10"/>
    <w:rsid w:val="00AC1E13"/>
    <w:rsid w:val="00AC2D82"/>
    <w:rsid w:val="00AC43CF"/>
    <w:rsid w:val="00AC4724"/>
    <w:rsid w:val="00AC5054"/>
    <w:rsid w:val="00AC55C9"/>
    <w:rsid w:val="00AC6A11"/>
    <w:rsid w:val="00AC6EA3"/>
    <w:rsid w:val="00AC7453"/>
    <w:rsid w:val="00AD0019"/>
    <w:rsid w:val="00AD0826"/>
    <w:rsid w:val="00AD1A6B"/>
    <w:rsid w:val="00AD2874"/>
    <w:rsid w:val="00AD2FA3"/>
    <w:rsid w:val="00AD3779"/>
    <w:rsid w:val="00AD381F"/>
    <w:rsid w:val="00AD3ADD"/>
    <w:rsid w:val="00AD40FD"/>
    <w:rsid w:val="00AD4E48"/>
    <w:rsid w:val="00AD5276"/>
    <w:rsid w:val="00AD5A9B"/>
    <w:rsid w:val="00AD69A2"/>
    <w:rsid w:val="00AD6D4D"/>
    <w:rsid w:val="00AD78F6"/>
    <w:rsid w:val="00AD7910"/>
    <w:rsid w:val="00AE0378"/>
    <w:rsid w:val="00AE1CA4"/>
    <w:rsid w:val="00AE1DF0"/>
    <w:rsid w:val="00AE35F0"/>
    <w:rsid w:val="00AE3BA7"/>
    <w:rsid w:val="00AE4BAC"/>
    <w:rsid w:val="00AE7416"/>
    <w:rsid w:val="00AF0692"/>
    <w:rsid w:val="00AF236B"/>
    <w:rsid w:val="00AF24E4"/>
    <w:rsid w:val="00AF2836"/>
    <w:rsid w:val="00AF2936"/>
    <w:rsid w:val="00AF3366"/>
    <w:rsid w:val="00AF46B5"/>
    <w:rsid w:val="00AF4D63"/>
    <w:rsid w:val="00AF52A2"/>
    <w:rsid w:val="00AF598F"/>
    <w:rsid w:val="00AF6872"/>
    <w:rsid w:val="00AF6AB0"/>
    <w:rsid w:val="00B00ABE"/>
    <w:rsid w:val="00B01350"/>
    <w:rsid w:val="00B016CB"/>
    <w:rsid w:val="00B0310F"/>
    <w:rsid w:val="00B034FC"/>
    <w:rsid w:val="00B0452B"/>
    <w:rsid w:val="00B05310"/>
    <w:rsid w:val="00B05788"/>
    <w:rsid w:val="00B05802"/>
    <w:rsid w:val="00B06C03"/>
    <w:rsid w:val="00B07E32"/>
    <w:rsid w:val="00B109E9"/>
    <w:rsid w:val="00B10A0B"/>
    <w:rsid w:val="00B126B7"/>
    <w:rsid w:val="00B13385"/>
    <w:rsid w:val="00B136E4"/>
    <w:rsid w:val="00B1381F"/>
    <w:rsid w:val="00B14304"/>
    <w:rsid w:val="00B148ED"/>
    <w:rsid w:val="00B14E17"/>
    <w:rsid w:val="00B15253"/>
    <w:rsid w:val="00B165E9"/>
    <w:rsid w:val="00B1680A"/>
    <w:rsid w:val="00B17071"/>
    <w:rsid w:val="00B207CE"/>
    <w:rsid w:val="00B20C21"/>
    <w:rsid w:val="00B2235B"/>
    <w:rsid w:val="00B22AD4"/>
    <w:rsid w:val="00B23AE0"/>
    <w:rsid w:val="00B2458B"/>
    <w:rsid w:val="00B2509B"/>
    <w:rsid w:val="00B254F5"/>
    <w:rsid w:val="00B25B18"/>
    <w:rsid w:val="00B25CCC"/>
    <w:rsid w:val="00B2685A"/>
    <w:rsid w:val="00B26CB9"/>
    <w:rsid w:val="00B271A6"/>
    <w:rsid w:val="00B27251"/>
    <w:rsid w:val="00B3063C"/>
    <w:rsid w:val="00B30D85"/>
    <w:rsid w:val="00B31BE6"/>
    <w:rsid w:val="00B33B43"/>
    <w:rsid w:val="00B3427F"/>
    <w:rsid w:val="00B34A5F"/>
    <w:rsid w:val="00B35A4A"/>
    <w:rsid w:val="00B36AC0"/>
    <w:rsid w:val="00B36C70"/>
    <w:rsid w:val="00B3735D"/>
    <w:rsid w:val="00B375F4"/>
    <w:rsid w:val="00B4104E"/>
    <w:rsid w:val="00B412A6"/>
    <w:rsid w:val="00B41808"/>
    <w:rsid w:val="00B42BCE"/>
    <w:rsid w:val="00B4361E"/>
    <w:rsid w:val="00B44100"/>
    <w:rsid w:val="00B441D9"/>
    <w:rsid w:val="00B4432D"/>
    <w:rsid w:val="00B444D7"/>
    <w:rsid w:val="00B44619"/>
    <w:rsid w:val="00B453CF"/>
    <w:rsid w:val="00B46179"/>
    <w:rsid w:val="00B464B2"/>
    <w:rsid w:val="00B50069"/>
    <w:rsid w:val="00B5084F"/>
    <w:rsid w:val="00B509FC"/>
    <w:rsid w:val="00B50A15"/>
    <w:rsid w:val="00B50AB7"/>
    <w:rsid w:val="00B53532"/>
    <w:rsid w:val="00B5377D"/>
    <w:rsid w:val="00B54504"/>
    <w:rsid w:val="00B5450A"/>
    <w:rsid w:val="00B554B5"/>
    <w:rsid w:val="00B561E1"/>
    <w:rsid w:val="00B56214"/>
    <w:rsid w:val="00B578D0"/>
    <w:rsid w:val="00B57C23"/>
    <w:rsid w:val="00B601C3"/>
    <w:rsid w:val="00B6101F"/>
    <w:rsid w:val="00B61E3F"/>
    <w:rsid w:val="00B62424"/>
    <w:rsid w:val="00B6304B"/>
    <w:rsid w:val="00B639BA"/>
    <w:rsid w:val="00B63FD7"/>
    <w:rsid w:val="00B64470"/>
    <w:rsid w:val="00B65082"/>
    <w:rsid w:val="00B65A9F"/>
    <w:rsid w:val="00B65F61"/>
    <w:rsid w:val="00B666B9"/>
    <w:rsid w:val="00B666E7"/>
    <w:rsid w:val="00B66CF6"/>
    <w:rsid w:val="00B6723E"/>
    <w:rsid w:val="00B67D22"/>
    <w:rsid w:val="00B67E75"/>
    <w:rsid w:val="00B71D66"/>
    <w:rsid w:val="00B72F01"/>
    <w:rsid w:val="00B736E9"/>
    <w:rsid w:val="00B75A5F"/>
    <w:rsid w:val="00B75B8F"/>
    <w:rsid w:val="00B75FF9"/>
    <w:rsid w:val="00B766E9"/>
    <w:rsid w:val="00B76D47"/>
    <w:rsid w:val="00B77D3E"/>
    <w:rsid w:val="00B804B9"/>
    <w:rsid w:val="00B816D9"/>
    <w:rsid w:val="00B81FCD"/>
    <w:rsid w:val="00B82016"/>
    <w:rsid w:val="00B82B58"/>
    <w:rsid w:val="00B83D8D"/>
    <w:rsid w:val="00B843C6"/>
    <w:rsid w:val="00B847D9"/>
    <w:rsid w:val="00B85362"/>
    <w:rsid w:val="00B86910"/>
    <w:rsid w:val="00B8741F"/>
    <w:rsid w:val="00B901E0"/>
    <w:rsid w:val="00B9058B"/>
    <w:rsid w:val="00B9120F"/>
    <w:rsid w:val="00B9216C"/>
    <w:rsid w:val="00B924A4"/>
    <w:rsid w:val="00B92DB2"/>
    <w:rsid w:val="00B934FD"/>
    <w:rsid w:val="00B93E5F"/>
    <w:rsid w:val="00B954F3"/>
    <w:rsid w:val="00B9552A"/>
    <w:rsid w:val="00B9563A"/>
    <w:rsid w:val="00B95FEA"/>
    <w:rsid w:val="00B97C0D"/>
    <w:rsid w:val="00BA08B8"/>
    <w:rsid w:val="00BA104C"/>
    <w:rsid w:val="00BA14A7"/>
    <w:rsid w:val="00BA2239"/>
    <w:rsid w:val="00BA25C2"/>
    <w:rsid w:val="00BA2971"/>
    <w:rsid w:val="00BA2D2F"/>
    <w:rsid w:val="00BA63D9"/>
    <w:rsid w:val="00BA7016"/>
    <w:rsid w:val="00BA73D4"/>
    <w:rsid w:val="00BB07EF"/>
    <w:rsid w:val="00BB0C54"/>
    <w:rsid w:val="00BB0D1A"/>
    <w:rsid w:val="00BB1A81"/>
    <w:rsid w:val="00BB1D3B"/>
    <w:rsid w:val="00BB1F56"/>
    <w:rsid w:val="00BB2D2B"/>
    <w:rsid w:val="00BB2F84"/>
    <w:rsid w:val="00BB3487"/>
    <w:rsid w:val="00BB3BF7"/>
    <w:rsid w:val="00BB3C1D"/>
    <w:rsid w:val="00BB63C5"/>
    <w:rsid w:val="00BB70F8"/>
    <w:rsid w:val="00BB719A"/>
    <w:rsid w:val="00BB757D"/>
    <w:rsid w:val="00BC1851"/>
    <w:rsid w:val="00BC1867"/>
    <w:rsid w:val="00BC1926"/>
    <w:rsid w:val="00BC35ED"/>
    <w:rsid w:val="00BC45AD"/>
    <w:rsid w:val="00BC46E4"/>
    <w:rsid w:val="00BC55ED"/>
    <w:rsid w:val="00BC5E02"/>
    <w:rsid w:val="00BC6547"/>
    <w:rsid w:val="00BC6A53"/>
    <w:rsid w:val="00BC762C"/>
    <w:rsid w:val="00BD0784"/>
    <w:rsid w:val="00BD11B0"/>
    <w:rsid w:val="00BD23EB"/>
    <w:rsid w:val="00BD2F36"/>
    <w:rsid w:val="00BD3BDD"/>
    <w:rsid w:val="00BD51DF"/>
    <w:rsid w:val="00BD5A17"/>
    <w:rsid w:val="00BE205A"/>
    <w:rsid w:val="00BE3007"/>
    <w:rsid w:val="00BE321A"/>
    <w:rsid w:val="00BE3238"/>
    <w:rsid w:val="00BE32FA"/>
    <w:rsid w:val="00BE37E2"/>
    <w:rsid w:val="00BE3802"/>
    <w:rsid w:val="00BE3803"/>
    <w:rsid w:val="00BE3D10"/>
    <w:rsid w:val="00BE3E55"/>
    <w:rsid w:val="00BE4F21"/>
    <w:rsid w:val="00BE6B67"/>
    <w:rsid w:val="00BE6F98"/>
    <w:rsid w:val="00BF0157"/>
    <w:rsid w:val="00BF09AE"/>
    <w:rsid w:val="00BF1439"/>
    <w:rsid w:val="00BF238E"/>
    <w:rsid w:val="00BF258F"/>
    <w:rsid w:val="00BF2F4A"/>
    <w:rsid w:val="00BF4848"/>
    <w:rsid w:val="00BF544D"/>
    <w:rsid w:val="00BF5F11"/>
    <w:rsid w:val="00BF6D84"/>
    <w:rsid w:val="00BF7416"/>
    <w:rsid w:val="00C0057E"/>
    <w:rsid w:val="00C0076F"/>
    <w:rsid w:val="00C02023"/>
    <w:rsid w:val="00C024C7"/>
    <w:rsid w:val="00C0301C"/>
    <w:rsid w:val="00C03B81"/>
    <w:rsid w:val="00C03EF6"/>
    <w:rsid w:val="00C050B6"/>
    <w:rsid w:val="00C051FF"/>
    <w:rsid w:val="00C057CC"/>
    <w:rsid w:val="00C05B83"/>
    <w:rsid w:val="00C05F4E"/>
    <w:rsid w:val="00C06567"/>
    <w:rsid w:val="00C06C60"/>
    <w:rsid w:val="00C075C3"/>
    <w:rsid w:val="00C077BE"/>
    <w:rsid w:val="00C109B6"/>
    <w:rsid w:val="00C10F12"/>
    <w:rsid w:val="00C1170A"/>
    <w:rsid w:val="00C120D8"/>
    <w:rsid w:val="00C1358D"/>
    <w:rsid w:val="00C137EC"/>
    <w:rsid w:val="00C13D0D"/>
    <w:rsid w:val="00C14036"/>
    <w:rsid w:val="00C145A9"/>
    <w:rsid w:val="00C152A6"/>
    <w:rsid w:val="00C15915"/>
    <w:rsid w:val="00C15CF3"/>
    <w:rsid w:val="00C15D13"/>
    <w:rsid w:val="00C1677B"/>
    <w:rsid w:val="00C16C79"/>
    <w:rsid w:val="00C16C95"/>
    <w:rsid w:val="00C1733A"/>
    <w:rsid w:val="00C17C05"/>
    <w:rsid w:val="00C21DA2"/>
    <w:rsid w:val="00C2202C"/>
    <w:rsid w:val="00C22B6D"/>
    <w:rsid w:val="00C23147"/>
    <w:rsid w:val="00C245EA"/>
    <w:rsid w:val="00C255A5"/>
    <w:rsid w:val="00C256F6"/>
    <w:rsid w:val="00C25731"/>
    <w:rsid w:val="00C25C61"/>
    <w:rsid w:val="00C30558"/>
    <w:rsid w:val="00C305BE"/>
    <w:rsid w:val="00C3087F"/>
    <w:rsid w:val="00C3097E"/>
    <w:rsid w:val="00C30D12"/>
    <w:rsid w:val="00C3272C"/>
    <w:rsid w:val="00C33A7B"/>
    <w:rsid w:val="00C35ECC"/>
    <w:rsid w:val="00C35F23"/>
    <w:rsid w:val="00C361A8"/>
    <w:rsid w:val="00C37B9C"/>
    <w:rsid w:val="00C41246"/>
    <w:rsid w:val="00C4205C"/>
    <w:rsid w:val="00C45295"/>
    <w:rsid w:val="00C45E5F"/>
    <w:rsid w:val="00C46291"/>
    <w:rsid w:val="00C469AB"/>
    <w:rsid w:val="00C46C66"/>
    <w:rsid w:val="00C47C93"/>
    <w:rsid w:val="00C50B2B"/>
    <w:rsid w:val="00C512AC"/>
    <w:rsid w:val="00C52418"/>
    <w:rsid w:val="00C54EA4"/>
    <w:rsid w:val="00C56E59"/>
    <w:rsid w:val="00C60CC9"/>
    <w:rsid w:val="00C615E2"/>
    <w:rsid w:val="00C6199C"/>
    <w:rsid w:val="00C6230C"/>
    <w:rsid w:val="00C62E8E"/>
    <w:rsid w:val="00C63014"/>
    <w:rsid w:val="00C63412"/>
    <w:rsid w:val="00C64D82"/>
    <w:rsid w:val="00C64F34"/>
    <w:rsid w:val="00C66402"/>
    <w:rsid w:val="00C6682E"/>
    <w:rsid w:val="00C67F60"/>
    <w:rsid w:val="00C701C1"/>
    <w:rsid w:val="00C70BE6"/>
    <w:rsid w:val="00C70F72"/>
    <w:rsid w:val="00C714D0"/>
    <w:rsid w:val="00C7256C"/>
    <w:rsid w:val="00C73D31"/>
    <w:rsid w:val="00C73D58"/>
    <w:rsid w:val="00C751D4"/>
    <w:rsid w:val="00C756F9"/>
    <w:rsid w:val="00C76F5B"/>
    <w:rsid w:val="00C77183"/>
    <w:rsid w:val="00C7760D"/>
    <w:rsid w:val="00C80920"/>
    <w:rsid w:val="00C80B0B"/>
    <w:rsid w:val="00C8271C"/>
    <w:rsid w:val="00C82A32"/>
    <w:rsid w:val="00C82F5E"/>
    <w:rsid w:val="00C83D50"/>
    <w:rsid w:val="00C83E52"/>
    <w:rsid w:val="00C8463D"/>
    <w:rsid w:val="00C84CC3"/>
    <w:rsid w:val="00C8671F"/>
    <w:rsid w:val="00C87079"/>
    <w:rsid w:val="00C87D91"/>
    <w:rsid w:val="00C87DF5"/>
    <w:rsid w:val="00C90EF4"/>
    <w:rsid w:val="00C91A0D"/>
    <w:rsid w:val="00C922C7"/>
    <w:rsid w:val="00C92A36"/>
    <w:rsid w:val="00C92E77"/>
    <w:rsid w:val="00C9316C"/>
    <w:rsid w:val="00C95D78"/>
    <w:rsid w:val="00C969F5"/>
    <w:rsid w:val="00C96A40"/>
    <w:rsid w:val="00C97CC3"/>
    <w:rsid w:val="00CA015A"/>
    <w:rsid w:val="00CA2875"/>
    <w:rsid w:val="00CA3BD4"/>
    <w:rsid w:val="00CA3CD7"/>
    <w:rsid w:val="00CA3ED0"/>
    <w:rsid w:val="00CA5416"/>
    <w:rsid w:val="00CA7E8C"/>
    <w:rsid w:val="00CA7EF1"/>
    <w:rsid w:val="00CB0E1C"/>
    <w:rsid w:val="00CB14BA"/>
    <w:rsid w:val="00CB31EB"/>
    <w:rsid w:val="00CB35E9"/>
    <w:rsid w:val="00CB4D39"/>
    <w:rsid w:val="00CB5387"/>
    <w:rsid w:val="00CB6652"/>
    <w:rsid w:val="00CB788B"/>
    <w:rsid w:val="00CB7F37"/>
    <w:rsid w:val="00CC18E9"/>
    <w:rsid w:val="00CC1AA3"/>
    <w:rsid w:val="00CC49D6"/>
    <w:rsid w:val="00CC57EF"/>
    <w:rsid w:val="00CC6233"/>
    <w:rsid w:val="00CC6C7B"/>
    <w:rsid w:val="00CC750D"/>
    <w:rsid w:val="00CD0332"/>
    <w:rsid w:val="00CD03F3"/>
    <w:rsid w:val="00CD04F9"/>
    <w:rsid w:val="00CD07B6"/>
    <w:rsid w:val="00CD0B81"/>
    <w:rsid w:val="00CD32F5"/>
    <w:rsid w:val="00CD3A05"/>
    <w:rsid w:val="00CD4486"/>
    <w:rsid w:val="00CD4772"/>
    <w:rsid w:val="00CD4C02"/>
    <w:rsid w:val="00CD7E0A"/>
    <w:rsid w:val="00CE005B"/>
    <w:rsid w:val="00CE05F3"/>
    <w:rsid w:val="00CE071C"/>
    <w:rsid w:val="00CE4F47"/>
    <w:rsid w:val="00CE5440"/>
    <w:rsid w:val="00CE6CF2"/>
    <w:rsid w:val="00CE7040"/>
    <w:rsid w:val="00CF014D"/>
    <w:rsid w:val="00CF2EF4"/>
    <w:rsid w:val="00CF466A"/>
    <w:rsid w:val="00CF53AC"/>
    <w:rsid w:val="00CF5C5D"/>
    <w:rsid w:val="00CF5E22"/>
    <w:rsid w:val="00CF681B"/>
    <w:rsid w:val="00CF68B5"/>
    <w:rsid w:val="00CF7DA5"/>
    <w:rsid w:val="00D0085F"/>
    <w:rsid w:val="00D01980"/>
    <w:rsid w:val="00D01F7F"/>
    <w:rsid w:val="00D02013"/>
    <w:rsid w:val="00D02949"/>
    <w:rsid w:val="00D02BBF"/>
    <w:rsid w:val="00D03FE9"/>
    <w:rsid w:val="00D04A1E"/>
    <w:rsid w:val="00D04C5F"/>
    <w:rsid w:val="00D0558B"/>
    <w:rsid w:val="00D062A4"/>
    <w:rsid w:val="00D06A44"/>
    <w:rsid w:val="00D06D89"/>
    <w:rsid w:val="00D06E90"/>
    <w:rsid w:val="00D104EF"/>
    <w:rsid w:val="00D10A46"/>
    <w:rsid w:val="00D10BA1"/>
    <w:rsid w:val="00D12765"/>
    <w:rsid w:val="00D13748"/>
    <w:rsid w:val="00D13B02"/>
    <w:rsid w:val="00D151EB"/>
    <w:rsid w:val="00D155BB"/>
    <w:rsid w:val="00D156BB"/>
    <w:rsid w:val="00D1770B"/>
    <w:rsid w:val="00D20643"/>
    <w:rsid w:val="00D20DF5"/>
    <w:rsid w:val="00D22235"/>
    <w:rsid w:val="00D22BD5"/>
    <w:rsid w:val="00D23F50"/>
    <w:rsid w:val="00D2411C"/>
    <w:rsid w:val="00D24C11"/>
    <w:rsid w:val="00D25817"/>
    <w:rsid w:val="00D26ECB"/>
    <w:rsid w:val="00D271EF"/>
    <w:rsid w:val="00D300E0"/>
    <w:rsid w:val="00D30977"/>
    <w:rsid w:val="00D316FA"/>
    <w:rsid w:val="00D31D5F"/>
    <w:rsid w:val="00D32666"/>
    <w:rsid w:val="00D32843"/>
    <w:rsid w:val="00D32AD3"/>
    <w:rsid w:val="00D33EDB"/>
    <w:rsid w:val="00D33FEC"/>
    <w:rsid w:val="00D34F72"/>
    <w:rsid w:val="00D3508D"/>
    <w:rsid w:val="00D35223"/>
    <w:rsid w:val="00D358A9"/>
    <w:rsid w:val="00D36AE8"/>
    <w:rsid w:val="00D37424"/>
    <w:rsid w:val="00D374CD"/>
    <w:rsid w:val="00D37DF5"/>
    <w:rsid w:val="00D40524"/>
    <w:rsid w:val="00D40B51"/>
    <w:rsid w:val="00D41F57"/>
    <w:rsid w:val="00D42ADD"/>
    <w:rsid w:val="00D42C71"/>
    <w:rsid w:val="00D42FD8"/>
    <w:rsid w:val="00D44378"/>
    <w:rsid w:val="00D44918"/>
    <w:rsid w:val="00D46F91"/>
    <w:rsid w:val="00D472E1"/>
    <w:rsid w:val="00D47C13"/>
    <w:rsid w:val="00D5006D"/>
    <w:rsid w:val="00D50401"/>
    <w:rsid w:val="00D50C1D"/>
    <w:rsid w:val="00D52320"/>
    <w:rsid w:val="00D53B3F"/>
    <w:rsid w:val="00D53C49"/>
    <w:rsid w:val="00D53D77"/>
    <w:rsid w:val="00D54D13"/>
    <w:rsid w:val="00D569C4"/>
    <w:rsid w:val="00D57061"/>
    <w:rsid w:val="00D602B4"/>
    <w:rsid w:val="00D61E41"/>
    <w:rsid w:val="00D62497"/>
    <w:rsid w:val="00D62AAD"/>
    <w:rsid w:val="00D63292"/>
    <w:rsid w:val="00D6370A"/>
    <w:rsid w:val="00D63BEC"/>
    <w:rsid w:val="00D650CE"/>
    <w:rsid w:val="00D6527B"/>
    <w:rsid w:val="00D6549F"/>
    <w:rsid w:val="00D656BB"/>
    <w:rsid w:val="00D65EB7"/>
    <w:rsid w:val="00D7023C"/>
    <w:rsid w:val="00D71286"/>
    <w:rsid w:val="00D71719"/>
    <w:rsid w:val="00D71C73"/>
    <w:rsid w:val="00D7409E"/>
    <w:rsid w:val="00D756B7"/>
    <w:rsid w:val="00D7700B"/>
    <w:rsid w:val="00D776DA"/>
    <w:rsid w:val="00D77B2A"/>
    <w:rsid w:val="00D80016"/>
    <w:rsid w:val="00D80353"/>
    <w:rsid w:val="00D81D99"/>
    <w:rsid w:val="00D81DC9"/>
    <w:rsid w:val="00D81F56"/>
    <w:rsid w:val="00D82403"/>
    <w:rsid w:val="00D82B0D"/>
    <w:rsid w:val="00D8429B"/>
    <w:rsid w:val="00D84BA6"/>
    <w:rsid w:val="00D858C9"/>
    <w:rsid w:val="00D86DE9"/>
    <w:rsid w:val="00D8727A"/>
    <w:rsid w:val="00D8730C"/>
    <w:rsid w:val="00D8737A"/>
    <w:rsid w:val="00D8758B"/>
    <w:rsid w:val="00D9073F"/>
    <w:rsid w:val="00D909C8"/>
    <w:rsid w:val="00D91947"/>
    <w:rsid w:val="00D91CB9"/>
    <w:rsid w:val="00D91D42"/>
    <w:rsid w:val="00D92230"/>
    <w:rsid w:val="00D92A3A"/>
    <w:rsid w:val="00D92BA2"/>
    <w:rsid w:val="00D93036"/>
    <w:rsid w:val="00D942B3"/>
    <w:rsid w:val="00D94863"/>
    <w:rsid w:val="00D969B3"/>
    <w:rsid w:val="00D96C54"/>
    <w:rsid w:val="00DA0250"/>
    <w:rsid w:val="00DA19C8"/>
    <w:rsid w:val="00DA2254"/>
    <w:rsid w:val="00DA34DC"/>
    <w:rsid w:val="00DA3CEC"/>
    <w:rsid w:val="00DA7D09"/>
    <w:rsid w:val="00DB1203"/>
    <w:rsid w:val="00DB18D1"/>
    <w:rsid w:val="00DB37B7"/>
    <w:rsid w:val="00DB6880"/>
    <w:rsid w:val="00DB6DF2"/>
    <w:rsid w:val="00DB79E5"/>
    <w:rsid w:val="00DB7B67"/>
    <w:rsid w:val="00DB7BC5"/>
    <w:rsid w:val="00DB7C4F"/>
    <w:rsid w:val="00DB7D83"/>
    <w:rsid w:val="00DC1117"/>
    <w:rsid w:val="00DC2630"/>
    <w:rsid w:val="00DC2F74"/>
    <w:rsid w:val="00DC49E9"/>
    <w:rsid w:val="00DC55E4"/>
    <w:rsid w:val="00DC588D"/>
    <w:rsid w:val="00DC5CEF"/>
    <w:rsid w:val="00DC7D71"/>
    <w:rsid w:val="00DD036F"/>
    <w:rsid w:val="00DD087B"/>
    <w:rsid w:val="00DD0EF1"/>
    <w:rsid w:val="00DD148D"/>
    <w:rsid w:val="00DD17A2"/>
    <w:rsid w:val="00DD188C"/>
    <w:rsid w:val="00DD18FB"/>
    <w:rsid w:val="00DD29A3"/>
    <w:rsid w:val="00DD2B44"/>
    <w:rsid w:val="00DD2FCE"/>
    <w:rsid w:val="00DD30D2"/>
    <w:rsid w:val="00DD47D9"/>
    <w:rsid w:val="00DD48AE"/>
    <w:rsid w:val="00DD48EE"/>
    <w:rsid w:val="00DD64AB"/>
    <w:rsid w:val="00DE01CC"/>
    <w:rsid w:val="00DE0B96"/>
    <w:rsid w:val="00DE10B9"/>
    <w:rsid w:val="00DE12E2"/>
    <w:rsid w:val="00DE1448"/>
    <w:rsid w:val="00DE14B0"/>
    <w:rsid w:val="00DE360B"/>
    <w:rsid w:val="00DE3739"/>
    <w:rsid w:val="00DE3EB5"/>
    <w:rsid w:val="00DE465F"/>
    <w:rsid w:val="00DF0A0B"/>
    <w:rsid w:val="00DF0ABD"/>
    <w:rsid w:val="00DF0B13"/>
    <w:rsid w:val="00DF1BC0"/>
    <w:rsid w:val="00DF256C"/>
    <w:rsid w:val="00DF2EB8"/>
    <w:rsid w:val="00DF3622"/>
    <w:rsid w:val="00DF4000"/>
    <w:rsid w:val="00DF4A94"/>
    <w:rsid w:val="00DF51F5"/>
    <w:rsid w:val="00DF5393"/>
    <w:rsid w:val="00DF5CA6"/>
    <w:rsid w:val="00DF5CD4"/>
    <w:rsid w:val="00DF5DAE"/>
    <w:rsid w:val="00DF6003"/>
    <w:rsid w:val="00DF65CE"/>
    <w:rsid w:val="00DF6C41"/>
    <w:rsid w:val="00DF6C64"/>
    <w:rsid w:val="00DF6E91"/>
    <w:rsid w:val="00DF79BC"/>
    <w:rsid w:val="00DF7D0F"/>
    <w:rsid w:val="00E00095"/>
    <w:rsid w:val="00E00298"/>
    <w:rsid w:val="00E00B3B"/>
    <w:rsid w:val="00E02F15"/>
    <w:rsid w:val="00E03817"/>
    <w:rsid w:val="00E0390D"/>
    <w:rsid w:val="00E03E42"/>
    <w:rsid w:val="00E0474F"/>
    <w:rsid w:val="00E057DA"/>
    <w:rsid w:val="00E066C3"/>
    <w:rsid w:val="00E06857"/>
    <w:rsid w:val="00E1086C"/>
    <w:rsid w:val="00E10C4C"/>
    <w:rsid w:val="00E10D8C"/>
    <w:rsid w:val="00E11E67"/>
    <w:rsid w:val="00E1298B"/>
    <w:rsid w:val="00E12C7F"/>
    <w:rsid w:val="00E1353A"/>
    <w:rsid w:val="00E138D5"/>
    <w:rsid w:val="00E14276"/>
    <w:rsid w:val="00E1564B"/>
    <w:rsid w:val="00E157CE"/>
    <w:rsid w:val="00E16B07"/>
    <w:rsid w:val="00E176F5"/>
    <w:rsid w:val="00E207BA"/>
    <w:rsid w:val="00E208A0"/>
    <w:rsid w:val="00E20FFD"/>
    <w:rsid w:val="00E211EF"/>
    <w:rsid w:val="00E2188B"/>
    <w:rsid w:val="00E21ADE"/>
    <w:rsid w:val="00E2390F"/>
    <w:rsid w:val="00E239E1"/>
    <w:rsid w:val="00E23D35"/>
    <w:rsid w:val="00E246BF"/>
    <w:rsid w:val="00E24DCC"/>
    <w:rsid w:val="00E25B49"/>
    <w:rsid w:val="00E30F04"/>
    <w:rsid w:val="00E319C8"/>
    <w:rsid w:val="00E31C2B"/>
    <w:rsid w:val="00E3394E"/>
    <w:rsid w:val="00E35FD3"/>
    <w:rsid w:val="00E3604F"/>
    <w:rsid w:val="00E368D4"/>
    <w:rsid w:val="00E36A60"/>
    <w:rsid w:val="00E37176"/>
    <w:rsid w:val="00E371EA"/>
    <w:rsid w:val="00E37DAE"/>
    <w:rsid w:val="00E40022"/>
    <w:rsid w:val="00E40053"/>
    <w:rsid w:val="00E40167"/>
    <w:rsid w:val="00E409E7"/>
    <w:rsid w:val="00E4133B"/>
    <w:rsid w:val="00E43C42"/>
    <w:rsid w:val="00E44B5E"/>
    <w:rsid w:val="00E450BC"/>
    <w:rsid w:val="00E45911"/>
    <w:rsid w:val="00E50308"/>
    <w:rsid w:val="00E51331"/>
    <w:rsid w:val="00E5171E"/>
    <w:rsid w:val="00E52A8F"/>
    <w:rsid w:val="00E52B77"/>
    <w:rsid w:val="00E52EB0"/>
    <w:rsid w:val="00E539D8"/>
    <w:rsid w:val="00E53F46"/>
    <w:rsid w:val="00E53F4F"/>
    <w:rsid w:val="00E5437B"/>
    <w:rsid w:val="00E5493C"/>
    <w:rsid w:val="00E54CBF"/>
    <w:rsid w:val="00E5540D"/>
    <w:rsid w:val="00E55E70"/>
    <w:rsid w:val="00E5638C"/>
    <w:rsid w:val="00E563DF"/>
    <w:rsid w:val="00E5732B"/>
    <w:rsid w:val="00E57816"/>
    <w:rsid w:val="00E60692"/>
    <w:rsid w:val="00E6298C"/>
    <w:rsid w:val="00E63020"/>
    <w:rsid w:val="00E6385D"/>
    <w:rsid w:val="00E63B65"/>
    <w:rsid w:val="00E64429"/>
    <w:rsid w:val="00E66306"/>
    <w:rsid w:val="00E677DD"/>
    <w:rsid w:val="00E701F1"/>
    <w:rsid w:val="00E70901"/>
    <w:rsid w:val="00E724B3"/>
    <w:rsid w:val="00E72DE5"/>
    <w:rsid w:val="00E73EAE"/>
    <w:rsid w:val="00E740C1"/>
    <w:rsid w:val="00E747A0"/>
    <w:rsid w:val="00E75691"/>
    <w:rsid w:val="00E7594B"/>
    <w:rsid w:val="00E759C3"/>
    <w:rsid w:val="00E77D41"/>
    <w:rsid w:val="00E80374"/>
    <w:rsid w:val="00E810EB"/>
    <w:rsid w:val="00E81E07"/>
    <w:rsid w:val="00E8216F"/>
    <w:rsid w:val="00E82B36"/>
    <w:rsid w:val="00E82C1E"/>
    <w:rsid w:val="00E82E9C"/>
    <w:rsid w:val="00E840A7"/>
    <w:rsid w:val="00E84278"/>
    <w:rsid w:val="00E84EA4"/>
    <w:rsid w:val="00E85A16"/>
    <w:rsid w:val="00E85F16"/>
    <w:rsid w:val="00E902B8"/>
    <w:rsid w:val="00E90B7C"/>
    <w:rsid w:val="00E916FA"/>
    <w:rsid w:val="00E92797"/>
    <w:rsid w:val="00E93DDD"/>
    <w:rsid w:val="00E9492E"/>
    <w:rsid w:val="00E95064"/>
    <w:rsid w:val="00E9516D"/>
    <w:rsid w:val="00E97777"/>
    <w:rsid w:val="00EA03D6"/>
    <w:rsid w:val="00EA0463"/>
    <w:rsid w:val="00EA2E01"/>
    <w:rsid w:val="00EA3671"/>
    <w:rsid w:val="00EA3C42"/>
    <w:rsid w:val="00EA5A36"/>
    <w:rsid w:val="00EA7977"/>
    <w:rsid w:val="00EB0D89"/>
    <w:rsid w:val="00EB1228"/>
    <w:rsid w:val="00EB14C1"/>
    <w:rsid w:val="00EB165E"/>
    <w:rsid w:val="00EB1910"/>
    <w:rsid w:val="00EB249F"/>
    <w:rsid w:val="00EB2AB2"/>
    <w:rsid w:val="00EB4688"/>
    <w:rsid w:val="00EB52C6"/>
    <w:rsid w:val="00EB5915"/>
    <w:rsid w:val="00EB5E6F"/>
    <w:rsid w:val="00EB6C07"/>
    <w:rsid w:val="00EB7048"/>
    <w:rsid w:val="00EB7138"/>
    <w:rsid w:val="00EB7C7B"/>
    <w:rsid w:val="00EC028D"/>
    <w:rsid w:val="00EC0AEA"/>
    <w:rsid w:val="00EC247C"/>
    <w:rsid w:val="00EC2662"/>
    <w:rsid w:val="00EC2C4D"/>
    <w:rsid w:val="00EC6370"/>
    <w:rsid w:val="00EC7C9D"/>
    <w:rsid w:val="00ED096C"/>
    <w:rsid w:val="00ED3006"/>
    <w:rsid w:val="00ED35C7"/>
    <w:rsid w:val="00ED4CBD"/>
    <w:rsid w:val="00ED5D28"/>
    <w:rsid w:val="00ED633B"/>
    <w:rsid w:val="00ED6CDE"/>
    <w:rsid w:val="00ED76AC"/>
    <w:rsid w:val="00ED7A1E"/>
    <w:rsid w:val="00EE0882"/>
    <w:rsid w:val="00EE1053"/>
    <w:rsid w:val="00EE196F"/>
    <w:rsid w:val="00EE1D0F"/>
    <w:rsid w:val="00EE1F72"/>
    <w:rsid w:val="00EE2395"/>
    <w:rsid w:val="00EE2BBB"/>
    <w:rsid w:val="00EE3122"/>
    <w:rsid w:val="00EE40B2"/>
    <w:rsid w:val="00EE478C"/>
    <w:rsid w:val="00EE51D4"/>
    <w:rsid w:val="00EE57BB"/>
    <w:rsid w:val="00EE6704"/>
    <w:rsid w:val="00EE7F94"/>
    <w:rsid w:val="00EF0330"/>
    <w:rsid w:val="00EF0AB1"/>
    <w:rsid w:val="00EF0CC1"/>
    <w:rsid w:val="00EF1560"/>
    <w:rsid w:val="00EF16CD"/>
    <w:rsid w:val="00EF1810"/>
    <w:rsid w:val="00EF48B0"/>
    <w:rsid w:val="00EF5631"/>
    <w:rsid w:val="00EF5A5F"/>
    <w:rsid w:val="00EF5D3B"/>
    <w:rsid w:val="00EF60B6"/>
    <w:rsid w:val="00F006D6"/>
    <w:rsid w:val="00F0089B"/>
    <w:rsid w:val="00F04278"/>
    <w:rsid w:val="00F05134"/>
    <w:rsid w:val="00F05B35"/>
    <w:rsid w:val="00F06C47"/>
    <w:rsid w:val="00F1132C"/>
    <w:rsid w:val="00F11496"/>
    <w:rsid w:val="00F12DAB"/>
    <w:rsid w:val="00F12EEF"/>
    <w:rsid w:val="00F133CD"/>
    <w:rsid w:val="00F136C6"/>
    <w:rsid w:val="00F144A5"/>
    <w:rsid w:val="00F14823"/>
    <w:rsid w:val="00F15DD5"/>
    <w:rsid w:val="00F1611D"/>
    <w:rsid w:val="00F16209"/>
    <w:rsid w:val="00F1679E"/>
    <w:rsid w:val="00F168A0"/>
    <w:rsid w:val="00F17B09"/>
    <w:rsid w:val="00F17D4B"/>
    <w:rsid w:val="00F17DD8"/>
    <w:rsid w:val="00F205FB"/>
    <w:rsid w:val="00F20F6E"/>
    <w:rsid w:val="00F217E4"/>
    <w:rsid w:val="00F23139"/>
    <w:rsid w:val="00F2493B"/>
    <w:rsid w:val="00F2571B"/>
    <w:rsid w:val="00F26705"/>
    <w:rsid w:val="00F26D6B"/>
    <w:rsid w:val="00F300EF"/>
    <w:rsid w:val="00F3059B"/>
    <w:rsid w:val="00F309E8"/>
    <w:rsid w:val="00F32599"/>
    <w:rsid w:val="00F329B2"/>
    <w:rsid w:val="00F32B5F"/>
    <w:rsid w:val="00F32C44"/>
    <w:rsid w:val="00F34C13"/>
    <w:rsid w:val="00F35474"/>
    <w:rsid w:val="00F3554C"/>
    <w:rsid w:val="00F36978"/>
    <w:rsid w:val="00F40EE5"/>
    <w:rsid w:val="00F41BA2"/>
    <w:rsid w:val="00F4250C"/>
    <w:rsid w:val="00F42DBF"/>
    <w:rsid w:val="00F42E6D"/>
    <w:rsid w:val="00F4312E"/>
    <w:rsid w:val="00F43FCF"/>
    <w:rsid w:val="00F442E5"/>
    <w:rsid w:val="00F4493D"/>
    <w:rsid w:val="00F45904"/>
    <w:rsid w:val="00F45E46"/>
    <w:rsid w:val="00F46431"/>
    <w:rsid w:val="00F46815"/>
    <w:rsid w:val="00F47639"/>
    <w:rsid w:val="00F47960"/>
    <w:rsid w:val="00F47D05"/>
    <w:rsid w:val="00F47DE9"/>
    <w:rsid w:val="00F5147E"/>
    <w:rsid w:val="00F53A4B"/>
    <w:rsid w:val="00F543D7"/>
    <w:rsid w:val="00F545AC"/>
    <w:rsid w:val="00F55391"/>
    <w:rsid w:val="00F55654"/>
    <w:rsid w:val="00F56139"/>
    <w:rsid w:val="00F5765F"/>
    <w:rsid w:val="00F6045E"/>
    <w:rsid w:val="00F60C9D"/>
    <w:rsid w:val="00F613D1"/>
    <w:rsid w:val="00F61511"/>
    <w:rsid w:val="00F62DD7"/>
    <w:rsid w:val="00F635A1"/>
    <w:rsid w:val="00F64006"/>
    <w:rsid w:val="00F65124"/>
    <w:rsid w:val="00F658E8"/>
    <w:rsid w:val="00F668AB"/>
    <w:rsid w:val="00F66CD5"/>
    <w:rsid w:val="00F67A9A"/>
    <w:rsid w:val="00F70998"/>
    <w:rsid w:val="00F70F4E"/>
    <w:rsid w:val="00F7153B"/>
    <w:rsid w:val="00F717A9"/>
    <w:rsid w:val="00F72E76"/>
    <w:rsid w:val="00F72FAC"/>
    <w:rsid w:val="00F730F9"/>
    <w:rsid w:val="00F73113"/>
    <w:rsid w:val="00F7479F"/>
    <w:rsid w:val="00F74AAF"/>
    <w:rsid w:val="00F75922"/>
    <w:rsid w:val="00F75FC4"/>
    <w:rsid w:val="00F764C2"/>
    <w:rsid w:val="00F774F4"/>
    <w:rsid w:val="00F7795F"/>
    <w:rsid w:val="00F8201A"/>
    <w:rsid w:val="00F825F4"/>
    <w:rsid w:val="00F83340"/>
    <w:rsid w:val="00F84807"/>
    <w:rsid w:val="00F84E32"/>
    <w:rsid w:val="00F85981"/>
    <w:rsid w:val="00F87263"/>
    <w:rsid w:val="00F87AEE"/>
    <w:rsid w:val="00F9057B"/>
    <w:rsid w:val="00F91050"/>
    <w:rsid w:val="00F929D5"/>
    <w:rsid w:val="00F93725"/>
    <w:rsid w:val="00F94988"/>
    <w:rsid w:val="00F95652"/>
    <w:rsid w:val="00F95EC0"/>
    <w:rsid w:val="00F969F8"/>
    <w:rsid w:val="00F96A48"/>
    <w:rsid w:val="00F96BC7"/>
    <w:rsid w:val="00F97664"/>
    <w:rsid w:val="00FA03A8"/>
    <w:rsid w:val="00FA0A24"/>
    <w:rsid w:val="00FA0C37"/>
    <w:rsid w:val="00FA1594"/>
    <w:rsid w:val="00FA27E3"/>
    <w:rsid w:val="00FA332D"/>
    <w:rsid w:val="00FA3C53"/>
    <w:rsid w:val="00FA4890"/>
    <w:rsid w:val="00FA49DC"/>
    <w:rsid w:val="00FA4B33"/>
    <w:rsid w:val="00FA6B9D"/>
    <w:rsid w:val="00FB0812"/>
    <w:rsid w:val="00FB0951"/>
    <w:rsid w:val="00FB0F0E"/>
    <w:rsid w:val="00FB4594"/>
    <w:rsid w:val="00FB4A7C"/>
    <w:rsid w:val="00FB56DB"/>
    <w:rsid w:val="00FB659C"/>
    <w:rsid w:val="00FB77FA"/>
    <w:rsid w:val="00FC0B93"/>
    <w:rsid w:val="00FC1422"/>
    <w:rsid w:val="00FC1E6E"/>
    <w:rsid w:val="00FC223F"/>
    <w:rsid w:val="00FC2E57"/>
    <w:rsid w:val="00FC3C70"/>
    <w:rsid w:val="00FC4A73"/>
    <w:rsid w:val="00FC559C"/>
    <w:rsid w:val="00FC699B"/>
    <w:rsid w:val="00FC7023"/>
    <w:rsid w:val="00FC79B0"/>
    <w:rsid w:val="00FC7C66"/>
    <w:rsid w:val="00FC7F0D"/>
    <w:rsid w:val="00FD076C"/>
    <w:rsid w:val="00FD0AC3"/>
    <w:rsid w:val="00FD0D59"/>
    <w:rsid w:val="00FD19E8"/>
    <w:rsid w:val="00FD266B"/>
    <w:rsid w:val="00FD3140"/>
    <w:rsid w:val="00FD504E"/>
    <w:rsid w:val="00FD5066"/>
    <w:rsid w:val="00FD58E1"/>
    <w:rsid w:val="00FD598D"/>
    <w:rsid w:val="00FD5E59"/>
    <w:rsid w:val="00FD60DB"/>
    <w:rsid w:val="00FD65A1"/>
    <w:rsid w:val="00FD6CA8"/>
    <w:rsid w:val="00FD7009"/>
    <w:rsid w:val="00FE0C5D"/>
    <w:rsid w:val="00FE1096"/>
    <w:rsid w:val="00FE1B0F"/>
    <w:rsid w:val="00FE1DE8"/>
    <w:rsid w:val="00FE2A08"/>
    <w:rsid w:val="00FE39A5"/>
    <w:rsid w:val="00FE3B67"/>
    <w:rsid w:val="00FE601D"/>
    <w:rsid w:val="00FE645A"/>
    <w:rsid w:val="00FE64A0"/>
    <w:rsid w:val="00FE67BA"/>
    <w:rsid w:val="00FE6B17"/>
    <w:rsid w:val="00FE7771"/>
    <w:rsid w:val="00FE77A4"/>
    <w:rsid w:val="00FF06A8"/>
    <w:rsid w:val="00FF1305"/>
    <w:rsid w:val="00FF294C"/>
    <w:rsid w:val="00FF31A4"/>
    <w:rsid w:val="00FF3B6D"/>
    <w:rsid w:val="00FF3E7C"/>
    <w:rsid w:val="00FF42E5"/>
    <w:rsid w:val="00FF5285"/>
    <w:rsid w:val="00FF5B78"/>
    <w:rsid w:val="00FF6102"/>
    <w:rsid w:val="00FF77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03C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B95"/>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nhideWhenUsed/>
    <w:rsid w:val="00E677DD"/>
    <w:rPr>
      <w:sz w:val="20"/>
      <w:szCs w:val="20"/>
    </w:rPr>
  </w:style>
  <w:style w:type="character" w:customStyle="1" w:styleId="CommentTextChar">
    <w:name w:val="Comment Text Char"/>
    <w:basedOn w:val="DefaultParagraphFont"/>
    <w:link w:val="CommentText"/>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Table Gridbeth,CMA Table Template"/>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EndnoteText">
    <w:name w:val="endnote text"/>
    <w:basedOn w:val="Normal"/>
    <w:link w:val="EndnoteTextChar"/>
    <w:uiPriority w:val="99"/>
    <w:semiHidden/>
    <w:unhideWhenUsed/>
    <w:rsid w:val="00632B34"/>
    <w:pPr>
      <w:spacing w:after="0"/>
    </w:pPr>
    <w:rPr>
      <w:sz w:val="20"/>
      <w:szCs w:val="20"/>
    </w:rPr>
  </w:style>
  <w:style w:type="character" w:customStyle="1" w:styleId="EndnoteTextChar">
    <w:name w:val="Endnote Text Char"/>
    <w:basedOn w:val="DefaultParagraphFont"/>
    <w:link w:val="EndnoteText"/>
    <w:uiPriority w:val="99"/>
    <w:semiHidden/>
    <w:rsid w:val="00632B34"/>
    <w:rPr>
      <w:sz w:val="20"/>
      <w:szCs w:val="20"/>
    </w:rPr>
  </w:style>
  <w:style w:type="character" w:styleId="EndnoteReference">
    <w:name w:val="endnote reference"/>
    <w:basedOn w:val="DefaultParagraphFont"/>
    <w:uiPriority w:val="99"/>
    <w:semiHidden/>
    <w:unhideWhenUsed/>
    <w:rsid w:val="00632B34"/>
    <w:rPr>
      <w:vertAlign w:val="superscript"/>
    </w:rPr>
  </w:style>
  <w:style w:type="paragraph" w:customStyle="1" w:styleId="PBACheading1">
    <w:name w:val="PBAC heading 1"/>
    <w:qFormat/>
    <w:rsid w:val="009851D7"/>
    <w:pPr>
      <w:numPr>
        <w:numId w:val="4"/>
      </w:numPr>
      <w:spacing w:after="0" w:line="240" w:lineRule="auto"/>
    </w:pPr>
    <w:rPr>
      <w:rFonts w:ascii="Arial" w:eastAsia="Times New Roman" w:hAnsi="Arial" w:cs="Arial"/>
      <w:snapToGrid w:val="0"/>
      <w:lang w:eastAsia="en-US"/>
    </w:rPr>
  </w:style>
  <w:style w:type="character" w:customStyle="1" w:styleId="ListParagraphChar">
    <w:name w:val="List Paragraph Char"/>
    <w:link w:val="ListParagraph"/>
    <w:uiPriority w:val="34"/>
    <w:rsid w:val="009851D7"/>
    <w:rPr>
      <w:sz w:val="24"/>
      <w:szCs w:val="24"/>
    </w:rPr>
  </w:style>
  <w:style w:type="paragraph" w:customStyle="1" w:styleId="PBACHeading10">
    <w:name w:val="PBAC Heading 1"/>
    <w:qFormat/>
    <w:rsid w:val="002856DE"/>
    <w:pPr>
      <w:spacing w:after="0" w:line="240" w:lineRule="auto"/>
      <w:ind w:left="720" w:hanging="720"/>
      <w:outlineLvl w:val="0"/>
    </w:pPr>
    <w:rPr>
      <w:rFonts w:ascii="Arial" w:eastAsia="Times New Roman" w:hAnsi="Arial" w:cs="Arial"/>
      <w:b/>
      <w:snapToGrid w:val="0"/>
      <w:lang w:eastAsia="en-US"/>
    </w:rPr>
  </w:style>
  <w:style w:type="character" w:styleId="FollowedHyperlink">
    <w:name w:val="FollowedHyperlink"/>
    <w:basedOn w:val="DefaultParagraphFont"/>
    <w:uiPriority w:val="99"/>
    <w:semiHidden/>
    <w:unhideWhenUsed/>
    <w:rsid w:val="001F6E8E"/>
    <w:rPr>
      <w:color w:val="800080" w:themeColor="followedHyperlink"/>
      <w:u w:val="single"/>
    </w:rPr>
  </w:style>
  <w:style w:type="character" w:customStyle="1" w:styleId="TableText">
    <w:name w:val="Table Text"/>
    <w:uiPriority w:val="4"/>
    <w:qFormat/>
    <w:rsid w:val="00A906C0"/>
    <w:rPr>
      <w:rFonts w:ascii="Calibri" w:hAnsi="Calibri"/>
      <w:sz w:val="20"/>
    </w:rPr>
  </w:style>
  <w:style w:type="character" w:customStyle="1" w:styleId="TableBold">
    <w:name w:val="Table Bold"/>
    <w:uiPriority w:val="4"/>
    <w:qFormat/>
    <w:rsid w:val="00A906C0"/>
    <w:rPr>
      <w:rFonts w:ascii="Calibri" w:hAnsi="Calibri"/>
      <w:b/>
      <w:sz w:val="20"/>
      <w:lang w:val="en-AU"/>
    </w:rPr>
  </w:style>
  <w:style w:type="paragraph" w:customStyle="1" w:styleId="TableHeading0">
    <w:name w:val="TableHeading"/>
    <w:basedOn w:val="Normal"/>
    <w:qFormat/>
    <w:rsid w:val="00A906C0"/>
    <w:pPr>
      <w:keepNext/>
      <w:spacing w:before="40" w:after="40"/>
    </w:pPr>
    <w:rPr>
      <w:rFonts w:ascii="Arial Narrow" w:eastAsia="Times New Roman" w:hAnsi="Arial Narrow" w:cs="Arial Narrow"/>
      <w:b/>
      <w:bCs/>
      <w:sz w:val="20"/>
      <w:szCs w:val="20"/>
      <w:lang w:eastAsia="en-US"/>
    </w:rPr>
  </w:style>
  <w:style w:type="character" w:customStyle="1" w:styleId="st1">
    <w:name w:val="st1"/>
    <w:basedOn w:val="DefaultParagraphFont"/>
    <w:rsid w:val="00044772"/>
  </w:style>
  <w:style w:type="paragraph" w:styleId="Bibliography">
    <w:name w:val="Bibliography"/>
    <w:basedOn w:val="Normal"/>
    <w:next w:val="Normal"/>
    <w:uiPriority w:val="37"/>
    <w:unhideWhenUsed/>
    <w:rsid w:val="00205289"/>
  </w:style>
  <w:style w:type="paragraph" w:styleId="BodyText">
    <w:name w:val="Body Text"/>
    <w:basedOn w:val="Normal"/>
    <w:link w:val="BodyTextChar"/>
    <w:qFormat/>
    <w:rsid w:val="008962F4"/>
    <w:pPr>
      <w:widowControl w:val="0"/>
      <w:spacing w:after="0"/>
      <w:jc w:val="center"/>
    </w:pPr>
    <w:rPr>
      <w:rFonts w:ascii="Arial" w:eastAsia="Times New Roman" w:hAnsi="Arial" w:cs="Times New Roman"/>
      <w:b/>
      <w:snapToGrid w:val="0"/>
      <w:sz w:val="20"/>
      <w:szCs w:val="20"/>
      <w:lang w:eastAsia="en-US"/>
    </w:rPr>
  </w:style>
  <w:style w:type="character" w:customStyle="1" w:styleId="BodyTextChar">
    <w:name w:val="Body Text Char"/>
    <w:basedOn w:val="DefaultParagraphFont"/>
    <w:link w:val="BodyText"/>
    <w:rsid w:val="008962F4"/>
    <w:rPr>
      <w:rFonts w:ascii="Arial" w:eastAsia="Times New Roman" w:hAnsi="Arial" w:cs="Times New Roman"/>
      <w:b/>
      <w:snapToGrid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1446">
      <w:bodyDiv w:val="1"/>
      <w:marLeft w:val="0"/>
      <w:marRight w:val="0"/>
      <w:marTop w:val="0"/>
      <w:marBottom w:val="0"/>
      <w:divBdr>
        <w:top w:val="none" w:sz="0" w:space="0" w:color="auto"/>
        <w:left w:val="none" w:sz="0" w:space="0" w:color="auto"/>
        <w:bottom w:val="none" w:sz="0" w:space="0" w:color="auto"/>
        <w:right w:val="none" w:sz="0" w:space="0" w:color="auto"/>
      </w:divBdr>
    </w:div>
    <w:div w:id="86273046">
      <w:bodyDiv w:val="1"/>
      <w:marLeft w:val="0"/>
      <w:marRight w:val="0"/>
      <w:marTop w:val="0"/>
      <w:marBottom w:val="0"/>
      <w:divBdr>
        <w:top w:val="none" w:sz="0" w:space="0" w:color="auto"/>
        <w:left w:val="none" w:sz="0" w:space="0" w:color="auto"/>
        <w:bottom w:val="none" w:sz="0" w:space="0" w:color="auto"/>
        <w:right w:val="none" w:sz="0" w:space="0" w:color="auto"/>
      </w:divBdr>
    </w:div>
    <w:div w:id="204760535">
      <w:bodyDiv w:val="1"/>
      <w:marLeft w:val="0"/>
      <w:marRight w:val="0"/>
      <w:marTop w:val="0"/>
      <w:marBottom w:val="0"/>
      <w:divBdr>
        <w:top w:val="none" w:sz="0" w:space="0" w:color="auto"/>
        <w:left w:val="none" w:sz="0" w:space="0" w:color="auto"/>
        <w:bottom w:val="none" w:sz="0" w:space="0" w:color="auto"/>
        <w:right w:val="none" w:sz="0" w:space="0" w:color="auto"/>
      </w:divBdr>
    </w:div>
    <w:div w:id="210650294">
      <w:bodyDiv w:val="1"/>
      <w:marLeft w:val="0"/>
      <w:marRight w:val="0"/>
      <w:marTop w:val="0"/>
      <w:marBottom w:val="0"/>
      <w:divBdr>
        <w:top w:val="none" w:sz="0" w:space="0" w:color="auto"/>
        <w:left w:val="none" w:sz="0" w:space="0" w:color="auto"/>
        <w:bottom w:val="none" w:sz="0" w:space="0" w:color="auto"/>
        <w:right w:val="none" w:sz="0" w:space="0" w:color="auto"/>
      </w:divBdr>
    </w:div>
    <w:div w:id="288900159">
      <w:bodyDiv w:val="1"/>
      <w:marLeft w:val="0"/>
      <w:marRight w:val="0"/>
      <w:marTop w:val="0"/>
      <w:marBottom w:val="0"/>
      <w:divBdr>
        <w:top w:val="none" w:sz="0" w:space="0" w:color="auto"/>
        <w:left w:val="none" w:sz="0" w:space="0" w:color="auto"/>
        <w:bottom w:val="none" w:sz="0" w:space="0" w:color="auto"/>
        <w:right w:val="none" w:sz="0" w:space="0" w:color="auto"/>
      </w:divBdr>
    </w:div>
    <w:div w:id="306667917">
      <w:bodyDiv w:val="1"/>
      <w:marLeft w:val="0"/>
      <w:marRight w:val="0"/>
      <w:marTop w:val="0"/>
      <w:marBottom w:val="0"/>
      <w:divBdr>
        <w:top w:val="none" w:sz="0" w:space="0" w:color="auto"/>
        <w:left w:val="none" w:sz="0" w:space="0" w:color="auto"/>
        <w:bottom w:val="none" w:sz="0" w:space="0" w:color="auto"/>
        <w:right w:val="none" w:sz="0" w:space="0" w:color="auto"/>
      </w:divBdr>
    </w:div>
    <w:div w:id="321396956">
      <w:bodyDiv w:val="1"/>
      <w:marLeft w:val="0"/>
      <w:marRight w:val="0"/>
      <w:marTop w:val="0"/>
      <w:marBottom w:val="0"/>
      <w:divBdr>
        <w:top w:val="none" w:sz="0" w:space="0" w:color="auto"/>
        <w:left w:val="none" w:sz="0" w:space="0" w:color="auto"/>
        <w:bottom w:val="none" w:sz="0" w:space="0" w:color="auto"/>
        <w:right w:val="none" w:sz="0" w:space="0" w:color="auto"/>
      </w:divBdr>
    </w:div>
    <w:div w:id="333339020">
      <w:bodyDiv w:val="1"/>
      <w:marLeft w:val="0"/>
      <w:marRight w:val="0"/>
      <w:marTop w:val="0"/>
      <w:marBottom w:val="0"/>
      <w:divBdr>
        <w:top w:val="none" w:sz="0" w:space="0" w:color="auto"/>
        <w:left w:val="none" w:sz="0" w:space="0" w:color="auto"/>
        <w:bottom w:val="none" w:sz="0" w:space="0" w:color="auto"/>
        <w:right w:val="none" w:sz="0" w:space="0" w:color="auto"/>
      </w:divBdr>
    </w:div>
    <w:div w:id="341128933">
      <w:bodyDiv w:val="1"/>
      <w:marLeft w:val="0"/>
      <w:marRight w:val="0"/>
      <w:marTop w:val="0"/>
      <w:marBottom w:val="0"/>
      <w:divBdr>
        <w:top w:val="none" w:sz="0" w:space="0" w:color="auto"/>
        <w:left w:val="none" w:sz="0" w:space="0" w:color="auto"/>
        <w:bottom w:val="none" w:sz="0" w:space="0" w:color="auto"/>
        <w:right w:val="none" w:sz="0" w:space="0" w:color="auto"/>
      </w:divBdr>
    </w:div>
    <w:div w:id="355885432">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4327938">
      <w:bodyDiv w:val="1"/>
      <w:marLeft w:val="0"/>
      <w:marRight w:val="0"/>
      <w:marTop w:val="0"/>
      <w:marBottom w:val="0"/>
      <w:divBdr>
        <w:top w:val="none" w:sz="0" w:space="0" w:color="auto"/>
        <w:left w:val="none" w:sz="0" w:space="0" w:color="auto"/>
        <w:bottom w:val="none" w:sz="0" w:space="0" w:color="auto"/>
        <w:right w:val="none" w:sz="0" w:space="0" w:color="auto"/>
      </w:divBdr>
    </w:div>
    <w:div w:id="505557572">
      <w:bodyDiv w:val="1"/>
      <w:marLeft w:val="0"/>
      <w:marRight w:val="0"/>
      <w:marTop w:val="0"/>
      <w:marBottom w:val="0"/>
      <w:divBdr>
        <w:top w:val="none" w:sz="0" w:space="0" w:color="auto"/>
        <w:left w:val="none" w:sz="0" w:space="0" w:color="auto"/>
        <w:bottom w:val="none" w:sz="0" w:space="0" w:color="auto"/>
        <w:right w:val="none" w:sz="0" w:space="0" w:color="auto"/>
      </w:divBdr>
    </w:div>
    <w:div w:id="533228480">
      <w:bodyDiv w:val="1"/>
      <w:marLeft w:val="0"/>
      <w:marRight w:val="0"/>
      <w:marTop w:val="0"/>
      <w:marBottom w:val="0"/>
      <w:divBdr>
        <w:top w:val="none" w:sz="0" w:space="0" w:color="auto"/>
        <w:left w:val="none" w:sz="0" w:space="0" w:color="auto"/>
        <w:bottom w:val="none" w:sz="0" w:space="0" w:color="auto"/>
        <w:right w:val="none" w:sz="0" w:space="0" w:color="auto"/>
      </w:divBdr>
    </w:div>
    <w:div w:id="581454947">
      <w:bodyDiv w:val="1"/>
      <w:marLeft w:val="0"/>
      <w:marRight w:val="0"/>
      <w:marTop w:val="0"/>
      <w:marBottom w:val="0"/>
      <w:divBdr>
        <w:top w:val="none" w:sz="0" w:space="0" w:color="auto"/>
        <w:left w:val="none" w:sz="0" w:space="0" w:color="auto"/>
        <w:bottom w:val="none" w:sz="0" w:space="0" w:color="auto"/>
        <w:right w:val="none" w:sz="0" w:space="0" w:color="auto"/>
      </w:divBdr>
    </w:div>
    <w:div w:id="690225237">
      <w:bodyDiv w:val="1"/>
      <w:marLeft w:val="0"/>
      <w:marRight w:val="0"/>
      <w:marTop w:val="0"/>
      <w:marBottom w:val="0"/>
      <w:divBdr>
        <w:top w:val="none" w:sz="0" w:space="0" w:color="auto"/>
        <w:left w:val="none" w:sz="0" w:space="0" w:color="auto"/>
        <w:bottom w:val="none" w:sz="0" w:space="0" w:color="auto"/>
        <w:right w:val="none" w:sz="0" w:space="0" w:color="auto"/>
      </w:divBdr>
    </w:div>
    <w:div w:id="734084802">
      <w:bodyDiv w:val="1"/>
      <w:marLeft w:val="0"/>
      <w:marRight w:val="0"/>
      <w:marTop w:val="0"/>
      <w:marBottom w:val="0"/>
      <w:divBdr>
        <w:top w:val="none" w:sz="0" w:space="0" w:color="auto"/>
        <w:left w:val="none" w:sz="0" w:space="0" w:color="auto"/>
        <w:bottom w:val="none" w:sz="0" w:space="0" w:color="auto"/>
        <w:right w:val="none" w:sz="0" w:space="0" w:color="auto"/>
      </w:divBdr>
    </w:div>
    <w:div w:id="779955403">
      <w:bodyDiv w:val="1"/>
      <w:marLeft w:val="0"/>
      <w:marRight w:val="0"/>
      <w:marTop w:val="0"/>
      <w:marBottom w:val="0"/>
      <w:divBdr>
        <w:top w:val="none" w:sz="0" w:space="0" w:color="auto"/>
        <w:left w:val="none" w:sz="0" w:space="0" w:color="auto"/>
        <w:bottom w:val="none" w:sz="0" w:space="0" w:color="auto"/>
        <w:right w:val="none" w:sz="0" w:space="0" w:color="auto"/>
      </w:divBdr>
    </w:div>
    <w:div w:id="817184046">
      <w:bodyDiv w:val="1"/>
      <w:marLeft w:val="0"/>
      <w:marRight w:val="0"/>
      <w:marTop w:val="0"/>
      <w:marBottom w:val="0"/>
      <w:divBdr>
        <w:top w:val="none" w:sz="0" w:space="0" w:color="auto"/>
        <w:left w:val="none" w:sz="0" w:space="0" w:color="auto"/>
        <w:bottom w:val="none" w:sz="0" w:space="0" w:color="auto"/>
        <w:right w:val="none" w:sz="0" w:space="0" w:color="auto"/>
      </w:divBdr>
    </w:div>
    <w:div w:id="875655808">
      <w:bodyDiv w:val="1"/>
      <w:marLeft w:val="0"/>
      <w:marRight w:val="0"/>
      <w:marTop w:val="0"/>
      <w:marBottom w:val="0"/>
      <w:divBdr>
        <w:top w:val="none" w:sz="0" w:space="0" w:color="auto"/>
        <w:left w:val="none" w:sz="0" w:space="0" w:color="auto"/>
        <w:bottom w:val="none" w:sz="0" w:space="0" w:color="auto"/>
        <w:right w:val="none" w:sz="0" w:space="0" w:color="auto"/>
      </w:divBdr>
    </w:div>
    <w:div w:id="885995367">
      <w:bodyDiv w:val="1"/>
      <w:marLeft w:val="0"/>
      <w:marRight w:val="0"/>
      <w:marTop w:val="0"/>
      <w:marBottom w:val="0"/>
      <w:divBdr>
        <w:top w:val="none" w:sz="0" w:space="0" w:color="auto"/>
        <w:left w:val="none" w:sz="0" w:space="0" w:color="auto"/>
        <w:bottom w:val="none" w:sz="0" w:space="0" w:color="auto"/>
        <w:right w:val="none" w:sz="0" w:space="0" w:color="auto"/>
      </w:divBdr>
    </w:div>
    <w:div w:id="891694378">
      <w:bodyDiv w:val="1"/>
      <w:marLeft w:val="0"/>
      <w:marRight w:val="0"/>
      <w:marTop w:val="0"/>
      <w:marBottom w:val="0"/>
      <w:divBdr>
        <w:top w:val="none" w:sz="0" w:space="0" w:color="auto"/>
        <w:left w:val="none" w:sz="0" w:space="0" w:color="auto"/>
        <w:bottom w:val="none" w:sz="0" w:space="0" w:color="auto"/>
        <w:right w:val="none" w:sz="0" w:space="0" w:color="auto"/>
      </w:divBdr>
    </w:div>
    <w:div w:id="898520586">
      <w:bodyDiv w:val="1"/>
      <w:marLeft w:val="0"/>
      <w:marRight w:val="0"/>
      <w:marTop w:val="0"/>
      <w:marBottom w:val="0"/>
      <w:divBdr>
        <w:top w:val="none" w:sz="0" w:space="0" w:color="auto"/>
        <w:left w:val="none" w:sz="0" w:space="0" w:color="auto"/>
        <w:bottom w:val="none" w:sz="0" w:space="0" w:color="auto"/>
        <w:right w:val="none" w:sz="0" w:space="0" w:color="auto"/>
      </w:divBdr>
    </w:div>
    <w:div w:id="981540170">
      <w:bodyDiv w:val="1"/>
      <w:marLeft w:val="0"/>
      <w:marRight w:val="0"/>
      <w:marTop w:val="0"/>
      <w:marBottom w:val="0"/>
      <w:divBdr>
        <w:top w:val="none" w:sz="0" w:space="0" w:color="auto"/>
        <w:left w:val="none" w:sz="0" w:space="0" w:color="auto"/>
        <w:bottom w:val="none" w:sz="0" w:space="0" w:color="auto"/>
        <w:right w:val="none" w:sz="0" w:space="0" w:color="auto"/>
      </w:divBdr>
    </w:div>
    <w:div w:id="1033188489">
      <w:bodyDiv w:val="1"/>
      <w:marLeft w:val="0"/>
      <w:marRight w:val="0"/>
      <w:marTop w:val="0"/>
      <w:marBottom w:val="0"/>
      <w:divBdr>
        <w:top w:val="none" w:sz="0" w:space="0" w:color="auto"/>
        <w:left w:val="none" w:sz="0" w:space="0" w:color="auto"/>
        <w:bottom w:val="none" w:sz="0" w:space="0" w:color="auto"/>
        <w:right w:val="none" w:sz="0" w:space="0" w:color="auto"/>
      </w:divBdr>
    </w:div>
    <w:div w:id="104329123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14054615">
      <w:bodyDiv w:val="1"/>
      <w:marLeft w:val="0"/>
      <w:marRight w:val="0"/>
      <w:marTop w:val="0"/>
      <w:marBottom w:val="0"/>
      <w:divBdr>
        <w:top w:val="none" w:sz="0" w:space="0" w:color="auto"/>
        <w:left w:val="none" w:sz="0" w:space="0" w:color="auto"/>
        <w:bottom w:val="none" w:sz="0" w:space="0" w:color="auto"/>
        <w:right w:val="none" w:sz="0" w:space="0" w:color="auto"/>
      </w:divBdr>
    </w:div>
    <w:div w:id="1145582543">
      <w:bodyDiv w:val="1"/>
      <w:marLeft w:val="0"/>
      <w:marRight w:val="0"/>
      <w:marTop w:val="0"/>
      <w:marBottom w:val="0"/>
      <w:divBdr>
        <w:top w:val="none" w:sz="0" w:space="0" w:color="auto"/>
        <w:left w:val="none" w:sz="0" w:space="0" w:color="auto"/>
        <w:bottom w:val="none" w:sz="0" w:space="0" w:color="auto"/>
        <w:right w:val="none" w:sz="0" w:space="0" w:color="auto"/>
      </w:divBdr>
    </w:div>
    <w:div w:id="1215657061">
      <w:bodyDiv w:val="1"/>
      <w:marLeft w:val="0"/>
      <w:marRight w:val="0"/>
      <w:marTop w:val="0"/>
      <w:marBottom w:val="0"/>
      <w:divBdr>
        <w:top w:val="none" w:sz="0" w:space="0" w:color="auto"/>
        <w:left w:val="none" w:sz="0" w:space="0" w:color="auto"/>
        <w:bottom w:val="none" w:sz="0" w:space="0" w:color="auto"/>
        <w:right w:val="none" w:sz="0" w:space="0" w:color="auto"/>
      </w:divBdr>
    </w:div>
    <w:div w:id="1247376734">
      <w:bodyDiv w:val="1"/>
      <w:marLeft w:val="0"/>
      <w:marRight w:val="0"/>
      <w:marTop w:val="0"/>
      <w:marBottom w:val="0"/>
      <w:divBdr>
        <w:top w:val="none" w:sz="0" w:space="0" w:color="auto"/>
        <w:left w:val="none" w:sz="0" w:space="0" w:color="auto"/>
        <w:bottom w:val="none" w:sz="0" w:space="0" w:color="auto"/>
        <w:right w:val="none" w:sz="0" w:space="0" w:color="auto"/>
      </w:divBdr>
    </w:div>
    <w:div w:id="1295259413">
      <w:bodyDiv w:val="1"/>
      <w:marLeft w:val="0"/>
      <w:marRight w:val="0"/>
      <w:marTop w:val="0"/>
      <w:marBottom w:val="0"/>
      <w:divBdr>
        <w:top w:val="none" w:sz="0" w:space="0" w:color="auto"/>
        <w:left w:val="none" w:sz="0" w:space="0" w:color="auto"/>
        <w:bottom w:val="none" w:sz="0" w:space="0" w:color="auto"/>
        <w:right w:val="none" w:sz="0" w:space="0" w:color="auto"/>
      </w:divBdr>
    </w:div>
    <w:div w:id="1298561423">
      <w:bodyDiv w:val="1"/>
      <w:marLeft w:val="0"/>
      <w:marRight w:val="0"/>
      <w:marTop w:val="0"/>
      <w:marBottom w:val="0"/>
      <w:divBdr>
        <w:top w:val="none" w:sz="0" w:space="0" w:color="auto"/>
        <w:left w:val="none" w:sz="0" w:space="0" w:color="auto"/>
        <w:bottom w:val="none" w:sz="0" w:space="0" w:color="auto"/>
        <w:right w:val="none" w:sz="0" w:space="0" w:color="auto"/>
      </w:divBdr>
    </w:div>
    <w:div w:id="1313100550">
      <w:bodyDiv w:val="1"/>
      <w:marLeft w:val="0"/>
      <w:marRight w:val="0"/>
      <w:marTop w:val="0"/>
      <w:marBottom w:val="0"/>
      <w:divBdr>
        <w:top w:val="none" w:sz="0" w:space="0" w:color="auto"/>
        <w:left w:val="none" w:sz="0" w:space="0" w:color="auto"/>
        <w:bottom w:val="none" w:sz="0" w:space="0" w:color="auto"/>
        <w:right w:val="none" w:sz="0" w:space="0" w:color="auto"/>
      </w:divBdr>
    </w:div>
    <w:div w:id="1356542820">
      <w:bodyDiv w:val="1"/>
      <w:marLeft w:val="0"/>
      <w:marRight w:val="0"/>
      <w:marTop w:val="0"/>
      <w:marBottom w:val="0"/>
      <w:divBdr>
        <w:top w:val="none" w:sz="0" w:space="0" w:color="auto"/>
        <w:left w:val="none" w:sz="0" w:space="0" w:color="auto"/>
        <w:bottom w:val="none" w:sz="0" w:space="0" w:color="auto"/>
        <w:right w:val="none" w:sz="0" w:space="0" w:color="auto"/>
      </w:divBdr>
    </w:div>
    <w:div w:id="1413161631">
      <w:bodyDiv w:val="1"/>
      <w:marLeft w:val="0"/>
      <w:marRight w:val="0"/>
      <w:marTop w:val="0"/>
      <w:marBottom w:val="0"/>
      <w:divBdr>
        <w:top w:val="none" w:sz="0" w:space="0" w:color="auto"/>
        <w:left w:val="none" w:sz="0" w:space="0" w:color="auto"/>
        <w:bottom w:val="none" w:sz="0" w:space="0" w:color="auto"/>
        <w:right w:val="none" w:sz="0" w:space="0" w:color="auto"/>
      </w:divBdr>
    </w:div>
    <w:div w:id="1469979700">
      <w:bodyDiv w:val="1"/>
      <w:marLeft w:val="0"/>
      <w:marRight w:val="0"/>
      <w:marTop w:val="0"/>
      <w:marBottom w:val="0"/>
      <w:divBdr>
        <w:top w:val="none" w:sz="0" w:space="0" w:color="auto"/>
        <w:left w:val="none" w:sz="0" w:space="0" w:color="auto"/>
        <w:bottom w:val="none" w:sz="0" w:space="0" w:color="auto"/>
        <w:right w:val="none" w:sz="0" w:space="0" w:color="auto"/>
      </w:divBdr>
    </w:div>
    <w:div w:id="1503933092">
      <w:bodyDiv w:val="1"/>
      <w:marLeft w:val="0"/>
      <w:marRight w:val="0"/>
      <w:marTop w:val="0"/>
      <w:marBottom w:val="0"/>
      <w:divBdr>
        <w:top w:val="none" w:sz="0" w:space="0" w:color="auto"/>
        <w:left w:val="none" w:sz="0" w:space="0" w:color="auto"/>
        <w:bottom w:val="none" w:sz="0" w:space="0" w:color="auto"/>
        <w:right w:val="none" w:sz="0" w:space="0" w:color="auto"/>
      </w:divBdr>
    </w:div>
    <w:div w:id="1522356980">
      <w:bodyDiv w:val="1"/>
      <w:marLeft w:val="0"/>
      <w:marRight w:val="0"/>
      <w:marTop w:val="0"/>
      <w:marBottom w:val="0"/>
      <w:divBdr>
        <w:top w:val="none" w:sz="0" w:space="0" w:color="auto"/>
        <w:left w:val="none" w:sz="0" w:space="0" w:color="auto"/>
        <w:bottom w:val="none" w:sz="0" w:space="0" w:color="auto"/>
        <w:right w:val="none" w:sz="0" w:space="0" w:color="auto"/>
      </w:divBdr>
    </w:div>
    <w:div w:id="1555969101">
      <w:bodyDiv w:val="1"/>
      <w:marLeft w:val="0"/>
      <w:marRight w:val="0"/>
      <w:marTop w:val="0"/>
      <w:marBottom w:val="0"/>
      <w:divBdr>
        <w:top w:val="none" w:sz="0" w:space="0" w:color="auto"/>
        <w:left w:val="none" w:sz="0" w:space="0" w:color="auto"/>
        <w:bottom w:val="none" w:sz="0" w:space="0" w:color="auto"/>
        <w:right w:val="none" w:sz="0" w:space="0" w:color="auto"/>
      </w:divBdr>
    </w:div>
    <w:div w:id="1676885601">
      <w:bodyDiv w:val="1"/>
      <w:marLeft w:val="0"/>
      <w:marRight w:val="0"/>
      <w:marTop w:val="0"/>
      <w:marBottom w:val="0"/>
      <w:divBdr>
        <w:top w:val="none" w:sz="0" w:space="0" w:color="auto"/>
        <w:left w:val="none" w:sz="0" w:space="0" w:color="auto"/>
        <w:bottom w:val="none" w:sz="0" w:space="0" w:color="auto"/>
        <w:right w:val="none" w:sz="0" w:space="0" w:color="auto"/>
      </w:divBdr>
    </w:div>
    <w:div w:id="1688217235">
      <w:bodyDiv w:val="1"/>
      <w:marLeft w:val="0"/>
      <w:marRight w:val="0"/>
      <w:marTop w:val="0"/>
      <w:marBottom w:val="0"/>
      <w:divBdr>
        <w:top w:val="none" w:sz="0" w:space="0" w:color="auto"/>
        <w:left w:val="none" w:sz="0" w:space="0" w:color="auto"/>
        <w:bottom w:val="none" w:sz="0" w:space="0" w:color="auto"/>
        <w:right w:val="none" w:sz="0" w:space="0" w:color="auto"/>
      </w:divBdr>
    </w:div>
    <w:div w:id="1735658225">
      <w:bodyDiv w:val="1"/>
      <w:marLeft w:val="0"/>
      <w:marRight w:val="0"/>
      <w:marTop w:val="0"/>
      <w:marBottom w:val="0"/>
      <w:divBdr>
        <w:top w:val="none" w:sz="0" w:space="0" w:color="auto"/>
        <w:left w:val="none" w:sz="0" w:space="0" w:color="auto"/>
        <w:bottom w:val="none" w:sz="0" w:space="0" w:color="auto"/>
        <w:right w:val="none" w:sz="0" w:space="0" w:color="auto"/>
      </w:divBdr>
    </w:div>
    <w:div w:id="1786149079">
      <w:bodyDiv w:val="1"/>
      <w:marLeft w:val="0"/>
      <w:marRight w:val="0"/>
      <w:marTop w:val="0"/>
      <w:marBottom w:val="0"/>
      <w:divBdr>
        <w:top w:val="none" w:sz="0" w:space="0" w:color="auto"/>
        <w:left w:val="none" w:sz="0" w:space="0" w:color="auto"/>
        <w:bottom w:val="none" w:sz="0" w:space="0" w:color="auto"/>
        <w:right w:val="none" w:sz="0" w:space="0" w:color="auto"/>
      </w:divBdr>
    </w:div>
    <w:div w:id="1823353621">
      <w:bodyDiv w:val="1"/>
      <w:marLeft w:val="0"/>
      <w:marRight w:val="0"/>
      <w:marTop w:val="0"/>
      <w:marBottom w:val="0"/>
      <w:divBdr>
        <w:top w:val="none" w:sz="0" w:space="0" w:color="auto"/>
        <w:left w:val="none" w:sz="0" w:space="0" w:color="auto"/>
        <w:bottom w:val="none" w:sz="0" w:space="0" w:color="auto"/>
        <w:right w:val="none" w:sz="0" w:space="0" w:color="auto"/>
      </w:divBdr>
    </w:div>
    <w:div w:id="1923293228">
      <w:bodyDiv w:val="1"/>
      <w:marLeft w:val="0"/>
      <w:marRight w:val="0"/>
      <w:marTop w:val="0"/>
      <w:marBottom w:val="0"/>
      <w:divBdr>
        <w:top w:val="none" w:sz="0" w:space="0" w:color="auto"/>
        <w:left w:val="none" w:sz="0" w:space="0" w:color="auto"/>
        <w:bottom w:val="none" w:sz="0" w:space="0" w:color="auto"/>
        <w:right w:val="none" w:sz="0" w:space="0" w:color="auto"/>
      </w:divBdr>
    </w:div>
    <w:div w:id="1974365549">
      <w:bodyDiv w:val="1"/>
      <w:marLeft w:val="0"/>
      <w:marRight w:val="0"/>
      <w:marTop w:val="0"/>
      <w:marBottom w:val="0"/>
      <w:divBdr>
        <w:top w:val="none" w:sz="0" w:space="0" w:color="auto"/>
        <w:left w:val="none" w:sz="0" w:space="0" w:color="auto"/>
        <w:bottom w:val="none" w:sz="0" w:space="0" w:color="auto"/>
        <w:right w:val="none" w:sz="0" w:space="0" w:color="auto"/>
      </w:divBdr>
    </w:div>
    <w:div w:id="2012022288">
      <w:bodyDiv w:val="1"/>
      <w:marLeft w:val="0"/>
      <w:marRight w:val="0"/>
      <w:marTop w:val="0"/>
      <w:marBottom w:val="0"/>
      <w:divBdr>
        <w:top w:val="none" w:sz="0" w:space="0" w:color="auto"/>
        <w:left w:val="none" w:sz="0" w:space="0" w:color="auto"/>
        <w:bottom w:val="none" w:sz="0" w:space="0" w:color="auto"/>
        <w:right w:val="none" w:sz="0" w:space="0" w:color="auto"/>
      </w:divBdr>
    </w:div>
    <w:div w:id="2068604448">
      <w:bodyDiv w:val="1"/>
      <w:marLeft w:val="0"/>
      <w:marRight w:val="0"/>
      <w:marTop w:val="0"/>
      <w:marBottom w:val="0"/>
      <w:divBdr>
        <w:top w:val="none" w:sz="0" w:space="0" w:color="auto"/>
        <w:left w:val="none" w:sz="0" w:space="0" w:color="auto"/>
        <w:bottom w:val="none" w:sz="0" w:space="0" w:color="auto"/>
        <w:right w:val="none" w:sz="0" w:space="0" w:color="auto"/>
      </w:divBdr>
    </w:div>
    <w:div w:id="21275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pbs.gov.au/info/industry/listing/elements/pbac-meetings/psd/2015-03/daclatasvir-daklinza-psd-03-2015" TargetMode="External"/><Relationship Id="rId26" Type="http://schemas.openxmlformats.org/officeDocument/2006/relationships/hyperlink" Target="http://www.pbs.gov.au/info/industry/listing/elements/pbac-meetings/psd/2016-11/sofosbuvir-plus-velpatasvir-psd-november-2016" TargetMode="Externa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pbs.gov.au/info/industry/listing/elements/pbac-meetings/psd/2016-07/ribavirin-hepc-psd-july-2016" TargetMode="External"/><Relationship Id="rId34" Type="http://schemas.openxmlformats.org/officeDocument/2006/relationships/image" Target="media/image6.png"/><Relationship Id="rId42"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pbs.gov.au/info/industry/listing/elements/pbac-meetings/psd/2015-03/harvoni-ledipasvir-sofosbuvir-psd-03-2015" TargetMode="External"/><Relationship Id="rId25" Type="http://schemas.openxmlformats.org/officeDocument/2006/relationships/hyperlink" Target="http://www.pbs.gov.au/info/industry/listing/elements/pbac-meetings/psd/2016-11/paritaprevi-plus-ritonavir-plus-ombitasvir-psd-november-2016" TargetMode="External"/><Relationship Id="rId33" Type="http://schemas.openxmlformats.org/officeDocument/2006/relationships/image" Target="media/image5.png"/><Relationship Id="rId38"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pbs.gov.au/info/industry/listing/elements/pbac-meetings/psd/2015-03/sofosbuvir-sovaldi-psd-03-2015" TargetMode="External"/><Relationship Id="rId20" Type="http://schemas.openxmlformats.org/officeDocument/2006/relationships/hyperlink" Target="http://www.pbs.gov.au/info/industry/listing/elements/pbac-meetings/psd/2015-11/simeprevir-olysio-psd-11-2015" TargetMode="External"/><Relationship Id="rId29" Type="http://schemas.openxmlformats.org/officeDocument/2006/relationships/image" Target="media/image1.pn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pbs.gov.au/info/industry/listing/elements/pbac-meetings/psd/2016-07/grazoprevir-elbasvir-psd-july-2016"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bs.gov.au/info/industry/listing/elements/pbac-meetings/stakeholder-meetings" TargetMode="External"/><Relationship Id="rId23" Type="http://schemas.openxmlformats.org/officeDocument/2006/relationships/hyperlink" Target="http://www.pbs.gov.au/info/industry/listing/elements/pbac-meetings/psd/2015-07/paritaprevir-ritonavir-ombitasvir-dasabuvir-ribavirin-psd-july-2015" TargetMode="External"/><Relationship Id="rId28" Type="http://schemas.openxmlformats.org/officeDocument/2006/relationships/hyperlink" Target="http://www.pbs.gov.au/info/industry/listing/elements/pbac-meetings/stakeholder-meetings" TargetMode="External"/><Relationship Id="rId36"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yperlink" Target="http://www.pbs.gov.au/info/industry/listing/elements/pbac-meetings/psd/2015-11/daclatasvir-daklinza-psd-11-2015" TargetMode="External"/><Relationship Id="rId31" Type="http://schemas.openxmlformats.org/officeDocument/2006/relationships/image" Target="media/image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bs.gov.au/" TargetMode="External"/><Relationship Id="rId22" Type="http://schemas.openxmlformats.org/officeDocument/2006/relationships/hyperlink" Target="http://www.pbs.gov.au/info/industry/listing/elements/pbac-meetings/psd/2016-07/ribavirin-psd-july-2016" TargetMode="External"/><Relationship Id="rId27" Type="http://schemas.openxmlformats.org/officeDocument/2006/relationships/hyperlink" Target="http://www.pbs.gov.au/info/industry/listing/elements/pbac-meetings/psd/2017-11/glecaprevir-psd-november-2017"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hyperlink" Target="http://www.pbs.gov.au/info/publication/factsheets/closing-the-gap-pbs-co-payment-measu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5-03/sofosbuvir-sovaldi-psd-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The16</b:Tag>
    <b:SourceType>Report</b:SourceType>
    <b:Guid>{609C9056-F199-4CE3-85F6-214136AB5C09}</b:Guid>
    <b:Title>Hepatitis B and C in Australia Annual Surveillance Report Supplement.</b:Title>
    <b:Year>2016</b:Year>
    <b:Author>
      <b:Author>
        <b:Corporate>The Kirby Institute</b:Corporate>
      </b:Author>
    </b:Author>
    <b:RefOrder>2</b:RefOrder>
  </b:Source>
  <b:Source>
    <b:Tag>Pub</b:Tag>
    <b:SourceType>Report</b:SourceType>
    <b:Guid>{5F5F4D93-C589-417D-9EB6-1A7100B48301}</b:Guid>
    <b:Author>
      <b:Author>
        <b:Corporate>Public Summary Document, sofosbuvir, March</b:Corporate>
      </b:Author>
    </b:Author>
    <b:Year>2015</b:Year>
    <b:RefOrder>4</b:RefOrder>
  </b:Source>
  <b:Source>
    <b:Tag>Kho16</b:Tag>
    <b:SourceType>JournalArticle</b:SourceType>
    <b:Guid>{1A77AB9A-7A7A-406C-BE28-D0BCF757D298}</b:Guid>
    <b:Title>A practical overview of the treatment of chronic hepatitis C virus infection</b:Title>
    <b:Year>2016</b:Year>
    <b:Author>
      <b:Author>
        <b:Corporate>Khoo, A. and Tse, E.</b:Corporate>
      </b:Author>
    </b:Author>
    <b:JournalName>AFP 45(10)</b:JournalName>
    <b:Pages>718-720</b:Pages>
    <b:RefOrder>1</b:RefOrder>
  </b:Source>
  <b:Source>
    <b:Tag>Her16</b:Tag>
    <b:SourceType>JournalArticle</b:SourceType>
    <b:Guid>{486AE67E-97FA-4397-8C69-310DCC184245}</b:Guid>
    <b:Author>
      <b:Author>
        <b:Corporate>Herzer, K. and Gerken, G.</b:Corporate>
      </b:Author>
    </b:Author>
    <b:Title>When and how to treat HCV infection withthe new antivirals before or after liver transplantation</b:Title>
    <b:Year>2016</b:Year>
    <b:JournalName>Visc Med 32(4)</b:JournalName>
    <b:Pages>258-262.</b:Pages>
    <b:RefOrder>3</b:RefOrder>
  </b:Source>
  <b:Source>
    <b:Tag>The17</b:Tag>
    <b:SourceType>Report</b:SourceType>
    <b:Guid>{3DC3E5A9-3866-4E0D-91F3-ACB56514DBE2}</b:Guid>
    <b:Author>
      <b:Author>
        <b:Corporate>The Kirby Institute</b:Corporate>
      </b:Author>
    </b:Author>
    <b:Title>HIV, viral hepatitis and sexually transmissible infections in Australia: annual surveillance report</b:Title>
    <b:Year>2017a</b:Year>
    <b:Publisher>The Kirby Institute UNSW Sydney NSW 2052</b:Publisher>
    <b:RefOrder>14</b:RefOrder>
  </b:Source>
  <b:Source>
    <b:Tag>The171</b:Tag>
    <b:SourceType>Report</b:SourceType>
    <b:Guid>{733808DC-8977-4E58-84F1-34717CA4E998}</b:Guid>
    <b:Author>
      <b:Author>
        <b:Corporate>The Kirby Institute</b:Corporate>
      </b:Author>
    </b:Author>
    <b:Title>Monitoring hepatitis C treatment uptake in Australia</b:Title>
    <b:Year>2017b</b:Year>
    <b:Publisher>The Kirby Institute, UNSW</b:Publisher>
    <b:RefOrder>15</b:RefOrder>
  </b:Source>
  <b:Source>
    <b:Tag>The172</b:Tag>
    <b:SourceType>Report</b:SourceType>
    <b:Guid>{54AE7EF0-364B-4902-9790-031666D6465C}</b:Guid>
    <b:Author>
      <b:Author>
        <b:Corporate>The Kirby Institute</b:Corporate>
      </b:Author>
    </b:Author>
    <b:Title>Real world efficacy of antiviral therapy in chronic hepatitis C in Australia</b:Title>
    <b:Year>2017c</b:Year>
    <b:Publisher>UNSW</b:Publisher>
    <b:RefOrder>5</b:RefOrder>
  </b:Source>
  <b:Source>
    <b:Tag>Aus16</b:Tag>
    <b:SourceType>Report</b:SourceType>
    <b:Guid>{07819B18-AADB-4396-A4E7-348AF2F92FB8}</b:Guid>
    <b:Author>
      <b:Author>
        <b:Corporate>ABS</b:Corporate>
      </b:Author>
    </b:Author>
    <b:Title>Census of Population and Housing. Accessed on 26 July 2018 at: http://www.abs.gov.au/ausstats/abs@.nsf/MediaRealesesByCatalogue/02D50FAA9987D6B7CA25814800087E03?OpenDocument</b:Title>
    <b:Year>2016</b:Year>
    <b:RefOrder>16</b:RefOrder>
  </b:Source>
  <b:Source>
    <b:Tag>Aus12</b:Tag>
    <b:SourceType>DocumentFromInternetSite</b:SourceType>
    <b:Guid>{409A7E12-FD21-453A-9F6E-943D3548C12F}</b:Guid>
    <b:Title>Principles on the use of direct age standardisation in administrative data collections</b:Title>
    <b:Year>2012</b:Year>
    <b:Author>
      <b:Author>
        <b:Corporate>Australian Bureau of Statistics</b:Corporate>
      </b:Author>
    </b:Author>
    <b:InternetSiteTitle>abs.gov.au</b:InternetSiteTitle>
    <b:YearAccessed>2018</b:YearAccessed>
    <b:URL>http://www.abs.gov.au/ausstats/abs@.nsf/Lookup/3302.0Appendix12010</b:URL>
    <b:RefOrder>7</b:RefOrder>
  </b:Source>
  <b:Source>
    <b:Tag>ABS16</b:Tag>
    <b:SourceType>Book</b:SourceType>
    <b:Guid>{D845E83E-EFE8-412A-B30D-7DF04DC3959E}</b:Guid>
    <b:Author>
      <b:Author>
        <b:Corporate>ABS</b:Corporate>
      </b:Author>
    </b:Author>
    <b:Title>1270.0.55.001 - Australian Statistical Geography Standard (ASGS): Volume 1 - Main Structure and Greater Capital City Statistical Areas, July 2016.</b:Title>
    <b:Year>2016</b:Year>
    <b:Publisher>Australian Bureau of Statistics</b:Publisher>
    <b:RefOrder>6</b:RefOrder>
  </b:Source>
  <b:Source>
    <b:Tag>Bru14</b:Tag>
    <b:SourceType>JournalArticle</b:SourceType>
    <b:Guid>{ED5822A1-40D8-41D8-BB24-13E4054B5690}</b:Guid>
    <b:Author>
      <b:Author>
        <b:Corporate>Bruggmann et al.</b:Corporate>
      </b:Author>
    </b:Author>
    <b:Title>Historical epidemiology of hepatitis C virus (HCV) in selected countries.</b:Title>
    <b:Year>2014</b:Year>
    <b:JournalName>Journal of Viral Hepatitis 21 (Suppl.1)</b:JournalName>
    <b:Pages>5-33.</b:Pages>
    <b:RefOrder>17</b:RefOrder>
  </b:Source>
  <b:Source>
    <b:Tag>The161</b:Tag>
    <b:SourceType>Report</b:SourceType>
    <b:Guid>{3A2D6622-CCD3-4771-8C4F-62E552F75AC2}</b:Guid>
    <b:Title>Hepatitis B and C in Australia Annual Surveillance Report Supplement.</b:Title>
    <b:Year>2016</b:Year>
    <b:Author>
      <b:Author>
        <b:Corporate>The Kirby Institute.</b:Corporate>
      </b:Author>
    </b:Author>
    <b:RefOrder>8</b:RefOrder>
  </b:Source>
  <b:Source>
    <b:Tag>Gra16</b:Tag>
    <b:SourceType>JournalArticle</b:SourceType>
    <b:Guid>{0BCAF53E-C173-421D-9965-FEF6DC45324C}</b:Guid>
    <b:Title>Prevalence of hepatitis C among Australian Aboriginal and Torres Strait Islander people: A systematic review and met- analysis.</b:Title>
    <b:Year>2016</b:Year>
    <b:Author>
      <b:Author>
        <b:Corporate>Graham et al.</b:Corporate>
      </b:Author>
    </b:Author>
    <b:JournalName>Hepat Mo. 16(7):</b:JournalName>
    <b:Pages>e38640.</b:Pages>
    <b:RefOrder>10</b:RefOrder>
  </b:Source>
  <b:Source>
    <b:Tag>Aus17</b:Tag>
    <b:SourceType>JournalArticle</b:SourceType>
    <b:Guid>{B9A33603-EA8B-4D8B-8E57-B96DDC450F55}</b:Guid>
    <b:Author>
      <b:Author>
        <b:Corporate>ABS</b:Corporate>
      </b:Author>
    </b:Author>
    <b:Title>4517.0 - Prisoners in Australia, 2017</b:Title>
    <b:Year>2017</b:Year>
    <b:RefOrder>11</b:RefOrder>
  </b:Source>
  <b:Source>
    <b:Tag>Bre15</b:Tag>
    <b:SourceType>JournalArticle</b:SourceType>
    <b:Guid>{5CBFC722-516A-41C8-8A51-1263EAC89A4B}</b:Guid>
    <b:Author>
      <b:Author>
        <b:Corporate>Bretaria et al.</b:Corporate>
      </b:Author>
    </b:Author>
    <b:Title>Transmission of hepatitis C virus among prisoners, Australia, 2005-2012</b:Title>
    <b:JournalName>Emerg Infect Dis 21(5):</b:JournalName>
    <b:Year>2015</b:Year>
    <b:Pages>765–774</b:Pages>
    <b:RefOrder>12</b:RefOrder>
  </b:Source>
  <b:Source>
    <b:Tag>WHO16</b:Tag>
    <b:SourceType>Report</b:SourceType>
    <b:Guid>{C90E1E86-506E-428F-AD78-3F6D165B0709}</b:Guid>
    <b:Title>Hepatitis C mapping project. Estimates of geographic diversity in chronic hepatitis C prevalence, diagnosis, monitoring and treatment. National Report 2016.</b:Title>
    <b:Year>2016</b:Year>
    <b:Author>
      <b:Author>
        <b:Corporate>ASHM 2016</b:Corporate>
      </b:Author>
    </b:Author>
    <b:Publisher>ASHM</b:Publisher>
    <b:RefOrder>18</b:RefOrder>
  </b:Source>
  <b:Source>
    <b:Tag>Doh16</b:Tag>
    <b:SourceType>Report</b:SourceType>
    <b:Guid>{529D207E-83FC-4BD8-A3EA-A60B76B403DD}</b:Guid>
    <b:Title>Hepatitis C Mapping Project: Estimates of geographic diversity in chronic hepatitis C prevalence, diagnosis, monitoring and treatment - National Report 2016</b:Title>
    <b:Year>2016</b:Year>
    <b:Author>
      <b:Author>
        <b:Corporate>ASHM</b:Corporate>
      </b:Author>
    </b:Author>
    <b:RefOrder>13</b:RefOrder>
  </b:Source>
  <b:Source>
    <b:Tag>Fou</b:Tag>
    <b:SourceType>Report</b:SourceType>
    <b:Guid>{1E222A55-DF00-4428-A28C-54F6CBCEDF89}</b:Guid>
    <b:Author>
      <b:Author>
        <b:Corporate>Fourth National Hepatitis C Strategy 2014-2017</b:Corporate>
      </b:Author>
    </b:Author>
    <b:Publisher>Commonwealth of Australia</b:Publisher>
    <b:RefOrder>9</b:RefOrder>
  </b:Source>
</b:Sources>
</file>

<file path=customXml/itemProps1.xml><?xml version="1.0" encoding="utf-8"?>
<ds:datastoreItem xmlns:ds="http://schemas.openxmlformats.org/officeDocument/2006/customXml" ds:itemID="{940D18F0-2B2D-4E1A-8758-56BFF65C1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14678</Words>
  <Characters>83670</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2018-11-27T01:00:00Z</dcterms:created>
  <dcterms:modified xsi:type="dcterms:W3CDTF">2019-03-07T23:35:00Z</dcterms:modified>
</cp:coreProperties>
</file>