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2.xml" ContentType="application/vnd.openxmlformats-officedocument.themeOverride+xml"/>
  <Override PartName="/word/charts/chart12.xml" ContentType="application/vnd.openxmlformats-officedocument.drawingml.chart+xml"/>
  <Override PartName="/word/theme/themeOverride3.xml" ContentType="application/vnd.openxmlformats-officedocument.themeOverride+xml"/>
  <Override PartName="/word/charts/chart1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BF0" w:rsidRDefault="005E7BF0" w:rsidP="005E7BF0">
      <w:pPr>
        <w:pStyle w:val="Title"/>
      </w:pPr>
      <w:r w:rsidRPr="00870265">
        <w:t xml:space="preserve">Botulinum toxin for </w:t>
      </w:r>
      <w:r w:rsidRPr="00755921">
        <w:t>spasticity</w:t>
      </w:r>
      <w:r w:rsidR="00755921" w:rsidRPr="00755921">
        <w:t xml:space="preserve"> and dystonia</w:t>
      </w:r>
      <w:r>
        <w:t>: utilisation analysis</w:t>
      </w:r>
    </w:p>
    <w:p w:rsidR="005E7BF0" w:rsidRDefault="005E7BF0" w:rsidP="005E7BF0">
      <w:pPr>
        <w:pStyle w:val="Heading1"/>
      </w:pPr>
      <w:r>
        <w:t>D</w:t>
      </w:r>
      <w:r w:rsidRPr="0063631C">
        <w:t xml:space="preserve">rug utilisation sub-committee </w:t>
      </w:r>
      <w:r>
        <w:t>(DUSC)</w:t>
      </w:r>
    </w:p>
    <w:p w:rsidR="005E7BF0" w:rsidRPr="00EA531B" w:rsidRDefault="0013354F" w:rsidP="005E7BF0">
      <w:pPr>
        <w:pStyle w:val="Heading2"/>
        <w:rPr>
          <w:i/>
        </w:rPr>
      </w:pPr>
      <w:r>
        <w:rPr>
          <w:i/>
        </w:rPr>
        <w:t>May</w:t>
      </w:r>
      <w:r w:rsidR="005E7BF0" w:rsidRPr="00EA531B">
        <w:rPr>
          <w:i/>
        </w:rPr>
        <w:t xml:space="preserve"> 201</w:t>
      </w:r>
      <w:r w:rsidR="005E7BF0">
        <w:rPr>
          <w:i/>
        </w:rPr>
        <w:t>8</w:t>
      </w:r>
    </w:p>
    <w:p w:rsidR="00821C17" w:rsidRPr="008250BC" w:rsidRDefault="00821C17" w:rsidP="00813FF0">
      <w:pPr>
        <w:pStyle w:val="Heading3"/>
        <w:rPr>
          <w:i w:val="0"/>
          <w:sz w:val="32"/>
          <w:szCs w:val="32"/>
        </w:rPr>
      </w:pPr>
      <w:r w:rsidRPr="008250BC">
        <w:rPr>
          <w:i w:val="0"/>
          <w:sz w:val="32"/>
          <w:szCs w:val="32"/>
        </w:rPr>
        <w:t>Abstract</w:t>
      </w:r>
    </w:p>
    <w:p w:rsidR="00821C17" w:rsidRPr="008250BC" w:rsidRDefault="00821C17" w:rsidP="00813FF0">
      <w:pPr>
        <w:pStyle w:val="Heading2"/>
        <w:rPr>
          <w:i/>
        </w:rPr>
      </w:pPr>
      <w:r w:rsidRPr="008250BC">
        <w:rPr>
          <w:i/>
        </w:rPr>
        <w:t>Purpose</w:t>
      </w:r>
    </w:p>
    <w:p w:rsidR="009670A7" w:rsidRPr="00BB03D1" w:rsidRDefault="009670A7" w:rsidP="009670A7">
      <w:pPr>
        <w:spacing w:after="0"/>
        <w:rPr>
          <w:rFonts w:cs="Arial"/>
        </w:rPr>
      </w:pPr>
      <w:r w:rsidRPr="00BB03D1">
        <w:t xml:space="preserve">To </w:t>
      </w:r>
      <w:r w:rsidR="005E7BF0">
        <w:t xml:space="preserve">review the </w:t>
      </w:r>
      <w:r w:rsidR="005E7BF0" w:rsidRPr="00A82749">
        <w:t>utilisation of</w:t>
      </w:r>
      <w:r w:rsidR="001E680F" w:rsidRPr="00A82749">
        <w:rPr>
          <w:rFonts w:eastAsia="Times New Roman" w:cs="Arial"/>
        </w:rPr>
        <w:t xml:space="preserve"> </w:t>
      </w:r>
      <w:r w:rsidR="008B23EE" w:rsidRPr="00A82749">
        <w:rPr>
          <w:rFonts w:eastAsia="Times New Roman" w:cs="Arial"/>
        </w:rPr>
        <w:t>b</w:t>
      </w:r>
      <w:r w:rsidR="00BB03D1" w:rsidRPr="00A82749">
        <w:rPr>
          <w:rFonts w:eastAsia="Times New Roman" w:cs="Arial"/>
        </w:rPr>
        <w:t xml:space="preserve">otulinum toxin type A </w:t>
      </w:r>
      <w:r w:rsidR="00B804D5" w:rsidRPr="00A82749">
        <w:rPr>
          <w:rFonts w:eastAsia="Times New Roman" w:cs="Arial"/>
        </w:rPr>
        <w:t xml:space="preserve">supplied through </w:t>
      </w:r>
      <w:r w:rsidR="00A40453" w:rsidRPr="00A82749">
        <w:rPr>
          <w:rFonts w:eastAsia="Times New Roman" w:cs="Arial"/>
        </w:rPr>
        <w:t>the Pharmaceutical Benefits Scheme (PBS)</w:t>
      </w:r>
      <w:r w:rsidR="00A40453" w:rsidRPr="00A82749">
        <w:t xml:space="preserve"> f</w:t>
      </w:r>
      <w:r w:rsidR="00A40453">
        <w:t xml:space="preserve">or </w:t>
      </w:r>
      <w:r w:rsidR="005E7BF0">
        <w:t>the treatment of spasticity</w:t>
      </w:r>
      <w:r w:rsidR="00B804D5">
        <w:t xml:space="preserve"> in patients with cerebral palsy or following a stroke, and </w:t>
      </w:r>
      <w:r w:rsidR="00652F3B">
        <w:t>for</w:t>
      </w:r>
      <w:r w:rsidR="00352582" w:rsidRPr="00837E9F">
        <w:rPr>
          <w:rFonts w:ascii="Calibri" w:eastAsia="MS Mincho" w:hAnsi="Calibri" w:cs="Times New Roman"/>
          <w:szCs w:val="28"/>
        </w:rPr>
        <w:t xml:space="preserve"> spasmodic torticollis, blepharospasm and hemifacial spasm</w:t>
      </w:r>
      <w:r w:rsidRPr="00BB03D1">
        <w:t>.</w:t>
      </w:r>
    </w:p>
    <w:p w:rsidR="002B3838" w:rsidRDefault="007C3AED" w:rsidP="002B3838">
      <w:pPr>
        <w:pStyle w:val="Heading2"/>
      </w:pPr>
      <w:r w:rsidRPr="002B3838">
        <w:rPr>
          <w:i/>
        </w:rPr>
        <w:t xml:space="preserve">Current PBS </w:t>
      </w:r>
      <w:r w:rsidR="00C75B61">
        <w:rPr>
          <w:i/>
        </w:rPr>
        <w:t>indications</w:t>
      </w:r>
      <w:r w:rsidR="0055652A">
        <w:rPr>
          <w:i/>
        </w:rPr>
        <w:t xml:space="preserve"> </w:t>
      </w:r>
      <w:r w:rsidR="004A34B4">
        <w:rPr>
          <w:i/>
        </w:rPr>
        <w:t>of</w:t>
      </w:r>
      <w:r w:rsidR="0055652A">
        <w:rPr>
          <w:i/>
        </w:rPr>
        <w:t xml:space="preserve"> </w:t>
      </w:r>
      <w:r w:rsidR="0055652A" w:rsidRPr="0055652A">
        <w:rPr>
          <w:i/>
        </w:rPr>
        <w:t>botulinum toxin type A</w:t>
      </w:r>
      <w:r w:rsidR="00CD5160">
        <w:rPr>
          <w:i/>
        </w:rPr>
        <w:t xml:space="preserve"> </w:t>
      </w:r>
      <w:r w:rsidR="004A34B4">
        <w:rPr>
          <w:i/>
        </w:rPr>
        <w:t xml:space="preserve">for spasticity and dystonia </w:t>
      </w:r>
      <w:r w:rsidR="00CD5160">
        <w:rPr>
          <w:i/>
        </w:rPr>
        <w:t>(abridged)</w:t>
      </w:r>
    </w:p>
    <w:p w:rsidR="00B804D5" w:rsidRDefault="00B804D5" w:rsidP="00B804D5">
      <w:pPr>
        <w:spacing w:after="0"/>
      </w:pPr>
      <w:r>
        <w:t xml:space="preserve">Three </w:t>
      </w:r>
      <w:r w:rsidR="002D3FE5">
        <w:t xml:space="preserve">preparations </w:t>
      </w:r>
      <w:r>
        <w:t xml:space="preserve">of botulinum toxin type </w:t>
      </w:r>
      <w:proofErr w:type="gramStart"/>
      <w:r>
        <w:t>A</w:t>
      </w:r>
      <w:proofErr w:type="gramEnd"/>
      <w:r>
        <w:t xml:space="preserve"> </w:t>
      </w:r>
      <w:r w:rsidR="001E680F">
        <w:t>are</w:t>
      </w:r>
      <w:r>
        <w:t xml:space="preserve"> listed on the PBS: Botox</w:t>
      </w:r>
      <w:r w:rsidRPr="00BB2BFA">
        <w:rPr>
          <w:vertAlign w:val="superscript"/>
        </w:rPr>
        <w:sym w:font="Symbol" w:char="F0E2"/>
      </w:r>
      <w:r>
        <w:t>, Dysport</w:t>
      </w:r>
      <w:r w:rsidRPr="00BB2BFA">
        <w:rPr>
          <w:vertAlign w:val="superscript"/>
        </w:rPr>
        <w:sym w:font="Symbol" w:char="F0E2"/>
      </w:r>
      <w:r>
        <w:t>and Xeomin</w:t>
      </w:r>
      <w:r w:rsidRPr="00BB2BFA">
        <w:rPr>
          <w:vertAlign w:val="superscript"/>
        </w:rPr>
        <w:sym w:font="Symbol" w:char="F0E2"/>
      </w:r>
      <w:r>
        <w:t xml:space="preserve">. The </w:t>
      </w:r>
      <w:r w:rsidR="002D3FE5">
        <w:t>three preparations</w:t>
      </w:r>
      <w:r>
        <w:t xml:space="preserve"> are not </w:t>
      </w:r>
      <w:r w:rsidRPr="002D3FE5">
        <w:t>interchangeable</w:t>
      </w:r>
      <w:r w:rsidR="002D3FE5">
        <w:t>. The units used to express the potency of botulinum toxin pr</w:t>
      </w:r>
      <w:r w:rsidR="00A40453">
        <w:t>e</w:t>
      </w:r>
      <w:r w:rsidR="002D3FE5">
        <w:t>parations are not equivalent.</w:t>
      </w:r>
    </w:p>
    <w:p w:rsidR="002D3FE5" w:rsidRPr="00B804D5" w:rsidRDefault="002D3FE5" w:rsidP="00B804D5">
      <w:pPr>
        <w:spacing w:after="0"/>
      </w:pPr>
    </w:p>
    <w:p w:rsidR="000229C4" w:rsidRPr="006122B7" w:rsidRDefault="00797A88" w:rsidP="006122B7">
      <w:pPr>
        <w:pStyle w:val="ListParagraph"/>
        <w:tabs>
          <w:tab w:val="left" w:pos="0"/>
        </w:tabs>
        <w:ind w:left="0"/>
      </w:pPr>
      <w:r w:rsidRPr="006122B7">
        <w:t>Botox is PBS subsidised for</w:t>
      </w:r>
      <w:r w:rsidR="00E75B1A" w:rsidRPr="006122B7">
        <w:t>:</w:t>
      </w:r>
      <w:r w:rsidRPr="006122B7">
        <w:t xml:space="preserve"> </w:t>
      </w:r>
    </w:p>
    <w:p w:rsidR="00797A88" w:rsidRPr="00974F70" w:rsidRDefault="00797A88" w:rsidP="00BB2BFA">
      <w:pPr>
        <w:pStyle w:val="ListParagraph"/>
        <w:numPr>
          <w:ilvl w:val="0"/>
          <w:numId w:val="30"/>
        </w:numPr>
        <w:ind w:left="426" w:hanging="426"/>
      </w:pPr>
      <w:r w:rsidRPr="00974F70">
        <w:t>Blepharospasm or hemifacial spasm for patients aged 12 years or older</w:t>
      </w:r>
      <w:r w:rsidR="00AE4ABB">
        <w:t>.</w:t>
      </w:r>
    </w:p>
    <w:p w:rsidR="00797A88" w:rsidRPr="00974F70" w:rsidRDefault="00797A88" w:rsidP="00BB2BFA">
      <w:pPr>
        <w:pStyle w:val="ListParagraph"/>
        <w:numPr>
          <w:ilvl w:val="0"/>
          <w:numId w:val="30"/>
        </w:numPr>
        <w:ind w:left="426" w:hanging="426"/>
      </w:pPr>
      <w:r w:rsidRPr="00974F70">
        <w:t>Spasmodic torticollis</w:t>
      </w:r>
      <w:r w:rsidR="00CD5160" w:rsidRPr="00974F70">
        <w:t xml:space="preserve"> as monotherapy or as adjunctive therapy to current standard care</w:t>
      </w:r>
    </w:p>
    <w:p w:rsidR="00CD5160" w:rsidRPr="00DE0F2F" w:rsidRDefault="00CD5160" w:rsidP="00BB2BFA">
      <w:pPr>
        <w:pStyle w:val="ListParagraph"/>
        <w:numPr>
          <w:ilvl w:val="0"/>
          <w:numId w:val="30"/>
        </w:numPr>
        <w:ind w:left="426" w:hanging="426"/>
      </w:pPr>
      <w:r w:rsidRPr="00DE0F2F">
        <w:t xml:space="preserve">Dynamic equinus foot deformity due to spasticity in </w:t>
      </w:r>
      <w:r w:rsidR="00E75B1A" w:rsidRPr="00DE0F2F">
        <w:t xml:space="preserve">ambulant </w:t>
      </w:r>
      <w:r w:rsidRPr="00DE0F2F">
        <w:t>patients with cerebral palsy who are aged 2 to 17 years or who commenced treatment with botulinum toxin as a paediatric patient</w:t>
      </w:r>
      <w:r w:rsidR="006E5EB0" w:rsidRPr="00DE0F2F">
        <w:t xml:space="preserve"> (i</w:t>
      </w:r>
      <w:r w:rsidR="00C474E2">
        <w:t>.</w:t>
      </w:r>
      <w:r w:rsidR="006E5EB0" w:rsidRPr="00DE0F2F">
        <w:t>e. 2 to 17 years)</w:t>
      </w:r>
      <w:r w:rsidR="00AE4ABB">
        <w:t>.</w:t>
      </w:r>
    </w:p>
    <w:p w:rsidR="00CD5160" w:rsidRPr="00DE0F2F" w:rsidRDefault="00CD5160" w:rsidP="00BB2BFA">
      <w:pPr>
        <w:pStyle w:val="ListParagraph"/>
        <w:numPr>
          <w:ilvl w:val="0"/>
          <w:numId w:val="30"/>
        </w:numPr>
        <w:ind w:left="426" w:hanging="426"/>
      </w:pPr>
      <w:r w:rsidRPr="00DE0F2F">
        <w:t>Moderate to severe spasticity of the upper limb in patients with cerebral palsy who are aged 2 to 17 years or who commenced treatment with botulinum toxin as a paediatric patient</w:t>
      </w:r>
      <w:r w:rsidR="00AE4ABB">
        <w:t>.</w:t>
      </w:r>
    </w:p>
    <w:p w:rsidR="00907058" w:rsidRPr="00DE0F2F" w:rsidRDefault="00CD5160" w:rsidP="00BB2BFA">
      <w:pPr>
        <w:pStyle w:val="ListParagraph"/>
        <w:numPr>
          <w:ilvl w:val="0"/>
          <w:numId w:val="30"/>
        </w:numPr>
        <w:ind w:left="426" w:hanging="426"/>
      </w:pPr>
      <w:r w:rsidRPr="00DE0F2F">
        <w:t xml:space="preserve">Moderate to severe spasticity of the upper limb following a stroke in </w:t>
      </w:r>
      <w:r w:rsidR="00907058" w:rsidRPr="00DE0F2F">
        <w:t xml:space="preserve">adult </w:t>
      </w:r>
      <w:r w:rsidRPr="00DE0F2F">
        <w:t>patien</w:t>
      </w:r>
      <w:r w:rsidR="00907058" w:rsidRPr="00DE0F2F">
        <w:t>t</w:t>
      </w:r>
      <w:r w:rsidRPr="00DE0F2F">
        <w:t xml:space="preserve">s meeting certain criteria. </w:t>
      </w:r>
      <w:r w:rsidR="00907058" w:rsidRPr="00DE0F2F">
        <w:t>PBS subsidy is for a ma</w:t>
      </w:r>
      <w:r w:rsidR="0071042D" w:rsidRPr="00DE0F2F">
        <w:t>x</w:t>
      </w:r>
      <w:r w:rsidR="00907058" w:rsidRPr="00DE0F2F">
        <w:t>imum of</w:t>
      </w:r>
      <w:r w:rsidRPr="00DE0F2F">
        <w:t xml:space="preserve"> </w:t>
      </w:r>
      <w:r w:rsidR="00907058" w:rsidRPr="00DE0F2F">
        <w:t xml:space="preserve">4 treatment periods </w:t>
      </w:r>
      <w:r w:rsidR="006E5EB0" w:rsidRPr="00DE0F2F">
        <w:t>(total</w:t>
      </w:r>
      <w:r w:rsidR="00AC04AB" w:rsidRPr="00DE0F2F">
        <w:t xml:space="preserve"> of</w:t>
      </w:r>
      <w:r w:rsidR="006E5EB0" w:rsidRPr="00DE0F2F">
        <w:t xml:space="preserve"> Botox, Dysport and Xeomin) </w:t>
      </w:r>
      <w:r w:rsidR="00907058" w:rsidRPr="00DE0F2F">
        <w:t>per upper limb per lifetime.</w:t>
      </w:r>
    </w:p>
    <w:p w:rsidR="00907058" w:rsidRDefault="00907058" w:rsidP="00917FFC">
      <w:pPr>
        <w:pStyle w:val="ListParagraph"/>
        <w:rPr>
          <w:b/>
        </w:rPr>
      </w:pPr>
    </w:p>
    <w:p w:rsidR="00917FFC" w:rsidRPr="006122B7" w:rsidRDefault="00907058" w:rsidP="00917FFC">
      <w:pPr>
        <w:pStyle w:val="ListParagraph"/>
        <w:tabs>
          <w:tab w:val="left" w:pos="0"/>
        </w:tabs>
        <w:ind w:left="0"/>
      </w:pPr>
      <w:r w:rsidRPr="006122B7">
        <w:t xml:space="preserve">Dysport is PBS subsidised for the same indications as Botox </w:t>
      </w:r>
      <w:r w:rsidR="007B051A" w:rsidRPr="006122B7">
        <w:t>except:</w:t>
      </w:r>
    </w:p>
    <w:p w:rsidR="00917FFC" w:rsidRPr="00917FFC" w:rsidRDefault="00917FFC" w:rsidP="00BB2BFA">
      <w:pPr>
        <w:pStyle w:val="ListParagraph"/>
        <w:numPr>
          <w:ilvl w:val="0"/>
          <w:numId w:val="31"/>
        </w:numPr>
        <w:tabs>
          <w:tab w:val="left" w:pos="0"/>
        </w:tabs>
        <w:ind w:left="426" w:hanging="426"/>
      </w:pPr>
      <w:proofErr w:type="gramStart"/>
      <w:r w:rsidRPr="00917FFC">
        <w:t>it</w:t>
      </w:r>
      <w:proofErr w:type="gramEnd"/>
      <w:r w:rsidRPr="00917FFC">
        <w:t xml:space="preserve"> is not subsidised for moderate to severe spasticity of the upper limb in patients with cerebral palsy</w:t>
      </w:r>
      <w:r w:rsidR="00AE4ABB">
        <w:t>.</w:t>
      </w:r>
    </w:p>
    <w:p w:rsidR="0071042D" w:rsidRDefault="00917FFC" w:rsidP="00BB2BFA">
      <w:pPr>
        <w:pStyle w:val="ListParagraph"/>
        <w:numPr>
          <w:ilvl w:val="0"/>
          <w:numId w:val="31"/>
        </w:numPr>
        <w:tabs>
          <w:tab w:val="left" w:pos="0"/>
        </w:tabs>
        <w:ind w:left="426" w:hanging="426"/>
      </w:pPr>
      <w:proofErr w:type="gramStart"/>
      <w:r w:rsidRPr="00917FFC">
        <w:t>the</w:t>
      </w:r>
      <w:proofErr w:type="gramEnd"/>
      <w:r w:rsidRPr="00917FFC">
        <w:t xml:space="preserve"> blepharospasm and hemifacial spasm listing is limited to patients aged 18 years or older</w:t>
      </w:r>
      <w:r w:rsidR="006E5EB0">
        <w:t>, consiste</w:t>
      </w:r>
      <w:r w:rsidR="0071042D">
        <w:t>n</w:t>
      </w:r>
      <w:r w:rsidRPr="00917FFC">
        <w:t>t with its TGA registered indication</w:t>
      </w:r>
      <w:r w:rsidR="006E5EB0">
        <w:t>.</w:t>
      </w:r>
    </w:p>
    <w:p w:rsidR="006E5EB0" w:rsidRPr="00917FFC" w:rsidRDefault="006E5EB0" w:rsidP="006E5EB0">
      <w:pPr>
        <w:pStyle w:val="ListParagraph"/>
        <w:tabs>
          <w:tab w:val="left" w:pos="0"/>
        </w:tabs>
      </w:pPr>
    </w:p>
    <w:p w:rsidR="00CD5BC5" w:rsidRDefault="00CD5BC5">
      <w:pPr>
        <w:spacing w:line="276" w:lineRule="auto"/>
      </w:pPr>
      <w:r>
        <w:br w:type="page"/>
      </w:r>
    </w:p>
    <w:p w:rsidR="00917FFC" w:rsidRPr="006122B7" w:rsidRDefault="00AC04AB" w:rsidP="00917FFC">
      <w:pPr>
        <w:pStyle w:val="ListParagraph"/>
        <w:tabs>
          <w:tab w:val="left" w:pos="0"/>
        </w:tabs>
        <w:ind w:left="0"/>
      </w:pPr>
      <w:r w:rsidRPr="006122B7">
        <w:lastRenderedPageBreak/>
        <w:t>Xeomin</w:t>
      </w:r>
      <w:r w:rsidR="00917FFC" w:rsidRPr="006122B7">
        <w:t xml:space="preserve"> is PBS subsidised for:</w:t>
      </w:r>
    </w:p>
    <w:p w:rsidR="00CD5BC5" w:rsidRPr="00917FFC" w:rsidRDefault="00CD5BC5" w:rsidP="00CD5BC5">
      <w:pPr>
        <w:pStyle w:val="ListParagraph"/>
        <w:numPr>
          <w:ilvl w:val="0"/>
          <w:numId w:val="31"/>
        </w:numPr>
        <w:tabs>
          <w:tab w:val="left" w:pos="0"/>
        </w:tabs>
        <w:ind w:left="426" w:hanging="426"/>
      </w:pPr>
      <w:r w:rsidRPr="00917FFC">
        <w:t>Blepharospasm in patie</w:t>
      </w:r>
      <w:r>
        <w:t>n</w:t>
      </w:r>
      <w:r w:rsidRPr="00917FFC">
        <w:t>t</w:t>
      </w:r>
      <w:r>
        <w:t>s aged 18 years or older</w:t>
      </w:r>
      <w:r w:rsidR="00AE4ABB">
        <w:t>.</w:t>
      </w:r>
    </w:p>
    <w:p w:rsidR="00CD5BC5" w:rsidRPr="00917FFC" w:rsidRDefault="00CD5BC5" w:rsidP="00CD5BC5">
      <w:pPr>
        <w:pStyle w:val="ListParagraph"/>
        <w:numPr>
          <w:ilvl w:val="0"/>
          <w:numId w:val="31"/>
        </w:numPr>
        <w:tabs>
          <w:tab w:val="left" w:pos="0"/>
        </w:tabs>
        <w:ind w:left="426" w:hanging="426"/>
      </w:pPr>
      <w:r w:rsidRPr="00917FFC">
        <w:t>Spasmodic torticollis as monotherapy or as adjunctive therapy to current standard care</w:t>
      </w:r>
      <w:r>
        <w:t xml:space="preserve"> </w:t>
      </w:r>
      <w:r w:rsidRPr="00917FFC">
        <w:t>in patie</w:t>
      </w:r>
      <w:r>
        <w:t>n</w:t>
      </w:r>
      <w:r w:rsidRPr="00917FFC">
        <w:t>ts aged 18 years or older</w:t>
      </w:r>
      <w:r w:rsidR="00AE4ABB">
        <w:t>.</w:t>
      </w:r>
    </w:p>
    <w:p w:rsidR="00917FFC" w:rsidRPr="00917FFC" w:rsidRDefault="00917FFC" w:rsidP="00BB2BFA">
      <w:pPr>
        <w:pStyle w:val="ListParagraph"/>
        <w:numPr>
          <w:ilvl w:val="0"/>
          <w:numId w:val="31"/>
        </w:numPr>
        <w:tabs>
          <w:tab w:val="left" w:pos="0"/>
        </w:tabs>
        <w:ind w:left="426" w:hanging="426"/>
      </w:pPr>
      <w:r w:rsidRPr="00917FFC">
        <w:t>Moderate to severe spasticity of the upper limb following a stroke in adult patients meeting certain criteria. PBS subsidy is for a ma</w:t>
      </w:r>
      <w:r w:rsidR="00E75B1A">
        <w:t>x</w:t>
      </w:r>
      <w:r w:rsidRPr="00917FFC">
        <w:t xml:space="preserve">imum of 4 treatment periods </w:t>
      </w:r>
      <w:r w:rsidR="00CD5BC5">
        <w:t xml:space="preserve">(total of Botox, Dysport and Xeomin) </w:t>
      </w:r>
      <w:r w:rsidRPr="00917FFC">
        <w:t>per upper limb per lifetime.</w:t>
      </w:r>
    </w:p>
    <w:p w:rsidR="00907058" w:rsidRPr="00AC04AB" w:rsidRDefault="00917FFC" w:rsidP="00AC04AB">
      <w:pPr>
        <w:tabs>
          <w:tab w:val="left" w:pos="0"/>
        </w:tabs>
        <w:rPr>
          <w:rFonts w:ascii="Calibri" w:eastAsia="MS Mincho" w:hAnsi="Calibri" w:cs="Times New Roman"/>
          <w:szCs w:val="28"/>
        </w:rPr>
      </w:pPr>
      <w:r>
        <w:rPr>
          <w:rFonts w:ascii="Calibri" w:eastAsia="MS Mincho" w:hAnsi="Calibri" w:cs="Times New Roman"/>
          <w:szCs w:val="28"/>
        </w:rPr>
        <w:t>The PBS restrictions specify that prescribing of botulinum toxin is limited to certain specialties</w:t>
      </w:r>
      <w:r w:rsidR="00AC04AB">
        <w:rPr>
          <w:rFonts w:ascii="Calibri" w:eastAsia="MS Mincho" w:hAnsi="Calibri" w:cs="Times New Roman"/>
          <w:szCs w:val="28"/>
        </w:rPr>
        <w:t xml:space="preserve"> (see Table </w:t>
      </w:r>
      <w:r w:rsidR="00CD5BC5">
        <w:rPr>
          <w:rFonts w:ascii="Calibri" w:eastAsia="MS Mincho" w:hAnsi="Calibri" w:cs="Times New Roman"/>
          <w:szCs w:val="28"/>
        </w:rPr>
        <w:t>4</w:t>
      </w:r>
      <w:r w:rsidR="00AC04AB">
        <w:rPr>
          <w:rFonts w:ascii="Calibri" w:eastAsia="MS Mincho" w:hAnsi="Calibri" w:cs="Times New Roman"/>
          <w:szCs w:val="28"/>
        </w:rPr>
        <w:t xml:space="preserve"> for details)</w:t>
      </w:r>
      <w:r w:rsidR="0071042D">
        <w:rPr>
          <w:rFonts w:ascii="Calibri" w:eastAsia="MS Mincho" w:hAnsi="Calibri" w:cs="Times New Roman"/>
          <w:szCs w:val="28"/>
        </w:rPr>
        <w:t>.</w:t>
      </w:r>
    </w:p>
    <w:p w:rsidR="005425A8" w:rsidRPr="00640AF6" w:rsidRDefault="005425A8" w:rsidP="00813FF0">
      <w:pPr>
        <w:pStyle w:val="Heading2"/>
        <w:rPr>
          <w:i/>
        </w:rPr>
      </w:pPr>
      <w:r w:rsidRPr="00640AF6">
        <w:rPr>
          <w:i/>
        </w:rPr>
        <w:t xml:space="preserve">Data </w:t>
      </w:r>
      <w:r w:rsidR="00911F66" w:rsidRPr="00640AF6">
        <w:rPr>
          <w:i/>
        </w:rPr>
        <w:t>Sources</w:t>
      </w:r>
    </w:p>
    <w:p w:rsidR="00C65AC8" w:rsidRPr="00640AF6" w:rsidRDefault="001812CA" w:rsidP="00640AF6">
      <w:r w:rsidRPr="00640AF6">
        <w:t>P</w:t>
      </w:r>
      <w:r w:rsidR="00DB5F47" w:rsidRPr="00640AF6">
        <w:t xml:space="preserve">harmaceutical </w:t>
      </w:r>
      <w:r w:rsidRPr="00640AF6">
        <w:t>B</w:t>
      </w:r>
      <w:r w:rsidR="00DB5F47" w:rsidRPr="00640AF6">
        <w:t xml:space="preserve">enefits </w:t>
      </w:r>
      <w:r w:rsidRPr="00640AF6">
        <w:t>S</w:t>
      </w:r>
      <w:r w:rsidR="00DB5F47" w:rsidRPr="00640AF6">
        <w:t>cheme (PBS)</w:t>
      </w:r>
      <w:r w:rsidRPr="00640AF6">
        <w:t xml:space="preserve"> </w:t>
      </w:r>
      <w:r w:rsidR="00911F66" w:rsidRPr="00640AF6">
        <w:t>prescription data</w:t>
      </w:r>
      <w:r w:rsidR="00640AF6">
        <w:t xml:space="preserve"> for prescriptions supplied from 1</w:t>
      </w:r>
      <w:r w:rsidR="009D4FBE">
        <w:t> </w:t>
      </w:r>
      <w:r w:rsidR="00640AF6">
        <w:t>September 2015 to 31 December 2017</w:t>
      </w:r>
      <w:r w:rsidR="00CD5BC5">
        <w:t xml:space="preserve">, and Medicare Benefits Schedule (MBS) services data for injection of </w:t>
      </w:r>
      <w:r w:rsidR="002E79E5">
        <w:t>botuli</w:t>
      </w:r>
      <w:r w:rsidR="00CD5BC5">
        <w:t>n</w:t>
      </w:r>
      <w:r w:rsidR="002E79E5">
        <w:t xml:space="preserve">um toxin </w:t>
      </w:r>
      <w:r w:rsidR="00CD5BC5">
        <w:t xml:space="preserve">from </w:t>
      </w:r>
      <w:r w:rsidR="00CD5BC5">
        <w:rPr>
          <w:rFonts w:ascii="Calibri" w:eastAsia="MS Mincho" w:hAnsi="Calibri" w:cs="Times New Roman"/>
        </w:rPr>
        <w:t xml:space="preserve">1 December 1991 to 31 December </w:t>
      </w:r>
      <w:r w:rsidR="007B051A">
        <w:rPr>
          <w:rFonts w:ascii="Calibri" w:eastAsia="MS Mincho" w:hAnsi="Calibri" w:cs="Times New Roman"/>
        </w:rPr>
        <w:t>2017 were</w:t>
      </w:r>
      <w:r w:rsidR="004A34B4">
        <w:rPr>
          <w:rFonts w:ascii="Calibri" w:eastAsia="MS Mincho" w:hAnsi="Calibri" w:cs="Times New Roman"/>
        </w:rPr>
        <w:t xml:space="preserve"> used </w:t>
      </w:r>
      <w:r w:rsidR="004A34B4" w:rsidRPr="00640AF6">
        <w:t xml:space="preserve">to assess utilisation of botulinum toxin for </w:t>
      </w:r>
      <w:r w:rsidR="004A34B4" w:rsidRPr="00A82749">
        <w:t>spasticity and dystonia.</w:t>
      </w:r>
    </w:p>
    <w:p w:rsidR="00821C17" w:rsidRPr="00640AF6" w:rsidRDefault="00821C17" w:rsidP="00813FF0">
      <w:pPr>
        <w:pStyle w:val="Heading2"/>
        <w:keepNext/>
        <w:rPr>
          <w:i/>
        </w:rPr>
      </w:pPr>
      <w:r w:rsidRPr="00640AF6">
        <w:rPr>
          <w:i/>
        </w:rPr>
        <w:t>Key Findings</w:t>
      </w:r>
    </w:p>
    <w:p w:rsidR="002D3369" w:rsidRDefault="00FA2F34" w:rsidP="00A112AC">
      <w:pPr>
        <w:pStyle w:val="ListParagraph"/>
        <w:numPr>
          <w:ilvl w:val="0"/>
          <w:numId w:val="1"/>
        </w:numPr>
        <w:ind w:left="357" w:hanging="357"/>
      </w:pPr>
      <w:r>
        <w:t xml:space="preserve">In 2017, </w:t>
      </w:r>
      <w:r w:rsidR="003238E4" w:rsidRPr="008E3323">
        <w:t>13,116</w:t>
      </w:r>
      <w:r w:rsidR="00157208">
        <w:t xml:space="preserve"> </w:t>
      </w:r>
      <w:r>
        <w:t xml:space="preserve">patients were treated with PBS subsidised botulinum toxin type A for spasticity or </w:t>
      </w:r>
      <w:r w:rsidR="007B051A">
        <w:t>dystonia</w:t>
      </w:r>
      <w:r>
        <w:t xml:space="preserve">. The number of patients receiving treatment has </w:t>
      </w:r>
      <w:r w:rsidR="002D3369">
        <w:t xml:space="preserve">been </w:t>
      </w:r>
      <w:r>
        <w:t>increas</w:t>
      </w:r>
      <w:r w:rsidR="002D3369">
        <w:t>ing</w:t>
      </w:r>
      <w:r>
        <w:t xml:space="preserve"> steadily </w:t>
      </w:r>
      <w:r w:rsidR="002D3369">
        <w:t>with</w:t>
      </w:r>
      <w:r>
        <w:t xml:space="preserve"> an approximate doubling </w:t>
      </w:r>
      <w:r w:rsidR="002D3369">
        <w:t>of</w:t>
      </w:r>
      <w:r>
        <w:t xml:space="preserve"> the number of patients receiving treatment over the past decade. </w:t>
      </w:r>
    </w:p>
    <w:p w:rsidR="002D3369" w:rsidRDefault="002D3369" w:rsidP="00BB03D1">
      <w:pPr>
        <w:pStyle w:val="ListParagraph"/>
        <w:numPr>
          <w:ilvl w:val="0"/>
          <w:numId w:val="1"/>
        </w:numPr>
        <w:ind w:left="357" w:hanging="357"/>
      </w:pPr>
      <w:r>
        <w:t xml:space="preserve">The majority of use is for spasmodic torticollis, blepharospasm </w:t>
      </w:r>
      <w:r w:rsidR="00FD3FA1">
        <w:t>and</w:t>
      </w:r>
      <w:r>
        <w:t xml:space="preserve"> hemifacial spasm. Use for each of these indications has been growing</w:t>
      </w:r>
      <w:r w:rsidR="00157208">
        <w:t>,</w:t>
      </w:r>
      <w:r>
        <w:t xml:space="preserve"> with a higher rate of growth evident for spasmodic</w:t>
      </w:r>
      <w:r w:rsidR="00C474E2">
        <w:t xml:space="preserve"> torticollis in 2016 and 2017. </w:t>
      </w:r>
    </w:p>
    <w:p w:rsidR="002D3369" w:rsidRDefault="002D3369" w:rsidP="00BB03D1">
      <w:pPr>
        <w:pStyle w:val="ListParagraph"/>
        <w:numPr>
          <w:ilvl w:val="0"/>
          <w:numId w:val="1"/>
        </w:numPr>
        <w:ind w:left="357" w:hanging="357"/>
      </w:pPr>
      <w:r>
        <w:t>The number of patients with cerebral palsy receiv</w:t>
      </w:r>
      <w:r w:rsidR="00FD3FA1">
        <w:t>i</w:t>
      </w:r>
      <w:r>
        <w:t>n</w:t>
      </w:r>
      <w:r w:rsidR="00FD3FA1">
        <w:t>g</w:t>
      </w:r>
      <w:r>
        <w:t xml:space="preserve"> botulinum </w:t>
      </w:r>
      <w:r w:rsidR="00FD3FA1">
        <w:t xml:space="preserve">toxin </w:t>
      </w:r>
      <w:r>
        <w:t>for upper limb spastic</w:t>
      </w:r>
      <w:r w:rsidR="00FD3FA1">
        <w:t>ity</w:t>
      </w:r>
      <w:r>
        <w:t xml:space="preserve"> and/or foot deformity due to spasticity </w:t>
      </w:r>
      <w:r w:rsidR="00157208">
        <w:t>increased until 2015 and has now stabilised.</w:t>
      </w:r>
      <w:r>
        <w:t xml:space="preserve"> </w:t>
      </w:r>
    </w:p>
    <w:p w:rsidR="001812CA" w:rsidRPr="001E267B" w:rsidRDefault="001E267B" w:rsidP="001E267B">
      <w:pPr>
        <w:pStyle w:val="ListParagraph"/>
        <w:numPr>
          <w:ilvl w:val="0"/>
          <w:numId w:val="1"/>
        </w:numPr>
        <w:ind w:left="357" w:hanging="357"/>
      </w:pPr>
      <w:r w:rsidRPr="001E267B">
        <w:t xml:space="preserve">In 2017, 742 patients were treated with PBS subsidised botulinum toxin </w:t>
      </w:r>
      <w:r w:rsidR="004A34B4">
        <w:t xml:space="preserve">for upper limb spasticity </w:t>
      </w:r>
      <w:r>
        <w:t xml:space="preserve">following a </w:t>
      </w:r>
      <w:r w:rsidRPr="001E267B">
        <w:t>stroke and 1</w:t>
      </w:r>
      <w:r w:rsidR="00AE4ABB">
        <w:t>,</w:t>
      </w:r>
      <w:r w:rsidRPr="001E267B">
        <w:t xml:space="preserve">002 prescriptions were dispensed for this indication. </w:t>
      </w:r>
      <w:r w:rsidR="002D3369" w:rsidRPr="001E267B">
        <w:t>Utili</w:t>
      </w:r>
      <w:r w:rsidR="00FD3FA1" w:rsidRPr="001E267B">
        <w:t>s</w:t>
      </w:r>
      <w:r w:rsidR="002D3369" w:rsidRPr="001E267B">
        <w:t xml:space="preserve">ation of botulinum toxin </w:t>
      </w:r>
      <w:r w:rsidR="004A34B4">
        <w:t xml:space="preserve">post-stroke </w:t>
      </w:r>
      <w:r w:rsidR="002D3369" w:rsidRPr="001E267B">
        <w:t>s</w:t>
      </w:r>
      <w:r w:rsidRPr="001E267B">
        <w:t>eems</w:t>
      </w:r>
      <w:r w:rsidR="002D3369" w:rsidRPr="001E267B">
        <w:t xml:space="preserve"> low in</w:t>
      </w:r>
      <w:r w:rsidR="002D3369">
        <w:t xml:space="preserve"> the context of </w:t>
      </w:r>
      <w:r w:rsidR="00443028">
        <w:t xml:space="preserve">all patients </w:t>
      </w:r>
      <w:r w:rsidR="00FD3FA1">
        <w:t xml:space="preserve">who have </w:t>
      </w:r>
      <w:r w:rsidR="00443028">
        <w:t>experienced a stroke</w:t>
      </w:r>
      <w:r w:rsidR="00C14EB1">
        <w:t xml:space="preserve"> and may have resultant spasticity</w:t>
      </w:r>
      <w:r w:rsidR="002D3369">
        <w:t xml:space="preserve">. </w:t>
      </w:r>
      <w:r w:rsidR="001812CA" w:rsidRPr="001E267B">
        <w:br w:type="page"/>
      </w:r>
    </w:p>
    <w:p w:rsidR="00321A19" w:rsidRPr="0033076B" w:rsidRDefault="00321A19" w:rsidP="00813FF0">
      <w:pPr>
        <w:pStyle w:val="Heading4"/>
        <w:rPr>
          <w:i w:val="0"/>
        </w:rPr>
      </w:pPr>
      <w:r w:rsidRPr="0033076B">
        <w:rPr>
          <w:i w:val="0"/>
        </w:rPr>
        <w:lastRenderedPageBreak/>
        <w:t>Purpose of analysis</w:t>
      </w:r>
    </w:p>
    <w:p w:rsidR="00EA54FB" w:rsidRPr="00BB03D1" w:rsidRDefault="00EA54FB" w:rsidP="00EA54FB">
      <w:pPr>
        <w:spacing w:after="0"/>
        <w:rPr>
          <w:rFonts w:cs="Arial"/>
        </w:rPr>
      </w:pPr>
      <w:r w:rsidRPr="00BB03D1">
        <w:t xml:space="preserve">To </w:t>
      </w:r>
      <w:r>
        <w:t xml:space="preserve">review the </w:t>
      </w:r>
      <w:r w:rsidRPr="00A82749">
        <w:rPr>
          <w:rFonts w:ascii="Calibri" w:eastAsia="MS Mincho" w:hAnsi="Calibri" w:cs="Times New Roman"/>
          <w:szCs w:val="28"/>
        </w:rPr>
        <w:t>utilisation of botulinum toxin type A supplied through the Pharmaceutical Benefits Scheme (PBS) for the</w:t>
      </w:r>
      <w:r>
        <w:t xml:space="preserve"> treatment of spasticity in patients with cerebral palsy or following a stroke, and for</w:t>
      </w:r>
      <w:r w:rsidRPr="00837E9F">
        <w:rPr>
          <w:rFonts w:ascii="Calibri" w:eastAsia="MS Mincho" w:hAnsi="Calibri" w:cs="Times New Roman"/>
          <w:szCs w:val="28"/>
        </w:rPr>
        <w:t xml:space="preserve"> spasmodic torticollis, blepharospasm and hemifacial spasm</w:t>
      </w:r>
      <w:r w:rsidRPr="00BB03D1">
        <w:t>.</w:t>
      </w:r>
    </w:p>
    <w:p w:rsidR="00821C17" w:rsidRPr="005F52E0" w:rsidRDefault="00821C17" w:rsidP="00813FF0">
      <w:pPr>
        <w:pStyle w:val="Heading4"/>
        <w:rPr>
          <w:b w:val="0"/>
          <w:i w:val="0"/>
        </w:rPr>
      </w:pPr>
      <w:r w:rsidRPr="0025527F">
        <w:rPr>
          <w:i w:val="0"/>
        </w:rPr>
        <w:t>Background</w:t>
      </w:r>
    </w:p>
    <w:p w:rsidR="0022309A" w:rsidRDefault="001C124E" w:rsidP="000C440E">
      <w:pPr>
        <w:spacing w:before="240"/>
        <w:outlineLvl w:val="2"/>
      </w:pPr>
      <w:r>
        <w:rPr>
          <w:rFonts w:ascii="Calibri" w:eastAsia="MS Mincho" w:hAnsi="Calibri" w:cs="Times New Roman"/>
          <w:szCs w:val="28"/>
        </w:rPr>
        <w:t xml:space="preserve">Botulinum </w:t>
      </w:r>
      <w:r w:rsidR="00E16BA5">
        <w:rPr>
          <w:rFonts w:ascii="Calibri" w:eastAsia="MS Mincho" w:hAnsi="Calibri" w:cs="Times New Roman"/>
          <w:szCs w:val="28"/>
        </w:rPr>
        <w:t>neuro</w:t>
      </w:r>
      <w:r>
        <w:rPr>
          <w:rFonts w:ascii="Calibri" w:eastAsia="MS Mincho" w:hAnsi="Calibri" w:cs="Times New Roman"/>
          <w:szCs w:val="28"/>
        </w:rPr>
        <w:t>toxin</w:t>
      </w:r>
      <w:r w:rsidR="00E16BA5">
        <w:rPr>
          <w:rFonts w:ascii="Calibri" w:eastAsia="MS Mincho" w:hAnsi="Calibri" w:cs="Times New Roman"/>
          <w:szCs w:val="28"/>
        </w:rPr>
        <w:t xml:space="preserve"> is a </w:t>
      </w:r>
      <w:r w:rsidR="0022309A">
        <w:rPr>
          <w:rFonts w:ascii="Calibri" w:eastAsia="MS Mincho" w:hAnsi="Calibri" w:cs="Times New Roman"/>
          <w:szCs w:val="28"/>
        </w:rPr>
        <w:t xml:space="preserve">naturally occurring </w:t>
      </w:r>
      <w:r w:rsidR="00E16BA5">
        <w:rPr>
          <w:rFonts w:ascii="Calibri" w:eastAsia="MS Mincho" w:hAnsi="Calibri" w:cs="Times New Roman"/>
          <w:szCs w:val="28"/>
        </w:rPr>
        <w:t xml:space="preserve">toxin produced by the </w:t>
      </w:r>
      <w:r w:rsidR="00E16BA5" w:rsidRPr="00E16BA5">
        <w:rPr>
          <w:rFonts w:ascii="Calibri" w:eastAsia="MS Mincho" w:hAnsi="Calibri" w:cs="Times New Roman"/>
          <w:szCs w:val="28"/>
        </w:rPr>
        <w:t xml:space="preserve">bacterium </w:t>
      </w:r>
      <w:r w:rsidR="00E16BA5" w:rsidRPr="0022309A">
        <w:rPr>
          <w:rFonts w:ascii="Calibri" w:eastAsia="MS Mincho" w:hAnsi="Calibri" w:cs="Times New Roman"/>
          <w:i/>
          <w:szCs w:val="28"/>
        </w:rPr>
        <w:t>Clostridium botulinum</w:t>
      </w:r>
      <w:r w:rsidR="00E16BA5">
        <w:rPr>
          <w:rFonts w:ascii="Calibri" w:eastAsia="MS Mincho" w:hAnsi="Calibri" w:cs="Times New Roman"/>
          <w:i/>
          <w:szCs w:val="28"/>
        </w:rPr>
        <w:t xml:space="preserve">. </w:t>
      </w:r>
      <w:r w:rsidR="00402DE6" w:rsidRPr="00402DE6">
        <w:rPr>
          <w:rFonts w:ascii="Calibri" w:eastAsia="MS Mincho" w:hAnsi="Calibri" w:cs="Times New Roman"/>
          <w:szCs w:val="28"/>
        </w:rPr>
        <w:t xml:space="preserve">Botulinum </w:t>
      </w:r>
      <w:r w:rsidR="00E16BA5">
        <w:rPr>
          <w:rFonts w:ascii="Calibri" w:eastAsia="MS Mincho" w:hAnsi="Calibri" w:cs="Times New Roman"/>
          <w:szCs w:val="28"/>
        </w:rPr>
        <w:t>neuro</w:t>
      </w:r>
      <w:r w:rsidR="00402DE6" w:rsidRPr="00402DE6">
        <w:rPr>
          <w:rFonts w:ascii="Calibri" w:eastAsia="MS Mincho" w:hAnsi="Calibri" w:cs="Times New Roman"/>
          <w:szCs w:val="28"/>
        </w:rPr>
        <w:t xml:space="preserve">toxin type </w:t>
      </w:r>
      <w:proofErr w:type="gramStart"/>
      <w:r w:rsidR="00402DE6" w:rsidRPr="00402DE6">
        <w:rPr>
          <w:rFonts w:ascii="Calibri" w:eastAsia="MS Mincho" w:hAnsi="Calibri" w:cs="Times New Roman"/>
          <w:szCs w:val="28"/>
        </w:rPr>
        <w:t>A</w:t>
      </w:r>
      <w:proofErr w:type="gramEnd"/>
      <w:r w:rsidR="00CD5BC5">
        <w:rPr>
          <w:rFonts w:ascii="Calibri" w:eastAsia="MS Mincho" w:hAnsi="Calibri" w:cs="Times New Roman"/>
          <w:szCs w:val="28"/>
        </w:rPr>
        <w:t xml:space="preserve"> </w:t>
      </w:r>
      <w:r w:rsidR="00E16BA5">
        <w:rPr>
          <w:rFonts w:ascii="Calibri" w:eastAsia="MS Mincho" w:hAnsi="Calibri" w:cs="Times New Roman"/>
          <w:szCs w:val="28"/>
        </w:rPr>
        <w:t xml:space="preserve">blocks </w:t>
      </w:r>
      <w:r w:rsidR="00E16BA5" w:rsidRPr="008F2E0E">
        <w:t xml:space="preserve">peripheral acetylcholine release at presynaptic cholinergic nerve terminals </w:t>
      </w:r>
      <w:r w:rsidR="00E16BA5">
        <w:t>resulting in muscle paralysis or weakness. Purified forms of the toxin injected into affected areas can be used to treat a range of conditions including dystonia</w:t>
      </w:r>
      <w:r w:rsidR="0022309A">
        <w:t xml:space="preserve"> </w:t>
      </w:r>
      <w:r w:rsidR="00E16BA5">
        <w:t>and spasticity</w:t>
      </w:r>
      <w:r w:rsidR="0022309A">
        <w:t xml:space="preserve">. </w:t>
      </w:r>
    </w:p>
    <w:p w:rsidR="0022309A" w:rsidRDefault="00636C18" w:rsidP="000C440E">
      <w:pPr>
        <w:spacing w:before="240"/>
        <w:outlineLvl w:val="2"/>
        <w:rPr>
          <w:rFonts w:ascii="Calibri" w:eastAsia="MS Mincho" w:hAnsi="Calibri" w:cs="Times New Roman"/>
          <w:szCs w:val="28"/>
        </w:rPr>
      </w:pPr>
      <w:r>
        <w:rPr>
          <w:rFonts w:ascii="Calibri" w:eastAsia="MS Mincho" w:hAnsi="Calibri" w:cs="Times New Roman"/>
          <w:szCs w:val="28"/>
        </w:rPr>
        <w:t xml:space="preserve">Three preparations of </w:t>
      </w:r>
      <w:r w:rsidR="00F91AAB" w:rsidRPr="00A82749">
        <w:rPr>
          <w:rFonts w:ascii="Calibri" w:eastAsia="MS Mincho" w:hAnsi="Calibri" w:cs="Times New Roman"/>
          <w:szCs w:val="28"/>
        </w:rPr>
        <w:t xml:space="preserve">botulinum toxin type </w:t>
      </w:r>
      <w:proofErr w:type="gramStart"/>
      <w:r w:rsidR="00F91AAB" w:rsidRPr="00A82749">
        <w:rPr>
          <w:rFonts w:ascii="Calibri" w:eastAsia="MS Mincho" w:hAnsi="Calibri" w:cs="Times New Roman"/>
          <w:szCs w:val="28"/>
        </w:rPr>
        <w:t>A</w:t>
      </w:r>
      <w:proofErr w:type="gramEnd"/>
      <w:r w:rsidR="00F91AAB" w:rsidRPr="00A82749">
        <w:rPr>
          <w:rFonts w:ascii="Calibri" w:eastAsia="MS Mincho" w:hAnsi="Calibri" w:cs="Times New Roman"/>
          <w:szCs w:val="28"/>
        </w:rPr>
        <w:t xml:space="preserve"> </w:t>
      </w:r>
      <w:r>
        <w:rPr>
          <w:rFonts w:ascii="Calibri" w:eastAsia="MS Mincho" w:hAnsi="Calibri" w:cs="Times New Roman"/>
          <w:szCs w:val="28"/>
        </w:rPr>
        <w:t>are available in Australia</w:t>
      </w:r>
      <w:r w:rsidR="00BA2B44">
        <w:rPr>
          <w:rFonts w:ascii="Calibri" w:eastAsia="MS Mincho" w:hAnsi="Calibri" w:cs="Times New Roman"/>
          <w:szCs w:val="28"/>
        </w:rPr>
        <w:t>.</w:t>
      </w:r>
      <w:r>
        <w:rPr>
          <w:rFonts w:ascii="Calibri" w:eastAsia="MS Mincho" w:hAnsi="Calibri" w:cs="Times New Roman"/>
          <w:szCs w:val="28"/>
        </w:rPr>
        <w:t xml:space="preserve"> </w:t>
      </w:r>
      <w:r w:rsidR="006B644E">
        <w:rPr>
          <w:rFonts w:ascii="Calibri" w:eastAsia="MS Mincho" w:hAnsi="Calibri" w:cs="Times New Roman"/>
          <w:szCs w:val="28"/>
        </w:rPr>
        <w:t>Botox</w:t>
      </w:r>
      <w:r w:rsidR="00BD56EC" w:rsidRPr="00BD56EC">
        <w:rPr>
          <w:rFonts w:ascii="Calibri" w:eastAsia="MS Mincho" w:hAnsi="Calibri" w:cs="Times New Roman"/>
          <w:szCs w:val="28"/>
          <w:vertAlign w:val="superscript"/>
        </w:rPr>
        <w:sym w:font="Symbol" w:char="F0E2"/>
      </w:r>
      <w:r w:rsidR="006B644E">
        <w:rPr>
          <w:rFonts w:ascii="Calibri" w:eastAsia="MS Mincho" w:hAnsi="Calibri" w:cs="Times New Roman"/>
          <w:szCs w:val="28"/>
        </w:rPr>
        <w:t xml:space="preserve"> is a purified neurotoxin complex, </w:t>
      </w:r>
      <w:proofErr w:type="spellStart"/>
      <w:r w:rsidR="006B644E">
        <w:rPr>
          <w:rFonts w:ascii="Calibri" w:eastAsia="MS Mincho" w:hAnsi="Calibri" w:cs="Times New Roman"/>
          <w:szCs w:val="28"/>
        </w:rPr>
        <w:t>Dysport</w:t>
      </w:r>
      <w:proofErr w:type="spellEnd"/>
      <w:r w:rsidR="00BD56EC" w:rsidRPr="00BD56EC">
        <w:rPr>
          <w:rFonts w:ascii="Calibri" w:eastAsia="MS Mincho" w:hAnsi="Calibri" w:cs="Times New Roman"/>
          <w:szCs w:val="28"/>
          <w:vertAlign w:val="superscript"/>
        </w:rPr>
        <w:sym w:font="Symbol" w:char="F0E2"/>
      </w:r>
      <w:r w:rsidR="006B644E">
        <w:rPr>
          <w:rFonts w:ascii="Calibri" w:eastAsia="MS Mincho" w:hAnsi="Calibri" w:cs="Times New Roman"/>
          <w:szCs w:val="28"/>
        </w:rPr>
        <w:t xml:space="preserve"> is a </w:t>
      </w:r>
      <w:proofErr w:type="spellStart"/>
      <w:r w:rsidR="006B644E">
        <w:rPr>
          <w:rFonts w:ascii="Calibri" w:eastAsia="MS Mincho" w:hAnsi="Calibri" w:cs="Times New Roman"/>
          <w:szCs w:val="28"/>
        </w:rPr>
        <w:t>haema</w:t>
      </w:r>
      <w:r w:rsidR="00BA2B44">
        <w:rPr>
          <w:rFonts w:ascii="Calibri" w:eastAsia="MS Mincho" w:hAnsi="Calibri" w:cs="Times New Roman"/>
          <w:szCs w:val="28"/>
        </w:rPr>
        <w:t>g</w:t>
      </w:r>
      <w:r w:rsidR="006B644E">
        <w:rPr>
          <w:rFonts w:ascii="Calibri" w:eastAsia="MS Mincho" w:hAnsi="Calibri" w:cs="Times New Roman"/>
          <w:szCs w:val="28"/>
        </w:rPr>
        <w:t>glutinin</w:t>
      </w:r>
      <w:proofErr w:type="spellEnd"/>
      <w:r w:rsidR="006B644E">
        <w:rPr>
          <w:rFonts w:ascii="Calibri" w:eastAsia="MS Mincho" w:hAnsi="Calibri" w:cs="Times New Roman"/>
          <w:szCs w:val="28"/>
        </w:rPr>
        <w:t xml:space="preserve"> complex and </w:t>
      </w:r>
      <w:proofErr w:type="spellStart"/>
      <w:r w:rsidR="006B644E">
        <w:rPr>
          <w:rFonts w:ascii="Calibri" w:eastAsia="MS Mincho" w:hAnsi="Calibri" w:cs="Times New Roman"/>
          <w:szCs w:val="28"/>
        </w:rPr>
        <w:t>Xeo</w:t>
      </w:r>
      <w:r w:rsidR="00BA2B44">
        <w:rPr>
          <w:rFonts w:ascii="Calibri" w:eastAsia="MS Mincho" w:hAnsi="Calibri" w:cs="Times New Roman"/>
          <w:szCs w:val="28"/>
        </w:rPr>
        <w:t>m</w:t>
      </w:r>
      <w:r w:rsidR="006B644E">
        <w:rPr>
          <w:rFonts w:ascii="Calibri" w:eastAsia="MS Mincho" w:hAnsi="Calibri" w:cs="Times New Roman"/>
          <w:szCs w:val="28"/>
        </w:rPr>
        <w:t>in</w:t>
      </w:r>
      <w:proofErr w:type="spellEnd"/>
      <w:r w:rsidR="00BD56EC" w:rsidRPr="00BD56EC">
        <w:rPr>
          <w:rFonts w:ascii="Calibri" w:eastAsia="MS Mincho" w:hAnsi="Calibri" w:cs="Times New Roman"/>
          <w:szCs w:val="28"/>
          <w:vertAlign w:val="superscript"/>
        </w:rPr>
        <w:sym w:font="Symbol" w:char="F0E2"/>
      </w:r>
      <w:r w:rsidR="00BA2B44">
        <w:rPr>
          <w:rFonts w:ascii="Calibri" w:eastAsia="MS Mincho" w:hAnsi="Calibri" w:cs="Times New Roman"/>
          <w:szCs w:val="28"/>
        </w:rPr>
        <w:t xml:space="preserve"> is purified toxin separated from complexing proteins.</w:t>
      </w:r>
      <w:r w:rsidR="00BD56EC">
        <w:rPr>
          <w:rFonts w:ascii="Calibri" w:eastAsia="MS Mincho" w:hAnsi="Calibri" w:cs="Times New Roman"/>
          <w:szCs w:val="28"/>
        </w:rPr>
        <w:t xml:space="preserve"> </w:t>
      </w:r>
      <w:r>
        <w:rPr>
          <w:rFonts w:ascii="Calibri" w:eastAsia="MS Mincho" w:hAnsi="Calibri" w:cs="Times New Roman"/>
          <w:szCs w:val="28"/>
        </w:rPr>
        <w:t xml:space="preserve">The TGA approved and PBS subsidised indications vary across the different preparations as summarised in Table 1. </w:t>
      </w:r>
      <w:r w:rsidR="00F31E3C">
        <w:rPr>
          <w:rFonts w:ascii="Calibri" w:eastAsia="MS Mincho" w:hAnsi="Calibri" w:cs="Times New Roman"/>
          <w:szCs w:val="28"/>
        </w:rPr>
        <w:t>For focal spastici</w:t>
      </w:r>
      <w:r w:rsidR="004B0D12">
        <w:rPr>
          <w:rFonts w:ascii="Calibri" w:eastAsia="MS Mincho" w:hAnsi="Calibri" w:cs="Times New Roman"/>
          <w:szCs w:val="28"/>
        </w:rPr>
        <w:t>t</w:t>
      </w:r>
      <w:r w:rsidR="00F31E3C">
        <w:rPr>
          <w:rFonts w:ascii="Calibri" w:eastAsia="MS Mincho" w:hAnsi="Calibri" w:cs="Times New Roman"/>
          <w:szCs w:val="28"/>
        </w:rPr>
        <w:t>y some preparation</w:t>
      </w:r>
      <w:r w:rsidR="004B0D12">
        <w:rPr>
          <w:rFonts w:ascii="Calibri" w:eastAsia="MS Mincho" w:hAnsi="Calibri" w:cs="Times New Roman"/>
          <w:szCs w:val="28"/>
        </w:rPr>
        <w:t>s</w:t>
      </w:r>
      <w:r w:rsidR="00F31E3C">
        <w:rPr>
          <w:rFonts w:ascii="Calibri" w:eastAsia="MS Mincho" w:hAnsi="Calibri" w:cs="Times New Roman"/>
          <w:szCs w:val="28"/>
        </w:rPr>
        <w:t xml:space="preserve"> have broadly worded </w:t>
      </w:r>
      <w:r w:rsidR="004B0D12">
        <w:rPr>
          <w:rFonts w:ascii="Calibri" w:eastAsia="MS Mincho" w:hAnsi="Calibri" w:cs="Times New Roman"/>
          <w:szCs w:val="28"/>
        </w:rPr>
        <w:t xml:space="preserve">TGA approved </w:t>
      </w:r>
      <w:r w:rsidR="00F31E3C">
        <w:rPr>
          <w:rFonts w:ascii="Calibri" w:eastAsia="MS Mincho" w:hAnsi="Calibri" w:cs="Times New Roman"/>
          <w:szCs w:val="28"/>
        </w:rPr>
        <w:t xml:space="preserve">indications whereas others are specific about the part of the body affected and/or the underlying </w:t>
      </w:r>
      <w:r w:rsidR="00535354">
        <w:rPr>
          <w:rFonts w:ascii="Calibri" w:eastAsia="MS Mincho" w:hAnsi="Calibri" w:cs="Times New Roman"/>
          <w:szCs w:val="28"/>
        </w:rPr>
        <w:t>neurological condition resulting in spasticity</w:t>
      </w:r>
      <w:r w:rsidR="00F31E3C">
        <w:rPr>
          <w:rFonts w:ascii="Calibri" w:eastAsia="MS Mincho" w:hAnsi="Calibri" w:cs="Times New Roman"/>
          <w:szCs w:val="28"/>
        </w:rPr>
        <w:t xml:space="preserve">. </w:t>
      </w:r>
    </w:p>
    <w:p w:rsidR="00794CFE" w:rsidRPr="008F2E0E" w:rsidRDefault="00794CFE" w:rsidP="00794CFE">
      <w:pPr>
        <w:spacing w:line="276" w:lineRule="auto"/>
        <w:rPr>
          <w:rFonts w:ascii="Calibri" w:eastAsia="MS Mincho" w:hAnsi="Calibri" w:cs="Times New Roman"/>
          <w:b/>
          <w:sz w:val="28"/>
        </w:rPr>
      </w:pPr>
      <w:r w:rsidRPr="008F2E0E">
        <w:rPr>
          <w:rFonts w:ascii="Calibri" w:eastAsia="MS Mincho" w:hAnsi="Calibri" w:cs="Times New Roman"/>
          <w:b/>
          <w:sz w:val="28"/>
        </w:rPr>
        <w:t xml:space="preserve">Dosage and administration </w:t>
      </w:r>
    </w:p>
    <w:p w:rsidR="00794CFE" w:rsidRDefault="00794CFE" w:rsidP="00794CFE">
      <w:pPr>
        <w:shd w:val="clear" w:color="auto" w:fill="FFFFFF" w:themeFill="background1"/>
        <w:rPr>
          <w:rFonts w:ascii="Calibri" w:eastAsia="MS Mincho" w:hAnsi="Calibri" w:cs="Times New Roman"/>
          <w:szCs w:val="28"/>
        </w:rPr>
      </w:pPr>
      <w:r>
        <w:t>The recommended dose depends on which preparation of botulinum toxin A is used, its dilution, the size of the muscle or gland being injected, and the method used to localise the injection site.</w:t>
      </w:r>
      <w:bookmarkStart w:id="0" w:name="_Ref511664304"/>
      <w:r>
        <w:rPr>
          <w:rStyle w:val="FootnoteReference"/>
        </w:rPr>
        <w:footnoteReference w:id="1"/>
      </w:r>
      <w:bookmarkEnd w:id="0"/>
      <w:r>
        <w:t xml:space="preserve"> Dosage and administration varies across indications and brands of botulinum toxin (Table 2)</w:t>
      </w:r>
      <w:r w:rsidRPr="008F2E0E">
        <w:t>.</w:t>
      </w:r>
      <w:r>
        <w:t xml:space="preserve"> </w:t>
      </w:r>
      <w:r>
        <w:rPr>
          <w:rFonts w:ascii="Calibri" w:eastAsia="MS Mincho" w:hAnsi="Calibri" w:cs="Times New Roman"/>
          <w:szCs w:val="28"/>
        </w:rPr>
        <w:t xml:space="preserve">The units used to express the potency of the toxin across the three products </w:t>
      </w:r>
      <w:r w:rsidRPr="006F1E1B">
        <w:rPr>
          <w:rFonts w:ascii="Calibri" w:eastAsia="MS Mincho" w:hAnsi="Calibri" w:cs="Times New Roman"/>
          <w:szCs w:val="28"/>
        </w:rPr>
        <w:t>are not equivalent. Botox</w:t>
      </w:r>
      <w:r w:rsidR="002769B2">
        <w:rPr>
          <w:rFonts w:ascii="Calibri" w:eastAsia="MS Mincho" w:hAnsi="Calibri" w:cs="Times New Roman"/>
          <w:szCs w:val="28"/>
        </w:rPr>
        <w:t xml:space="preserve"> has marketing approval for </w:t>
      </w:r>
      <w:r>
        <w:rPr>
          <w:rFonts w:ascii="Calibri" w:eastAsia="MS Mincho" w:hAnsi="Calibri" w:cs="Times New Roman"/>
          <w:szCs w:val="28"/>
        </w:rPr>
        <w:t>50, 100 and 200 unit vials,</w:t>
      </w:r>
      <w:r w:rsidRPr="006F1E1B">
        <w:rPr>
          <w:rFonts w:ascii="Calibri" w:eastAsia="MS Mincho" w:hAnsi="Calibri" w:cs="Times New Roman"/>
          <w:szCs w:val="28"/>
        </w:rPr>
        <w:t xml:space="preserve"> Dysport as 125, 300 and 500 unit vials, and Xeomin as 50 and 100 unit vials.</w:t>
      </w:r>
      <w:r>
        <w:rPr>
          <w:rFonts w:ascii="Calibri" w:eastAsia="MS Mincho" w:hAnsi="Calibri" w:cs="Times New Roman"/>
          <w:szCs w:val="28"/>
        </w:rPr>
        <w:t xml:space="preserve"> PBS listed vials are Botox 100 units, Dysport 300 and 500 units and Xeomin 100 units.</w:t>
      </w:r>
    </w:p>
    <w:p w:rsidR="00D50728" w:rsidRDefault="00D50728">
      <w:pPr>
        <w:spacing w:line="276" w:lineRule="auto"/>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br w:type="page"/>
      </w:r>
    </w:p>
    <w:p w:rsidR="0022309A" w:rsidRPr="00440DED" w:rsidRDefault="0022309A" w:rsidP="0022309A">
      <w:pPr>
        <w:widowControl w:val="0"/>
        <w:spacing w:after="0"/>
        <w:rPr>
          <w:rFonts w:ascii="Calibri" w:eastAsia="Times New Roman" w:hAnsi="Calibri" w:cs="Times New Roman"/>
          <w:b/>
          <w:iCs/>
          <w:snapToGrid w:val="0"/>
          <w:lang w:eastAsia="en-US"/>
        </w:rPr>
      </w:pPr>
      <w:r w:rsidRPr="00BD56EC">
        <w:rPr>
          <w:rFonts w:ascii="Calibri" w:eastAsia="Times New Roman" w:hAnsi="Calibri" w:cs="Times New Roman"/>
          <w:b/>
          <w:iCs/>
          <w:snapToGrid w:val="0"/>
          <w:lang w:eastAsia="en-US"/>
        </w:rPr>
        <w:lastRenderedPageBreak/>
        <w:t>Table 1: TGA indications and PBS listing</w:t>
      </w:r>
      <w:r w:rsidR="00E25081" w:rsidRPr="00BD56EC">
        <w:rPr>
          <w:rFonts w:ascii="Calibri" w:eastAsia="Times New Roman" w:hAnsi="Calibri" w:cs="Times New Roman"/>
          <w:b/>
          <w:iCs/>
          <w:snapToGrid w:val="0"/>
          <w:lang w:eastAsia="en-US"/>
        </w:rPr>
        <w:t>s (abridged</w:t>
      </w:r>
      <w:proofErr w:type="gramStart"/>
      <w:r w:rsidR="00E25081" w:rsidRPr="00BD56EC">
        <w:rPr>
          <w:rFonts w:ascii="Calibri" w:eastAsia="Times New Roman" w:hAnsi="Calibri" w:cs="Times New Roman"/>
          <w:b/>
          <w:iCs/>
          <w:snapToGrid w:val="0"/>
          <w:lang w:eastAsia="en-US"/>
        </w:rPr>
        <w:t>)</w:t>
      </w:r>
      <w:r w:rsidR="00BA2B44" w:rsidRPr="00BD56EC">
        <w:rPr>
          <w:rFonts w:ascii="Calibri" w:eastAsia="Times New Roman" w:hAnsi="Calibri" w:cs="Times New Roman"/>
          <w:b/>
          <w:iCs/>
          <w:snapToGrid w:val="0"/>
          <w:vertAlign w:val="superscript"/>
          <w:lang w:eastAsia="en-US"/>
        </w:rPr>
        <w:t>a</w:t>
      </w:r>
      <w:proofErr w:type="gramEnd"/>
      <w:r>
        <w:rPr>
          <w:rFonts w:ascii="Calibri" w:eastAsia="Times New Roman" w:hAnsi="Calibri" w:cs="Times New Roman"/>
          <w:b/>
          <w:iCs/>
          <w:snapToGrid w:val="0"/>
          <w:lang w:eastAsia="en-US"/>
        </w:rPr>
        <w:t xml:space="preserve"> </w:t>
      </w:r>
    </w:p>
    <w:tbl>
      <w:tblPr>
        <w:tblW w:w="9314" w:type="dxa"/>
        <w:tblCellMar>
          <w:left w:w="0" w:type="dxa"/>
          <w:right w:w="0" w:type="dxa"/>
        </w:tblCellMar>
        <w:tblLook w:val="04A0" w:firstRow="1" w:lastRow="0" w:firstColumn="1" w:lastColumn="0" w:noHBand="0" w:noVBand="1"/>
      </w:tblPr>
      <w:tblGrid>
        <w:gridCol w:w="3447"/>
        <w:gridCol w:w="1844"/>
        <w:gridCol w:w="2041"/>
        <w:gridCol w:w="1982"/>
      </w:tblGrid>
      <w:tr w:rsidR="00F21B88" w:rsidRPr="005B28EC" w:rsidTr="005B28EC">
        <w:tc>
          <w:tcPr>
            <w:tcW w:w="344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rsidR="00F21B88" w:rsidRPr="005B28EC" w:rsidRDefault="00F21B88" w:rsidP="003F5163">
            <w:pPr>
              <w:spacing w:after="0"/>
              <w:rPr>
                <w:rFonts w:eastAsiaTheme="minorHAnsi"/>
                <w:b/>
                <w:sz w:val="20"/>
                <w:szCs w:val="20"/>
                <w:lang w:eastAsia="en-US"/>
              </w:rPr>
            </w:pPr>
          </w:p>
        </w:tc>
        <w:tc>
          <w:tcPr>
            <w:tcW w:w="1844"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F21B88" w:rsidRPr="005B28EC" w:rsidRDefault="00F21B88" w:rsidP="003F5163">
            <w:pPr>
              <w:spacing w:after="0"/>
              <w:rPr>
                <w:rFonts w:eastAsiaTheme="minorHAnsi"/>
                <w:b/>
                <w:sz w:val="20"/>
                <w:szCs w:val="20"/>
                <w:lang w:eastAsia="en-US"/>
              </w:rPr>
            </w:pPr>
            <w:r w:rsidRPr="005B28EC">
              <w:rPr>
                <w:b/>
                <w:sz w:val="20"/>
                <w:szCs w:val="20"/>
              </w:rPr>
              <w:t xml:space="preserve">Botulinum purified neurotoxin </w:t>
            </w:r>
            <w:proofErr w:type="spellStart"/>
            <w:r w:rsidRPr="005B28EC">
              <w:rPr>
                <w:b/>
                <w:sz w:val="20"/>
                <w:szCs w:val="20"/>
              </w:rPr>
              <w:t>complex</w:t>
            </w:r>
            <w:r w:rsidRPr="005B28EC">
              <w:rPr>
                <w:b/>
                <w:sz w:val="20"/>
                <w:szCs w:val="20"/>
                <w:vertAlign w:val="superscript"/>
              </w:rPr>
              <w:t>b</w:t>
            </w:r>
            <w:proofErr w:type="spellEnd"/>
            <w:r w:rsidRPr="005B28EC">
              <w:rPr>
                <w:b/>
                <w:sz w:val="20"/>
                <w:szCs w:val="20"/>
              </w:rPr>
              <w:t xml:space="preserve"> (</w:t>
            </w:r>
            <w:r w:rsidRPr="009D4FBE">
              <w:rPr>
                <w:b/>
                <w:sz w:val="20"/>
                <w:szCs w:val="20"/>
              </w:rPr>
              <w:t>Botox)</w:t>
            </w:r>
          </w:p>
        </w:tc>
        <w:tc>
          <w:tcPr>
            <w:tcW w:w="204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rsidR="00F21B88" w:rsidRPr="005B28EC" w:rsidRDefault="00F21B88" w:rsidP="003F5163">
            <w:pPr>
              <w:spacing w:after="0"/>
              <w:rPr>
                <w:rFonts w:eastAsiaTheme="minorHAnsi"/>
                <w:b/>
                <w:sz w:val="20"/>
                <w:szCs w:val="20"/>
                <w:lang w:eastAsia="en-US"/>
              </w:rPr>
            </w:pPr>
            <w:r w:rsidRPr="005B28EC">
              <w:rPr>
                <w:b/>
                <w:sz w:val="20"/>
                <w:szCs w:val="20"/>
              </w:rPr>
              <w:t>Clostridium botulinum type A toxin-</w:t>
            </w:r>
            <w:proofErr w:type="spellStart"/>
            <w:r w:rsidRPr="005B28EC">
              <w:rPr>
                <w:b/>
                <w:sz w:val="20"/>
                <w:szCs w:val="20"/>
              </w:rPr>
              <w:t>haemagglutinin</w:t>
            </w:r>
            <w:proofErr w:type="spellEnd"/>
            <w:r w:rsidRPr="005B28EC">
              <w:rPr>
                <w:b/>
                <w:sz w:val="20"/>
                <w:szCs w:val="20"/>
              </w:rPr>
              <w:t xml:space="preserve"> </w:t>
            </w:r>
            <w:proofErr w:type="spellStart"/>
            <w:r w:rsidRPr="005B28EC">
              <w:rPr>
                <w:b/>
                <w:sz w:val="20"/>
                <w:szCs w:val="20"/>
              </w:rPr>
              <w:t>complex</w:t>
            </w:r>
            <w:r w:rsidRPr="005B28EC">
              <w:rPr>
                <w:b/>
                <w:sz w:val="20"/>
                <w:szCs w:val="20"/>
                <w:vertAlign w:val="superscript"/>
              </w:rPr>
              <w:t>c</w:t>
            </w:r>
            <w:proofErr w:type="spellEnd"/>
            <w:r w:rsidRPr="005B28EC">
              <w:rPr>
                <w:b/>
                <w:sz w:val="20"/>
                <w:szCs w:val="20"/>
              </w:rPr>
              <w:t xml:space="preserve"> (</w:t>
            </w:r>
            <w:proofErr w:type="spellStart"/>
            <w:r w:rsidRPr="005B28EC">
              <w:rPr>
                <w:b/>
                <w:sz w:val="20"/>
                <w:szCs w:val="20"/>
              </w:rPr>
              <w:t>Dysport</w:t>
            </w:r>
            <w:proofErr w:type="spellEnd"/>
            <w:r w:rsidRPr="005B28EC">
              <w:rPr>
                <w:b/>
                <w:sz w:val="20"/>
                <w:szCs w:val="20"/>
              </w:rPr>
              <w:t>)</w:t>
            </w:r>
          </w:p>
        </w:tc>
        <w:tc>
          <w:tcPr>
            <w:tcW w:w="198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F21B88" w:rsidRPr="005B28EC" w:rsidRDefault="00F21B88" w:rsidP="003F5163">
            <w:pPr>
              <w:spacing w:after="0"/>
              <w:rPr>
                <w:rFonts w:eastAsiaTheme="minorHAnsi"/>
                <w:b/>
                <w:sz w:val="20"/>
                <w:szCs w:val="20"/>
                <w:lang w:eastAsia="en-US"/>
              </w:rPr>
            </w:pPr>
            <w:proofErr w:type="spellStart"/>
            <w:r w:rsidRPr="005B28EC">
              <w:rPr>
                <w:b/>
                <w:sz w:val="20"/>
                <w:szCs w:val="20"/>
              </w:rPr>
              <w:t>IncobotulinumtoxinA</w:t>
            </w:r>
            <w:proofErr w:type="spellEnd"/>
            <w:r w:rsidRPr="005B28EC">
              <w:rPr>
                <w:b/>
                <w:sz w:val="20"/>
                <w:szCs w:val="20"/>
              </w:rPr>
              <w:t xml:space="preserve"> (</w:t>
            </w:r>
            <w:proofErr w:type="spellStart"/>
            <w:r w:rsidRPr="005B28EC">
              <w:rPr>
                <w:b/>
                <w:sz w:val="20"/>
                <w:szCs w:val="20"/>
              </w:rPr>
              <w:t>Xeomin</w:t>
            </w:r>
            <w:proofErr w:type="spellEnd"/>
            <w:r w:rsidRPr="005B28EC">
              <w:rPr>
                <w:b/>
                <w:sz w:val="20"/>
                <w:szCs w:val="20"/>
              </w:rPr>
              <w:t>)</w:t>
            </w: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Blepharospasm</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d</w:t>
            </w:r>
            <w:proofErr w:type="spellEnd"/>
          </w:p>
        </w:tc>
        <w:tc>
          <w:tcPr>
            <w:tcW w:w="2041"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e</w:t>
            </w:r>
            <w:proofErr w:type="spellEnd"/>
          </w:p>
        </w:tc>
        <w:tc>
          <w:tcPr>
            <w:tcW w:w="1982"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Hemifacial spasm</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C915F6" w:rsidRDefault="00F21B88" w:rsidP="003F5163">
            <w:pPr>
              <w:spacing w:after="0"/>
              <w:jc w:val="center"/>
              <w:rPr>
                <w:rFonts w:eastAsiaTheme="minorHAnsi"/>
                <w:sz w:val="20"/>
                <w:szCs w:val="20"/>
                <w:vertAlign w:val="superscript"/>
                <w:lang w:eastAsia="en-US"/>
              </w:rPr>
            </w:pPr>
            <w:proofErr w:type="spellStart"/>
            <w:r w:rsidRPr="00B05493">
              <w:rPr>
                <w:sz w:val="20"/>
                <w:szCs w:val="20"/>
              </w:rPr>
              <w:t>X</w:t>
            </w:r>
            <w:r>
              <w:rPr>
                <w:sz w:val="20"/>
                <w:szCs w:val="20"/>
                <w:vertAlign w:val="superscript"/>
              </w:rPr>
              <w:t>d</w:t>
            </w:r>
            <w:proofErr w:type="spellEnd"/>
          </w:p>
        </w:tc>
        <w:tc>
          <w:tcPr>
            <w:tcW w:w="2041"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394393" w:rsidRDefault="00F21B88" w:rsidP="003F5163">
            <w:pPr>
              <w:spacing w:after="0"/>
              <w:jc w:val="center"/>
              <w:rPr>
                <w:rFonts w:eastAsiaTheme="minorHAnsi"/>
                <w:sz w:val="20"/>
                <w:szCs w:val="20"/>
                <w:vertAlign w:val="superscript"/>
                <w:lang w:eastAsia="en-US"/>
              </w:rPr>
            </w:pPr>
            <w:proofErr w:type="spellStart"/>
            <w:r w:rsidRPr="00B05493">
              <w:rPr>
                <w:sz w:val="20"/>
                <w:szCs w:val="20"/>
              </w:rPr>
              <w:t>X</w:t>
            </w:r>
            <w:r>
              <w:rPr>
                <w:sz w:val="20"/>
                <w:szCs w:val="20"/>
                <w:vertAlign w:val="superscript"/>
              </w:rPr>
              <w:t>e</w:t>
            </w:r>
            <w:proofErr w:type="spellEnd"/>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Cervical dystonia (spasmodic torticollis)</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e</w:t>
            </w:r>
            <w:proofErr w:type="spellEnd"/>
          </w:p>
        </w:tc>
        <w:tc>
          <w:tcPr>
            <w:tcW w:w="1982"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 xml:space="preserve">Focal spasticity </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e</w:t>
            </w:r>
            <w:proofErr w:type="spellEnd"/>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21B88" w:rsidRPr="00497E09" w:rsidRDefault="00F21B88" w:rsidP="003F5163">
            <w:pPr>
              <w:pStyle w:val="ListParagraph"/>
              <w:ind w:left="284"/>
              <w:jc w:val="both"/>
              <w:rPr>
                <w:sz w:val="20"/>
                <w:szCs w:val="20"/>
              </w:rPr>
            </w:pPr>
            <w:r w:rsidRPr="00497E09">
              <w:rPr>
                <w:sz w:val="20"/>
                <w:szCs w:val="20"/>
              </w:rPr>
              <w:t>Focal spasticity upper limbs</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21B88" w:rsidRPr="002D2D34" w:rsidRDefault="00F21B88" w:rsidP="003F5163">
            <w:pPr>
              <w:spacing w:after="0"/>
              <w:jc w:val="center"/>
              <w:rPr>
                <w:sz w:val="20"/>
                <w:szCs w:val="20"/>
                <w:vertAlign w:val="superscript"/>
              </w:rPr>
            </w:pPr>
            <w:proofErr w:type="spellStart"/>
            <w:r>
              <w:rPr>
                <w:sz w:val="20"/>
                <w:szCs w:val="20"/>
              </w:rPr>
              <w:t>X</w:t>
            </w:r>
            <w:r>
              <w:rPr>
                <w:sz w:val="20"/>
                <w:szCs w:val="20"/>
                <w:vertAlign w:val="superscript"/>
              </w:rPr>
              <w:t>g</w:t>
            </w:r>
            <w:proofErr w:type="spellEnd"/>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21B88" w:rsidRDefault="00F21B88" w:rsidP="003F5163">
            <w:pPr>
              <w:spacing w:after="0"/>
              <w:jc w:val="center"/>
              <w:rPr>
                <w:rFonts w:eastAsiaTheme="minorHAnsi"/>
                <w:sz w:val="20"/>
                <w:szCs w:val="20"/>
                <w:lang w:eastAsia="en-US"/>
              </w:rPr>
            </w:pPr>
            <w:proofErr w:type="spellStart"/>
            <w:r>
              <w:rPr>
                <w:rFonts w:eastAsiaTheme="minorHAnsi"/>
                <w:sz w:val="20"/>
                <w:szCs w:val="20"/>
                <w:lang w:eastAsia="en-US"/>
              </w:rPr>
              <w:t>X</w:t>
            </w:r>
            <w:r>
              <w:rPr>
                <w:sz w:val="20"/>
                <w:szCs w:val="20"/>
                <w:vertAlign w:val="superscript"/>
              </w:rPr>
              <w:t>e</w:t>
            </w:r>
            <w:proofErr w:type="spellEnd"/>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21B88" w:rsidRPr="00DB0F2F" w:rsidRDefault="00F21B88" w:rsidP="003F5163">
            <w:pPr>
              <w:spacing w:after="0"/>
              <w:ind w:left="709"/>
              <w:rPr>
                <w:rFonts w:eastAsiaTheme="minorHAnsi"/>
                <w:sz w:val="20"/>
                <w:szCs w:val="20"/>
                <w:lang w:eastAsia="en-US"/>
              </w:rPr>
            </w:pPr>
            <w:r w:rsidRPr="00DB0F2F">
              <w:rPr>
                <w:sz w:val="20"/>
                <w:szCs w:val="20"/>
              </w:rPr>
              <w:t>Spasticity of the upper limb following stroke</w:t>
            </w:r>
          </w:p>
        </w:tc>
        <w:tc>
          <w:tcPr>
            <w:tcW w:w="1844" w:type="dxa"/>
            <w:tcBorders>
              <w:top w:val="nil"/>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roofErr w:type="spellStart"/>
            <w:r>
              <w:rPr>
                <w:rFonts w:eastAsiaTheme="minorHAnsi"/>
                <w:sz w:val="20"/>
                <w:szCs w:val="20"/>
                <w:lang w:eastAsia="en-US"/>
              </w:rPr>
              <w:t>X</w:t>
            </w:r>
            <w:r w:rsidRPr="00DE05B1">
              <w:rPr>
                <w:rFonts w:eastAsiaTheme="minorHAnsi"/>
                <w:sz w:val="20"/>
                <w:szCs w:val="20"/>
                <w:vertAlign w:val="superscript"/>
                <w:lang w:eastAsia="en-US"/>
              </w:rPr>
              <w:t>f</w:t>
            </w:r>
            <w:r>
              <w:rPr>
                <w:rFonts w:eastAsiaTheme="minorHAnsi"/>
                <w:sz w:val="20"/>
                <w:szCs w:val="20"/>
                <w:vertAlign w:val="superscript"/>
                <w:lang w:eastAsia="en-US"/>
              </w:rPr>
              <w:t>,g</w:t>
            </w:r>
            <w:proofErr w:type="spellEnd"/>
          </w:p>
        </w:tc>
        <w:tc>
          <w:tcPr>
            <w:tcW w:w="2041" w:type="dxa"/>
            <w:tcBorders>
              <w:top w:val="nil"/>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h</w:t>
            </w:r>
            <w:proofErr w:type="spellEnd"/>
          </w:p>
        </w:tc>
        <w:tc>
          <w:tcPr>
            <w:tcW w:w="1982" w:type="dxa"/>
            <w:tcBorders>
              <w:top w:val="nil"/>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tcPr>
          <w:p w:rsidR="00F21B88" w:rsidRPr="003B6388" w:rsidRDefault="00F21B88" w:rsidP="003F5163">
            <w:pPr>
              <w:spacing w:after="0"/>
              <w:jc w:val="center"/>
              <w:rPr>
                <w:rFonts w:eastAsiaTheme="minorHAnsi"/>
                <w:sz w:val="20"/>
                <w:szCs w:val="20"/>
                <w:lang w:eastAsia="en-US"/>
              </w:rPr>
            </w:pPr>
            <w:proofErr w:type="spellStart"/>
            <w:r w:rsidRPr="003B6388">
              <w:rPr>
                <w:rFonts w:eastAsiaTheme="minorHAnsi"/>
                <w:sz w:val="20"/>
                <w:szCs w:val="20"/>
                <w:lang w:eastAsia="en-US"/>
              </w:rPr>
              <w:t>X</w:t>
            </w:r>
            <w:r w:rsidRPr="003B6388">
              <w:rPr>
                <w:sz w:val="20"/>
                <w:szCs w:val="20"/>
                <w:vertAlign w:val="superscript"/>
              </w:rPr>
              <w:t>h</w:t>
            </w:r>
            <w:proofErr w:type="spellEnd"/>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21B88" w:rsidRPr="00DB0F2F" w:rsidRDefault="00F21B88" w:rsidP="003F5163">
            <w:pPr>
              <w:spacing w:after="0"/>
              <w:ind w:left="709"/>
              <w:rPr>
                <w:rFonts w:eastAsiaTheme="minorHAnsi"/>
                <w:sz w:val="20"/>
                <w:szCs w:val="20"/>
                <w:lang w:eastAsia="en-US"/>
              </w:rPr>
            </w:pPr>
            <w:r w:rsidRPr="00DB0F2F">
              <w:rPr>
                <w:sz w:val="20"/>
                <w:szCs w:val="20"/>
              </w:rPr>
              <w:t>Spasticity of the upper limb due to cerebral palsy</w:t>
            </w:r>
          </w:p>
        </w:tc>
        <w:tc>
          <w:tcPr>
            <w:tcW w:w="1844" w:type="dxa"/>
            <w:tcBorders>
              <w:top w:val="nil"/>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roofErr w:type="spellStart"/>
            <w:r>
              <w:rPr>
                <w:rFonts w:eastAsiaTheme="minorHAnsi"/>
                <w:sz w:val="20"/>
                <w:szCs w:val="20"/>
                <w:lang w:eastAsia="en-US"/>
              </w:rPr>
              <w:t>X</w:t>
            </w:r>
            <w:r w:rsidRPr="00FB229D">
              <w:rPr>
                <w:rFonts w:eastAsiaTheme="minorHAnsi"/>
                <w:sz w:val="20"/>
                <w:szCs w:val="20"/>
                <w:vertAlign w:val="superscript"/>
                <w:lang w:eastAsia="en-US"/>
              </w:rPr>
              <w:t>f</w:t>
            </w:r>
            <w:r>
              <w:rPr>
                <w:rFonts w:eastAsiaTheme="minorHAnsi"/>
                <w:sz w:val="20"/>
                <w:szCs w:val="20"/>
                <w:vertAlign w:val="superscript"/>
                <w:lang w:eastAsia="en-US"/>
              </w:rPr>
              <w:t>,g</w:t>
            </w:r>
            <w:proofErr w:type="spellEnd"/>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roofErr w:type="spellStart"/>
            <w:r>
              <w:rPr>
                <w:rFonts w:eastAsiaTheme="minorHAnsi"/>
                <w:sz w:val="20"/>
                <w:szCs w:val="20"/>
                <w:lang w:eastAsia="en-US"/>
              </w:rPr>
              <w:t>X</w:t>
            </w:r>
            <w:r>
              <w:rPr>
                <w:rFonts w:eastAsiaTheme="minorHAnsi"/>
                <w:sz w:val="20"/>
                <w:szCs w:val="20"/>
                <w:vertAlign w:val="superscript"/>
                <w:lang w:eastAsia="en-US"/>
              </w:rPr>
              <w:t>h</w:t>
            </w:r>
            <w:proofErr w:type="spellEnd"/>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21B88" w:rsidRPr="00DB0F2F" w:rsidRDefault="00F21B88" w:rsidP="003F5163">
            <w:pPr>
              <w:spacing w:after="0"/>
              <w:ind w:left="284"/>
              <w:rPr>
                <w:sz w:val="20"/>
                <w:szCs w:val="20"/>
              </w:rPr>
            </w:pPr>
            <w:r w:rsidRPr="00DB0F2F">
              <w:rPr>
                <w:sz w:val="20"/>
                <w:szCs w:val="20"/>
              </w:rPr>
              <w:t>Focal spasticity lower limbs</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21B88" w:rsidRPr="002D2D34" w:rsidRDefault="00F21B88" w:rsidP="003F5163">
            <w:pPr>
              <w:spacing w:after="0"/>
              <w:jc w:val="center"/>
              <w:rPr>
                <w:sz w:val="20"/>
                <w:szCs w:val="20"/>
                <w:vertAlign w:val="superscript"/>
              </w:rPr>
            </w:pPr>
            <w:proofErr w:type="spellStart"/>
            <w:r>
              <w:rPr>
                <w:sz w:val="20"/>
                <w:szCs w:val="20"/>
              </w:rPr>
              <w:t>X</w:t>
            </w:r>
            <w:r>
              <w:rPr>
                <w:sz w:val="20"/>
                <w:szCs w:val="20"/>
                <w:vertAlign w:val="superscript"/>
              </w:rPr>
              <w:t>g</w:t>
            </w:r>
            <w:proofErr w:type="spellEnd"/>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21B88" w:rsidRPr="002D2D34" w:rsidRDefault="00F21B88" w:rsidP="003F5163">
            <w:pPr>
              <w:spacing w:after="0"/>
              <w:jc w:val="center"/>
              <w:rPr>
                <w:rFonts w:eastAsiaTheme="minorHAnsi"/>
                <w:i/>
                <w:sz w:val="20"/>
                <w:szCs w:val="20"/>
                <w:vertAlign w:val="superscript"/>
                <w:lang w:eastAsia="en-US"/>
              </w:rPr>
            </w:pPr>
            <w:proofErr w:type="spellStart"/>
            <w:r>
              <w:rPr>
                <w:rFonts w:eastAsiaTheme="minorHAnsi"/>
                <w:sz w:val="20"/>
                <w:szCs w:val="20"/>
                <w:lang w:eastAsia="en-US"/>
              </w:rPr>
              <w:t>X</w:t>
            </w:r>
            <w:r>
              <w:rPr>
                <w:sz w:val="20"/>
                <w:szCs w:val="20"/>
                <w:vertAlign w:val="superscript"/>
              </w:rPr>
              <w:t>g</w:t>
            </w:r>
            <w:proofErr w:type="spellEnd"/>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ind w:left="709"/>
              <w:rPr>
                <w:rFonts w:eastAsiaTheme="minorHAnsi"/>
                <w:sz w:val="20"/>
                <w:szCs w:val="20"/>
                <w:lang w:eastAsia="en-US"/>
              </w:rPr>
            </w:pPr>
            <w:r w:rsidRPr="00DB0F2F">
              <w:rPr>
                <w:sz w:val="20"/>
                <w:szCs w:val="20"/>
              </w:rPr>
              <w:t>Dynamic equinus foot deformity due to cerebral palsy spasticity</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sidRPr="00FB229D">
              <w:rPr>
                <w:sz w:val="20"/>
                <w:szCs w:val="20"/>
                <w:vertAlign w:val="superscript"/>
              </w:rPr>
              <w:t>g</w:t>
            </w:r>
            <w:proofErr w:type="spellEnd"/>
          </w:p>
        </w:tc>
        <w:tc>
          <w:tcPr>
            <w:tcW w:w="2041"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Pr>
                <w:rFonts w:eastAsiaTheme="minorHAnsi"/>
                <w:sz w:val="20"/>
                <w:szCs w:val="20"/>
                <w:lang w:eastAsia="en-US"/>
              </w:rPr>
              <w:t>X</w:t>
            </w:r>
            <w:r>
              <w:rPr>
                <w:rFonts w:eastAsiaTheme="minorHAnsi"/>
                <w:sz w:val="20"/>
                <w:szCs w:val="20"/>
                <w:vertAlign w:val="superscript"/>
                <w:lang w:eastAsia="en-US"/>
              </w:rPr>
              <w:t>i</w:t>
            </w: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Chronic migraine prophylaxis</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e</w:t>
            </w:r>
            <w:proofErr w:type="spellEnd"/>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Urinary incontinence due to overactive bladder</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e</w:t>
            </w:r>
            <w:proofErr w:type="spellEnd"/>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 xml:space="preserve">Urinary incontinence due to neurogenic detrusor overactivity </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DB0F2F" w:rsidRDefault="00F21B88" w:rsidP="003F5163">
            <w:pPr>
              <w:spacing w:after="0"/>
              <w:rPr>
                <w:rFonts w:eastAsiaTheme="minorHAnsi"/>
                <w:sz w:val="20"/>
                <w:szCs w:val="20"/>
                <w:lang w:eastAsia="en-US"/>
              </w:rPr>
            </w:pPr>
            <w:r w:rsidRPr="00DB0F2F">
              <w:rPr>
                <w:sz w:val="20"/>
                <w:szCs w:val="20"/>
              </w:rPr>
              <w:t>Hyperhidrosis of the axillae</w:t>
            </w:r>
          </w:p>
        </w:tc>
        <w:tc>
          <w:tcPr>
            <w:tcW w:w="1844" w:type="dxa"/>
            <w:tcBorders>
              <w:top w:val="nil"/>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C915F6" w:rsidRDefault="00F21B88" w:rsidP="003F5163">
            <w:pPr>
              <w:spacing w:after="0"/>
              <w:rPr>
                <w:rFonts w:eastAsiaTheme="minorHAnsi"/>
                <w:sz w:val="20"/>
                <w:szCs w:val="20"/>
                <w:lang w:eastAsia="en-US"/>
              </w:rPr>
            </w:pPr>
            <w:r w:rsidRPr="00C915F6">
              <w:rPr>
                <w:sz w:val="20"/>
                <w:szCs w:val="20"/>
              </w:rPr>
              <w:t>Strabismus</w:t>
            </w:r>
          </w:p>
        </w:tc>
        <w:tc>
          <w:tcPr>
            <w:tcW w:w="1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1B88" w:rsidRPr="00C915F6" w:rsidRDefault="00F21B88" w:rsidP="003F5163">
            <w:pPr>
              <w:spacing w:after="0"/>
              <w:rPr>
                <w:rFonts w:eastAsiaTheme="minorHAnsi"/>
                <w:sz w:val="20"/>
                <w:szCs w:val="20"/>
                <w:lang w:eastAsia="en-US"/>
              </w:rPr>
            </w:pPr>
            <w:r w:rsidRPr="00C915F6">
              <w:rPr>
                <w:sz w:val="20"/>
                <w:szCs w:val="20"/>
              </w:rPr>
              <w:t>Spasmodic dysphonia</w:t>
            </w:r>
          </w:p>
        </w:tc>
        <w:tc>
          <w:tcPr>
            <w:tcW w:w="1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r>
      <w:tr w:rsidR="00F21B88" w:rsidTr="005B28EC">
        <w:tc>
          <w:tcPr>
            <w:tcW w:w="344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21B88" w:rsidRPr="00C915F6" w:rsidRDefault="00F21B88" w:rsidP="003F5163">
            <w:pPr>
              <w:spacing w:after="0"/>
              <w:rPr>
                <w:rFonts w:eastAsiaTheme="minorHAnsi"/>
                <w:sz w:val="20"/>
                <w:szCs w:val="20"/>
                <w:lang w:eastAsia="en-US"/>
              </w:rPr>
            </w:pPr>
            <w:r w:rsidRPr="00C915F6">
              <w:rPr>
                <w:sz w:val="20"/>
                <w:szCs w:val="20"/>
              </w:rPr>
              <w:t>Glabellar frown lines (cosmetic)</w:t>
            </w:r>
          </w:p>
        </w:tc>
        <w:tc>
          <w:tcPr>
            <w:tcW w:w="184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proofErr w:type="spellStart"/>
            <w:r w:rsidRPr="00B05493">
              <w:rPr>
                <w:sz w:val="20"/>
                <w:szCs w:val="20"/>
              </w:rPr>
              <w:t>X</w:t>
            </w:r>
            <w:r>
              <w:rPr>
                <w:sz w:val="20"/>
                <w:szCs w:val="20"/>
                <w:vertAlign w:val="superscript"/>
              </w:rPr>
              <w:t>e</w:t>
            </w:r>
            <w:proofErr w:type="spellEnd"/>
          </w:p>
        </w:tc>
        <w:tc>
          <w:tcPr>
            <w:tcW w:w="198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r>
      <w:tr w:rsidR="00F21B88" w:rsidTr="005B28EC">
        <w:tc>
          <w:tcPr>
            <w:tcW w:w="3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21B88" w:rsidRPr="00C915F6" w:rsidRDefault="00F21B88" w:rsidP="003F5163">
            <w:pPr>
              <w:rPr>
                <w:rFonts w:eastAsiaTheme="minorHAnsi"/>
                <w:sz w:val="20"/>
                <w:szCs w:val="20"/>
                <w:lang w:eastAsia="en-US"/>
              </w:rPr>
            </w:pPr>
            <w:r w:rsidRPr="00C915F6">
              <w:rPr>
                <w:sz w:val="20"/>
                <w:szCs w:val="20"/>
              </w:rPr>
              <w:t>Crow’s feet (cosmetic)</w:t>
            </w:r>
          </w:p>
        </w:tc>
        <w:tc>
          <w:tcPr>
            <w:tcW w:w="18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r>
              <w:rPr>
                <w:rFonts w:eastAsiaTheme="minorHAnsi"/>
                <w:sz w:val="20"/>
                <w:szCs w:val="20"/>
                <w:lang w:eastAsia="en-US"/>
              </w:rPr>
              <w:t>X</w:t>
            </w:r>
          </w:p>
        </w:tc>
      </w:tr>
      <w:tr w:rsidR="00F21B88" w:rsidTr="005B28EC">
        <w:tc>
          <w:tcPr>
            <w:tcW w:w="34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1B88" w:rsidRPr="00C915F6" w:rsidRDefault="00F21B88" w:rsidP="003F5163">
            <w:pPr>
              <w:rPr>
                <w:sz w:val="20"/>
                <w:szCs w:val="20"/>
              </w:rPr>
            </w:pPr>
            <w:r>
              <w:rPr>
                <w:sz w:val="20"/>
                <w:szCs w:val="20"/>
              </w:rPr>
              <w:t>F</w:t>
            </w:r>
            <w:r w:rsidRPr="00C915F6">
              <w:rPr>
                <w:sz w:val="20"/>
                <w:szCs w:val="20"/>
              </w:rPr>
              <w:t>orehead lines</w:t>
            </w:r>
            <w:r>
              <w:rPr>
                <w:sz w:val="20"/>
                <w:szCs w:val="20"/>
              </w:rPr>
              <w:t xml:space="preserve"> </w:t>
            </w:r>
            <w:r w:rsidRPr="00C915F6">
              <w:rPr>
                <w:sz w:val="20"/>
                <w:szCs w:val="20"/>
              </w:rPr>
              <w:t>(cosmetic)</w:t>
            </w:r>
          </w:p>
        </w:tc>
        <w:tc>
          <w:tcPr>
            <w:tcW w:w="18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r w:rsidRPr="00B05493">
              <w:rPr>
                <w:sz w:val="20"/>
                <w:szCs w:val="20"/>
              </w:rPr>
              <w:t>X</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p>
        </w:tc>
        <w:tc>
          <w:tcPr>
            <w:tcW w:w="1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21B88" w:rsidRPr="00B05493" w:rsidRDefault="00F21B88" w:rsidP="003F5163">
            <w:pPr>
              <w:spacing w:after="0"/>
              <w:jc w:val="center"/>
              <w:rPr>
                <w:rFonts w:eastAsiaTheme="minorHAnsi"/>
                <w:sz w:val="20"/>
                <w:szCs w:val="20"/>
                <w:lang w:eastAsia="en-US"/>
              </w:rPr>
            </w:pPr>
            <w:r>
              <w:rPr>
                <w:rFonts w:eastAsiaTheme="minorHAnsi"/>
                <w:sz w:val="20"/>
                <w:szCs w:val="20"/>
                <w:lang w:eastAsia="en-US"/>
              </w:rPr>
              <w:t>X</w:t>
            </w:r>
          </w:p>
        </w:tc>
      </w:tr>
    </w:tbl>
    <w:p w:rsidR="00F21B88" w:rsidRDefault="00F21B88" w:rsidP="00F21B88">
      <w:pPr>
        <w:spacing w:after="0"/>
        <w:rPr>
          <w:sz w:val="20"/>
          <w:szCs w:val="20"/>
        </w:rPr>
      </w:pPr>
      <w:r w:rsidRPr="00D22B7D">
        <w:rPr>
          <w:sz w:val="20"/>
          <w:szCs w:val="20"/>
        </w:rPr>
        <w:t xml:space="preserve">Crosses </w:t>
      </w:r>
      <w:r>
        <w:rPr>
          <w:sz w:val="20"/>
          <w:szCs w:val="20"/>
        </w:rPr>
        <w:t xml:space="preserve">(X) </w:t>
      </w:r>
      <w:r w:rsidRPr="00D22B7D">
        <w:rPr>
          <w:sz w:val="20"/>
          <w:szCs w:val="20"/>
        </w:rPr>
        <w:t xml:space="preserve">indicate TGA registration. </w:t>
      </w:r>
      <w:r>
        <w:rPr>
          <w:sz w:val="20"/>
          <w:szCs w:val="20"/>
        </w:rPr>
        <w:t>S</w:t>
      </w:r>
      <w:r w:rsidRPr="00D22B7D">
        <w:rPr>
          <w:sz w:val="20"/>
          <w:szCs w:val="20"/>
        </w:rPr>
        <w:t>haded are PBS subsidised</w:t>
      </w:r>
      <w:r>
        <w:rPr>
          <w:sz w:val="20"/>
          <w:szCs w:val="20"/>
        </w:rPr>
        <w:t xml:space="preserve"> under certain criteria</w:t>
      </w:r>
      <w:r w:rsidRPr="00D22B7D">
        <w:rPr>
          <w:sz w:val="20"/>
          <w:szCs w:val="20"/>
        </w:rPr>
        <w:t>.</w:t>
      </w:r>
    </w:p>
    <w:p w:rsidR="00F21B88" w:rsidRPr="00D50728" w:rsidRDefault="00F21B88" w:rsidP="00F21B88">
      <w:pPr>
        <w:pStyle w:val="FootnoteText"/>
        <w:rPr>
          <w:sz w:val="20"/>
        </w:rPr>
      </w:pPr>
      <w:proofErr w:type="gramStart"/>
      <w:r w:rsidRPr="00D50728">
        <w:rPr>
          <w:sz w:val="20"/>
          <w:vertAlign w:val="superscript"/>
        </w:rPr>
        <w:t>a</w:t>
      </w:r>
      <w:proofErr w:type="gramEnd"/>
      <w:r w:rsidR="003B6388">
        <w:rPr>
          <w:sz w:val="20"/>
        </w:rPr>
        <w:t xml:space="preserve"> A</w:t>
      </w:r>
      <w:r w:rsidRPr="00D50728">
        <w:rPr>
          <w:sz w:val="20"/>
        </w:rPr>
        <w:t xml:space="preserve">s at </w:t>
      </w:r>
      <w:r w:rsidR="002769B2">
        <w:rPr>
          <w:sz w:val="20"/>
        </w:rPr>
        <w:t>April</w:t>
      </w:r>
      <w:r w:rsidRPr="00D50728">
        <w:rPr>
          <w:sz w:val="20"/>
        </w:rPr>
        <w:t xml:space="preserve"> 2018</w:t>
      </w:r>
      <w:r w:rsidR="00EF071E">
        <w:rPr>
          <w:sz w:val="20"/>
        </w:rPr>
        <w:t xml:space="preserve">; </w:t>
      </w:r>
      <w:r w:rsidRPr="00D50728">
        <w:rPr>
          <w:sz w:val="20"/>
          <w:vertAlign w:val="superscript"/>
        </w:rPr>
        <w:t>b</w:t>
      </w:r>
      <w:r w:rsidR="003B6388">
        <w:rPr>
          <w:sz w:val="20"/>
          <w:vertAlign w:val="superscript"/>
        </w:rPr>
        <w:t xml:space="preserve"> </w:t>
      </w:r>
      <w:r w:rsidR="003B6388">
        <w:rPr>
          <w:sz w:val="20"/>
        </w:rPr>
        <w:t>A</w:t>
      </w:r>
      <w:r w:rsidRPr="00D50728">
        <w:rPr>
          <w:sz w:val="20"/>
        </w:rPr>
        <w:t xml:space="preserve">lso known as </w:t>
      </w:r>
      <w:proofErr w:type="spellStart"/>
      <w:r w:rsidRPr="00D50728">
        <w:rPr>
          <w:sz w:val="20"/>
        </w:rPr>
        <w:t>onabotulinumtoxinA</w:t>
      </w:r>
      <w:proofErr w:type="spellEnd"/>
      <w:r w:rsidRPr="00D50728">
        <w:rPr>
          <w:sz w:val="20"/>
        </w:rPr>
        <w:t xml:space="preserve">; </w:t>
      </w:r>
      <w:r w:rsidRPr="00D50728">
        <w:rPr>
          <w:sz w:val="20"/>
          <w:vertAlign w:val="superscript"/>
        </w:rPr>
        <w:t>c</w:t>
      </w:r>
      <w:r w:rsidR="003B6388">
        <w:rPr>
          <w:sz w:val="20"/>
          <w:vertAlign w:val="superscript"/>
        </w:rPr>
        <w:t xml:space="preserve"> </w:t>
      </w:r>
      <w:r w:rsidR="003B6388">
        <w:rPr>
          <w:sz w:val="20"/>
        </w:rPr>
        <w:t>A</w:t>
      </w:r>
      <w:r w:rsidRPr="00D50728">
        <w:rPr>
          <w:sz w:val="20"/>
        </w:rPr>
        <w:t xml:space="preserve">lso known as </w:t>
      </w:r>
      <w:proofErr w:type="spellStart"/>
      <w:r w:rsidRPr="00D50728">
        <w:rPr>
          <w:sz w:val="20"/>
        </w:rPr>
        <w:t>abobotulinumtoxinA</w:t>
      </w:r>
      <w:proofErr w:type="spellEnd"/>
      <w:r w:rsidR="00EF071E">
        <w:rPr>
          <w:sz w:val="20"/>
        </w:rPr>
        <w:t>;</w:t>
      </w:r>
    </w:p>
    <w:p w:rsidR="00F21B88" w:rsidRPr="00D50728" w:rsidRDefault="00F21B88" w:rsidP="00F21B88">
      <w:pPr>
        <w:pStyle w:val="FootnoteText"/>
        <w:rPr>
          <w:sz w:val="20"/>
        </w:rPr>
      </w:pPr>
      <w:proofErr w:type="gramStart"/>
      <w:r w:rsidRPr="00D50728">
        <w:rPr>
          <w:sz w:val="20"/>
          <w:vertAlign w:val="superscript"/>
        </w:rPr>
        <w:t>d</w:t>
      </w:r>
      <w:proofErr w:type="gramEnd"/>
      <w:r w:rsidR="003B6388">
        <w:rPr>
          <w:sz w:val="20"/>
          <w:vertAlign w:val="superscript"/>
        </w:rPr>
        <w:t xml:space="preserve"> </w:t>
      </w:r>
      <w:r w:rsidRPr="00D50728">
        <w:rPr>
          <w:sz w:val="20"/>
        </w:rPr>
        <w:t>12 years and over</w:t>
      </w:r>
      <w:r w:rsidR="00EF071E">
        <w:rPr>
          <w:sz w:val="20"/>
        </w:rPr>
        <w:t xml:space="preserve">; </w:t>
      </w:r>
      <w:r w:rsidRPr="00D50728">
        <w:rPr>
          <w:sz w:val="20"/>
          <w:vertAlign w:val="superscript"/>
        </w:rPr>
        <w:t>e</w:t>
      </w:r>
      <w:r w:rsidR="003B6388">
        <w:rPr>
          <w:sz w:val="20"/>
          <w:vertAlign w:val="superscript"/>
        </w:rPr>
        <w:t xml:space="preserve"> </w:t>
      </w:r>
      <w:r w:rsidR="003B6388">
        <w:rPr>
          <w:sz w:val="20"/>
        </w:rPr>
        <w:t>I</w:t>
      </w:r>
      <w:r w:rsidRPr="00D50728">
        <w:rPr>
          <w:sz w:val="20"/>
        </w:rPr>
        <w:t>n adults</w:t>
      </w:r>
      <w:r w:rsidR="00EF071E">
        <w:rPr>
          <w:sz w:val="20"/>
        </w:rPr>
        <w:t xml:space="preserve">; </w:t>
      </w:r>
      <w:r w:rsidRPr="00D50728">
        <w:rPr>
          <w:sz w:val="20"/>
          <w:vertAlign w:val="superscript"/>
        </w:rPr>
        <w:t>f</w:t>
      </w:r>
      <w:r w:rsidR="003B6388">
        <w:rPr>
          <w:sz w:val="20"/>
          <w:vertAlign w:val="superscript"/>
        </w:rPr>
        <w:t xml:space="preserve"> </w:t>
      </w:r>
      <w:r w:rsidRPr="00D50728">
        <w:rPr>
          <w:sz w:val="20"/>
        </w:rPr>
        <w:t>TGA approved indication is for focal spasticity</w:t>
      </w:r>
      <w:r w:rsidR="0074259C">
        <w:rPr>
          <w:sz w:val="20"/>
        </w:rPr>
        <w:t xml:space="preserve"> of the lower limbs</w:t>
      </w:r>
      <w:r w:rsidR="00EF071E">
        <w:rPr>
          <w:sz w:val="20"/>
        </w:rPr>
        <w:t>;</w:t>
      </w:r>
    </w:p>
    <w:p w:rsidR="00F21B88" w:rsidRPr="00D50728" w:rsidRDefault="007B051A" w:rsidP="00F21B88">
      <w:pPr>
        <w:pStyle w:val="FootnoteText"/>
        <w:rPr>
          <w:sz w:val="20"/>
        </w:rPr>
      </w:pPr>
      <w:proofErr w:type="gramStart"/>
      <w:r w:rsidRPr="00D50728">
        <w:rPr>
          <w:sz w:val="20"/>
          <w:vertAlign w:val="superscript"/>
        </w:rPr>
        <w:t>g</w:t>
      </w:r>
      <w:proofErr w:type="gramEnd"/>
      <w:r w:rsidR="003B6388">
        <w:rPr>
          <w:sz w:val="20"/>
          <w:vertAlign w:val="superscript"/>
        </w:rPr>
        <w:t xml:space="preserve"> </w:t>
      </w:r>
      <w:r w:rsidRPr="00D50728">
        <w:rPr>
          <w:sz w:val="20"/>
        </w:rPr>
        <w:t>2 years and over</w:t>
      </w:r>
      <w:r>
        <w:rPr>
          <w:sz w:val="20"/>
        </w:rPr>
        <w:t xml:space="preserve">; </w:t>
      </w:r>
      <w:r w:rsidRPr="00D50728">
        <w:rPr>
          <w:sz w:val="20"/>
          <w:vertAlign w:val="superscript"/>
        </w:rPr>
        <w:t>h</w:t>
      </w:r>
      <w:r w:rsidR="003B6388">
        <w:rPr>
          <w:sz w:val="20"/>
          <w:vertAlign w:val="superscript"/>
        </w:rPr>
        <w:t xml:space="preserve"> </w:t>
      </w:r>
      <w:r w:rsidR="003B6388">
        <w:rPr>
          <w:sz w:val="20"/>
        </w:rPr>
        <w:t>C</w:t>
      </w:r>
      <w:r w:rsidRPr="00D50728">
        <w:rPr>
          <w:sz w:val="20"/>
        </w:rPr>
        <w:t>overed by the focal spasticity of the upper limb indication</w:t>
      </w:r>
      <w:r>
        <w:rPr>
          <w:sz w:val="20"/>
        </w:rPr>
        <w:t>;</w:t>
      </w:r>
    </w:p>
    <w:p w:rsidR="00F21B88" w:rsidRPr="00D50728" w:rsidRDefault="00F21B88" w:rsidP="00D50728">
      <w:pPr>
        <w:pStyle w:val="FootnoteText"/>
        <w:spacing w:after="200"/>
        <w:rPr>
          <w:sz w:val="22"/>
        </w:rPr>
      </w:pPr>
      <w:proofErr w:type="spellStart"/>
      <w:proofErr w:type="gramStart"/>
      <w:r w:rsidRPr="00D50728">
        <w:rPr>
          <w:sz w:val="20"/>
          <w:vertAlign w:val="superscript"/>
        </w:rPr>
        <w:t>i</w:t>
      </w:r>
      <w:proofErr w:type="spellEnd"/>
      <w:proofErr w:type="gramEnd"/>
      <w:r w:rsidR="003B6388">
        <w:rPr>
          <w:sz w:val="20"/>
          <w:vertAlign w:val="superscript"/>
        </w:rPr>
        <w:t xml:space="preserve"> </w:t>
      </w:r>
      <w:r w:rsidR="003B6388">
        <w:rPr>
          <w:sz w:val="20"/>
        </w:rPr>
        <w:t>C</w:t>
      </w:r>
      <w:r w:rsidRPr="00D50728">
        <w:rPr>
          <w:sz w:val="20"/>
        </w:rPr>
        <w:t>overed by the focal spasticity of the lower limb indication</w:t>
      </w:r>
    </w:p>
    <w:p w:rsidR="0023464C" w:rsidRDefault="001B2AF1" w:rsidP="0023464C">
      <w:r>
        <w:t>For full details of the</w:t>
      </w:r>
      <w:r w:rsidR="001A45CE">
        <w:t xml:space="preserve"> TGA approved indications </w:t>
      </w:r>
      <w:r>
        <w:t>r</w:t>
      </w:r>
      <w:r w:rsidR="0023464C" w:rsidRPr="008F2E0E">
        <w:t>efer to the Product Information (PI)</w:t>
      </w:r>
      <w:r w:rsidR="0023464C" w:rsidRPr="0023464C">
        <w:rPr>
          <w:rStyle w:val="FootnoteReference"/>
          <w:rFonts w:ascii="Calibri" w:eastAsia="MS Mincho" w:hAnsi="Calibri" w:cs="Times New Roman"/>
          <w:b/>
          <w:i/>
        </w:rPr>
        <w:t xml:space="preserve"> </w:t>
      </w:r>
      <w:bookmarkStart w:id="1" w:name="_Ref512498034"/>
      <w:r w:rsidR="0023464C" w:rsidRPr="002769B2">
        <w:rPr>
          <w:rStyle w:val="FootnoteReference"/>
          <w:rFonts w:ascii="Calibri" w:eastAsia="MS Mincho" w:hAnsi="Calibri" w:cs="Times New Roman"/>
        </w:rPr>
        <w:footnoteReference w:id="2"/>
      </w:r>
      <w:bookmarkEnd w:id="1"/>
      <w:r w:rsidR="0023464C" w:rsidRPr="002769B2">
        <w:rPr>
          <w:vertAlign w:val="superscript"/>
        </w:rPr>
        <w:t>,</w:t>
      </w:r>
      <w:bookmarkStart w:id="2" w:name="_Ref512498042"/>
      <w:r w:rsidR="0023464C" w:rsidRPr="002769B2">
        <w:rPr>
          <w:rStyle w:val="FootnoteReference"/>
        </w:rPr>
        <w:footnoteReference w:id="3"/>
      </w:r>
      <w:bookmarkEnd w:id="2"/>
      <w:proofErr w:type="gramStart"/>
      <w:r w:rsidR="0023464C" w:rsidRPr="002769B2">
        <w:rPr>
          <w:vertAlign w:val="superscript"/>
        </w:rPr>
        <w:t>,</w:t>
      </w:r>
      <w:bookmarkStart w:id="3" w:name="_Ref512498050"/>
      <w:proofErr w:type="gramEnd"/>
      <w:r w:rsidR="0023464C" w:rsidRPr="002769B2">
        <w:rPr>
          <w:rStyle w:val="FootnoteReference"/>
        </w:rPr>
        <w:footnoteReference w:id="4"/>
      </w:r>
      <w:bookmarkEnd w:id="3"/>
      <w:r w:rsidR="0023464C" w:rsidRPr="002769B2">
        <w:t xml:space="preserve"> </w:t>
      </w:r>
      <w:r w:rsidR="0023464C" w:rsidRPr="008F2E0E">
        <w:t xml:space="preserve">available from the </w:t>
      </w:r>
      <w:hyperlink r:id="rId9" w:history="1">
        <w:r w:rsidR="0023464C" w:rsidRPr="008F2E0E">
          <w:rPr>
            <w:rStyle w:val="Hyperlink"/>
          </w:rPr>
          <w:t>TGA website</w:t>
        </w:r>
      </w:hyperlink>
      <w:r w:rsidR="0023464C" w:rsidRPr="008F2E0E">
        <w:t>.</w:t>
      </w:r>
    </w:p>
    <w:p w:rsidR="001B2AF1" w:rsidRPr="008F2E0E" w:rsidRDefault="001B2AF1" w:rsidP="0023464C">
      <w:r>
        <w:t xml:space="preserve">The full PBS restrictions are provided in Appendix A and are also available </w:t>
      </w:r>
      <w:r w:rsidR="00865E5D">
        <w:t xml:space="preserve">in the </w:t>
      </w:r>
      <w:hyperlink r:id="rId10" w:history="1">
        <w:r w:rsidR="00865E5D" w:rsidRPr="00865E5D">
          <w:rPr>
            <w:rStyle w:val="Hyperlink"/>
          </w:rPr>
          <w:t>PBS Schedule.</w:t>
        </w:r>
      </w:hyperlink>
    </w:p>
    <w:p w:rsidR="00794CFE" w:rsidRDefault="00794CFE">
      <w:pPr>
        <w:spacing w:line="276" w:lineRule="auto"/>
        <w:rPr>
          <w:rFonts w:ascii="Calibri" w:eastAsia="MS Mincho" w:hAnsi="Calibri" w:cs="Times New Roman"/>
          <w:b/>
          <w:sz w:val="28"/>
        </w:rPr>
      </w:pPr>
      <w:r>
        <w:rPr>
          <w:rFonts w:ascii="Calibri" w:eastAsia="MS Mincho" w:hAnsi="Calibri" w:cs="Times New Roman"/>
          <w:b/>
          <w:sz w:val="28"/>
        </w:rPr>
        <w:br w:type="page"/>
      </w:r>
    </w:p>
    <w:p w:rsidR="00150E61" w:rsidRPr="00440DED" w:rsidRDefault="00150E61" w:rsidP="00150E61">
      <w:pPr>
        <w:widowControl w:val="0"/>
        <w:spacing w:after="0"/>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lastRenderedPageBreak/>
        <w:t>Table 2: Dose summary from TGA Product Information</w:t>
      </w:r>
      <w:r w:rsidR="007B14A2" w:rsidRPr="007B14A2">
        <w:rPr>
          <w:rFonts w:ascii="Calibri" w:eastAsia="Times New Roman" w:hAnsi="Calibri" w:cs="Times New Roman"/>
          <w:iCs/>
          <w:snapToGrid w:val="0"/>
          <w:vertAlign w:val="superscript"/>
          <w:lang w:eastAsia="en-US"/>
        </w:rPr>
        <w:fldChar w:fldCharType="begin"/>
      </w:r>
      <w:r w:rsidR="007B14A2" w:rsidRPr="007B14A2">
        <w:rPr>
          <w:rFonts w:ascii="Calibri" w:eastAsia="Times New Roman" w:hAnsi="Calibri" w:cs="Times New Roman"/>
          <w:iCs/>
          <w:snapToGrid w:val="0"/>
          <w:vertAlign w:val="superscript"/>
          <w:lang w:eastAsia="en-US"/>
        </w:rPr>
        <w:instrText xml:space="preserve"> NOTEREF _Ref512498034 \h  \* MERGEFORMAT </w:instrText>
      </w:r>
      <w:r w:rsidR="007B14A2" w:rsidRPr="007B14A2">
        <w:rPr>
          <w:rFonts w:ascii="Calibri" w:eastAsia="Times New Roman" w:hAnsi="Calibri" w:cs="Times New Roman"/>
          <w:iCs/>
          <w:snapToGrid w:val="0"/>
          <w:vertAlign w:val="superscript"/>
          <w:lang w:eastAsia="en-US"/>
        </w:rPr>
      </w:r>
      <w:r w:rsidR="007B14A2" w:rsidRPr="007B14A2">
        <w:rPr>
          <w:rFonts w:ascii="Calibri" w:eastAsia="Times New Roman" w:hAnsi="Calibri" w:cs="Times New Roman"/>
          <w:iCs/>
          <w:snapToGrid w:val="0"/>
          <w:vertAlign w:val="superscript"/>
          <w:lang w:eastAsia="en-US"/>
        </w:rPr>
        <w:fldChar w:fldCharType="separate"/>
      </w:r>
      <w:r w:rsidR="006D5284">
        <w:rPr>
          <w:rFonts w:ascii="Calibri" w:eastAsia="Times New Roman" w:hAnsi="Calibri" w:cs="Times New Roman"/>
          <w:iCs/>
          <w:snapToGrid w:val="0"/>
          <w:vertAlign w:val="superscript"/>
          <w:lang w:eastAsia="en-US"/>
        </w:rPr>
        <w:t>2</w:t>
      </w:r>
      <w:r w:rsidR="007B14A2" w:rsidRPr="007B14A2">
        <w:rPr>
          <w:rFonts w:ascii="Calibri" w:eastAsia="Times New Roman" w:hAnsi="Calibri" w:cs="Times New Roman"/>
          <w:iCs/>
          <w:snapToGrid w:val="0"/>
          <w:vertAlign w:val="superscript"/>
          <w:lang w:eastAsia="en-US"/>
        </w:rPr>
        <w:fldChar w:fldCharType="end"/>
      </w:r>
      <w:proofErr w:type="gramStart"/>
      <w:r w:rsidR="007B14A2" w:rsidRPr="007B14A2">
        <w:rPr>
          <w:rFonts w:ascii="Calibri" w:eastAsia="Times New Roman" w:hAnsi="Calibri" w:cs="Times New Roman"/>
          <w:iCs/>
          <w:snapToGrid w:val="0"/>
          <w:vertAlign w:val="superscript"/>
          <w:lang w:eastAsia="en-US"/>
        </w:rPr>
        <w:t>,</w:t>
      </w:r>
      <w:proofErr w:type="gramEnd"/>
      <w:r w:rsidR="007B14A2" w:rsidRPr="007B14A2">
        <w:rPr>
          <w:rFonts w:ascii="Calibri" w:eastAsia="Times New Roman" w:hAnsi="Calibri" w:cs="Times New Roman"/>
          <w:iCs/>
          <w:snapToGrid w:val="0"/>
          <w:vertAlign w:val="superscript"/>
          <w:lang w:eastAsia="en-US"/>
        </w:rPr>
        <w:fldChar w:fldCharType="begin"/>
      </w:r>
      <w:r w:rsidR="007B14A2" w:rsidRPr="007B14A2">
        <w:rPr>
          <w:rFonts w:ascii="Calibri" w:eastAsia="Times New Roman" w:hAnsi="Calibri" w:cs="Times New Roman"/>
          <w:iCs/>
          <w:snapToGrid w:val="0"/>
          <w:vertAlign w:val="superscript"/>
          <w:lang w:eastAsia="en-US"/>
        </w:rPr>
        <w:instrText xml:space="preserve"> NOTEREF _Ref512498042 \h  \* MERGEFORMAT </w:instrText>
      </w:r>
      <w:r w:rsidR="007B14A2" w:rsidRPr="007B14A2">
        <w:rPr>
          <w:rFonts w:ascii="Calibri" w:eastAsia="Times New Roman" w:hAnsi="Calibri" w:cs="Times New Roman"/>
          <w:iCs/>
          <w:snapToGrid w:val="0"/>
          <w:vertAlign w:val="superscript"/>
          <w:lang w:eastAsia="en-US"/>
        </w:rPr>
      </w:r>
      <w:r w:rsidR="007B14A2" w:rsidRPr="007B14A2">
        <w:rPr>
          <w:rFonts w:ascii="Calibri" w:eastAsia="Times New Roman" w:hAnsi="Calibri" w:cs="Times New Roman"/>
          <w:iCs/>
          <w:snapToGrid w:val="0"/>
          <w:vertAlign w:val="superscript"/>
          <w:lang w:eastAsia="en-US"/>
        </w:rPr>
        <w:fldChar w:fldCharType="separate"/>
      </w:r>
      <w:r w:rsidR="006D5284">
        <w:rPr>
          <w:rFonts w:ascii="Calibri" w:eastAsia="Times New Roman" w:hAnsi="Calibri" w:cs="Times New Roman"/>
          <w:iCs/>
          <w:snapToGrid w:val="0"/>
          <w:vertAlign w:val="superscript"/>
          <w:lang w:eastAsia="en-US"/>
        </w:rPr>
        <w:t>3</w:t>
      </w:r>
      <w:r w:rsidR="007B14A2" w:rsidRPr="007B14A2">
        <w:rPr>
          <w:rFonts w:ascii="Calibri" w:eastAsia="Times New Roman" w:hAnsi="Calibri" w:cs="Times New Roman"/>
          <w:iCs/>
          <w:snapToGrid w:val="0"/>
          <w:vertAlign w:val="superscript"/>
          <w:lang w:eastAsia="en-US"/>
        </w:rPr>
        <w:fldChar w:fldCharType="end"/>
      </w:r>
      <w:r w:rsidR="007B14A2" w:rsidRPr="007B14A2">
        <w:rPr>
          <w:rFonts w:ascii="Calibri" w:eastAsia="Times New Roman" w:hAnsi="Calibri" w:cs="Times New Roman"/>
          <w:iCs/>
          <w:snapToGrid w:val="0"/>
          <w:vertAlign w:val="superscript"/>
          <w:lang w:eastAsia="en-US"/>
        </w:rPr>
        <w:t>,</w:t>
      </w:r>
      <w:r w:rsidR="007B14A2" w:rsidRPr="007B14A2">
        <w:rPr>
          <w:rFonts w:ascii="Calibri" w:eastAsia="Times New Roman" w:hAnsi="Calibri" w:cs="Times New Roman"/>
          <w:iCs/>
          <w:snapToGrid w:val="0"/>
          <w:vertAlign w:val="superscript"/>
          <w:lang w:eastAsia="en-US"/>
        </w:rPr>
        <w:fldChar w:fldCharType="begin"/>
      </w:r>
      <w:r w:rsidR="007B14A2" w:rsidRPr="007B14A2">
        <w:rPr>
          <w:rFonts w:ascii="Calibri" w:eastAsia="Times New Roman" w:hAnsi="Calibri" w:cs="Times New Roman"/>
          <w:iCs/>
          <w:snapToGrid w:val="0"/>
          <w:vertAlign w:val="superscript"/>
          <w:lang w:eastAsia="en-US"/>
        </w:rPr>
        <w:instrText xml:space="preserve"> NOTEREF _Ref512498050 \h  \* MERGEFORMAT </w:instrText>
      </w:r>
      <w:r w:rsidR="007B14A2" w:rsidRPr="007B14A2">
        <w:rPr>
          <w:rFonts w:ascii="Calibri" w:eastAsia="Times New Roman" w:hAnsi="Calibri" w:cs="Times New Roman"/>
          <w:iCs/>
          <w:snapToGrid w:val="0"/>
          <w:vertAlign w:val="superscript"/>
          <w:lang w:eastAsia="en-US"/>
        </w:rPr>
      </w:r>
      <w:r w:rsidR="007B14A2" w:rsidRPr="007B14A2">
        <w:rPr>
          <w:rFonts w:ascii="Calibri" w:eastAsia="Times New Roman" w:hAnsi="Calibri" w:cs="Times New Roman"/>
          <w:iCs/>
          <w:snapToGrid w:val="0"/>
          <w:vertAlign w:val="superscript"/>
          <w:lang w:eastAsia="en-US"/>
        </w:rPr>
        <w:fldChar w:fldCharType="separate"/>
      </w:r>
      <w:r w:rsidR="006D5284">
        <w:rPr>
          <w:rFonts w:ascii="Calibri" w:eastAsia="Times New Roman" w:hAnsi="Calibri" w:cs="Times New Roman"/>
          <w:iCs/>
          <w:snapToGrid w:val="0"/>
          <w:vertAlign w:val="superscript"/>
          <w:lang w:eastAsia="en-US"/>
        </w:rPr>
        <w:t>4</w:t>
      </w:r>
      <w:r w:rsidR="007B14A2" w:rsidRPr="007B14A2">
        <w:rPr>
          <w:rFonts w:ascii="Calibri" w:eastAsia="Times New Roman" w:hAnsi="Calibri" w:cs="Times New Roman"/>
          <w:iCs/>
          <w:snapToGrid w:val="0"/>
          <w:vertAlign w:val="superscript"/>
          <w:lang w:eastAsia="en-US"/>
        </w:rPr>
        <w:fldChar w:fldCharType="end"/>
      </w:r>
      <w:r>
        <w:rPr>
          <w:rFonts w:ascii="Calibri" w:eastAsia="Times New Roman" w:hAnsi="Calibri" w:cs="Times New Roman"/>
          <w:b/>
          <w:iCs/>
          <w:snapToGrid w:val="0"/>
          <w:lang w:eastAsia="en-US"/>
        </w:rPr>
        <w:t xml:space="preserve"> </w:t>
      </w:r>
    </w:p>
    <w:tbl>
      <w:tblPr>
        <w:tblW w:w="9235" w:type="dxa"/>
        <w:tblCellMar>
          <w:left w:w="0" w:type="dxa"/>
          <w:right w:w="0" w:type="dxa"/>
        </w:tblCellMar>
        <w:tblLook w:val="04A0" w:firstRow="1" w:lastRow="0" w:firstColumn="1" w:lastColumn="0" w:noHBand="0" w:noVBand="1"/>
      </w:tblPr>
      <w:tblGrid>
        <w:gridCol w:w="1984"/>
        <w:gridCol w:w="1130"/>
        <w:gridCol w:w="2098"/>
        <w:gridCol w:w="2041"/>
        <w:gridCol w:w="1982"/>
      </w:tblGrid>
      <w:tr w:rsidR="00150E61" w:rsidRPr="00AE4ABB" w:rsidTr="00055A80">
        <w:tc>
          <w:tcPr>
            <w:tcW w:w="1984" w:type="dxa"/>
            <w:tcBorders>
              <w:top w:val="single" w:sz="8" w:space="0" w:color="auto"/>
              <w:left w:val="single" w:sz="8" w:space="0" w:color="auto"/>
              <w:bottom w:val="single" w:sz="8" w:space="0" w:color="auto"/>
              <w:right w:val="single" w:sz="4" w:space="0" w:color="auto"/>
            </w:tcBorders>
            <w:shd w:val="clear" w:color="auto" w:fill="BFBFBF" w:themeFill="background1" w:themeFillShade="BF"/>
            <w:tcMar>
              <w:top w:w="0" w:type="dxa"/>
              <w:left w:w="108" w:type="dxa"/>
              <w:bottom w:w="0" w:type="dxa"/>
              <w:right w:w="108" w:type="dxa"/>
            </w:tcMar>
          </w:tcPr>
          <w:p w:rsidR="00150E61" w:rsidRPr="00AE4ABB" w:rsidRDefault="00150E61" w:rsidP="00CB27CF">
            <w:pPr>
              <w:spacing w:after="0"/>
              <w:rPr>
                <w:rFonts w:eastAsiaTheme="minorHAnsi"/>
                <w:b/>
                <w:sz w:val="20"/>
                <w:szCs w:val="20"/>
                <w:lang w:eastAsia="en-US"/>
              </w:rPr>
            </w:pPr>
          </w:p>
        </w:tc>
        <w:tc>
          <w:tcPr>
            <w:tcW w:w="11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50E61" w:rsidRPr="00AE4ABB" w:rsidRDefault="00150E61" w:rsidP="00CB27CF">
            <w:pPr>
              <w:spacing w:after="0"/>
              <w:jc w:val="center"/>
              <w:rPr>
                <w:b/>
                <w:sz w:val="20"/>
                <w:szCs w:val="20"/>
              </w:rPr>
            </w:pPr>
            <w:r w:rsidRPr="00AE4ABB">
              <w:rPr>
                <w:b/>
                <w:sz w:val="20"/>
                <w:szCs w:val="20"/>
              </w:rPr>
              <w:t>Stage</w:t>
            </w:r>
          </w:p>
        </w:tc>
        <w:tc>
          <w:tcPr>
            <w:tcW w:w="2098" w:type="dxa"/>
            <w:tcBorders>
              <w:top w:val="single" w:sz="8" w:space="0" w:color="auto"/>
              <w:left w:val="single" w:sz="4"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150E61" w:rsidRPr="00AE4ABB" w:rsidRDefault="00150E61" w:rsidP="00CB27CF">
            <w:pPr>
              <w:spacing w:after="0"/>
              <w:jc w:val="center"/>
              <w:rPr>
                <w:rFonts w:eastAsiaTheme="minorHAnsi"/>
                <w:b/>
                <w:sz w:val="20"/>
                <w:szCs w:val="20"/>
                <w:lang w:eastAsia="en-US"/>
              </w:rPr>
            </w:pPr>
            <w:r w:rsidRPr="00AE4ABB">
              <w:rPr>
                <w:b/>
                <w:sz w:val="20"/>
                <w:szCs w:val="20"/>
              </w:rPr>
              <w:t>Botulinum toxin type A (</w:t>
            </w:r>
            <w:r w:rsidRPr="00A82749">
              <w:rPr>
                <w:b/>
                <w:sz w:val="20"/>
                <w:szCs w:val="20"/>
              </w:rPr>
              <w:t>Botox)</w:t>
            </w:r>
          </w:p>
        </w:tc>
        <w:tc>
          <w:tcPr>
            <w:tcW w:w="2041"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50E61" w:rsidRPr="00AE4ABB" w:rsidRDefault="00150E61" w:rsidP="00CB27CF">
            <w:pPr>
              <w:spacing w:after="0"/>
              <w:jc w:val="center"/>
              <w:rPr>
                <w:rFonts w:eastAsiaTheme="minorHAnsi"/>
                <w:b/>
                <w:sz w:val="20"/>
                <w:szCs w:val="20"/>
                <w:lang w:eastAsia="en-US"/>
              </w:rPr>
            </w:pPr>
            <w:r w:rsidRPr="00AE4ABB">
              <w:rPr>
                <w:b/>
                <w:sz w:val="20"/>
                <w:szCs w:val="20"/>
              </w:rPr>
              <w:t>Clostridium botulinum type A toxin-</w:t>
            </w:r>
            <w:proofErr w:type="spellStart"/>
            <w:r w:rsidRPr="00AE4ABB">
              <w:rPr>
                <w:b/>
                <w:sz w:val="20"/>
                <w:szCs w:val="20"/>
              </w:rPr>
              <w:t>haemagglutinin</w:t>
            </w:r>
            <w:proofErr w:type="spellEnd"/>
            <w:r w:rsidRPr="00AE4ABB">
              <w:rPr>
                <w:b/>
                <w:sz w:val="20"/>
                <w:szCs w:val="20"/>
              </w:rPr>
              <w:t xml:space="preserve"> complex (</w:t>
            </w:r>
            <w:proofErr w:type="spellStart"/>
            <w:r w:rsidRPr="00AE4ABB">
              <w:rPr>
                <w:b/>
                <w:sz w:val="20"/>
                <w:szCs w:val="20"/>
              </w:rPr>
              <w:t>Dysport</w:t>
            </w:r>
            <w:proofErr w:type="spellEnd"/>
            <w:r w:rsidRPr="00AE4ABB">
              <w:rPr>
                <w:b/>
                <w:sz w:val="20"/>
                <w:szCs w:val="20"/>
              </w:rPr>
              <w:t>)</w:t>
            </w:r>
          </w:p>
        </w:tc>
        <w:tc>
          <w:tcPr>
            <w:tcW w:w="1982"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150E61" w:rsidRPr="00AE4ABB" w:rsidRDefault="00150E61" w:rsidP="00CB27CF">
            <w:pPr>
              <w:spacing w:after="0"/>
              <w:jc w:val="center"/>
              <w:rPr>
                <w:rFonts w:eastAsiaTheme="minorHAnsi"/>
                <w:b/>
                <w:sz w:val="20"/>
                <w:szCs w:val="20"/>
                <w:lang w:eastAsia="en-US"/>
              </w:rPr>
            </w:pPr>
            <w:proofErr w:type="spellStart"/>
            <w:r w:rsidRPr="00AE4ABB">
              <w:rPr>
                <w:b/>
                <w:sz w:val="20"/>
                <w:szCs w:val="20"/>
              </w:rPr>
              <w:t>IncobotulinumtoxinA</w:t>
            </w:r>
            <w:proofErr w:type="spellEnd"/>
            <w:r w:rsidRPr="00AE4ABB">
              <w:rPr>
                <w:b/>
                <w:sz w:val="20"/>
                <w:szCs w:val="20"/>
              </w:rPr>
              <w:t xml:space="preserve"> (</w:t>
            </w:r>
            <w:proofErr w:type="spellStart"/>
            <w:r w:rsidRPr="00AE4ABB">
              <w:rPr>
                <w:b/>
                <w:sz w:val="20"/>
                <w:szCs w:val="20"/>
              </w:rPr>
              <w:t>Xeomin</w:t>
            </w:r>
            <w:proofErr w:type="spellEnd"/>
            <w:r w:rsidRPr="00AE4ABB">
              <w:rPr>
                <w:b/>
                <w:sz w:val="20"/>
                <w:szCs w:val="20"/>
              </w:rPr>
              <w:t>)</w:t>
            </w:r>
          </w:p>
        </w:tc>
      </w:tr>
      <w:tr w:rsidR="006F1E1B" w:rsidTr="00055A80">
        <w:tc>
          <w:tcPr>
            <w:tcW w:w="1984" w:type="dxa"/>
            <w:vMerge w:val="restart"/>
            <w:tcBorders>
              <w:top w:val="nil"/>
              <w:left w:val="single" w:sz="8" w:space="0" w:color="auto"/>
              <w:right w:val="single" w:sz="4" w:space="0" w:color="auto"/>
            </w:tcBorders>
            <w:tcMar>
              <w:top w:w="0" w:type="dxa"/>
              <w:left w:w="108" w:type="dxa"/>
              <w:bottom w:w="0" w:type="dxa"/>
              <w:right w:w="108" w:type="dxa"/>
            </w:tcMar>
            <w:vAlign w:val="center"/>
            <w:hideMark/>
          </w:tcPr>
          <w:p w:rsidR="006F1E1B" w:rsidRPr="00B05493" w:rsidRDefault="006F1E1B" w:rsidP="00CB27CF">
            <w:pPr>
              <w:spacing w:after="0"/>
              <w:rPr>
                <w:rFonts w:eastAsiaTheme="minorHAnsi"/>
                <w:sz w:val="20"/>
                <w:szCs w:val="20"/>
                <w:lang w:eastAsia="en-US"/>
              </w:rPr>
            </w:pPr>
            <w:r w:rsidRPr="00B05493">
              <w:rPr>
                <w:sz w:val="20"/>
                <w:szCs w:val="20"/>
              </w:rPr>
              <w:t>Blepharospasm</w:t>
            </w: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r>
              <w:rPr>
                <w:rFonts w:eastAsiaTheme="minorHAnsi"/>
                <w:sz w:val="20"/>
                <w:szCs w:val="20"/>
                <w:lang w:eastAsia="en-US"/>
              </w:rPr>
              <w:t>Initial</w:t>
            </w:r>
          </w:p>
        </w:tc>
        <w:tc>
          <w:tcPr>
            <w:tcW w:w="2098" w:type="dxa"/>
            <w:tcBorders>
              <w:top w:val="nil"/>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1.25 U to 2.5 U in 3 sites (i</w:t>
            </w:r>
            <w:r w:rsidR="00C474E2">
              <w:rPr>
                <w:rFonts w:eastAsiaTheme="minorHAnsi"/>
                <w:sz w:val="20"/>
                <w:szCs w:val="20"/>
                <w:lang w:eastAsia="en-US"/>
              </w:rPr>
              <w:t>.</w:t>
            </w:r>
            <w:r w:rsidRPr="00616856">
              <w:rPr>
                <w:rFonts w:eastAsiaTheme="minorHAnsi"/>
                <w:sz w:val="20"/>
                <w:szCs w:val="20"/>
                <w:lang w:eastAsia="en-US"/>
              </w:rPr>
              <w:t>e. 3.75 to 7.5U)</w:t>
            </w:r>
          </w:p>
        </w:tc>
        <w:tc>
          <w:tcPr>
            <w:tcW w:w="20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F1E1B" w:rsidRPr="00616856" w:rsidRDefault="006F1E1B" w:rsidP="00162E1D">
            <w:pPr>
              <w:spacing w:after="0"/>
              <w:jc w:val="center"/>
              <w:rPr>
                <w:rFonts w:eastAsiaTheme="minorHAnsi"/>
                <w:sz w:val="20"/>
                <w:szCs w:val="20"/>
                <w:lang w:eastAsia="en-US"/>
              </w:rPr>
            </w:pPr>
            <w:r w:rsidRPr="00616856">
              <w:rPr>
                <w:rFonts w:eastAsiaTheme="minorHAnsi"/>
                <w:sz w:val="20"/>
                <w:szCs w:val="20"/>
                <w:lang w:eastAsia="en-US"/>
              </w:rPr>
              <w:t>40 to 80 U per eye</w:t>
            </w:r>
          </w:p>
        </w:tc>
        <w:tc>
          <w:tcPr>
            <w:tcW w:w="1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F1E1B" w:rsidRPr="00616856" w:rsidRDefault="00541C47" w:rsidP="00C474E2">
            <w:pPr>
              <w:spacing w:after="0"/>
              <w:jc w:val="center"/>
              <w:rPr>
                <w:rFonts w:eastAsiaTheme="minorHAnsi"/>
                <w:sz w:val="20"/>
                <w:szCs w:val="20"/>
                <w:lang w:eastAsia="en-US"/>
              </w:rPr>
            </w:pPr>
            <w:r w:rsidRPr="00616856">
              <w:rPr>
                <w:rFonts w:eastAsiaTheme="minorHAnsi"/>
                <w:sz w:val="20"/>
                <w:szCs w:val="20"/>
                <w:lang w:eastAsia="en-US"/>
              </w:rPr>
              <w:t>1.25 U to 2.5 U in each site</w:t>
            </w:r>
            <w:r w:rsidRPr="00616856">
              <w:rPr>
                <w:rFonts w:eastAsiaTheme="minorHAnsi"/>
                <w:sz w:val="20"/>
                <w:szCs w:val="20"/>
                <w:lang w:eastAsia="en-US"/>
              </w:rPr>
              <w:br/>
              <w:t xml:space="preserve"> (max of 25U</w:t>
            </w:r>
            <w:r w:rsidR="0048737E" w:rsidRPr="00616856">
              <w:rPr>
                <w:rFonts w:eastAsiaTheme="minorHAnsi"/>
                <w:sz w:val="20"/>
                <w:szCs w:val="20"/>
                <w:lang w:eastAsia="en-US"/>
              </w:rPr>
              <w:t xml:space="preserve"> per eye and max 100U per session</w:t>
            </w:r>
            <w:r w:rsidRPr="00616856">
              <w:rPr>
                <w:rFonts w:eastAsiaTheme="minorHAnsi"/>
                <w:sz w:val="20"/>
                <w:szCs w:val="20"/>
                <w:lang w:eastAsia="en-US"/>
              </w:rPr>
              <w:t>)</w:t>
            </w:r>
          </w:p>
        </w:tc>
      </w:tr>
      <w:tr w:rsidR="006F1E1B" w:rsidTr="00055A80">
        <w:tc>
          <w:tcPr>
            <w:tcW w:w="1984" w:type="dxa"/>
            <w:vMerge/>
            <w:tcBorders>
              <w:left w:val="single" w:sz="8" w:space="0" w:color="auto"/>
              <w:right w:val="single" w:sz="4" w:space="0" w:color="auto"/>
            </w:tcBorders>
            <w:tcMar>
              <w:top w:w="0" w:type="dxa"/>
              <w:left w:w="108" w:type="dxa"/>
              <w:bottom w:w="0" w:type="dxa"/>
              <w:right w:w="108" w:type="dxa"/>
            </w:tcMar>
            <w:vAlign w:val="center"/>
          </w:tcPr>
          <w:p w:rsidR="006F1E1B" w:rsidRPr="00B05493" w:rsidRDefault="006F1E1B" w:rsidP="00CB27CF">
            <w:pPr>
              <w:spacing w:after="0"/>
              <w:rPr>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r>
              <w:rPr>
                <w:rFonts w:eastAsiaTheme="minorHAnsi"/>
                <w:sz w:val="20"/>
                <w:szCs w:val="20"/>
                <w:lang w:eastAsia="en-US"/>
              </w:rPr>
              <w:t>Continuing</w:t>
            </w:r>
          </w:p>
        </w:tc>
        <w:tc>
          <w:tcPr>
            <w:tcW w:w="2098" w:type="dxa"/>
            <w:tcBorders>
              <w:top w:val="nil"/>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6F1E1B" w:rsidRPr="00616856" w:rsidRDefault="00BB527F" w:rsidP="00C474E2">
            <w:pPr>
              <w:spacing w:after="0"/>
              <w:jc w:val="center"/>
              <w:rPr>
                <w:rFonts w:eastAsiaTheme="minorHAnsi"/>
                <w:sz w:val="20"/>
                <w:szCs w:val="20"/>
                <w:lang w:eastAsia="en-US"/>
              </w:rPr>
            </w:pPr>
            <w:r>
              <w:rPr>
                <w:rFonts w:eastAsiaTheme="minorHAnsi"/>
                <w:sz w:val="20"/>
                <w:szCs w:val="20"/>
                <w:lang w:eastAsia="en-US"/>
              </w:rPr>
              <w:t>M</w:t>
            </w:r>
            <w:r w:rsidR="006F1E1B" w:rsidRPr="00616856">
              <w:rPr>
                <w:rFonts w:eastAsiaTheme="minorHAnsi"/>
                <w:sz w:val="20"/>
                <w:szCs w:val="20"/>
                <w:lang w:eastAsia="en-US"/>
              </w:rPr>
              <w:t>ay be increased up to two-fold if the response from the initial treatment is considere</w:t>
            </w:r>
            <w:r w:rsidR="00C474E2">
              <w:rPr>
                <w:rFonts w:eastAsiaTheme="minorHAnsi"/>
                <w:sz w:val="20"/>
                <w:szCs w:val="20"/>
                <w:lang w:eastAsia="en-US"/>
              </w:rPr>
              <w:t xml:space="preserve">d insufficient. (i.e. up to 7.5 </w:t>
            </w:r>
            <w:r w:rsidR="006F1E1B" w:rsidRPr="00616856">
              <w:rPr>
                <w:rFonts w:eastAsiaTheme="minorHAnsi"/>
                <w:sz w:val="20"/>
                <w:szCs w:val="20"/>
                <w:lang w:eastAsia="en-US"/>
              </w:rPr>
              <w:t>to 15U)</w:t>
            </w:r>
          </w:p>
        </w:tc>
        <w:tc>
          <w:tcPr>
            <w:tcW w:w="20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F1E1B" w:rsidRPr="00616856" w:rsidRDefault="00162E1D" w:rsidP="00162E1D">
            <w:pPr>
              <w:spacing w:after="0"/>
              <w:jc w:val="center"/>
              <w:rPr>
                <w:rFonts w:eastAsiaTheme="minorHAnsi"/>
                <w:sz w:val="20"/>
                <w:szCs w:val="20"/>
                <w:lang w:eastAsia="en-US"/>
              </w:rPr>
            </w:pPr>
            <w:r w:rsidRPr="00616856">
              <w:rPr>
                <w:rFonts w:eastAsiaTheme="minorHAnsi"/>
                <w:sz w:val="20"/>
                <w:szCs w:val="20"/>
                <w:lang w:eastAsia="en-US"/>
              </w:rPr>
              <w:t>May be increased to a maximum of 120 U per eye</w:t>
            </w:r>
          </w:p>
        </w:tc>
        <w:tc>
          <w:tcPr>
            <w:tcW w:w="1982" w:type="dxa"/>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3B6388" w:rsidP="00CB27CF">
            <w:pPr>
              <w:spacing w:after="0"/>
              <w:jc w:val="center"/>
              <w:rPr>
                <w:rFonts w:eastAsiaTheme="minorHAnsi"/>
                <w:sz w:val="20"/>
                <w:szCs w:val="20"/>
                <w:lang w:eastAsia="en-US"/>
              </w:rPr>
            </w:pPr>
            <w:r>
              <w:rPr>
                <w:rFonts w:eastAsiaTheme="minorHAnsi"/>
                <w:sz w:val="20"/>
                <w:szCs w:val="20"/>
                <w:lang w:eastAsia="en-US"/>
              </w:rPr>
              <w:t>N/A</w:t>
            </w:r>
          </w:p>
        </w:tc>
      </w:tr>
      <w:tr w:rsidR="006F1E1B" w:rsidTr="00055A80">
        <w:tc>
          <w:tcPr>
            <w:tcW w:w="1984" w:type="dxa"/>
            <w:vMerge/>
            <w:tcBorders>
              <w:left w:val="single" w:sz="8" w:space="0" w:color="auto"/>
              <w:bottom w:val="single" w:sz="8" w:space="0" w:color="auto"/>
              <w:right w:val="single" w:sz="4" w:space="0" w:color="auto"/>
            </w:tcBorders>
            <w:tcMar>
              <w:top w:w="0" w:type="dxa"/>
              <w:left w:w="108" w:type="dxa"/>
              <w:bottom w:w="0" w:type="dxa"/>
              <w:right w:w="108" w:type="dxa"/>
            </w:tcMar>
            <w:vAlign w:val="center"/>
          </w:tcPr>
          <w:p w:rsidR="006F1E1B" w:rsidRPr="00B05493" w:rsidRDefault="006F1E1B" w:rsidP="00CB27CF">
            <w:pPr>
              <w:spacing w:after="0"/>
              <w:rPr>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r>
              <w:rPr>
                <w:rFonts w:eastAsiaTheme="minorHAnsi"/>
                <w:sz w:val="20"/>
                <w:szCs w:val="20"/>
                <w:lang w:eastAsia="en-US"/>
              </w:rPr>
              <w:t>Cumulative</w:t>
            </w:r>
          </w:p>
        </w:tc>
        <w:tc>
          <w:tcPr>
            <w:tcW w:w="2098" w:type="dxa"/>
            <w:tcBorders>
              <w:top w:val="nil"/>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&lt; 200U in two months</w:t>
            </w:r>
          </w:p>
        </w:tc>
        <w:tc>
          <w:tcPr>
            <w:tcW w:w="20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F1E1B" w:rsidRPr="00616856" w:rsidRDefault="003B6388" w:rsidP="00CB27CF">
            <w:pPr>
              <w:spacing w:after="0"/>
              <w:jc w:val="center"/>
              <w:rPr>
                <w:rFonts w:eastAsiaTheme="minorHAnsi"/>
                <w:sz w:val="20"/>
                <w:szCs w:val="20"/>
                <w:lang w:eastAsia="en-US"/>
              </w:rPr>
            </w:pPr>
            <w:r>
              <w:rPr>
                <w:rFonts w:eastAsiaTheme="minorHAnsi"/>
                <w:sz w:val="20"/>
                <w:szCs w:val="20"/>
                <w:lang w:eastAsia="en-US"/>
              </w:rPr>
              <w:t>N/A</w:t>
            </w:r>
          </w:p>
        </w:tc>
        <w:tc>
          <w:tcPr>
            <w:tcW w:w="1982" w:type="dxa"/>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p>
        </w:tc>
      </w:tr>
      <w:tr w:rsidR="006F1E1B" w:rsidTr="00055A80">
        <w:tc>
          <w:tcPr>
            <w:tcW w:w="1984"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F1E1B" w:rsidRPr="00B05493" w:rsidRDefault="006F1E1B" w:rsidP="00CB27CF">
            <w:pPr>
              <w:spacing w:after="0"/>
              <w:rPr>
                <w:rFonts w:eastAsiaTheme="minorHAnsi"/>
                <w:sz w:val="20"/>
                <w:szCs w:val="20"/>
                <w:lang w:eastAsia="en-US"/>
              </w:rPr>
            </w:pPr>
            <w:r w:rsidRPr="00B05493">
              <w:rPr>
                <w:sz w:val="20"/>
                <w:szCs w:val="20"/>
              </w:rPr>
              <w:t>Hemifacial spasm</w:t>
            </w: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p>
        </w:tc>
        <w:tc>
          <w:tcPr>
            <w:tcW w:w="209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Similar to unilateral</w:t>
            </w:r>
          </w:p>
          <w:p w:rsidR="006F1E1B" w:rsidRPr="00616856" w:rsidRDefault="006F1E1B" w:rsidP="00CB27CF">
            <w:pPr>
              <w:spacing w:after="0"/>
              <w:jc w:val="center"/>
              <w:rPr>
                <w:rFonts w:eastAsiaTheme="minorHAnsi"/>
                <w:sz w:val="20"/>
                <w:szCs w:val="20"/>
                <w:lang w:eastAsia="en-US"/>
              </w:rPr>
            </w:pPr>
            <w:proofErr w:type="gramStart"/>
            <w:r w:rsidRPr="00616856">
              <w:rPr>
                <w:rFonts w:eastAsiaTheme="minorHAnsi"/>
                <w:sz w:val="20"/>
                <w:szCs w:val="20"/>
                <w:lang w:eastAsia="en-US"/>
              </w:rPr>
              <w:t>blepharospasm</w:t>
            </w:r>
            <w:proofErr w:type="gramEnd"/>
            <w:r w:rsidRPr="00616856">
              <w:rPr>
                <w:rFonts w:eastAsiaTheme="minorHAnsi"/>
                <w:sz w:val="20"/>
                <w:szCs w:val="20"/>
                <w:lang w:eastAsia="en-US"/>
              </w:rPr>
              <w:t>. However Injections into more facial muscles may be necessary.</w:t>
            </w:r>
          </w:p>
        </w:tc>
        <w:tc>
          <w:tcPr>
            <w:tcW w:w="204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As for blepharospasm</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3B6388" w:rsidP="00CB27CF">
            <w:pPr>
              <w:spacing w:after="0"/>
              <w:jc w:val="center"/>
              <w:rPr>
                <w:rFonts w:eastAsiaTheme="minorHAnsi"/>
                <w:sz w:val="20"/>
                <w:szCs w:val="20"/>
                <w:lang w:eastAsia="en-US"/>
              </w:rPr>
            </w:pPr>
            <w:r>
              <w:rPr>
                <w:rFonts w:eastAsiaTheme="minorHAnsi"/>
                <w:sz w:val="20"/>
                <w:szCs w:val="20"/>
                <w:lang w:eastAsia="en-US"/>
              </w:rPr>
              <w:t>N/A</w:t>
            </w:r>
          </w:p>
        </w:tc>
      </w:tr>
      <w:tr w:rsidR="006F1E1B" w:rsidTr="00055A80">
        <w:tc>
          <w:tcPr>
            <w:tcW w:w="1984"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F1E1B" w:rsidRPr="00B05493" w:rsidRDefault="006F1E1B" w:rsidP="00CB27CF">
            <w:pPr>
              <w:spacing w:after="0"/>
              <w:rPr>
                <w:rFonts w:eastAsiaTheme="minorHAnsi"/>
                <w:sz w:val="20"/>
                <w:szCs w:val="20"/>
                <w:lang w:eastAsia="en-US"/>
              </w:rPr>
            </w:pPr>
            <w:r w:rsidRPr="00B05493">
              <w:rPr>
                <w:sz w:val="20"/>
                <w:szCs w:val="20"/>
              </w:rPr>
              <w:t>Cervical dystonia/ spasmodic torticollis</w:t>
            </w: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p>
        </w:tc>
        <w:tc>
          <w:tcPr>
            <w:tcW w:w="209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BB527F">
            <w:pPr>
              <w:spacing w:after="0"/>
              <w:jc w:val="center"/>
              <w:rPr>
                <w:rFonts w:eastAsiaTheme="minorHAnsi"/>
                <w:sz w:val="20"/>
                <w:szCs w:val="20"/>
                <w:lang w:eastAsia="en-US"/>
              </w:rPr>
            </w:pPr>
            <w:r w:rsidRPr="00616856">
              <w:rPr>
                <w:rFonts w:eastAsiaTheme="minorHAnsi"/>
                <w:sz w:val="20"/>
                <w:szCs w:val="20"/>
                <w:lang w:eastAsia="en-US"/>
              </w:rPr>
              <w:t>Dose of Botox can range from 25-200 U at 1-8 sites.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Initial:250-500U</w:t>
            </w:r>
            <w:r w:rsidR="00162E1D" w:rsidRPr="00616856">
              <w:rPr>
                <w:rFonts w:eastAsiaTheme="minorHAnsi"/>
                <w:sz w:val="20"/>
                <w:szCs w:val="20"/>
                <w:lang w:eastAsia="en-US"/>
              </w:rPr>
              <w:t xml:space="preserve"> per session</w:t>
            </w:r>
          </w:p>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Continuing:250-1000U</w:t>
            </w:r>
            <w:r w:rsidR="00162E1D" w:rsidRPr="00616856">
              <w:rPr>
                <w:rFonts w:eastAsiaTheme="minorHAnsi"/>
                <w:sz w:val="20"/>
                <w:szCs w:val="20"/>
                <w:lang w:eastAsia="en-US"/>
              </w:rPr>
              <w:t xml:space="preserve"> per session</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Normally</w:t>
            </w:r>
            <w:r w:rsidR="0048737E" w:rsidRPr="00616856">
              <w:rPr>
                <w:rFonts w:eastAsiaTheme="minorHAnsi"/>
                <w:sz w:val="20"/>
                <w:szCs w:val="20"/>
                <w:lang w:eastAsia="en-US"/>
              </w:rPr>
              <w:t>,</w:t>
            </w:r>
            <w:r w:rsidRPr="00616856">
              <w:rPr>
                <w:rFonts w:eastAsiaTheme="minorHAnsi"/>
                <w:sz w:val="20"/>
                <w:szCs w:val="20"/>
                <w:lang w:eastAsia="en-US"/>
              </w:rPr>
              <w:t xml:space="preserve"> dose should not exceed 200U per session</w:t>
            </w:r>
            <w:r w:rsidR="0048737E" w:rsidRPr="00616856">
              <w:rPr>
                <w:rFonts w:eastAsiaTheme="minorHAnsi"/>
                <w:sz w:val="20"/>
                <w:szCs w:val="20"/>
                <w:lang w:eastAsia="en-US"/>
              </w:rPr>
              <w:t xml:space="preserve"> (≤50U per site)</w:t>
            </w:r>
            <w:r w:rsidRPr="00616856">
              <w:rPr>
                <w:rFonts w:eastAsiaTheme="minorHAnsi"/>
                <w:sz w:val="20"/>
                <w:szCs w:val="20"/>
                <w:lang w:eastAsia="en-US"/>
              </w:rPr>
              <w:t>, but up to 300U may be given</w:t>
            </w:r>
          </w:p>
        </w:tc>
      </w:tr>
      <w:tr w:rsidR="006F1E1B" w:rsidTr="00055A80">
        <w:tc>
          <w:tcPr>
            <w:tcW w:w="1984"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6F1E1B" w:rsidRPr="00B05493" w:rsidRDefault="006F1E1B" w:rsidP="00CB27CF">
            <w:pPr>
              <w:spacing w:after="0"/>
              <w:rPr>
                <w:sz w:val="20"/>
                <w:szCs w:val="20"/>
              </w:rPr>
            </w:pPr>
            <w:r>
              <w:rPr>
                <w:sz w:val="20"/>
                <w:szCs w:val="20"/>
              </w:rPr>
              <w:t>D</w:t>
            </w:r>
            <w:r w:rsidRPr="00B05493">
              <w:rPr>
                <w:sz w:val="20"/>
                <w:szCs w:val="20"/>
              </w:rPr>
              <w:t xml:space="preserve">ynamic equinus foot deformity due to </w:t>
            </w:r>
            <w:r>
              <w:rPr>
                <w:sz w:val="20"/>
                <w:szCs w:val="20"/>
              </w:rPr>
              <w:t xml:space="preserve">cerebral palsy </w:t>
            </w:r>
            <w:r w:rsidRPr="00B05493">
              <w:rPr>
                <w:sz w:val="20"/>
                <w:szCs w:val="20"/>
              </w:rPr>
              <w:t>spasticity</w:t>
            </w: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p>
        </w:tc>
        <w:tc>
          <w:tcPr>
            <w:tcW w:w="209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0D69F4" w:rsidRPr="00616856" w:rsidRDefault="006F1E1B" w:rsidP="000D69F4">
            <w:pPr>
              <w:spacing w:after="0"/>
              <w:jc w:val="center"/>
              <w:rPr>
                <w:rFonts w:eastAsiaTheme="minorHAnsi"/>
                <w:sz w:val="20"/>
                <w:szCs w:val="20"/>
                <w:lang w:eastAsia="en-US"/>
              </w:rPr>
            </w:pPr>
            <w:r w:rsidRPr="00616856">
              <w:rPr>
                <w:rFonts w:eastAsiaTheme="minorHAnsi"/>
                <w:sz w:val="20"/>
                <w:szCs w:val="20"/>
                <w:lang w:eastAsia="en-US"/>
              </w:rPr>
              <w:t xml:space="preserve">2-4 U/kg </w:t>
            </w:r>
            <w:r w:rsidR="000D69F4" w:rsidRPr="00616856">
              <w:rPr>
                <w:rFonts w:eastAsiaTheme="minorHAnsi"/>
                <w:sz w:val="20"/>
                <w:szCs w:val="20"/>
                <w:lang w:eastAsia="en-US"/>
              </w:rPr>
              <w:t>or 200U</w:t>
            </w:r>
            <w:r w:rsidR="0015308D" w:rsidRPr="00616856">
              <w:rPr>
                <w:rFonts w:eastAsiaTheme="minorHAnsi"/>
                <w:sz w:val="20"/>
                <w:szCs w:val="20"/>
                <w:lang w:eastAsia="en-US"/>
              </w:rPr>
              <w:t xml:space="preserve"> (whichev</w:t>
            </w:r>
            <w:r w:rsidR="00C474E2">
              <w:rPr>
                <w:rFonts w:eastAsiaTheme="minorHAnsi"/>
                <w:sz w:val="20"/>
                <w:szCs w:val="20"/>
                <w:lang w:eastAsia="en-US"/>
              </w:rPr>
              <w:t xml:space="preserve">er is less) </w:t>
            </w:r>
            <w:r w:rsidR="000D69F4" w:rsidRPr="00616856">
              <w:rPr>
                <w:rFonts w:eastAsiaTheme="minorHAnsi"/>
                <w:sz w:val="20"/>
                <w:szCs w:val="20"/>
                <w:lang w:eastAsia="en-US"/>
              </w:rPr>
              <w:t>divided in 2 sites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F03A7" w:rsidRPr="00616856" w:rsidRDefault="00EF03A7" w:rsidP="00EF03A7">
            <w:pPr>
              <w:spacing w:after="0"/>
              <w:jc w:val="center"/>
              <w:rPr>
                <w:rFonts w:eastAsiaTheme="minorHAnsi"/>
                <w:sz w:val="20"/>
                <w:szCs w:val="20"/>
                <w:lang w:eastAsia="en-US"/>
              </w:rPr>
            </w:pPr>
            <w:r w:rsidRPr="00616856">
              <w:rPr>
                <w:rFonts w:eastAsiaTheme="minorHAnsi"/>
                <w:sz w:val="20"/>
                <w:szCs w:val="20"/>
                <w:lang w:eastAsia="en-US"/>
              </w:rPr>
              <w:t xml:space="preserve">Children: </w:t>
            </w:r>
            <w:r w:rsidR="006F1E1B" w:rsidRPr="00616856">
              <w:rPr>
                <w:rFonts w:eastAsiaTheme="minorHAnsi"/>
                <w:sz w:val="20"/>
                <w:szCs w:val="20"/>
                <w:lang w:eastAsia="en-US"/>
              </w:rPr>
              <w:t xml:space="preserve">Up to </w:t>
            </w:r>
            <w:r w:rsidR="00513EC7" w:rsidRPr="00616856">
              <w:rPr>
                <w:rFonts w:eastAsiaTheme="minorHAnsi"/>
                <w:sz w:val="20"/>
                <w:szCs w:val="20"/>
                <w:lang w:eastAsia="en-US"/>
              </w:rPr>
              <w:t>1000U</w:t>
            </w:r>
            <w:r w:rsidRPr="00616856">
              <w:rPr>
                <w:rFonts w:eastAsiaTheme="minorHAnsi"/>
                <w:sz w:val="20"/>
                <w:szCs w:val="20"/>
                <w:lang w:eastAsia="en-US"/>
              </w:rPr>
              <w:t xml:space="preserve"> or 30U/kg</w:t>
            </w:r>
            <w:r w:rsidR="00616856" w:rsidRPr="00616856">
              <w:rPr>
                <w:rFonts w:eastAsiaTheme="minorHAnsi"/>
                <w:sz w:val="20"/>
                <w:szCs w:val="20"/>
                <w:lang w:eastAsia="en-US"/>
              </w:rPr>
              <w:t xml:space="preserve"> (whichever is less)</w:t>
            </w:r>
            <w:r w:rsidRPr="00616856">
              <w:rPr>
                <w:rFonts w:eastAsiaTheme="minorHAnsi"/>
                <w:sz w:val="20"/>
                <w:szCs w:val="20"/>
                <w:lang w:eastAsia="en-US"/>
              </w:rPr>
              <w:t xml:space="preserve"> per session</w:t>
            </w:r>
          </w:p>
          <w:p w:rsidR="006F1E1B" w:rsidRPr="00616856" w:rsidRDefault="00EF03A7" w:rsidP="00EF03A7">
            <w:pPr>
              <w:spacing w:after="0"/>
              <w:jc w:val="center"/>
              <w:rPr>
                <w:rFonts w:eastAsiaTheme="minorHAnsi"/>
                <w:sz w:val="20"/>
                <w:szCs w:val="20"/>
                <w:lang w:eastAsia="en-US"/>
              </w:rPr>
            </w:pPr>
            <w:r w:rsidRPr="00616856">
              <w:rPr>
                <w:rFonts w:eastAsiaTheme="minorHAnsi"/>
                <w:sz w:val="20"/>
                <w:szCs w:val="20"/>
                <w:lang w:eastAsia="en-US"/>
              </w:rPr>
              <w:t>Adults: Up to</w:t>
            </w:r>
            <w:r w:rsidR="00513EC7" w:rsidRPr="00616856">
              <w:rPr>
                <w:rFonts w:eastAsiaTheme="minorHAnsi"/>
                <w:sz w:val="20"/>
                <w:szCs w:val="20"/>
                <w:lang w:eastAsia="en-US"/>
              </w:rPr>
              <w:t xml:space="preserve"> </w:t>
            </w:r>
            <w:r w:rsidR="006F1E1B" w:rsidRPr="00616856">
              <w:rPr>
                <w:rFonts w:eastAsiaTheme="minorHAnsi"/>
                <w:sz w:val="20"/>
                <w:szCs w:val="20"/>
                <w:lang w:eastAsia="en-US"/>
              </w:rPr>
              <w:t xml:space="preserve">1500U </w:t>
            </w:r>
            <w:r w:rsidR="008D0947" w:rsidRPr="00616856">
              <w:rPr>
                <w:rFonts w:eastAsiaTheme="minorHAnsi"/>
                <w:sz w:val="20"/>
                <w:szCs w:val="20"/>
                <w:lang w:eastAsia="en-US"/>
              </w:rPr>
              <w:t>per session</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3B6388" w:rsidP="003B6388">
            <w:pPr>
              <w:spacing w:after="0"/>
              <w:jc w:val="center"/>
              <w:rPr>
                <w:rFonts w:eastAsiaTheme="minorHAnsi"/>
                <w:sz w:val="20"/>
                <w:szCs w:val="20"/>
                <w:lang w:eastAsia="en-US"/>
              </w:rPr>
            </w:pPr>
            <w:r>
              <w:rPr>
                <w:rFonts w:eastAsiaTheme="minorHAnsi"/>
                <w:sz w:val="20"/>
                <w:szCs w:val="20"/>
                <w:lang w:eastAsia="en-US"/>
              </w:rPr>
              <w:t>N/A</w:t>
            </w:r>
          </w:p>
        </w:tc>
      </w:tr>
      <w:tr w:rsidR="006F1E1B" w:rsidTr="00055A80">
        <w:trPr>
          <w:trHeight w:val="510"/>
        </w:trPr>
        <w:tc>
          <w:tcPr>
            <w:tcW w:w="1984"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F1E1B" w:rsidRPr="00B05493" w:rsidRDefault="006F1E1B" w:rsidP="00CB27CF">
            <w:pPr>
              <w:spacing w:after="0"/>
              <w:rPr>
                <w:rFonts w:eastAsiaTheme="minorHAnsi"/>
                <w:sz w:val="20"/>
                <w:szCs w:val="20"/>
                <w:lang w:eastAsia="en-US"/>
              </w:rPr>
            </w:pPr>
            <w:r>
              <w:rPr>
                <w:sz w:val="20"/>
                <w:szCs w:val="20"/>
              </w:rPr>
              <w:t>S</w:t>
            </w:r>
            <w:r w:rsidRPr="00B05493">
              <w:rPr>
                <w:sz w:val="20"/>
                <w:szCs w:val="20"/>
              </w:rPr>
              <w:t>pasticity of the upper limb</w:t>
            </w:r>
            <w:r>
              <w:rPr>
                <w:sz w:val="20"/>
                <w:szCs w:val="20"/>
              </w:rPr>
              <w:t xml:space="preserve"> due to cerebral palsy</w:t>
            </w: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p>
        </w:tc>
        <w:tc>
          <w:tcPr>
            <w:tcW w:w="209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0.5-2.0 U/kg</w:t>
            </w:r>
            <w:r w:rsidR="000D69F4" w:rsidRPr="00616856">
              <w:rPr>
                <w:rFonts w:eastAsiaTheme="minorHAnsi"/>
                <w:sz w:val="20"/>
                <w:szCs w:val="20"/>
                <w:lang w:eastAsia="en-US"/>
              </w:rPr>
              <w:t>/muscle</w:t>
            </w:r>
            <w:r w:rsidR="0015308D" w:rsidRPr="00616856">
              <w:rPr>
                <w:rFonts w:eastAsiaTheme="minorHAnsi"/>
                <w:sz w:val="20"/>
                <w:szCs w:val="20"/>
                <w:lang w:eastAsia="en-US"/>
              </w:rPr>
              <w:t xml:space="preserve"> (children) or 15-200U in up to 4 sites (adults)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Up to 1000U</w:t>
            </w:r>
            <w:r w:rsidR="00EF03A7" w:rsidRPr="00616856">
              <w:rPr>
                <w:rFonts w:eastAsiaTheme="minorHAnsi"/>
                <w:sz w:val="20"/>
                <w:szCs w:val="20"/>
                <w:lang w:eastAsia="en-US"/>
              </w:rPr>
              <w:t xml:space="preserve"> per session</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C46973" w:rsidP="003B6388">
            <w:pPr>
              <w:spacing w:after="0"/>
              <w:jc w:val="center"/>
              <w:rPr>
                <w:rFonts w:eastAsiaTheme="minorHAnsi"/>
                <w:sz w:val="20"/>
                <w:szCs w:val="20"/>
                <w:lang w:eastAsia="en-US"/>
              </w:rPr>
            </w:pPr>
            <w:r>
              <w:rPr>
                <w:rFonts w:eastAsiaTheme="minorHAnsi"/>
                <w:sz w:val="20"/>
                <w:szCs w:val="20"/>
                <w:lang w:eastAsia="en-US"/>
              </w:rPr>
              <w:t>Up to 500U per session (&lt;= 250U on shoulder muscles)</w:t>
            </w:r>
          </w:p>
        </w:tc>
      </w:tr>
      <w:tr w:rsidR="006F1E1B" w:rsidTr="00055A80">
        <w:tc>
          <w:tcPr>
            <w:tcW w:w="1984"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F1E1B" w:rsidRPr="00B05493" w:rsidRDefault="006F1E1B" w:rsidP="00CB27CF">
            <w:pPr>
              <w:spacing w:after="0"/>
              <w:rPr>
                <w:rFonts w:eastAsiaTheme="minorHAnsi"/>
                <w:sz w:val="20"/>
                <w:szCs w:val="20"/>
                <w:lang w:eastAsia="en-US"/>
              </w:rPr>
            </w:pP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r>
              <w:rPr>
                <w:rFonts w:eastAsiaTheme="minorHAnsi"/>
                <w:sz w:val="20"/>
                <w:szCs w:val="20"/>
                <w:lang w:eastAsia="en-US"/>
              </w:rPr>
              <w:t>Cumulative for cerebral palsy</w:t>
            </w:r>
          </w:p>
        </w:tc>
        <w:tc>
          <w:tcPr>
            <w:tcW w:w="209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&lt; 8.0</w:t>
            </w:r>
            <w:r w:rsidR="00D4201F" w:rsidRPr="00616856">
              <w:rPr>
                <w:rFonts w:eastAsiaTheme="minorHAnsi"/>
                <w:sz w:val="20"/>
                <w:szCs w:val="20"/>
                <w:lang w:eastAsia="en-US"/>
              </w:rPr>
              <w:t xml:space="preserve"> </w:t>
            </w:r>
            <w:r w:rsidRPr="00616856">
              <w:rPr>
                <w:rFonts w:eastAsiaTheme="minorHAnsi"/>
                <w:sz w:val="20"/>
                <w:szCs w:val="20"/>
                <w:lang w:eastAsia="en-US"/>
              </w:rPr>
              <w:t>U/kg body weight or 300U in 3 months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p>
        </w:tc>
      </w:tr>
      <w:tr w:rsidR="006F1E1B" w:rsidTr="00055A80">
        <w:tc>
          <w:tcPr>
            <w:tcW w:w="1984"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F1E1B" w:rsidRPr="00B05493" w:rsidRDefault="006F1E1B" w:rsidP="00CB27CF">
            <w:pPr>
              <w:spacing w:after="0"/>
              <w:rPr>
                <w:rFonts w:eastAsiaTheme="minorHAnsi"/>
                <w:sz w:val="20"/>
                <w:szCs w:val="20"/>
                <w:lang w:eastAsia="en-US"/>
              </w:rPr>
            </w:pPr>
            <w:r>
              <w:rPr>
                <w:sz w:val="20"/>
                <w:szCs w:val="20"/>
              </w:rPr>
              <w:t>S</w:t>
            </w:r>
            <w:r w:rsidRPr="00B05493">
              <w:rPr>
                <w:sz w:val="20"/>
                <w:szCs w:val="20"/>
              </w:rPr>
              <w:t>pasticity of the upper limb</w:t>
            </w:r>
            <w:r>
              <w:rPr>
                <w:sz w:val="20"/>
                <w:szCs w:val="20"/>
              </w:rPr>
              <w:t xml:space="preserve"> following stroke </w:t>
            </w:r>
          </w:p>
        </w:tc>
        <w:tc>
          <w:tcPr>
            <w:tcW w:w="1130" w:type="dxa"/>
            <w:tcBorders>
              <w:top w:val="single" w:sz="4" w:space="0" w:color="auto"/>
              <w:left w:val="single" w:sz="4" w:space="0" w:color="auto"/>
              <w:bottom w:val="single" w:sz="4" w:space="0" w:color="auto"/>
              <w:right w:val="single" w:sz="4" w:space="0" w:color="auto"/>
            </w:tcBorders>
            <w:vAlign w:val="center"/>
          </w:tcPr>
          <w:p w:rsidR="006F1E1B" w:rsidRDefault="006F1E1B" w:rsidP="00CB27CF">
            <w:pPr>
              <w:spacing w:after="0"/>
              <w:jc w:val="center"/>
              <w:rPr>
                <w:rFonts w:eastAsiaTheme="minorHAnsi"/>
                <w:sz w:val="20"/>
                <w:szCs w:val="20"/>
                <w:lang w:eastAsia="en-US"/>
              </w:rPr>
            </w:pPr>
            <w:r>
              <w:rPr>
                <w:rFonts w:eastAsiaTheme="minorHAnsi"/>
                <w:sz w:val="20"/>
                <w:szCs w:val="20"/>
                <w:lang w:eastAsia="en-US"/>
              </w:rPr>
              <w:t>Based on Focal Spasticity in Adults in PI</w:t>
            </w:r>
          </w:p>
        </w:tc>
        <w:tc>
          <w:tcPr>
            <w:tcW w:w="209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821813">
            <w:pPr>
              <w:spacing w:after="0"/>
              <w:jc w:val="center"/>
              <w:rPr>
                <w:rFonts w:eastAsiaTheme="minorHAnsi"/>
                <w:sz w:val="20"/>
                <w:szCs w:val="20"/>
                <w:lang w:eastAsia="en-US"/>
              </w:rPr>
            </w:pPr>
            <w:r w:rsidRPr="00616856">
              <w:rPr>
                <w:rFonts w:eastAsiaTheme="minorHAnsi"/>
                <w:sz w:val="20"/>
                <w:szCs w:val="20"/>
                <w:lang w:eastAsia="en-US"/>
              </w:rPr>
              <w:t>Depends on muscles involved. Up to 200U total in up to 4 sites.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Up to 1000U</w:t>
            </w:r>
            <w:r w:rsidR="00EF03A7" w:rsidRPr="00616856">
              <w:rPr>
                <w:rFonts w:eastAsiaTheme="minorHAnsi"/>
                <w:sz w:val="20"/>
                <w:szCs w:val="20"/>
                <w:lang w:eastAsia="en-US"/>
              </w:rPr>
              <w:t xml:space="preserve"> per session</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F1E1B" w:rsidRPr="00616856" w:rsidRDefault="006F1E1B" w:rsidP="00CB27CF">
            <w:pPr>
              <w:spacing w:after="0"/>
              <w:jc w:val="center"/>
              <w:rPr>
                <w:rFonts w:eastAsiaTheme="minorHAnsi"/>
                <w:sz w:val="20"/>
                <w:szCs w:val="20"/>
                <w:lang w:eastAsia="en-US"/>
              </w:rPr>
            </w:pPr>
            <w:r w:rsidRPr="00616856">
              <w:rPr>
                <w:rFonts w:eastAsiaTheme="minorHAnsi"/>
                <w:sz w:val="20"/>
                <w:szCs w:val="20"/>
                <w:lang w:eastAsia="en-US"/>
              </w:rPr>
              <w:t xml:space="preserve">Up to </w:t>
            </w:r>
            <w:r w:rsidR="008D0947" w:rsidRPr="00616856">
              <w:rPr>
                <w:rFonts w:eastAsiaTheme="minorHAnsi"/>
                <w:sz w:val="20"/>
                <w:szCs w:val="20"/>
                <w:lang w:eastAsia="en-US"/>
              </w:rPr>
              <w:t>5</w:t>
            </w:r>
            <w:r w:rsidRPr="00616856">
              <w:rPr>
                <w:rFonts w:eastAsiaTheme="minorHAnsi"/>
                <w:sz w:val="20"/>
                <w:szCs w:val="20"/>
                <w:lang w:eastAsia="en-US"/>
              </w:rPr>
              <w:t>00U per session</w:t>
            </w:r>
            <w:r w:rsidR="008D0947" w:rsidRPr="00616856">
              <w:rPr>
                <w:rFonts w:eastAsiaTheme="minorHAnsi"/>
                <w:sz w:val="20"/>
                <w:szCs w:val="20"/>
                <w:lang w:eastAsia="en-US"/>
              </w:rPr>
              <w:t xml:space="preserve"> (≤250U on shoulder muscles)</w:t>
            </w:r>
          </w:p>
        </w:tc>
      </w:tr>
    </w:tbl>
    <w:p w:rsidR="00150E61" w:rsidRDefault="008E3E00" w:rsidP="00055A80">
      <w:pPr>
        <w:spacing w:before="200"/>
      </w:pPr>
      <w:r w:rsidRPr="00CD0060">
        <w:rPr>
          <w:rFonts w:ascii="Calibri" w:eastAsia="MS Mincho" w:hAnsi="Calibri" w:cs="Times New Roman"/>
          <w:szCs w:val="28"/>
        </w:rPr>
        <w:t>Repeat doses are usually required as the effect of the toxin wears off after 3-4 months.</w:t>
      </w:r>
      <w:r w:rsidR="00BB527F" w:rsidRPr="00BB527F">
        <w:rPr>
          <w:rFonts w:ascii="Calibri" w:eastAsia="MS Mincho" w:hAnsi="Calibri" w:cs="Times New Roman"/>
          <w:szCs w:val="28"/>
          <w:vertAlign w:val="superscript"/>
        </w:rPr>
        <w:fldChar w:fldCharType="begin"/>
      </w:r>
      <w:r w:rsidR="00BB527F" w:rsidRPr="00BB527F">
        <w:rPr>
          <w:rFonts w:ascii="Calibri" w:eastAsia="MS Mincho" w:hAnsi="Calibri" w:cs="Times New Roman"/>
          <w:szCs w:val="28"/>
          <w:vertAlign w:val="superscript"/>
        </w:rPr>
        <w:instrText xml:space="preserve"> NOTEREF _Ref511664304 \h  \* MERGEFORMAT </w:instrText>
      </w:r>
      <w:r w:rsidR="00BB527F" w:rsidRPr="00BB527F">
        <w:rPr>
          <w:rFonts w:ascii="Calibri" w:eastAsia="MS Mincho" w:hAnsi="Calibri" w:cs="Times New Roman"/>
          <w:szCs w:val="28"/>
          <w:vertAlign w:val="superscript"/>
        </w:rPr>
      </w:r>
      <w:r w:rsidR="00BB527F" w:rsidRPr="00BB527F">
        <w:rPr>
          <w:rFonts w:ascii="Calibri" w:eastAsia="MS Mincho" w:hAnsi="Calibri" w:cs="Times New Roman"/>
          <w:szCs w:val="28"/>
          <w:vertAlign w:val="superscript"/>
        </w:rPr>
        <w:fldChar w:fldCharType="separate"/>
      </w:r>
      <w:r w:rsidR="006D5284">
        <w:rPr>
          <w:rFonts w:ascii="Calibri" w:eastAsia="MS Mincho" w:hAnsi="Calibri" w:cs="Times New Roman"/>
          <w:szCs w:val="28"/>
          <w:vertAlign w:val="superscript"/>
        </w:rPr>
        <w:t>1</w:t>
      </w:r>
      <w:r w:rsidR="00BB527F" w:rsidRPr="00BB527F">
        <w:rPr>
          <w:rFonts w:ascii="Calibri" w:eastAsia="MS Mincho" w:hAnsi="Calibri" w:cs="Times New Roman"/>
          <w:szCs w:val="28"/>
          <w:vertAlign w:val="superscript"/>
        </w:rPr>
        <w:fldChar w:fldCharType="end"/>
      </w:r>
      <w:r w:rsidR="00BB527F">
        <w:rPr>
          <w:rFonts w:ascii="Calibri" w:eastAsia="MS Mincho" w:hAnsi="Calibri" w:cs="Times New Roman"/>
          <w:szCs w:val="28"/>
          <w:vertAlign w:val="superscript"/>
        </w:rPr>
        <w:t>-</w:t>
      </w:r>
      <w:r w:rsidR="00BB527F">
        <w:rPr>
          <w:rFonts w:ascii="Calibri" w:eastAsia="MS Mincho" w:hAnsi="Calibri" w:cs="Times New Roman"/>
          <w:szCs w:val="28"/>
          <w:vertAlign w:val="superscript"/>
        </w:rPr>
        <w:fldChar w:fldCharType="begin"/>
      </w:r>
      <w:r w:rsidR="00BB527F">
        <w:rPr>
          <w:rFonts w:ascii="Calibri" w:eastAsia="MS Mincho" w:hAnsi="Calibri" w:cs="Times New Roman"/>
          <w:szCs w:val="28"/>
          <w:vertAlign w:val="superscript"/>
        </w:rPr>
        <w:instrText xml:space="preserve"> NOTEREF _Ref512498050 \h </w:instrText>
      </w:r>
      <w:r w:rsidR="00BB527F">
        <w:rPr>
          <w:rFonts w:ascii="Calibri" w:eastAsia="MS Mincho" w:hAnsi="Calibri" w:cs="Times New Roman"/>
          <w:szCs w:val="28"/>
          <w:vertAlign w:val="superscript"/>
        </w:rPr>
      </w:r>
      <w:r w:rsidR="00BB527F">
        <w:rPr>
          <w:rFonts w:ascii="Calibri" w:eastAsia="MS Mincho" w:hAnsi="Calibri" w:cs="Times New Roman"/>
          <w:szCs w:val="28"/>
          <w:vertAlign w:val="superscript"/>
        </w:rPr>
        <w:fldChar w:fldCharType="separate"/>
      </w:r>
      <w:r w:rsidR="006D5284">
        <w:rPr>
          <w:rFonts w:ascii="Calibri" w:eastAsia="MS Mincho" w:hAnsi="Calibri" w:cs="Times New Roman"/>
          <w:szCs w:val="28"/>
          <w:vertAlign w:val="superscript"/>
        </w:rPr>
        <w:t>4</w:t>
      </w:r>
      <w:r w:rsidR="00BB527F">
        <w:rPr>
          <w:rFonts w:ascii="Calibri" w:eastAsia="MS Mincho" w:hAnsi="Calibri" w:cs="Times New Roman"/>
          <w:szCs w:val="28"/>
          <w:vertAlign w:val="superscript"/>
        </w:rPr>
        <w:fldChar w:fldCharType="end"/>
      </w:r>
      <w:r>
        <w:rPr>
          <w:rFonts w:ascii="Calibri" w:eastAsia="MS Mincho" w:hAnsi="Calibri" w:cs="Times New Roman"/>
          <w:szCs w:val="28"/>
        </w:rPr>
        <w:t xml:space="preserve"> </w:t>
      </w:r>
      <w:proofErr w:type="gramStart"/>
      <w:r w:rsidR="00150E61">
        <w:t>The</w:t>
      </w:r>
      <w:proofErr w:type="gramEnd"/>
      <w:r w:rsidR="00150E61">
        <w:t xml:space="preserve"> dosing frequencies</w:t>
      </w:r>
      <w:r w:rsidR="00150E61" w:rsidRPr="00CD0060">
        <w:t xml:space="preserve"> recommended in the Product Information are summarised in Table</w:t>
      </w:r>
      <w:r w:rsidR="00150E61">
        <w:t> 3.</w:t>
      </w:r>
    </w:p>
    <w:p w:rsidR="00794CFE" w:rsidRDefault="00794CFE">
      <w:pPr>
        <w:spacing w:line="276" w:lineRule="auto"/>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br w:type="page"/>
      </w:r>
    </w:p>
    <w:p w:rsidR="00150E61" w:rsidRPr="00440DED" w:rsidRDefault="00150E61" w:rsidP="00150E61">
      <w:pPr>
        <w:widowControl w:val="0"/>
        <w:spacing w:after="0"/>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lastRenderedPageBreak/>
        <w:t>Table 3: Dosing frequency summary from TGA Product Information</w:t>
      </w:r>
      <w:r w:rsidR="007B14A2" w:rsidRPr="007B14A2">
        <w:rPr>
          <w:rFonts w:ascii="Calibri" w:eastAsia="Times New Roman" w:hAnsi="Calibri" w:cs="Times New Roman"/>
          <w:iCs/>
          <w:snapToGrid w:val="0"/>
          <w:vertAlign w:val="superscript"/>
          <w:lang w:eastAsia="en-US"/>
        </w:rPr>
        <w:fldChar w:fldCharType="begin"/>
      </w:r>
      <w:r w:rsidR="007B14A2" w:rsidRPr="007B14A2">
        <w:rPr>
          <w:rFonts w:ascii="Calibri" w:eastAsia="Times New Roman" w:hAnsi="Calibri" w:cs="Times New Roman"/>
          <w:iCs/>
          <w:snapToGrid w:val="0"/>
          <w:vertAlign w:val="superscript"/>
          <w:lang w:eastAsia="en-US"/>
        </w:rPr>
        <w:instrText xml:space="preserve"> NOTEREF _Ref512498034 \h  \* MERGEFORMAT </w:instrText>
      </w:r>
      <w:r w:rsidR="007B14A2" w:rsidRPr="007B14A2">
        <w:rPr>
          <w:rFonts w:ascii="Calibri" w:eastAsia="Times New Roman" w:hAnsi="Calibri" w:cs="Times New Roman"/>
          <w:iCs/>
          <w:snapToGrid w:val="0"/>
          <w:vertAlign w:val="superscript"/>
          <w:lang w:eastAsia="en-US"/>
        </w:rPr>
      </w:r>
      <w:r w:rsidR="007B14A2" w:rsidRPr="007B14A2">
        <w:rPr>
          <w:rFonts w:ascii="Calibri" w:eastAsia="Times New Roman" w:hAnsi="Calibri" w:cs="Times New Roman"/>
          <w:iCs/>
          <w:snapToGrid w:val="0"/>
          <w:vertAlign w:val="superscript"/>
          <w:lang w:eastAsia="en-US"/>
        </w:rPr>
        <w:fldChar w:fldCharType="separate"/>
      </w:r>
      <w:r w:rsidR="006D5284">
        <w:rPr>
          <w:rFonts w:ascii="Calibri" w:eastAsia="Times New Roman" w:hAnsi="Calibri" w:cs="Times New Roman"/>
          <w:iCs/>
          <w:snapToGrid w:val="0"/>
          <w:vertAlign w:val="superscript"/>
          <w:lang w:eastAsia="en-US"/>
        </w:rPr>
        <w:t>2</w:t>
      </w:r>
      <w:r w:rsidR="007B14A2" w:rsidRPr="007B14A2">
        <w:rPr>
          <w:rFonts w:ascii="Calibri" w:eastAsia="Times New Roman" w:hAnsi="Calibri" w:cs="Times New Roman"/>
          <w:iCs/>
          <w:snapToGrid w:val="0"/>
          <w:vertAlign w:val="superscript"/>
          <w:lang w:eastAsia="en-US"/>
        </w:rPr>
        <w:fldChar w:fldCharType="end"/>
      </w:r>
      <w:proofErr w:type="gramStart"/>
      <w:r w:rsidR="007B14A2" w:rsidRPr="007B14A2">
        <w:rPr>
          <w:rFonts w:ascii="Calibri" w:eastAsia="Times New Roman" w:hAnsi="Calibri" w:cs="Times New Roman"/>
          <w:iCs/>
          <w:snapToGrid w:val="0"/>
          <w:vertAlign w:val="superscript"/>
          <w:lang w:eastAsia="en-US"/>
        </w:rPr>
        <w:t>,</w:t>
      </w:r>
      <w:proofErr w:type="gramEnd"/>
      <w:r w:rsidR="007B14A2" w:rsidRPr="007B14A2">
        <w:rPr>
          <w:rFonts w:ascii="Calibri" w:eastAsia="Times New Roman" w:hAnsi="Calibri" w:cs="Times New Roman"/>
          <w:iCs/>
          <w:snapToGrid w:val="0"/>
          <w:vertAlign w:val="superscript"/>
          <w:lang w:eastAsia="en-US"/>
        </w:rPr>
        <w:fldChar w:fldCharType="begin"/>
      </w:r>
      <w:r w:rsidR="007B14A2" w:rsidRPr="007B14A2">
        <w:rPr>
          <w:rFonts w:ascii="Calibri" w:eastAsia="Times New Roman" w:hAnsi="Calibri" w:cs="Times New Roman"/>
          <w:iCs/>
          <w:snapToGrid w:val="0"/>
          <w:vertAlign w:val="superscript"/>
          <w:lang w:eastAsia="en-US"/>
        </w:rPr>
        <w:instrText xml:space="preserve"> NOTEREF _Ref512498042 \h  \* MERGEFORMAT </w:instrText>
      </w:r>
      <w:r w:rsidR="007B14A2" w:rsidRPr="007B14A2">
        <w:rPr>
          <w:rFonts w:ascii="Calibri" w:eastAsia="Times New Roman" w:hAnsi="Calibri" w:cs="Times New Roman"/>
          <w:iCs/>
          <w:snapToGrid w:val="0"/>
          <w:vertAlign w:val="superscript"/>
          <w:lang w:eastAsia="en-US"/>
        </w:rPr>
      </w:r>
      <w:r w:rsidR="007B14A2" w:rsidRPr="007B14A2">
        <w:rPr>
          <w:rFonts w:ascii="Calibri" w:eastAsia="Times New Roman" w:hAnsi="Calibri" w:cs="Times New Roman"/>
          <w:iCs/>
          <w:snapToGrid w:val="0"/>
          <w:vertAlign w:val="superscript"/>
          <w:lang w:eastAsia="en-US"/>
        </w:rPr>
        <w:fldChar w:fldCharType="separate"/>
      </w:r>
      <w:r w:rsidR="006D5284">
        <w:rPr>
          <w:rFonts w:ascii="Calibri" w:eastAsia="Times New Roman" w:hAnsi="Calibri" w:cs="Times New Roman"/>
          <w:iCs/>
          <w:snapToGrid w:val="0"/>
          <w:vertAlign w:val="superscript"/>
          <w:lang w:eastAsia="en-US"/>
        </w:rPr>
        <w:t>3</w:t>
      </w:r>
      <w:r w:rsidR="007B14A2" w:rsidRPr="007B14A2">
        <w:rPr>
          <w:rFonts w:ascii="Calibri" w:eastAsia="Times New Roman" w:hAnsi="Calibri" w:cs="Times New Roman"/>
          <w:iCs/>
          <w:snapToGrid w:val="0"/>
          <w:vertAlign w:val="superscript"/>
          <w:lang w:eastAsia="en-US"/>
        </w:rPr>
        <w:fldChar w:fldCharType="end"/>
      </w:r>
      <w:r w:rsidR="007B14A2" w:rsidRPr="007B14A2">
        <w:rPr>
          <w:rFonts w:ascii="Calibri" w:eastAsia="Times New Roman" w:hAnsi="Calibri" w:cs="Times New Roman"/>
          <w:iCs/>
          <w:snapToGrid w:val="0"/>
          <w:vertAlign w:val="superscript"/>
          <w:lang w:eastAsia="en-US"/>
        </w:rPr>
        <w:t>,</w:t>
      </w:r>
      <w:r w:rsidR="007B14A2" w:rsidRPr="007B14A2">
        <w:rPr>
          <w:rFonts w:ascii="Calibri" w:eastAsia="Times New Roman" w:hAnsi="Calibri" w:cs="Times New Roman"/>
          <w:iCs/>
          <w:snapToGrid w:val="0"/>
          <w:vertAlign w:val="superscript"/>
          <w:lang w:eastAsia="en-US"/>
        </w:rPr>
        <w:fldChar w:fldCharType="begin"/>
      </w:r>
      <w:r w:rsidR="007B14A2" w:rsidRPr="007B14A2">
        <w:rPr>
          <w:rFonts w:ascii="Calibri" w:eastAsia="Times New Roman" w:hAnsi="Calibri" w:cs="Times New Roman"/>
          <w:iCs/>
          <w:snapToGrid w:val="0"/>
          <w:vertAlign w:val="superscript"/>
          <w:lang w:eastAsia="en-US"/>
        </w:rPr>
        <w:instrText xml:space="preserve"> NOTEREF _Ref512498050 \h  \* MERGEFORMAT </w:instrText>
      </w:r>
      <w:r w:rsidR="007B14A2" w:rsidRPr="007B14A2">
        <w:rPr>
          <w:rFonts w:ascii="Calibri" w:eastAsia="Times New Roman" w:hAnsi="Calibri" w:cs="Times New Roman"/>
          <w:iCs/>
          <w:snapToGrid w:val="0"/>
          <w:vertAlign w:val="superscript"/>
          <w:lang w:eastAsia="en-US"/>
        </w:rPr>
      </w:r>
      <w:r w:rsidR="007B14A2" w:rsidRPr="007B14A2">
        <w:rPr>
          <w:rFonts w:ascii="Calibri" w:eastAsia="Times New Roman" w:hAnsi="Calibri" w:cs="Times New Roman"/>
          <w:iCs/>
          <w:snapToGrid w:val="0"/>
          <w:vertAlign w:val="superscript"/>
          <w:lang w:eastAsia="en-US"/>
        </w:rPr>
        <w:fldChar w:fldCharType="separate"/>
      </w:r>
      <w:r w:rsidR="006D5284">
        <w:rPr>
          <w:rFonts w:ascii="Calibri" w:eastAsia="Times New Roman" w:hAnsi="Calibri" w:cs="Times New Roman"/>
          <w:iCs/>
          <w:snapToGrid w:val="0"/>
          <w:vertAlign w:val="superscript"/>
          <w:lang w:eastAsia="en-US"/>
        </w:rPr>
        <w:t>4</w:t>
      </w:r>
      <w:r w:rsidR="007B14A2" w:rsidRPr="007B14A2">
        <w:rPr>
          <w:rFonts w:ascii="Calibri" w:eastAsia="Times New Roman" w:hAnsi="Calibri" w:cs="Times New Roman"/>
          <w:iCs/>
          <w:snapToGrid w:val="0"/>
          <w:vertAlign w:val="superscript"/>
          <w:lang w:eastAsia="en-US"/>
        </w:rPr>
        <w:fldChar w:fldCharType="end"/>
      </w:r>
    </w:p>
    <w:tbl>
      <w:tblPr>
        <w:tblW w:w="8928" w:type="dxa"/>
        <w:tblCellMar>
          <w:left w:w="0" w:type="dxa"/>
          <w:right w:w="0" w:type="dxa"/>
        </w:tblCellMar>
        <w:tblLook w:val="04A0" w:firstRow="1" w:lastRow="0" w:firstColumn="1" w:lastColumn="0" w:noHBand="0" w:noVBand="1"/>
      </w:tblPr>
      <w:tblGrid>
        <w:gridCol w:w="3061"/>
        <w:gridCol w:w="1844"/>
        <w:gridCol w:w="2041"/>
        <w:gridCol w:w="1982"/>
      </w:tblGrid>
      <w:tr w:rsidR="00150E61" w:rsidRPr="00055A80" w:rsidTr="005E6885">
        <w:tc>
          <w:tcPr>
            <w:tcW w:w="306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rsidR="00150E61" w:rsidRPr="00055A80" w:rsidRDefault="00150E61" w:rsidP="00CB27CF">
            <w:pPr>
              <w:spacing w:after="0"/>
              <w:rPr>
                <w:rFonts w:eastAsiaTheme="minorHAnsi"/>
                <w:b/>
                <w:sz w:val="20"/>
                <w:szCs w:val="20"/>
                <w:lang w:eastAsia="en-US"/>
              </w:rPr>
            </w:pPr>
          </w:p>
        </w:tc>
        <w:tc>
          <w:tcPr>
            <w:tcW w:w="1844"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150E61" w:rsidRPr="00055A80" w:rsidRDefault="00150E61" w:rsidP="00CB27CF">
            <w:pPr>
              <w:spacing w:after="0"/>
              <w:jc w:val="center"/>
              <w:rPr>
                <w:rFonts w:eastAsiaTheme="minorHAnsi"/>
                <w:b/>
                <w:sz w:val="20"/>
                <w:szCs w:val="20"/>
                <w:lang w:eastAsia="en-US"/>
              </w:rPr>
            </w:pPr>
            <w:r w:rsidRPr="00055A80">
              <w:rPr>
                <w:b/>
                <w:sz w:val="20"/>
                <w:szCs w:val="20"/>
              </w:rPr>
              <w:t>Botulinum toxin type A (</w:t>
            </w:r>
            <w:r w:rsidRPr="00A82749">
              <w:rPr>
                <w:b/>
                <w:sz w:val="20"/>
                <w:szCs w:val="20"/>
              </w:rPr>
              <w:t>Botox)</w:t>
            </w:r>
          </w:p>
        </w:tc>
        <w:tc>
          <w:tcPr>
            <w:tcW w:w="204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rsidR="00150E61" w:rsidRPr="00055A80" w:rsidRDefault="00150E61" w:rsidP="00CB27CF">
            <w:pPr>
              <w:spacing w:after="0"/>
              <w:jc w:val="center"/>
              <w:rPr>
                <w:rFonts w:eastAsiaTheme="minorHAnsi"/>
                <w:b/>
                <w:sz w:val="20"/>
                <w:szCs w:val="20"/>
                <w:lang w:eastAsia="en-US"/>
              </w:rPr>
            </w:pPr>
            <w:r w:rsidRPr="00055A80">
              <w:rPr>
                <w:b/>
                <w:sz w:val="20"/>
                <w:szCs w:val="20"/>
              </w:rPr>
              <w:t>Clostridium botulinum type A toxin-</w:t>
            </w:r>
            <w:proofErr w:type="spellStart"/>
            <w:r w:rsidRPr="00055A80">
              <w:rPr>
                <w:b/>
                <w:sz w:val="20"/>
                <w:szCs w:val="20"/>
              </w:rPr>
              <w:t>haemagglutinin</w:t>
            </w:r>
            <w:proofErr w:type="spellEnd"/>
            <w:r w:rsidRPr="00055A80">
              <w:rPr>
                <w:b/>
                <w:sz w:val="20"/>
                <w:szCs w:val="20"/>
              </w:rPr>
              <w:t xml:space="preserve"> complex (</w:t>
            </w:r>
            <w:proofErr w:type="spellStart"/>
            <w:r w:rsidRPr="00055A80">
              <w:rPr>
                <w:b/>
                <w:sz w:val="20"/>
                <w:szCs w:val="20"/>
              </w:rPr>
              <w:t>Dysport</w:t>
            </w:r>
            <w:proofErr w:type="spellEnd"/>
            <w:r w:rsidRPr="00055A80">
              <w:rPr>
                <w:b/>
                <w:sz w:val="20"/>
                <w:szCs w:val="20"/>
              </w:rPr>
              <w:t>)</w:t>
            </w:r>
          </w:p>
        </w:tc>
        <w:tc>
          <w:tcPr>
            <w:tcW w:w="198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150E61" w:rsidRPr="00055A80" w:rsidRDefault="00150E61" w:rsidP="00CB27CF">
            <w:pPr>
              <w:spacing w:after="0"/>
              <w:jc w:val="center"/>
              <w:rPr>
                <w:rFonts w:eastAsiaTheme="minorHAnsi"/>
                <w:b/>
                <w:sz w:val="20"/>
                <w:szCs w:val="20"/>
                <w:lang w:eastAsia="en-US"/>
              </w:rPr>
            </w:pPr>
            <w:proofErr w:type="spellStart"/>
            <w:r w:rsidRPr="00055A80">
              <w:rPr>
                <w:b/>
                <w:sz w:val="20"/>
                <w:szCs w:val="20"/>
              </w:rPr>
              <w:t>IncobotulinumtoxinA</w:t>
            </w:r>
            <w:proofErr w:type="spellEnd"/>
            <w:r w:rsidRPr="00055A80">
              <w:rPr>
                <w:b/>
                <w:sz w:val="20"/>
                <w:szCs w:val="20"/>
              </w:rPr>
              <w:t xml:space="preserve"> (</w:t>
            </w:r>
            <w:proofErr w:type="spellStart"/>
            <w:r w:rsidRPr="00055A80">
              <w:rPr>
                <w:b/>
                <w:sz w:val="20"/>
                <w:szCs w:val="20"/>
              </w:rPr>
              <w:t>Xeomin</w:t>
            </w:r>
            <w:proofErr w:type="spellEnd"/>
            <w:r w:rsidRPr="00055A80">
              <w:rPr>
                <w:b/>
                <w:sz w:val="20"/>
                <w:szCs w:val="20"/>
              </w:rPr>
              <w:t>)</w:t>
            </w:r>
          </w:p>
        </w:tc>
      </w:tr>
      <w:tr w:rsidR="00150E61" w:rsidTr="00055A80">
        <w:tc>
          <w:tcPr>
            <w:tcW w:w="30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0E61" w:rsidRPr="00B05493" w:rsidRDefault="00150E61" w:rsidP="00CB27CF">
            <w:pPr>
              <w:spacing w:after="0"/>
              <w:rPr>
                <w:rFonts w:eastAsiaTheme="minorHAnsi"/>
                <w:sz w:val="20"/>
                <w:szCs w:val="20"/>
                <w:lang w:eastAsia="en-US"/>
              </w:rPr>
            </w:pPr>
            <w:r w:rsidRPr="00B05493">
              <w:rPr>
                <w:sz w:val="20"/>
                <w:szCs w:val="20"/>
              </w:rPr>
              <w:t>Blepharospasm</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E338D8" w:rsidP="00CB27CF">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3 months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162E1D" w:rsidP="00CB27CF">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12 weeks</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150E61" w:rsidP="00CB27CF">
            <w:pPr>
              <w:spacing w:after="0"/>
              <w:jc w:val="center"/>
              <w:rPr>
                <w:rFonts w:eastAsiaTheme="minorHAnsi"/>
                <w:sz w:val="20"/>
                <w:szCs w:val="20"/>
                <w:lang w:eastAsia="en-US"/>
              </w:rPr>
            </w:pPr>
            <w:r w:rsidRPr="00616856">
              <w:rPr>
                <w:rFonts w:eastAsiaTheme="minorHAnsi"/>
                <w:sz w:val="20"/>
                <w:szCs w:val="20"/>
                <w:lang w:eastAsia="en-US"/>
              </w:rPr>
              <w:t>6 to 20 weeks</w:t>
            </w:r>
          </w:p>
          <w:p w:rsidR="00150E61" w:rsidRPr="00616856" w:rsidRDefault="00150E61" w:rsidP="00CB27CF">
            <w:pPr>
              <w:spacing w:after="0"/>
              <w:jc w:val="center"/>
              <w:rPr>
                <w:rFonts w:eastAsiaTheme="minorHAnsi"/>
                <w:sz w:val="20"/>
                <w:szCs w:val="20"/>
                <w:lang w:eastAsia="en-US"/>
              </w:rPr>
            </w:pPr>
            <w:r w:rsidRPr="00616856">
              <w:rPr>
                <w:rFonts w:eastAsiaTheme="minorHAnsi"/>
                <w:sz w:val="20"/>
                <w:szCs w:val="20"/>
                <w:lang w:eastAsia="en-US"/>
              </w:rPr>
              <w:t>(median 12 weeks)</w:t>
            </w:r>
          </w:p>
        </w:tc>
      </w:tr>
      <w:tr w:rsidR="00150E61" w:rsidTr="00055A80">
        <w:tc>
          <w:tcPr>
            <w:tcW w:w="30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0E61" w:rsidRPr="00B05493" w:rsidRDefault="00150E61" w:rsidP="00CB27CF">
            <w:pPr>
              <w:spacing w:after="0"/>
              <w:rPr>
                <w:rFonts w:eastAsiaTheme="minorHAnsi"/>
                <w:sz w:val="20"/>
                <w:szCs w:val="20"/>
                <w:lang w:eastAsia="en-US"/>
              </w:rPr>
            </w:pPr>
            <w:r w:rsidRPr="00B05493">
              <w:rPr>
                <w:sz w:val="20"/>
                <w:szCs w:val="20"/>
              </w:rPr>
              <w:t>Hemifacial spasm</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E338D8" w:rsidP="00CB27CF">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3 months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162E1D" w:rsidP="00CB27CF">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12 weeks</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3B6388" w:rsidP="00CB27CF">
            <w:pPr>
              <w:spacing w:after="0"/>
              <w:jc w:val="center"/>
              <w:rPr>
                <w:rFonts w:eastAsiaTheme="minorHAnsi"/>
                <w:color w:val="FFFFFF" w:themeColor="background1"/>
                <w:sz w:val="20"/>
                <w:szCs w:val="20"/>
                <w:lang w:eastAsia="en-US"/>
              </w:rPr>
            </w:pPr>
            <w:r>
              <w:rPr>
                <w:rFonts w:eastAsiaTheme="minorHAnsi"/>
                <w:sz w:val="20"/>
                <w:szCs w:val="20"/>
                <w:lang w:eastAsia="en-US"/>
              </w:rPr>
              <w:t>N/A</w:t>
            </w:r>
          </w:p>
        </w:tc>
      </w:tr>
      <w:tr w:rsidR="00150E61" w:rsidTr="00055A80">
        <w:tc>
          <w:tcPr>
            <w:tcW w:w="30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0E61" w:rsidRPr="00B05493" w:rsidRDefault="00150E61" w:rsidP="00CB27CF">
            <w:pPr>
              <w:spacing w:after="0"/>
              <w:rPr>
                <w:rFonts w:eastAsiaTheme="minorHAnsi"/>
                <w:sz w:val="20"/>
                <w:szCs w:val="20"/>
                <w:lang w:eastAsia="en-US"/>
              </w:rPr>
            </w:pPr>
            <w:r w:rsidRPr="00B05493">
              <w:rPr>
                <w:sz w:val="20"/>
                <w:szCs w:val="20"/>
              </w:rPr>
              <w:t>Cervical dystonia/ spasmodic torticollis</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E338D8" w:rsidP="0015308D">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2 months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E7E7D" w:rsidRPr="00616856" w:rsidRDefault="008E7E7D" w:rsidP="008E7E7D">
            <w:pPr>
              <w:spacing w:after="0"/>
              <w:jc w:val="center"/>
              <w:rPr>
                <w:rFonts w:eastAsiaTheme="minorHAnsi"/>
                <w:sz w:val="20"/>
                <w:szCs w:val="20"/>
                <w:lang w:eastAsia="en-US"/>
              </w:rPr>
            </w:pPr>
            <w:r w:rsidRPr="00616856">
              <w:rPr>
                <w:rFonts w:eastAsiaTheme="minorHAnsi"/>
                <w:sz w:val="20"/>
                <w:szCs w:val="20"/>
                <w:lang w:eastAsia="en-US"/>
              </w:rPr>
              <w:t>16 weeks</w:t>
            </w:r>
            <w:r w:rsidRPr="00616856">
              <w:rPr>
                <w:rFonts w:eastAsiaTheme="minorHAnsi"/>
                <w:sz w:val="20"/>
                <w:szCs w:val="20"/>
                <w:lang w:eastAsia="en-US"/>
              </w:rPr>
              <w:br/>
              <w:t>(&lt; 12 weeks not recommended)</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150E61" w:rsidP="00CB27CF">
            <w:pPr>
              <w:spacing w:after="0"/>
              <w:jc w:val="center"/>
              <w:rPr>
                <w:rFonts w:eastAsiaTheme="minorHAnsi"/>
                <w:sz w:val="20"/>
                <w:szCs w:val="20"/>
                <w:lang w:eastAsia="en-US"/>
              </w:rPr>
            </w:pPr>
            <w:r w:rsidRPr="00616856">
              <w:rPr>
                <w:rFonts w:eastAsiaTheme="minorHAnsi"/>
                <w:sz w:val="20"/>
                <w:szCs w:val="20"/>
                <w:lang w:eastAsia="en-US"/>
              </w:rPr>
              <w:t>6 to 20 weeks</w:t>
            </w:r>
          </w:p>
          <w:p w:rsidR="00150E61" w:rsidRPr="00616856" w:rsidRDefault="00150E61" w:rsidP="00CB27CF">
            <w:pPr>
              <w:spacing w:after="0"/>
              <w:jc w:val="center"/>
              <w:rPr>
                <w:rFonts w:eastAsiaTheme="minorHAnsi"/>
                <w:sz w:val="20"/>
                <w:szCs w:val="20"/>
                <w:lang w:eastAsia="en-US"/>
              </w:rPr>
            </w:pPr>
            <w:r w:rsidRPr="00616856">
              <w:rPr>
                <w:rFonts w:eastAsiaTheme="minorHAnsi"/>
                <w:sz w:val="20"/>
                <w:szCs w:val="20"/>
                <w:lang w:eastAsia="en-US"/>
              </w:rPr>
              <w:t>(median 12 weeks)</w:t>
            </w:r>
          </w:p>
        </w:tc>
      </w:tr>
      <w:tr w:rsidR="00150E61" w:rsidTr="00055A80">
        <w:tc>
          <w:tcPr>
            <w:tcW w:w="30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0E61" w:rsidRPr="00B05493" w:rsidRDefault="00150E61" w:rsidP="00CB27CF">
            <w:pPr>
              <w:spacing w:after="0"/>
              <w:rPr>
                <w:rFonts w:eastAsiaTheme="minorHAnsi"/>
                <w:sz w:val="20"/>
                <w:szCs w:val="20"/>
                <w:lang w:eastAsia="en-US"/>
              </w:rPr>
            </w:pPr>
            <w:r>
              <w:rPr>
                <w:sz w:val="20"/>
                <w:szCs w:val="20"/>
              </w:rPr>
              <w:t>D</w:t>
            </w:r>
            <w:r w:rsidRPr="00B05493">
              <w:rPr>
                <w:sz w:val="20"/>
                <w:szCs w:val="20"/>
              </w:rPr>
              <w:t xml:space="preserve">ynamic equinus foot deformity due to </w:t>
            </w:r>
            <w:r>
              <w:rPr>
                <w:sz w:val="20"/>
                <w:szCs w:val="20"/>
              </w:rPr>
              <w:t xml:space="preserve">cerebral palsy </w:t>
            </w:r>
            <w:r w:rsidRPr="00B05493">
              <w:rPr>
                <w:sz w:val="20"/>
                <w:szCs w:val="20"/>
              </w:rPr>
              <w:t>spasticity</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E338D8" w:rsidP="00CB27CF">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3 months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13EC7" w:rsidRPr="00616856" w:rsidRDefault="00513EC7" w:rsidP="00CB27CF">
            <w:pPr>
              <w:spacing w:after="0"/>
              <w:jc w:val="center"/>
              <w:rPr>
                <w:rFonts w:eastAsiaTheme="minorHAnsi"/>
                <w:sz w:val="20"/>
                <w:szCs w:val="20"/>
                <w:lang w:eastAsia="en-US"/>
              </w:rPr>
            </w:pPr>
            <w:r w:rsidRPr="00616856">
              <w:rPr>
                <w:rFonts w:eastAsiaTheme="minorHAnsi"/>
                <w:sz w:val="20"/>
                <w:szCs w:val="20"/>
                <w:lang w:eastAsia="en-US"/>
              </w:rPr>
              <w:t>≥12 weeks</w:t>
            </w:r>
          </w:p>
          <w:p w:rsidR="00EF03A7" w:rsidRPr="00616856" w:rsidRDefault="00EF03A7" w:rsidP="00CB27CF">
            <w:pPr>
              <w:spacing w:after="0"/>
              <w:jc w:val="center"/>
              <w:rPr>
                <w:rFonts w:eastAsiaTheme="minorHAnsi"/>
                <w:sz w:val="20"/>
                <w:szCs w:val="20"/>
                <w:lang w:eastAsia="en-US"/>
              </w:rPr>
            </w:pPr>
            <w:r w:rsidRPr="00616856">
              <w:rPr>
                <w:rFonts w:eastAsiaTheme="minorHAnsi"/>
                <w:sz w:val="20"/>
                <w:szCs w:val="20"/>
                <w:lang w:eastAsia="en-US"/>
              </w:rPr>
              <w:t>Children: 16-28 weeks range</w:t>
            </w:r>
          </w:p>
          <w:p w:rsidR="00EF03A7" w:rsidRPr="00616856" w:rsidRDefault="00EF03A7" w:rsidP="00CB27CF">
            <w:pPr>
              <w:spacing w:after="0"/>
              <w:jc w:val="center"/>
              <w:rPr>
                <w:rFonts w:eastAsiaTheme="minorHAnsi"/>
                <w:sz w:val="20"/>
                <w:szCs w:val="20"/>
                <w:lang w:eastAsia="en-US"/>
              </w:rPr>
            </w:pPr>
            <w:r w:rsidRPr="00616856">
              <w:rPr>
                <w:rFonts w:eastAsiaTheme="minorHAnsi"/>
                <w:sz w:val="20"/>
                <w:szCs w:val="20"/>
                <w:lang w:eastAsia="en-US"/>
              </w:rPr>
              <w:t>Adults: 12-16 weeks range</w:t>
            </w:r>
          </w:p>
          <w:p w:rsidR="00150E61" w:rsidRPr="00616856" w:rsidRDefault="00150E61" w:rsidP="00EF03A7">
            <w:pPr>
              <w:spacing w:after="0"/>
              <w:jc w:val="center"/>
              <w:rPr>
                <w:rFonts w:eastAsiaTheme="minorHAnsi"/>
                <w:sz w:val="20"/>
                <w:szCs w:val="20"/>
                <w:lang w:eastAsia="en-US"/>
              </w:rPr>
            </w:pP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3B6388" w:rsidP="00CB27CF">
            <w:pPr>
              <w:spacing w:after="0"/>
              <w:jc w:val="center"/>
              <w:rPr>
                <w:rFonts w:eastAsiaTheme="minorHAnsi"/>
                <w:sz w:val="20"/>
                <w:szCs w:val="20"/>
                <w:lang w:eastAsia="en-US"/>
              </w:rPr>
            </w:pPr>
            <w:r>
              <w:rPr>
                <w:rFonts w:eastAsiaTheme="minorHAnsi"/>
                <w:sz w:val="20"/>
                <w:szCs w:val="20"/>
                <w:lang w:eastAsia="en-US"/>
              </w:rPr>
              <w:t>N/A</w:t>
            </w:r>
          </w:p>
        </w:tc>
      </w:tr>
      <w:tr w:rsidR="00150E61" w:rsidTr="00055A80">
        <w:tc>
          <w:tcPr>
            <w:tcW w:w="30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0E61" w:rsidRPr="00B05493" w:rsidRDefault="00150E61" w:rsidP="00CB27CF">
            <w:pPr>
              <w:spacing w:after="0"/>
              <w:rPr>
                <w:rFonts w:eastAsiaTheme="minorHAnsi"/>
                <w:sz w:val="20"/>
                <w:szCs w:val="20"/>
                <w:lang w:eastAsia="en-US"/>
              </w:rPr>
            </w:pPr>
            <w:r>
              <w:rPr>
                <w:sz w:val="20"/>
                <w:szCs w:val="20"/>
              </w:rPr>
              <w:t>S</w:t>
            </w:r>
            <w:r w:rsidRPr="00B05493">
              <w:rPr>
                <w:sz w:val="20"/>
                <w:szCs w:val="20"/>
              </w:rPr>
              <w:t>pasticity of the upper limb</w:t>
            </w:r>
            <w:r>
              <w:rPr>
                <w:sz w:val="20"/>
                <w:szCs w:val="20"/>
              </w:rPr>
              <w:t xml:space="preserve"> following stroke </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150E61" w:rsidP="00CB27CF">
            <w:pPr>
              <w:spacing w:after="0"/>
              <w:jc w:val="center"/>
              <w:rPr>
                <w:rFonts w:eastAsiaTheme="minorHAnsi"/>
                <w:sz w:val="20"/>
                <w:szCs w:val="20"/>
                <w:lang w:eastAsia="en-US"/>
              </w:rPr>
            </w:pPr>
            <w:r w:rsidRPr="00616856">
              <w:rPr>
                <w:rFonts w:eastAsiaTheme="minorHAnsi"/>
                <w:sz w:val="20"/>
                <w:szCs w:val="20"/>
                <w:lang w:eastAsia="en-US"/>
              </w:rPr>
              <w:t>12 to 16 weeks (i</w:t>
            </w:r>
            <w:r w:rsidR="00C474E2">
              <w:rPr>
                <w:rFonts w:eastAsiaTheme="minorHAnsi"/>
                <w:sz w:val="20"/>
                <w:szCs w:val="20"/>
                <w:lang w:eastAsia="en-US"/>
              </w:rPr>
              <w:t>.</w:t>
            </w:r>
            <w:r w:rsidRPr="00616856">
              <w:rPr>
                <w:rFonts w:eastAsiaTheme="minorHAnsi"/>
                <w:sz w:val="20"/>
                <w:szCs w:val="20"/>
                <w:lang w:eastAsia="en-US"/>
              </w:rPr>
              <w:t>e. Focal Spasticity in Adults)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F03A7" w:rsidRPr="00616856" w:rsidRDefault="00EF03A7" w:rsidP="00CB27CF">
            <w:pPr>
              <w:spacing w:after="0"/>
              <w:jc w:val="center"/>
              <w:rPr>
                <w:rFonts w:eastAsiaTheme="minorHAnsi"/>
                <w:sz w:val="20"/>
                <w:szCs w:val="20"/>
                <w:lang w:eastAsia="en-US"/>
              </w:rPr>
            </w:pPr>
            <w:r w:rsidRPr="00616856">
              <w:rPr>
                <w:rFonts w:eastAsiaTheme="minorHAnsi"/>
                <w:sz w:val="20"/>
                <w:szCs w:val="20"/>
                <w:lang w:eastAsia="en-US"/>
              </w:rPr>
              <w:t>≥12 weeks</w:t>
            </w:r>
          </w:p>
          <w:p w:rsidR="00150E61" w:rsidRPr="00616856" w:rsidRDefault="00EF03A7" w:rsidP="00EF03A7">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12 to 20 weeks</w:t>
            </w:r>
            <w:r w:rsidRPr="00616856">
              <w:rPr>
                <w:rFonts w:eastAsiaTheme="minorHAnsi"/>
                <w:sz w:val="20"/>
                <w:szCs w:val="20"/>
                <w:lang w:eastAsia="en-US"/>
              </w:rPr>
              <w:t xml:space="preserve"> range)</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150E61" w:rsidP="00CB27CF">
            <w:pPr>
              <w:spacing w:after="0"/>
              <w:jc w:val="center"/>
              <w:rPr>
                <w:rFonts w:eastAsiaTheme="minorHAnsi"/>
                <w:sz w:val="20"/>
                <w:szCs w:val="20"/>
                <w:lang w:eastAsia="en-US"/>
              </w:rPr>
            </w:pPr>
            <w:r w:rsidRPr="00616856">
              <w:rPr>
                <w:rFonts w:eastAsiaTheme="minorHAnsi"/>
                <w:sz w:val="20"/>
                <w:szCs w:val="20"/>
                <w:lang w:eastAsia="en-US"/>
              </w:rPr>
              <w:t>12 weeks</w:t>
            </w:r>
          </w:p>
        </w:tc>
      </w:tr>
      <w:tr w:rsidR="00150E61" w:rsidTr="00055A80">
        <w:trPr>
          <w:trHeight w:val="510"/>
        </w:trPr>
        <w:tc>
          <w:tcPr>
            <w:tcW w:w="30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0E61" w:rsidRPr="00B05493" w:rsidRDefault="00150E61" w:rsidP="00CB27CF">
            <w:pPr>
              <w:spacing w:after="0"/>
              <w:rPr>
                <w:rFonts w:eastAsiaTheme="minorHAnsi"/>
                <w:sz w:val="20"/>
                <w:szCs w:val="20"/>
                <w:lang w:eastAsia="en-US"/>
              </w:rPr>
            </w:pPr>
            <w:r>
              <w:rPr>
                <w:sz w:val="20"/>
                <w:szCs w:val="20"/>
              </w:rPr>
              <w:t>S</w:t>
            </w:r>
            <w:r w:rsidRPr="00B05493">
              <w:rPr>
                <w:sz w:val="20"/>
                <w:szCs w:val="20"/>
              </w:rPr>
              <w:t>pasticity of the upper limb</w:t>
            </w:r>
            <w:r>
              <w:rPr>
                <w:sz w:val="20"/>
                <w:szCs w:val="20"/>
              </w:rPr>
              <w:t xml:space="preserve"> due to cerebral palsy</w:t>
            </w:r>
          </w:p>
        </w:tc>
        <w:tc>
          <w:tcPr>
            <w:tcW w:w="18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E338D8" w:rsidP="00E338D8">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3 months</w:t>
            </w:r>
          </w:p>
        </w:tc>
        <w:tc>
          <w:tcPr>
            <w:tcW w:w="2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EF03A7" w:rsidRPr="00616856" w:rsidRDefault="00EF03A7" w:rsidP="00EF03A7">
            <w:pPr>
              <w:spacing w:after="0"/>
              <w:jc w:val="center"/>
              <w:rPr>
                <w:rFonts w:eastAsiaTheme="minorHAnsi"/>
                <w:sz w:val="20"/>
                <w:szCs w:val="20"/>
                <w:lang w:eastAsia="en-US"/>
              </w:rPr>
            </w:pPr>
            <w:r w:rsidRPr="00616856">
              <w:rPr>
                <w:rFonts w:eastAsiaTheme="minorHAnsi"/>
                <w:sz w:val="20"/>
                <w:szCs w:val="20"/>
                <w:lang w:eastAsia="en-US"/>
              </w:rPr>
              <w:t>≥12 weeks</w:t>
            </w:r>
          </w:p>
          <w:p w:rsidR="00150E61" w:rsidRPr="00616856" w:rsidRDefault="00EF03A7" w:rsidP="00EF03A7">
            <w:pPr>
              <w:spacing w:after="0"/>
              <w:jc w:val="center"/>
              <w:rPr>
                <w:rFonts w:eastAsiaTheme="minorHAnsi"/>
                <w:sz w:val="20"/>
                <w:szCs w:val="20"/>
                <w:lang w:eastAsia="en-US"/>
              </w:rPr>
            </w:pPr>
            <w:r w:rsidRPr="00616856">
              <w:rPr>
                <w:rFonts w:eastAsiaTheme="minorHAnsi"/>
                <w:sz w:val="20"/>
                <w:szCs w:val="20"/>
                <w:lang w:eastAsia="en-US"/>
              </w:rPr>
              <w:t>(</w:t>
            </w:r>
            <w:r w:rsidR="00150E61" w:rsidRPr="00616856">
              <w:rPr>
                <w:rFonts w:eastAsiaTheme="minorHAnsi"/>
                <w:sz w:val="20"/>
                <w:szCs w:val="20"/>
                <w:lang w:eastAsia="en-US"/>
              </w:rPr>
              <w:t>12 to 20 weeks</w:t>
            </w:r>
            <w:r w:rsidRPr="00616856">
              <w:rPr>
                <w:rFonts w:eastAsiaTheme="minorHAnsi"/>
                <w:sz w:val="20"/>
                <w:szCs w:val="20"/>
                <w:lang w:eastAsia="en-US"/>
              </w:rPr>
              <w:t xml:space="preserve"> range)</w:t>
            </w:r>
          </w:p>
        </w:tc>
        <w:tc>
          <w:tcPr>
            <w:tcW w:w="1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0E61" w:rsidRPr="00616856" w:rsidRDefault="003B6388" w:rsidP="00CB27CF">
            <w:pPr>
              <w:spacing w:after="0"/>
              <w:jc w:val="center"/>
              <w:rPr>
                <w:rFonts w:eastAsiaTheme="minorHAnsi"/>
                <w:sz w:val="20"/>
                <w:szCs w:val="20"/>
                <w:lang w:eastAsia="en-US"/>
              </w:rPr>
            </w:pPr>
            <w:r>
              <w:rPr>
                <w:rFonts w:eastAsiaTheme="minorHAnsi"/>
                <w:sz w:val="20"/>
                <w:szCs w:val="20"/>
                <w:lang w:eastAsia="en-US"/>
              </w:rPr>
              <w:t>N/A</w:t>
            </w:r>
          </w:p>
        </w:tc>
      </w:tr>
    </w:tbl>
    <w:p w:rsidR="001E77C6" w:rsidRPr="008F2E0E" w:rsidRDefault="004B0D12" w:rsidP="008E3E00">
      <w:pPr>
        <w:spacing w:before="200"/>
      </w:pPr>
      <w:r>
        <w:t>The Product Information also provides the maximum dose per treatment or in a defined perio</w:t>
      </w:r>
      <w:r w:rsidR="00AF1A8C">
        <w:t>d</w:t>
      </w:r>
      <w:r>
        <w:t xml:space="preserve">. </w:t>
      </w:r>
      <w:r w:rsidR="00845ED9" w:rsidRPr="008F2E0E">
        <w:t xml:space="preserve">Refer to the Product Information (PI) for full details available from the </w:t>
      </w:r>
      <w:hyperlink r:id="rId11" w:history="1">
        <w:r w:rsidR="00845ED9" w:rsidRPr="008F2E0E">
          <w:rPr>
            <w:rStyle w:val="Hyperlink"/>
          </w:rPr>
          <w:t>TGA</w:t>
        </w:r>
        <w:r w:rsidR="005C4E4B" w:rsidRPr="008F2E0E">
          <w:rPr>
            <w:rStyle w:val="Hyperlink"/>
          </w:rPr>
          <w:t xml:space="preserve"> website</w:t>
        </w:r>
      </w:hyperlink>
      <w:r w:rsidR="00845ED9" w:rsidRPr="008F2E0E">
        <w:t>.</w:t>
      </w:r>
    </w:p>
    <w:p w:rsidR="00FF609F" w:rsidRPr="00832955" w:rsidRDefault="00FF609F" w:rsidP="00FF609F">
      <w:pPr>
        <w:spacing w:before="240"/>
        <w:outlineLvl w:val="1"/>
        <w:rPr>
          <w:rFonts w:ascii="Calibri" w:eastAsia="MS Mincho" w:hAnsi="Calibri" w:cs="Times New Roman"/>
          <w:b/>
          <w:sz w:val="28"/>
        </w:rPr>
      </w:pPr>
      <w:r w:rsidRPr="00832955">
        <w:rPr>
          <w:rFonts w:ascii="Calibri" w:eastAsia="MS Mincho" w:hAnsi="Calibri" w:cs="Times New Roman"/>
          <w:b/>
          <w:sz w:val="28"/>
        </w:rPr>
        <w:t xml:space="preserve">Relevant aspects of consideration by the PBAC </w:t>
      </w:r>
    </w:p>
    <w:p w:rsidR="00247173" w:rsidRDefault="007E1C8A" w:rsidP="00247173">
      <w:pPr>
        <w:spacing w:before="240"/>
        <w:outlineLvl w:val="1"/>
        <w:rPr>
          <w:rFonts w:ascii="Calibri" w:eastAsia="MS Mincho" w:hAnsi="Calibri" w:cs="Times New Roman"/>
        </w:rPr>
      </w:pPr>
      <w:r>
        <w:rPr>
          <w:rFonts w:ascii="Calibri" w:eastAsia="MS Mincho" w:hAnsi="Calibri" w:cs="Times New Roman"/>
        </w:rPr>
        <w:t xml:space="preserve">Botox </w:t>
      </w:r>
      <w:r w:rsidR="00247173" w:rsidRPr="00247173">
        <w:rPr>
          <w:rFonts w:ascii="Calibri" w:eastAsia="MS Mincho" w:hAnsi="Calibri" w:cs="Times New Roman"/>
        </w:rPr>
        <w:t>was first listed on the PBS under Section 100 (Botulinum Toxin Program) in October</w:t>
      </w:r>
      <w:r w:rsidR="009D4FBE">
        <w:rPr>
          <w:rFonts w:ascii="Calibri" w:eastAsia="MS Mincho" w:hAnsi="Calibri" w:cs="Times New Roman"/>
        </w:rPr>
        <w:t> </w:t>
      </w:r>
      <w:r w:rsidR="00247173" w:rsidRPr="00247173">
        <w:rPr>
          <w:rFonts w:ascii="Calibri" w:eastAsia="MS Mincho" w:hAnsi="Calibri" w:cs="Times New Roman"/>
        </w:rPr>
        <w:t xml:space="preserve">1994 for the treatment of </w:t>
      </w:r>
      <w:r w:rsidR="00247173" w:rsidRPr="00711A29">
        <w:rPr>
          <w:rFonts w:ascii="Calibri" w:eastAsia="MS Mincho" w:hAnsi="Calibri" w:cs="Times New Roman"/>
          <w:b/>
        </w:rPr>
        <w:t>blepharospasm</w:t>
      </w:r>
      <w:r w:rsidR="00247173" w:rsidRPr="00247173">
        <w:rPr>
          <w:rFonts w:ascii="Calibri" w:eastAsia="MS Mincho" w:hAnsi="Calibri" w:cs="Times New Roman"/>
        </w:rPr>
        <w:t xml:space="preserve"> associated with dystonia, including benign </w:t>
      </w:r>
      <w:proofErr w:type="spellStart"/>
      <w:r w:rsidR="00247173" w:rsidRPr="00247173">
        <w:rPr>
          <w:rFonts w:ascii="Calibri" w:eastAsia="MS Mincho" w:hAnsi="Calibri" w:cs="Times New Roman"/>
        </w:rPr>
        <w:t>blepharospasm</w:t>
      </w:r>
      <w:proofErr w:type="spellEnd"/>
      <w:r w:rsidR="00247173" w:rsidRPr="00247173">
        <w:rPr>
          <w:rFonts w:ascii="Calibri" w:eastAsia="MS Mincho" w:hAnsi="Calibri" w:cs="Times New Roman"/>
        </w:rPr>
        <w:t xml:space="preserve"> and </w:t>
      </w:r>
      <w:proofErr w:type="spellStart"/>
      <w:r w:rsidR="00247173" w:rsidRPr="00247173">
        <w:rPr>
          <w:rFonts w:ascii="Calibri" w:eastAsia="MS Mincho" w:hAnsi="Calibri" w:cs="Times New Roman"/>
        </w:rPr>
        <w:t>VII</w:t>
      </w:r>
      <w:r w:rsidR="00247173" w:rsidRPr="003B6388">
        <w:rPr>
          <w:rFonts w:ascii="Calibri" w:eastAsia="MS Mincho" w:hAnsi="Calibri" w:cs="Times New Roman"/>
          <w:vertAlign w:val="superscript"/>
        </w:rPr>
        <w:t>th</w:t>
      </w:r>
      <w:proofErr w:type="spellEnd"/>
      <w:r w:rsidR="00247173" w:rsidRPr="00247173">
        <w:rPr>
          <w:rFonts w:ascii="Calibri" w:eastAsia="MS Mincho" w:hAnsi="Calibri" w:cs="Times New Roman"/>
        </w:rPr>
        <w:t xml:space="preserve"> nerve disorders (</w:t>
      </w:r>
      <w:proofErr w:type="spellStart"/>
      <w:r w:rsidR="00247173" w:rsidRPr="00711A29">
        <w:rPr>
          <w:rFonts w:ascii="Calibri" w:eastAsia="MS Mincho" w:hAnsi="Calibri" w:cs="Times New Roman"/>
          <w:b/>
        </w:rPr>
        <w:t>hemifacial</w:t>
      </w:r>
      <w:proofErr w:type="spellEnd"/>
      <w:r w:rsidR="00247173" w:rsidRPr="00711A29">
        <w:rPr>
          <w:rFonts w:ascii="Calibri" w:eastAsia="MS Mincho" w:hAnsi="Calibri" w:cs="Times New Roman"/>
          <w:b/>
        </w:rPr>
        <w:t xml:space="preserve"> spasm</w:t>
      </w:r>
      <w:r w:rsidR="00247173" w:rsidRPr="00247173">
        <w:rPr>
          <w:rFonts w:ascii="Calibri" w:eastAsia="MS Mincho" w:hAnsi="Calibri" w:cs="Times New Roman"/>
        </w:rPr>
        <w:t>) in patients 12 years and older. At the December 1999 meeting, the PBAC recommended extension of the Section 100 listing</w:t>
      </w:r>
      <w:r w:rsidR="001763E0">
        <w:rPr>
          <w:rFonts w:ascii="Calibri" w:eastAsia="MS Mincho" w:hAnsi="Calibri" w:cs="Times New Roman"/>
        </w:rPr>
        <w:t xml:space="preserve"> of Botox</w:t>
      </w:r>
      <w:r w:rsidR="00247173" w:rsidRPr="00247173">
        <w:rPr>
          <w:rFonts w:ascii="Calibri" w:eastAsia="MS Mincho" w:hAnsi="Calibri" w:cs="Times New Roman"/>
        </w:rPr>
        <w:t xml:space="preserve"> to include the treatment of </w:t>
      </w:r>
      <w:r w:rsidR="00247173" w:rsidRPr="00711A29">
        <w:rPr>
          <w:rFonts w:ascii="Calibri" w:eastAsia="MS Mincho" w:hAnsi="Calibri" w:cs="Times New Roman"/>
          <w:b/>
        </w:rPr>
        <w:t>dynamic equinus foot deformity</w:t>
      </w:r>
      <w:r w:rsidR="00247173" w:rsidRPr="00247173">
        <w:rPr>
          <w:rFonts w:ascii="Calibri" w:eastAsia="MS Mincho" w:hAnsi="Calibri" w:cs="Times New Roman"/>
        </w:rPr>
        <w:t xml:space="preserve"> due to spasticity in juvenile cerebral palsy patients two years of age and older, on the basis of acceptable cost-effectiveness</w:t>
      </w:r>
      <w:r w:rsidR="008B34A6">
        <w:rPr>
          <w:rFonts w:ascii="Calibri" w:eastAsia="MS Mincho" w:hAnsi="Calibri" w:cs="Times New Roman"/>
        </w:rPr>
        <w:t xml:space="preserve"> (PBS listed in November 2000)</w:t>
      </w:r>
      <w:r w:rsidR="00247173" w:rsidRPr="00247173">
        <w:rPr>
          <w:rFonts w:ascii="Calibri" w:eastAsia="MS Mincho" w:hAnsi="Calibri" w:cs="Times New Roman"/>
        </w:rPr>
        <w:t>.</w:t>
      </w:r>
    </w:p>
    <w:p w:rsidR="007E1C8A" w:rsidRPr="005E45A5" w:rsidRDefault="007E1C8A" w:rsidP="007E1C8A">
      <w:pPr>
        <w:rPr>
          <w:rFonts w:ascii="Calibri" w:eastAsia="MS Mincho" w:hAnsi="Calibri" w:cs="Times New Roman"/>
        </w:rPr>
      </w:pPr>
      <w:r w:rsidRPr="005E45A5">
        <w:rPr>
          <w:rFonts w:ascii="Calibri" w:eastAsia="MS Mincho" w:hAnsi="Calibri" w:cs="Times New Roman"/>
        </w:rPr>
        <w:t xml:space="preserve">An application seeking PBS listing of </w:t>
      </w:r>
      <w:r>
        <w:rPr>
          <w:rFonts w:ascii="Calibri" w:eastAsia="MS Mincho" w:hAnsi="Calibri" w:cs="Times New Roman"/>
        </w:rPr>
        <w:t>Dysport</w:t>
      </w:r>
      <w:r w:rsidRPr="005E45A5">
        <w:rPr>
          <w:rFonts w:ascii="Calibri" w:eastAsia="MS Mincho" w:hAnsi="Calibri" w:cs="Times New Roman"/>
        </w:rPr>
        <w:t xml:space="preserve"> for “treatment of </w:t>
      </w:r>
      <w:r w:rsidRPr="005E45A5">
        <w:rPr>
          <w:rFonts w:ascii="Calibri" w:eastAsia="MS Mincho" w:hAnsi="Calibri" w:cs="Times New Roman"/>
          <w:b/>
        </w:rPr>
        <w:t>spasmodic torticollis</w:t>
      </w:r>
      <w:r w:rsidRPr="005E45A5">
        <w:rPr>
          <w:rFonts w:ascii="Calibri" w:eastAsia="MS Mincho" w:hAnsi="Calibri" w:cs="Times New Roman"/>
        </w:rPr>
        <w:t xml:space="preserve">, either </w:t>
      </w:r>
      <w:r w:rsidRPr="00443C3F">
        <w:rPr>
          <w:rFonts w:ascii="Calibri" w:eastAsia="MS Mincho" w:hAnsi="Calibri" w:cs="Times New Roman"/>
        </w:rPr>
        <w:t xml:space="preserve">as monotherapy or as adjunctive therapy to current standard care” was recommended at </w:t>
      </w:r>
      <w:r w:rsidRPr="00443C3F">
        <w:rPr>
          <w:rFonts w:ascii="Calibri" w:eastAsia="MS Mincho" w:hAnsi="Calibri" w:cs="Times New Roman"/>
          <w:shd w:val="clear" w:color="auto" w:fill="FFFFFF" w:themeFill="background1"/>
        </w:rPr>
        <w:t>the December 2000 PBAC meeting on the basis that the incremental effectiveness, toxicity and costs with Dysport</w:t>
      </w:r>
      <w:r w:rsidRPr="00443C3F">
        <w:rPr>
          <w:rFonts w:ascii="Calibri" w:eastAsia="MS Mincho" w:hAnsi="Calibri" w:cs="Times New Roman"/>
          <w:shd w:val="clear" w:color="auto" w:fill="FFFFFF" w:themeFill="background1"/>
          <w:vertAlign w:val="superscript"/>
        </w:rPr>
        <w:t xml:space="preserve">® </w:t>
      </w:r>
      <w:r w:rsidRPr="00443C3F">
        <w:rPr>
          <w:rFonts w:ascii="Calibri" w:eastAsia="MS Mincho" w:hAnsi="Calibri" w:cs="Times New Roman"/>
          <w:shd w:val="clear" w:color="auto" w:fill="FFFFFF" w:themeFill="background1"/>
        </w:rPr>
        <w:t>in spasmodic torticollis are similar to that with Botox</w:t>
      </w:r>
      <w:r w:rsidRPr="00443C3F">
        <w:rPr>
          <w:rFonts w:ascii="Calibri" w:eastAsia="MS Mincho" w:hAnsi="Calibri" w:cs="Times New Roman"/>
          <w:shd w:val="clear" w:color="auto" w:fill="FFFFFF" w:themeFill="background1"/>
          <w:vertAlign w:val="superscript"/>
        </w:rPr>
        <w:t xml:space="preserve">® </w:t>
      </w:r>
      <w:r w:rsidRPr="00443C3F">
        <w:rPr>
          <w:rFonts w:ascii="Calibri" w:eastAsia="MS Mincho" w:hAnsi="Calibri" w:cs="Times New Roman"/>
          <w:shd w:val="clear" w:color="auto" w:fill="FFFFFF" w:themeFill="background1"/>
        </w:rPr>
        <w:t>in blepharospasm, hemifacial spasm and equinus fo</w:t>
      </w:r>
      <w:r w:rsidR="00C474E2" w:rsidRPr="00443C3F">
        <w:rPr>
          <w:rFonts w:ascii="Calibri" w:eastAsia="MS Mincho" w:hAnsi="Calibri" w:cs="Times New Roman"/>
          <w:shd w:val="clear" w:color="auto" w:fill="FFFFFF" w:themeFill="background1"/>
        </w:rPr>
        <w:t xml:space="preserve">ot of juvenile cerebral palsy. </w:t>
      </w:r>
      <w:r w:rsidRPr="00443C3F">
        <w:rPr>
          <w:rFonts w:ascii="Calibri" w:eastAsia="MS Mincho" w:hAnsi="Calibri" w:cs="Times New Roman"/>
          <w:shd w:val="clear" w:color="auto" w:fill="FFFFFF" w:themeFill="background1"/>
        </w:rPr>
        <w:t>This was PBS</w:t>
      </w:r>
      <w:r w:rsidRPr="00443C3F">
        <w:rPr>
          <w:rFonts w:ascii="Calibri" w:eastAsia="MS Mincho" w:hAnsi="Calibri" w:cs="Times New Roman"/>
        </w:rPr>
        <w:t xml:space="preserve"> listed in May 2001.</w:t>
      </w:r>
    </w:p>
    <w:p w:rsidR="00247173" w:rsidRDefault="00247173" w:rsidP="00247173">
      <w:pPr>
        <w:spacing w:before="240"/>
        <w:outlineLvl w:val="1"/>
        <w:rPr>
          <w:rFonts w:ascii="Calibri" w:eastAsia="MS Mincho" w:hAnsi="Calibri" w:cs="Times New Roman"/>
        </w:rPr>
      </w:pPr>
      <w:r w:rsidRPr="00247173">
        <w:rPr>
          <w:rFonts w:ascii="Calibri" w:eastAsia="MS Mincho" w:hAnsi="Calibri" w:cs="Times New Roman"/>
        </w:rPr>
        <w:t xml:space="preserve">At the March 2001 meeting, the PBAC recommended extending the listing </w:t>
      </w:r>
      <w:r w:rsidR="001763E0">
        <w:rPr>
          <w:rFonts w:ascii="Calibri" w:eastAsia="MS Mincho" w:hAnsi="Calibri" w:cs="Times New Roman"/>
        </w:rPr>
        <w:t xml:space="preserve">of Botox </w:t>
      </w:r>
      <w:r w:rsidRPr="00247173">
        <w:rPr>
          <w:rFonts w:ascii="Calibri" w:eastAsia="MS Mincho" w:hAnsi="Calibri" w:cs="Times New Roman"/>
        </w:rPr>
        <w:t xml:space="preserve">to include treatment of </w:t>
      </w:r>
      <w:r w:rsidRPr="00711A29">
        <w:rPr>
          <w:rFonts w:ascii="Calibri" w:eastAsia="MS Mincho" w:hAnsi="Calibri" w:cs="Times New Roman"/>
          <w:b/>
        </w:rPr>
        <w:t>spasmodic torticollis</w:t>
      </w:r>
      <w:r w:rsidRPr="00247173">
        <w:rPr>
          <w:rFonts w:ascii="Calibri" w:eastAsia="MS Mincho" w:hAnsi="Calibri" w:cs="Times New Roman"/>
        </w:rPr>
        <w:t xml:space="preserve">, either as monotherapy or as adjunctive therapy to current standard care on a cost-minimisation basis compared with clostridium botulinum type </w:t>
      </w:r>
      <w:proofErr w:type="gramStart"/>
      <w:r w:rsidRPr="00247173">
        <w:rPr>
          <w:rFonts w:ascii="Calibri" w:eastAsia="MS Mincho" w:hAnsi="Calibri" w:cs="Times New Roman"/>
        </w:rPr>
        <w:t>A</w:t>
      </w:r>
      <w:proofErr w:type="gramEnd"/>
      <w:r w:rsidRPr="00247173">
        <w:rPr>
          <w:rFonts w:ascii="Calibri" w:eastAsia="MS Mincho" w:hAnsi="Calibri" w:cs="Times New Roman"/>
        </w:rPr>
        <w:t xml:space="preserve"> toxin (Dysport).</w:t>
      </w:r>
      <w:r w:rsidR="008B34A6">
        <w:rPr>
          <w:rFonts w:ascii="Calibri" w:eastAsia="MS Mincho" w:hAnsi="Calibri" w:cs="Times New Roman"/>
        </w:rPr>
        <w:t xml:space="preserve"> This extension was PBS listed in August 2001.</w:t>
      </w:r>
    </w:p>
    <w:p w:rsidR="001763E0" w:rsidRPr="00311C9B" w:rsidRDefault="001763E0" w:rsidP="001763E0">
      <w:pPr>
        <w:rPr>
          <w:rFonts w:ascii="Calibri" w:eastAsia="MS Mincho" w:hAnsi="Calibri" w:cs="Times New Roman"/>
        </w:rPr>
      </w:pPr>
      <w:r w:rsidRPr="005E45A5">
        <w:rPr>
          <w:rFonts w:ascii="Calibri" w:eastAsia="MS Mincho" w:hAnsi="Calibri" w:cs="Times New Roman"/>
        </w:rPr>
        <w:lastRenderedPageBreak/>
        <w:t xml:space="preserve">An application to extend the Section 100 listing </w:t>
      </w:r>
      <w:r>
        <w:rPr>
          <w:rFonts w:ascii="Calibri" w:eastAsia="MS Mincho" w:hAnsi="Calibri" w:cs="Times New Roman"/>
        </w:rPr>
        <w:t xml:space="preserve">of Dysport </w:t>
      </w:r>
      <w:r w:rsidRPr="005E45A5">
        <w:rPr>
          <w:rFonts w:ascii="Calibri" w:eastAsia="MS Mincho" w:hAnsi="Calibri" w:cs="Times New Roman"/>
        </w:rPr>
        <w:t xml:space="preserve">to include ‘treatment of </w:t>
      </w:r>
      <w:r w:rsidRPr="005E45A5">
        <w:rPr>
          <w:rFonts w:ascii="Calibri" w:eastAsia="MS Mincho" w:hAnsi="Calibri" w:cs="Times New Roman"/>
          <w:b/>
        </w:rPr>
        <w:t>dynamic equinus foot deformity</w:t>
      </w:r>
      <w:r w:rsidRPr="005E45A5">
        <w:rPr>
          <w:rFonts w:ascii="Calibri" w:eastAsia="MS Mincho" w:hAnsi="Calibri" w:cs="Times New Roman"/>
        </w:rPr>
        <w:t xml:space="preserve"> due to spasticity in ambulant paediatric cerebral palsy patients, two years of age or older’, was recommended at the </w:t>
      </w:r>
      <w:r w:rsidRPr="00311C9B">
        <w:rPr>
          <w:rFonts w:ascii="Calibri" w:eastAsia="MS Mincho" w:hAnsi="Calibri" w:cs="Times New Roman"/>
        </w:rPr>
        <w:t>December 2001 PBAC</w:t>
      </w:r>
      <w:r w:rsidRPr="005E45A5">
        <w:rPr>
          <w:rFonts w:ascii="Calibri" w:eastAsia="MS Mincho" w:hAnsi="Calibri" w:cs="Times New Roman"/>
        </w:rPr>
        <w:t xml:space="preserve"> </w:t>
      </w:r>
      <w:r>
        <w:rPr>
          <w:rFonts w:ascii="Calibri" w:eastAsia="MS Mincho" w:hAnsi="Calibri" w:cs="Times New Roman"/>
        </w:rPr>
        <w:t xml:space="preserve">meeting </w:t>
      </w:r>
      <w:r w:rsidRPr="00311C9B">
        <w:rPr>
          <w:rFonts w:ascii="Calibri" w:eastAsia="MS Mincho" w:hAnsi="Calibri" w:cs="Times New Roman"/>
        </w:rPr>
        <w:t xml:space="preserve">on a cost-minimisation basis compared with botulinum toxin, with 3 </w:t>
      </w:r>
      <w:proofErr w:type="spellStart"/>
      <w:r w:rsidRPr="00311C9B">
        <w:rPr>
          <w:rFonts w:ascii="Calibri" w:eastAsia="MS Mincho" w:hAnsi="Calibri" w:cs="Times New Roman"/>
        </w:rPr>
        <w:t>Ipsen</w:t>
      </w:r>
      <w:proofErr w:type="spellEnd"/>
      <w:r w:rsidRPr="00311C9B">
        <w:rPr>
          <w:rFonts w:ascii="Calibri" w:eastAsia="MS Mincho" w:hAnsi="Calibri" w:cs="Times New Roman"/>
        </w:rPr>
        <w:t xml:space="preserve"> units of </w:t>
      </w:r>
      <w:proofErr w:type="spellStart"/>
      <w:r w:rsidRPr="00311C9B">
        <w:rPr>
          <w:rFonts w:ascii="Calibri" w:eastAsia="MS Mincho" w:hAnsi="Calibri" w:cs="Times New Roman"/>
        </w:rPr>
        <w:t>Dysport</w:t>
      </w:r>
      <w:proofErr w:type="spellEnd"/>
      <w:r w:rsidRPr="00311C9B">
        <w:rPr>
          <w:rFonts w:ascii="Calibri" w:eastAsia="MS Mincho" w:hAnsi="Calibri" w:cs="Times New Roman"/>
        </w:rPr>
        <w:t xml:space="preserve"> being considered e</w:t>
      </w:r>
      <w:r w:rsidR="00C474E2">
        <w:rPr>
          <w:rFonts w:ascii="Calibri" w:eastAsia="MS Mincho" w:hAnsi="Calibri" w:cs="Times New Roman"/>
        </w:rPr>
        <w:t>quivalent to one unit of Botox.</w:t>
      </w:r>
      <w:r w:rsidRPr="008B34A6">
        <w:rPr>
          <w:rFonts w:ascii="Calibri" w:eastAsia="MS Mincho" w:hAnsi="Calibri" w:cs="Times New Roman"/>
        </w:rPr>
        <w:t xml:space="preserve"> </w:t>
      </w:r>
      <w:r>
        <w:rPr>
          <w:rFonts w:ascii="Calibri" w:eastAsia="MS Mincho" w:hAnsi="Calibri" w:cs="Times New Roman"/>
        </w:rPr>
        <w:t>This extension was PBS listed in May 2002.</w:t>
      </w:r>
    </w:p>
    <w:p w:rsidR="001763E0" w:rsidRDefault="001763E0" w:rsidP="001763E0">
      <w:pPr>
        <w:rPr>
          <w:rFonts w:ascii="Calibri" w:eastAsia="MS Mincho" w:hAnsi="Calibri" w:cs="Times New Roman"/>
        </w:rPr>
      </w:pPr>
      <w:r w:rsidRPr="005E45A5">
        <w:rPr>
          <w:rFonts w:ascii="Calibri" w:eastAsia="MS Mincho" w:hAnsi="Calibri" w:cs="Times New Roman"/>
        </w:rPr>
        <w:t xml:space="preserve">Applications to add the indication “treatment of spasticity of the arm in </w:t>
      </w:r>
      <w:proofErr w:type="gramStart"/>
      <w:r w:rsidRPr="005E45A5">
        <w:rPr>
          <w:rFonts w:ascii="Calibri" w:eastAsia="MS Mincho" w:hAnsi="Calibri" w:cs="Times New Roman"/>
        </w:rPr>
        <w:t>adults following</w:t>
      </w:r>
      <w:proofErr w:type="gramEnd"/>
      <w:r w:rsidRPr="005E45A5">
        <w:rPr>
          <w:rFonts w:ascii="Calibri" w:eastAsia="MS Mincho" w:hAnsi="Calibri" w:cs="Times New Roman"/>
        </w:rPr>
        <w:t xml:space="preserve"> a stroke” </w:t>
      </w:r>
      <w:r>
        <w:rPr>
          <w:rFonts w:ascii="Calibri" w:eastAsia="MS Mincho" w:hAnsi="Calibri" w:cs="Times New Roman"/>
        </w:rPr>
        <w:t xml:space="preserve">for Dysport </w:t>
      </w:r>
      <w:r w:rsidRPr="005E45A5">
        <w:rPr>
          <w:rFonts w:ascii="Calibri" w:eastAsia="MS Mincho" w:hAnsi="Calibri" w:cs="Times New Roman"/>
        </w:rPr>
        <w:t>were rejected at the September 2001 and September 2002 PBAC meetings</w:t>
      </w:r>
      <w:r w:rsidR="003B6388">
        <w:rPr>
          <w:rFonts w:ascii="Calibri" w:eastAsia="MS Mincho" w:hAnsi="Calibri" w:cs="Times New Roman"/>
        </w:rPr>
        <w:t>;</w:t>
      </w:r>
      <w:r w:rsidRPr="005E45A5">
        <w:rPr>
          <w:rFonts w:ascii="Calibri" w:eastAsia="MS Mincho" w:hAnsi="Calibri" w:cs="Times New Roman"/>
        </w:rPr>
        <w:t xml:space="preserve"> because of uncertainty over the extent of clinically relevant benefits and the resulting uncertain cost-effectiveness.</w:t>
      </w:r>
    </w:p>
    <w:p w:rsidR="00247173" w:rsidRDefault="00247173" w:rsidP="00247173">
      <w:pPr>
        <w:spacing w:before="240"/>
        <w:outlineLvl w:val="1"/>
        <w:rPr>
          <w:rFonts w:ascii="Calibri" w:eastAsia="MS Mincho" w:hAnsi="Calibri" w:cs="Times New Roman"/>
        </w:rPr>
      </w:pPr>
      <w:r w:rsidRPr="00247173">
        <w:rPr>
          <w:rFonts w:ascii="Calibri" w:eastAsia="MS Mincho" w:hAnsi="Calibri" w:cs="Times New Roman"/>
        </w:rPr>
        <w:t xml:space="preserve">At the November 2005 PBAC meeting, the Committee rejected an application to extend listing to include the treatment of focal spasticity in adults </w:t>
      </w:r>
      <w:r w:rsidR="001763E0">
        <w:rPr>
          <w:rFonts w:ascii="Calibri" w:eastAsia="MS Mincho" w:hAnsi="Calibri" w:cs="Times New Roman"/>
        </w:rPr>
        <w:t xml:space="preserve">for Botox </w:t>
      </w:r>
      <w:r w:rsidRPr="00247173">
        <w:rPr>
          <w:rFonts w:ascii="Calibri" w:eastAsia="MS Mincho" w:hAnsi="Calibri" w:cs="Times New Roman"/>
        </w:rPr>
        <w:t>because of uncertainty with interpreting the extent of clinically relevant benefits arising from the spasticity outcomes analysed by the trials, uncertainty associated with the modelled physiotherapy cost off-sets, and the resulting unacceptable and uncertain cost-effectiveness</w:t>
      </w:r>
      <w:r w:rsidR="00CE7F54">
        <w:rPr>
          <w:rFonts w:ascii="Calibri" w:eastAsia="MS Mincho" w:hAnsi="Calibri" w:cs="Times New Roman"/>
        </w:rPr>
        <w:t>.</w:t>
      </w:r>
      <w:r w:rsidR="002A730D">
        <w:rPr>
          <w:rFonts w:ascii="Calibri" w:eastAsia="MS Mincho" w:hAnsi="Calibri" w:cs="Times New Roman"/>
        </w:rPr>
        <w:t xml:space="preserve"> T</w:t>
      </w:r>
      <w:r w:rsidR="002A730D" w:rsidRPr="002A730D">
        <w:rPr>
          <w:rFonts w:ascii="Calibri" w:eastAsia="MS Mincho" w:hAnsi="Calibri" w:cs="Times New Roman"/>
        </w:rPr>
        <w:t>he PBAC considered that if listing were to be recommended, a narrower restriction may help to identify those patients likely to derive the most benefit from a reduction in spasticity, for example by being able to undergo physiotherapy to achieve a longer-term response, by identifying patients manifesting more severe spasticity at baseline, and by identifying particular types of potentially reversible focal spasticity associated with the most functional impairment.</w:t>
      </w:r>
      <w:r w:rsidR="008E6AF2" w:rsidRPr="008E6AF2">
        <w:rPr>
          <w:rFonts w:ascii="Arial" w:hAnsi="Arial" w:cs="Arial"/>
          <w:sz w:val="21"/>
          <w:szCs w:val="21"/>
        </w:rPr>
        <w:t xml:space="preserve"> </w:t>
      </w:r>
      <w:r w:rsidR="008E6AF2" w:rsidRPr="008E6AF2">
        <w:rPr>
          <w:rFonts w:ascii="Calibri" w:eastAsia="MS Mincho" w:hAnsi="Calibri" w:cs="Times New Roman"/>
        </w:rPr>
        <w:t>Further, that a limitation on the number of treatment doses was appropriate as no justification had been provided for longer periods of therapy.</w:t>
      </w:r>
    </w:p>
    <w:p w:rsidR="00247173" w:rsidRPr="00247173" w:rsidRDefault="0010708F" w:rsidP="00247173">
      <w:pPr>
        <w:spacing w:before="240"/>
        <w:outlineLvl w:val="1"/>
        <w:rPr>
          <w:rFonts w:ascii="Calibri" w:eastAsia="MS Mincho" w:hAnsi="Calibri" w:cs="Times New Roman"/>
        </w:rPr>
      </w:pPr>
      <w:r>
        <w:rPr>
          <w:rFonts w:ascii="Calibri" w:eastAsia="MS Mincho" w:hAnsi="Calibri" w:cs="Times New Roman"/>
        </w:rPr>
        <w:t xml:space="preserve">In July 2006, the PBAC considered a resubmission </w:t>
      </w:r>
      <w:r w:rsidR="00247173" w:rsidRPr="00247173">
        <w:rPr>
          <w:rFonts w:ascii="Calibri" w:eastAsia="MS Mincho" w:hAnsi="Calibri" w:cs="Times New Roman"/>
        </w:rPr>
        <w:t xml:space="preserve">for </w:t>
      </w:r>
      <w:r w:rsidR="001763E0">
        <w:rPr>
          <w:rFonts w:ascii="Calibri" w:eastAsia="MS Mincho" w:hAnsi="Calibri" w:cs="Times New Roman"/>
        </w:rPr>
        <w:t xml:space="preserve">Botox for </w:t>
      </w:r>
      <w:r w:rsidR="00247173" w:rsidRPr="00247173">
        <w:rPr>
          <w:rFonts w:ascii="Calibri" w:eastAsia="MS Mincho" w:hAnsi="Calibri" w:cs="Times New Roman"/>
        </w:rPr>
        <w:t>the treatment of focal spasticity of upper and lower limbs in adult patients who meet certain criteria</w:t>
      </w:r>
      <w:r w:rsidR="008E082C">
        <w:rPr>
          <w:rFonts w:ascii="Calibri" w:eastAsia="MS Mincho" w:hAnsi="Calibri" w:cs="Times New Roman"/>
        </w:rPr>
        <w:t xml:space="preserve">. The PBAC again rejected the listing because of </w:t>
      </w:r>
      <w:r w:rsidR="00247173" w:rsidRPr="00247173">
        <w:rPr>
          <w:rFonts w:ascii="Calibri" w:eastAsia="MS Mincho" w:hAnsi="Calibri" w:cs="Times New Roman"/>
        </w:rPr>
        <w:t>high and uncertain cost-effectiveness.</w:t>
      </w:r>
      <w:r w:rsidR="008E6AF2">
        <w:rPr>
          <w:rFonts w:ascii="Calibri" w:eastAsia="MS Mincho" w:hAnsi="Calibri" w:cs="Times New Roman"/>
        </w:rPr>
        <w:t xml:space="preserve"> </w:t>
      </w:r>
      <w:r w:rsidRPr="0010708F">
        <w:rPr>
          <w:rFonts w:ascii="Calibri" w:eastAsia="MS Mincho" w:hAnsi="Calibri" w:cs="Times New Roman"/>
        </w:rPr>
        <w:t>The PBAC noted the re</w:t>
      </w:r>
      <w:r w:rsidR="008E082C">
        <w:rPr>
          <w:rFonts w:ascii="Calibri" w:eastAsia="MS Mincho" w:hAnsi="Calibri" w:cs="Times New Roman"/>
        </w:rPr>
        <w:noBreakHyphen/>
      </w:r>
      <w:r w:rsidRPr="0010708F">
        <w:rPr>
          <w:rFonts w:ascii="Calibri" w:eastAsia="MS Mincho" w:hAnsi="Calibri" w:cs="Times New Roman"/>
        </w:rPr>
        <w:t xml:space="preserve">submission clearly defined the target patient population, and </w:t>
      </w:r>
      <w:r w:rsidR="00F100D1">
        <w:rPr>
          <w:rFonts w:ascii="Calibri" w:eastAsia="MS Mincho" w:hAnsi="Calibri" w:cs="Times New Roman"/>
        </w:rPr>
        <w:t xml:space="preserve">again </w:t>
      </w:r>
      <w:r w:rsidRPr="0010708F">
        <w:rPr>
          <w:rFonts w:ascii="Calibri" w:eastAsia="MS Mincho" w:hAnsi="Calibri" w:cs="Times New Roman"/>
        </w:rPr>
        <w:t>considered that it would be appropriate to limit the number of treatment doses per patient.</w:t>
      </w:r>
    </w:p>
    <w:p w:rsidR="001763E0" w:rsidRDefault="001763E0" w:rsidP="001763E0">
      <w:pPr>
        <w:rPr>
          <w:rFonts w:ascii="Calibri" w:eastAsia="MS Mincho" w:hAnsi="Calibri" w:cs="Times New Roman"/>
        </w:rPr>
      </w:pPr>
      <w:r w:rsidRPr="00247173">
        <w:rPr>
          <w:rFonts w:ascii="Calibri" w:eastAsia="MS Mincho" w:hAnsi="Calibri" w:cs="Times New Roman"/>
        </w:rPr>
        <w:t xml:space="preserve">At the </w:t>
      </w:r>
      <w:r>
        <w:rPr>
          <w:rFonts w:ascii="Calibri" w:eastAsia="MS Mincho" w:hAnsi="Calibri" w:cs="Times New Roman"/>
        </w:rPr>
        <w:t xml:space="preserve">November </w:t>
      </w:r>
      <w:r w:rsidRPr="00247173">
        <w:rPr>
          <w:rFonts w:ascii="Calibri" w:eastAsia="MS Mincho" w:hAnsi="Calibri" w:cs="Times New Roman"/>
        </w:rPr>
        <w:t>200</w:t>
      </w:r>
      <w:r>
        <w:rPr>
          <w:rFonts w:ascii="Calibri" w:eastAsia="MS Mincho" w:hAnsi="Calibri" w:cs="Times New Roman"/>
        </w:rPr>
        <w:t>7</w:t>
      </w:r>
      <w:r w:rsidRPr="00247173">
        <w:rPr>
          <w:rFonts w:ascii="Calibri" w:eastAsia="MS Mincho" w:hAnsi="Calibri" w:cs="Times New Roman"/>
        </w:rPr>
        <w:t xml:space="preserve"> meeting</w:t>
      </w:r>
      <w:r>
        <w:rPr>
          <w:rFonts w:ascii="Calibri" w:eastAsia="MS Mincho" w:hAnsi="Calibri" w:cs="Times New Roman"/>
        </w:rPr>
        <w:t>, t</w:t>
      </w:r>
      <w:r w:rsidRPr="005E45A5">
        <w:rPr>
          <w:rFonts w:ascii="Calibri" w:eastAsia="MS Mincho" w:hAnsi="Calibri" w:cs="Times New Roman"/>
        </w:rPr>
        <w:t xml:space="preserve">he PBAC recommended an extension to the Section 100 botulinum toxin program </w:t>
      </w:r>
      <w:r>
        <w:rPr>
          <w:rFonts w:ascii="Calibri" w:eastAsia="MS Mincho" w:hAnsi="Calibri" w:cs="Times New Roman"/>
        </w:rPr>
        <w:t xml:space="preserve">for Dysport </w:t>
      </w:r>
      <w:r w:rsidRPr="005E45A5">
        <w:rPr>
          <w:rFonts w:ascii="Calibri" w:eastAsia="MS Mincho" w:hAnsi="Calibri" w:cs="Times New Roman"/>
        </w:rPr>
        <w:t xml:space="preserve">to include the treatment of </w:t>
      </w:r>
      <w:r w:rsidRPr="005E45A5">
        <w:rPr>
          <w:rFonts w:ascii="Calibri" w:eastAsia="MS Mincho" w:hAnsi="Calibri" w:cs="Times New Roman"/>
          <w:b/>
        </w:rPr>
        <w:t>moderate to severe spasticity of the upper limb in adults following a stroke</w:t>
      </w:r>
      <w:r w:rsidRPr="005E45A5">
        <w:rPr>
          <w:rFonts w:ascii="Calibri" w:eastAsia="MS Mincho" w:hAnsi="Calibri" w:cs="Times New Roman"/>
        </w:rPr>
        <w:t>, as second line therapy when standard management has failed or as an adjunct to physical therapy, on a the basis of an acceptable cost-effectiveness ratio compared with standard management (placebo).</w:t>
      </w:r>
      <w:r>
        <w:rPr>
          <w:rFonts w:ascii="Calibri" w:eastAsia="MS Mincho" w:hAnsi="Calibri" w:cs="Times New Roman"/>
        </w:rPr>
        <w:t xml:space="preserve"> The restriction was to specify that the </w:t>
      </w:r>
      <w:r w:rsidRPr="00525FF4">
        <w:rPr>
          <w:rFonts w:ascii="Calibri" w:eastAsia="MS Mincho" w:hAnsi="Calibri" w:cs="Times New Roman"/>
        </w:rPr>
        <w:t>maximum number of treatments authorised be 4 per upper limb and per lifetime</w:t>
      </w:r>
      <w:r>
        <w:rPr>
          <w:rFonts w:ascii="Calibri" w:eastAsia="MS Mincho" w:hAnsi="Calibri" w:cs="Times New Roman"/>
        </w:rPr>
        <w:t>. This extension was PBS listed in April 2008.</w:t>
      </w:r>
    </w:p>
    <w:p w:rsidR="001763E0" w:rsidRDefault="001763E0" w:rsidP="001763E0">
      <w:pPr>
        <w:rPr>
          <w:rFonts w:ascii="Calibri" w:eastAsia="MS Mincho" w:hAnsi="Calibri" w:cs="Times New Roman"/>
        </w:rPr>
      </w:pPr>
      <w:r w:rsidRPr="00F622B6">
        <w:rPr>
          <w:rFonts w:ascii="Calibri" w:eastAsia="MS Mincho" w:hAnsi="Calibri" w:cs="Times New Roman"/>
        </w:rPr>
        <w:t xml:space="preserve">At the November 2007 meeting, </w:t>
      </w:r>
      <w:r>
        <w:rPr>
          <w:rFonts w:ascii="Calibri" w:eastAsia="MS Mincho" w:hAnsi="Calibri" w:cs="Times New Roman"/>
        </w:rPr>
        <w:t>t</w:t>
      </w:r>
      <w:r w:rsidRPr="00F622B6">
        <w:rPr>
          <w:rFonts w:ascii="Calibri" w:eastAsia="MS Mincho" w:hAnsi="Calibri" w:cs="Times New Roman"/>
        </w:rPr>
        <w:t xml:space="preserve">he PBAC recommended extending the Section 100 – Botulinum Toxin Program listing of the 500 unit vial of Dysport to include treatment of </w:t>
      </w:r>
      <w:r w:rsidRPr="00F622B6">
        <w:rPr>
          <w:rFonts w:ascii="Calibri" w:eastAsia="MS Mincho" w:hAnsi="Calibri" w:cs="Times New Roman"/>
          <w:b/>
        </w:rPr>
        <w:t>blepharospasm or hemifacial spasm</w:t>
      </w:r>
      <w:r w:rsidRPr="00F622B6">
        <w:rPr>
          <w:rFonts w:ascii="Calibri" w:eastAsia="MS Mincho" w:hAnsi="Calibri" w:cs="Times New Roman"/>
        </w:rPr>
        <w:t xml:space="preserve"> in adults on a cost-minimisation basis with botulinum toxin </w:t>
      </w:r>
      <w:proofErr w:type="gramStart"/>
      <w:r w:rsidRPr="00F622B6">
        <w:rPr>
          <w:rFonts w:ascii="Calibri" w:eastAsia="MS Mincho" w:hAnsi="Calibri" w:cs="Times New Roman"/>
        </w:rPr>
        <w:t>type</w:t>
      </w:r>
      <w:proofErr w:type="gramEnd"/>
      <w:r w:rsidRPr="00F622B6">
        <w:rPr>
          <w:rFonts w:ascii="Calibri" w:eastAsia="MS Mincho" w:hAnsi="Calibri" w:cs="Times New Roman"/>
        </w:rPr>
        <w:t xml:space="preserve"> A (Botox®).</w:t>
      </w:r>
      <w:r>
        <w:rPr>
          <w:rFonts w:ascii="Calibri" w:eastAsia="MS Mincho" w:hAnsi="Calibri" w:cs="Times New Roman"/>
        </w:rPr>
        <w:t xml:space="preserve"> This extension was PBS listed in April 2012.</w:t>
      </w:r>
    </w:p>
    <w:p w:rsidR="001763E0" w:rsidRDefault="001763E0" w:rsidP="00247173">
      <w:pPr>
        <w:spacing w:before="240"/>
        <w:outlineLvl w:val="1"/>
        <w:rPr>
          <w:rFonts w:ascii="Calibri" w:eastAsia="MS Mincho" w:hAnsi="Calibri" w:cs="Times New Roman"/>
        </w:rPr>
      </w:pPr>
    </w:p>
    <w:p w:rsidR="00FF67ED" w:rsidRDefault="00247173" w:rsidP="00247173">
      <w:pPr>
        <w:spacing w:before="240"/>
        <w:outlineLvl w:val="1"/>
        <w:rPr>
          <w:rFonts w:ascii="Calibri" w:eastAsia="MS Mincho" w:hAnsi="Calibri" w:cs="Times New Roman"/>
        </w:rPr>
      </w:pPr>
      <w:r w:rsidRPr="00247173">
        <w:rPr>
          <w:rFonts w:ascii="Calibri" w:eastAsia="MS Mincho" w:hAnsi="Calibri" w:cs="Times New Roman"/>
        </w:rPr>
        <w:lastRenderedPageBreak/>
        <w:t xml:space="preserve">At the July 2008 meeting, the PBAC recommended an extension to the Section 100 listing for </w:t>
      </w:r>
      <w:r w:rsidR="001763E0">
        <w:rPr>
          <w:rFonts w:ascii="Calibri" w:eastAsia="MS Mincho" w:hAnsi="Calibri" w:cs="Times New Roman"/>
        </w:rPr>
        <w:t>Bo</w:t>
      </w:r>
      <w:r w:rsidRPr="00247173">
        <w:rPr>
          <w:rFonts w:ascii="Calibri" w:eastAsia="MS Mincho" w:hAnsi="Calibri" w:cs="Times New Roman"/>
        </w:rPr>
        <w:t>tox</w:t>
      </w:r>
      <w:r w:rsidR="001763E0">
        <w:rPr>
          <w:rFonts w:ascii="Calibri" w:eastAsia="MS Mincho" w:hAnsi="Calibri" w:cs="Times New Roman"/>
        </w:rPr>
        <w:t xml:space="preserve"> </w:t>
      </w:r>
      <w:r w:rsidRPr="00247173">
        <w:rPr>
          <w:rFonts w:ascii="Calibri" w:eastAsia="MS Mincho" w:hAnsi="Calibri" w:cs="Times New Roman"/>
        </w:rPr>
        <w:t xml:space="preserve">A to include the treatment of </w:t>
      </w:r>
      <w:r w:rsidRPr="001763E0">
        <w:rPr>
          <w:rFonts w:ascii="Calibri" w:eastAsia="MS Mincho" w:hAnsi="Calibri" w:cs="Times New Roman"/>
          <w:b/>
        </w:rPr>
        <w:t>moderate to</w:t>
      </w:r>
      <w:r w:rsidRPr="00247173">
        <w:rPr>
          <w:rFonts w:ascii="Calibri" w:eastAsia="MS Mincho" w:hAnsi="Calibri" w:cs="Times New Roman"/>
        </w:rPr>
        <w:t xml:space="preserve"> </w:t>
      </w:r>
      <w:r w:rsidRPr="00711A29">
        <w:rPr>
          <w:rFonts w:ascii="Calibri" w:eastAsia="MS Mincho" w:hAnsi="Calibri" w:cs="Times New Roman"/>
          <w:b/>
        </w:rPr>
        <w:t>severe spasticity of the upper limb in adults following a stroke</w:t>
      </w:r>
      <w:r w:rsidRPr="00247173">
        <w:rPr>
          <w:rFonts w:ascii="Calibri" w:eastAsia="MS Mincho" w:hAnsi="Calibri" w:cs="Times New Roman"/>
        </w:rPr>
        <w:t>, as second line therapy when standard management has failed or as an adjunct to physical therapy, on a cost-minimisation basis compared with clostridium botulinum</w:t>
      </w:r>
      <w:r w:rsidR="00FF67ED">
        <w:rPr>
          <w:rFonts w:ascii="Calibri" w:eastAsia="MS Mincho" w:hAnsi="Calibri" w:cs="Times New Roman"/>
        </w:rPr>
        <w:t xml:space="preserve"> (Dysport)</w:t>
      </w:r>
      <w:r w:rsidRPr="00247173">
        <w:rPr>
          <w:rFonts w:ascii="Calibri" w:eastAsia="MS Mincho" w:hAnsi="Calibri" w:cs="Times New Roman"/>
        </w:rPr>
        <w:t>.</w:t>
      </w:r>
      <w:r w:rsidR="008B34A6">
        <w:rPr>
          <w:rFonts w:ascii="Calibri" w:eastAsia="MS Mincho" w:hAnsi="Calibri" w:cs="Times New Roman"/>
        </w:rPr>
        <w:t xml:space="preserve">This extension was PBS listed in April 2009. </w:t>
      </w:r>
      <w:r w:rsidR="00FF67ED" w:rsidRPr="00FF67ED">
        <w:rPr>
          <w:rFonts w:ascii="Calibri" w:eastAsia="MS Mincho" w:hAnsi="Calibri" w:cs="Times New Roman"/>
        </w:rPr>
        <w:t xml:space="preserve">The PBAC considered the restriction should be the same as for the currently listed clostridium botulinum for post-stroke upper limb </w:t>
      </w:r>
      <w:r w:rsidR="007B051A" w:rsidRPr="00FF67ED">
        <w:rPr>
          <w:rFonts w:ascii="Calibri" w:eastAsia="MS Mincho" w:hAnsi="Calibri" w:cs="Times New Roman"/>
        </w:rPr>
        <w:t>spasticity</w:t>
      </w:r>
      <w:r w:rsidR="00FF67ED" w:rsidRPr="00FF67ED">
        <w:rPr>
          <w:rFonts w:ascii="Calibri" w:eastAsia="MS Mincho" w:hAnsi="Calibri" w:cs="Times New Roman"/>
        </w:rPr>
        <w:t xml:space="preserve">, </w:t>
      </w:r>
      <w:r w:rsidR="001763E0">
        <w:rPr>
          <w:rFonts w:ascii="Calibri" w:eastAsia="MS Mincho" w:hAnsi="Calibri" w:cs="Times New Roman"/>
        </w:rPr>
        <w:t>and</w:t>
      </w:r>
      <w:r w:rsidR="00FF67ED" w:rsidRPr="00FF67ED">
        <w:rPr>
          <w:rFonts w:ascii="Calibri" w:eastAsia="MS Mincho" w:hAnsi="Calibri" w:cs="Times New Roman"/>
        </w:rPr>
        <w:t xml:space="preserve"> that the maximum total number of botulinum treatments authorised be limited to 4 per upper limb, per lifetime. The PBAC considered that the cost effectiveness would be unacceptable if the number of treatments increased to 4 per each formulation.</w:t>
      </w:r>
    </w:p>
    <w:p w:rsidR="00247173" w:rsidRDefault="00247173" w:rsidP="00247173">
      <w:pPr>
        <w:spacing w:before="240"/>
        <w:outlineLvl w:val="1"/>
        <w:rPr>
          <w:rFonts w:ascii="Calibri" w:eastAsia="MS Mincho" w:hAnsi="Calibri" w:cs="Times New Roman"/>
        </w:rPr>
      </w:pPr>
      <w:r w:rsidRPr="00247173">
        <w:rPr>
          <w:rFonts w:ascii="Calibri" w:eastAsia="MS Mincho" w:hAnsi="Calibri" w:cs="Times New Roman"/>
        </w:rPr>
        <w:t>At the same meeting the PBAC rejected a submission requesting extension of the current section 100 listing</w:t>
      </w:r>
      <w:r w:rsidR="001763E0">
        <w:rPr>
          <w:rFonts w:ascii="Calibri" w:eastAsia="MS Mincho" w:hAnsi="Calibri" w:cs="Times New Roman"/>
        </w:rPr>
        <w:t xml:space="preserve"> of Botox</w:t>
      </w:r>
      <w:r w:rsidRPr="00247173">
        <w:rPr>
          <w:rFonts w:ascii="Calibri" w:eastAsia="MS Mincho" w:hAnsi="Calibri" w:cs="Times New Roman"/>
        </w:rPr>
        <w:t xml:space="preserve"> to include the treatment of moderate to severe spasticity of the</w:t>
      </w:r>
      <w:r>
        <w:rPr>
          <w:rFonts w:ascii="Calibri" w:eastAsia="MS Mincho" w:hAnsi="Calibri" w:cs="Times New Roman"/>
        </w:rPr>
        <w:t xml:space="preserve"> </w:t>
      </w:r>
      <w:r w:rsidRPr="00247173">
        <w:rPr>
          <w:rFonts w:ascii="Calibri" w:eastAsia="MS Mincho" w:hAnsi="Calibri" w:cs="Times New Roman"/>
        </w:rPr>
        <w:t>lower</w:t>
      </w:r>
      <w:r>
        <w:rPr>
          <w:rFonts w:ascii="Calibri" w:eastAsia="MS Mincho" w:hAnsi="Calibri" w:cs="Times New Roman"/>
        </w:rPr>
        <w:t xml:space="preserve"> </w:t>
      </w:r>
      <w:r w:rsidRPr="00247173">
        <w:rPr>
          <w:rFonts w:ascii="Calibri" w:eastAsia="MS Mincho" w:hAnsi="Calibri" w:cs="Times New Roman"/>
        </w:rPr>
        <w:t>limb in ambulatory adults following a stroke as a second line therapy when standard management has failed or as an adjunct to physical therapy because of uncertain clinical benefit and the resulting high and uncertain cost-effectiveness.</w:t>
      </w:r>
      <w:r w:rsidR="007A4750">
        <w:rPr>
          <w:rFonts w:ascii="Calibri" w:eastAsia="MS Mincho" w:hAnsi="Calibri" w:cs="Times New Roman"/>
        </w:rPr>
        <w:t xml:space="preserve"> The PBAC has not received any further applications from Sponsors of botulinum toxin seeking PBS subsidy for lower limb spasticity.</w:t>
      </w:r>
    </w:p>
    <w:p w:rsidR="00247173" w:rsidRPr="00247173" w:rsidRDefault="00711A29" w:rsidP="00247173">
      <w:pPr>
        <w:spacing w:before="240"/>
        <w:outlineLvl w:val="1"/>
        <w:rPr>
          <w:rFonts w:ascii="Calibri" w:eastAsia="MS Mincho" w:hAnsi="Calibri" w:cs="Times New Roman"/>
        </w:rPr>
      </w:pPr>
      <w:r w:rsidRPr="00247173">
        <w:rPr>
          <w:rFonts w:ascii="Calibri" w:eastAsia="MS Mincho" w:hAnsi="Calibri" w:cs="Times New Roman"/>
        </w:rPr>
        <w:t xml:space="preserve">At the </w:t>
      </w:r>
      <w:r>
        <w:rPr>
          <w:rFonts w:ascii="Calibri" w:eastAsia="MS Mincho" w:hAnsi="Calibri" w:cs="Times New Roman"/>
        </w:rPr>
        <w:t xml:space="preserve">November </w:t>
      </w:r>
      <w:r w:rsidRPr="00247173">
        <w:rPr>
          <w:rFonts w:ascii="Calibri" w:eastAsia="MS Mincho" w:hAnsi="Calibri" w:cs="Times New Roman"/>
        </w:rPr>
        <w:t>2008 meeting</w:t>
      </w:r>
      <w:r>
        <w:rPr>
          <w:rFonts w:ascii="Calibri" w:eastAsia="MS Mincho" w:hAnsi="Calibri" w:cs="Times New Roman"/>
        </w:rPr>
        <w:t>, t</w:t>
      </w:r>
      <w:r w:rsidRPr="00711A29">
        <w:rPr>
          <w:rFonts w:ascii="Calibri" w:eastAsia="MS Mincho" w:hAnsi="Calibri" w:cs="Times New Roman"/>
        </w:rPr>
        <w:t xml:space="preserve">he PBAC recommended extending the availability of </w:t>
      </w:r>
      <w:r w:rsidR="001763E0">
        <w:rPr>
          <w:rFonts w:ascii="Calibri" w:eastAsia="MS Mincho" w:hAnsi="Calibri" w:cs="Times New Roman"/>
        </w:rPr>
        <w:t>Botox</w:t>
      </w:r>
      <w:r w:rsidRPr="00711A29">
        <w:rPr>
          <w:rFonts w:ascii="Calibri" w:eastAsia="MS Mincho" w:hAnsi="Calibri" w:cs="Times New Roman"/>
        </w:rPr>
        <w:t xml:space="preserve"> through the Section 100 Botox program to include the treatment of moderate to </w:t>
      </w:r>
      <w:r w:rsidRPr="00711A29">
        <w:rPr>
          <w:rFonts w:ascii="Calibri" w:eastAsia="MS Mincho" w:hAnsi="Calibri" w:cs="Times New Roman"/>
          <w:b/>
        </w:rPr>
        <w:t>severe spasticity of the upper limb(s) in cerebral palsy patients</w:t>
      </w:r>
      <w:r w:rsidRPr="00711A29">
        <w:rPr>
          <w:rFonts w:ascii="Calibri" w:eastAsia="MS Mincho" w:hAnsi="Calibri" w:cs="Times New Roman"/>
        </w:rPr>
        <w:t xml:space="preserve"> aged 2 years and over on the basis of acceptable cost effectiveness in the context of a condition in which large utility gains are probable in responders to treatment, and where non-responders are unlikely to continue treatment.</w:t>
      </w:r>
      <w:r w:rsidR="008B34A6">
        <w:rPr>
          <w:rFonts w:ascii="Calibri" w:eastAsia="MS Mincho" w:hAnsi="Calibri" w:cs="Times New Roman"/>
        </w:rPr>
        <w:t xml:space="preserve"> This extension was PBS listed in April 2009.</w:t>
      </w:r>
    </w:p>
    <w:p w:rsidR="00A02BF3" w:rsidRDefault="0093168F" w:rsidP="00A02BF3">
      <w:pPr>
        <w:rPr>
          <w:rFonts w:ascii="Calibri" w:eastAsia="MS Mincho" w:hAnsi="Calibri" w:cs="Times New Roman"/>
        </w:rPr>
      </w:pPr>
      <w:r w:rsidRPr="00F622B6">
        <w:rPr>
          <w:rFonts w:ascii="Calibri" w:eastAsia="MS Mincho" w:hAnsi="Calibri" w:cs="Times New Roman"/>
        </w:rPr>
        <w:t xml:space="preserve">At the </w:t>
      </w:r>
      <w:r>
        <w:rPr>
          <w:rFonts w:ascii="Calibri" w:eastAsia="MS Mincho" w:hAnsi="Calibri" w:cs="Times New Roman"/>
        </w:rPr>
        <w:t>July</w:t>
      </w:r>
      <w:r w:rsidRPr="00F622B6">
        <w:rPr>
          <w:rFonts w:ascii="Calibri" w:eastAsia="MS Mincho" w:hAnsi="Calibri" w:cs="Times New Roman"/>
        </w:rPr>
        <w:t xml:space="preserve"> 20</w:t>
      </w:r>
      <w:r>
        <w:rPr>
          <w:rFonts w:ascii="Calibri" w:eastAsia="MS Mincho" w:hAnsi="Calibri" w:cs="Times New Roman"/>
        </w:rPr>
        <w:t>14</w:t>
      </w:r>
      <w:r w:rsidRPr="00F622B6">
        <w:rPr>
          <w:rFonts w:ascii="Calibri" w:eastAsia="MS Mincho" w:hAnsi="Calibri" w:cs="Times New Roman"/>
        </w:rPr>
        <w:t xml:space="preserve"> meeting, </w:t>
      </w:r>
      <w:r>
        <w:rPr>
          <w:rFonts w:ascii="Calibri" w:eastAsia="MS Mincho" w:hAnsi="Calibri" w:cs="Times New Roman"/>
        </w:rPr>
        <w:t>t</w:t>
      </w:r>
      <w:r w:rsidRPr="0093168F">
        <w:rPr>
          <w:rFonts w:ascii="Calibri" w:eastAsia="MS Mincho" w:hAnsi="Calibri" w:cs="Times New Roman"/>
        </w:rPr>
        <w:t xml:space="preserve">he PBAC recommended the listing of </w:t>
      </w:r>
      <w:proofErr w:type="spellStart"/>
      <w:r w:rsidRPr="0093168F">
        <w:rPr>
          <w:rFonts w:ascii="Calibri" w:eastAsia="MS Mincho" w:hAnsi="Calibri" w:cs="Times New Roman"/>
        </w:rPr>
        <w:t>incobotulinumtoxin</w:t>
      </w:r>
      <w:proofErr w:type="spellEnd"/>
      <w:r w:rsidRPr="0093168F">
        <w:rPr>
          <w:rFonts w:ascii="Calibri" w:eastAsia="MS Mincho" w:hAnsi="Calibri" w:cs="Times New Roman"/>
        </w:rPr>
        <w:t xml:space="preserve"> A</w:t>
      </w:r>
      <w:r w:rsidR="001763E0">
        <w:rPr>
          <w:rFonts w:ascii="Calibri" w:eastAsia="MS Mincho" w:hAnsi="Calibri" w:cs="Times New Roman"/>
        </w:rPr>
        <w:t xml:space="preserve"> (</w:t>
      </w:r>
      <w:proofErr w:type="spellStart"/>
      <w:r w:rsidR="001763E0">
        <w:rPr>
          <w:rFonts w:ascii="Calibri" w:eastAsia="MS Mincho" w:hAnsi="Calibri" w:cs="Times New Roman"/>
        </w:rPr>
        <w:t>Xeomin</w:t>
      </w:r>
      <w:proofErr w:type="spellEnd"/>
      <w:r w:rsidR="001763E0">
        <w:rPr>
          <w:rFonts w:ascii="Calibri" w:eastAsia="MS Mincho" w:hAnsi="Calibri" w:cs="Times New Roman"/>
        </w:rPr>
        <w:t>)</w:t>
      </w:r>
      <w:r>
        <w:rPr>
          <w:rFonts w:ascii="Calibri" w:eastAsia="MS Mincho" w:hAnsi="Calibri" w:cs="Times New Roman"/>
        </w:rPr>
        <w:t xml:space="preserve"> to treat </w:t>
      </w:r>
      <w:r w:rsidRPr="0093168F">
        <w:rPr>
          <w:rFonts w:ascii="Calibri" w:eastAsia="MS Mincho" w:hAnsi="Calibri" w:cs="Times New Roman"/>
          <w:b/>
        </w:rPr>
        <w:t>spasmodic torticollis</w:t>
      </w:r>
      <w:r w:rsidRPr="0093168F">
        <w:rPr>
          <w:rFonts w:ascii="Calibri" w:eastAsia="MS Mincho" w:hAnsi="Calibri" w:cs="Times New Roman"/>
        </w:rPr>
        <w:t xml:space="preserve">, </w:t>
      </w:r>
      <w:r w:rsidRPr="0093168F">
        <w:rPr>
          <w:rFonts w:ascii="Calibri" w:eastAsia="MS Mincho" w:hAnsi="Calibri" w:cs="Times New Roman"/>
          <w:b/>
        </w:rPr>
        <w:t>blepharospasm or hemifacial spasm</w:t>
      </w:r>
      <w:r w:rsidRPr="0093168F">
        <w:rPr>
          <w:rFonts w:ascii="Calibri" w:eastAsia="MS Mincho" w:hAnsi="Calibri" w:cs="Times New Roman"/>
        </w:rPr>
        <w:t xml:space="preserve"> </w:t>
      </w:r>
      <w:r>
        <w:rPr>
          <w:rFonts w:ascii="Calibri" w:eastAsia="MS Mincho" w:hAnsi="Calibri" w:cs="Times New Roman"/>
        </w:rPr>
        <w:t xml:space="preserve">or </w:t>
      </w:r>
      <w:r w:rsidRPr="0093168F">
        <w:rPr>
          <w:rFonts w:ascii="Calibri" w:eastAsia="MS Mincho" w:hAnsi="Calibri" w:cs="Times New Roman"/>
          <w:b/>
        </w:rPr>
        <w:t>moderate to severe spasticity of the upper limb following stroke</w:t>
      </w:r>
      <w:r>
        <w:rPr>
          <w:rFonts w:ascii="Calibri" w:eastAsia="MS Mincho" w:hAnsi="Calibri" w:cs="Times New Roman"/>
        </w:rPr>
        <w:t>,</w:t>
      </w:r>
      <w:r w:rsidRPr="0093168F">
        <w:rPr>
          <w:rFonts w:ascii="Calibri" w:eastAsia="MS Mincho" w:hAnsi="Calibri" w:cs="Times New Roman"/>
        </w:rPr>
        <w:t xml:space="preserve"> on a cost-minimisation basis compared with Botox®. </w:t>
      </w:r>
      <w:r w:rsidR="00A02BF3" w:rsidRPr="00A02BF3">
        <w:rPr>
          <w:rFonts w:ascii="Calibri" w:eastAsia="MS Mincho" w:hAnsi="Calibri" w:cs="Times New Roman"/>
        </w:rPr>
        <w:t xml:space="preserve">The PBAC accepted the </w:t>
      </w:r>
      <w:r w:rsidR="00A02BF3">
        <w:rPr>
          <w:rFonts w:ascii="Calibri" w:eastAsia="MS Mincho" w:hAnsi="Calibri" w:cs="Times New Roman"/>
        </w:rPr>
        <w:t>equieffective doses</w:t>
      </w:r>
      <w:r w:rsidR="00A02BF3" w:rsidRPr="00A02BF3">
        <w:rPr>
          <w:rFonts w:ascii="Calibri" w:eastAsia="MS Mincho" w:hAnsi="Calibri" w:cs="Times New Roman"/>
        </w:rPr>
        <w:t xml:space="preserve"> </w:t>
      </w:r>
      <w:r w:rsidR="00A02BF3">
        <w:rPr>
          <w:rFonts w:ascii="Calibri" w:eastAsia="MS Mincho" w:hAnsi="Calibri" w:cs="Times New Roman"/>
        </w:rPr>
        <w:t xml:space="preserve">presented in the submission </w:t>
      </w:r>
      <w:r w:rsidR="00A02BF3" w:rsidRPr="00A02BF3">
        <w:rPr>
          <w:rFonts w:ascii="Calibri" w:eastAsia="MS Mincho" w:hAnsi="Calibri" w:cs="Times New Roman"/>
        </w:rPr>
        <w:t>as</w:t>
      </w:r>
      <w:r w:rsidR="00A02BF3">
        <w:rPr>
          <w:rFonts w:ascii="Calibri" w:eastAsia="MS Mincho" w:hAnsi="Calibri" w:cs="Times New Roman"/>
        </w:rPr>
        <w:t xml:space="preserve"> follows</w:t>
      </w:r>
      <w:r w:rsidR="00A02BF3" w:rsidRPr="00A02BF3">
        <w:rPr>
          <w:rFonts w:ascii="Calibri" w:eastAsia="MS Mincho" w:hAnsi="Calibri" w:cs="Times New Roman"/>
        </w:rPr>
        <w:t>: cervical dystonia: 140.4U of Xeomin over approximately 110 days and Botox 140.4U over approximately 110 days; blepharospasm: 40.7U of Xeomin over approximately 110 days and Botox 40.7U over approximately 110 days; and post-stroke spasticity of the upper limb: 229U of Xeomin over approximately 87 days and 229U Botox over approximately 87 days.</w:t>
      </w:r>
      <w:r w:rsidR="00A02BF3">
        <w:rPr>
          <w:rFonts w:ascii="Calibri" w:eastAsia="MS Mincho" w:hAnsi="Calibri" w:cs="Times New Roman"/>
        </w:rPr>
        <w:t xml:space="preserve"> </w:t>
      </w:r>
    </w:p>
    <w:p w:rsidR="00A02BF3" w:rsidRPr="00A02BF3" w:rsidRDefault="00A02BF3" w:rsidP="00A02BF3">
      <w:pPr>
        <w:rPr>
          <w:rFonts w:ascii="Calibri" w:eastAsia="MS Mincho" w:hAnsi="Calibri" w:cs="Times New Roman"/>
        </w:rPr>
      </w:pPr>
      <w:r w:rsidRPr="00A02BF3">
        <w:rPr>
          <w:rFonts w:ascii="Calibri" w:eastAsia="MS Mincho" w:hAnsi="Calibri" w:cs="Times New Roman"/>
        </w:rPr>
        <w:t>The PBAC noted the estimated PBS usage and financial implications presented in the submission assumed no financial impact to PBS and MBS because of cost offset by a corresponding decrease in the number of items processed for Botox</w:t>
      </w:r>
      <w:r w:rsidRPr="00A02BF3">
        <w:rPr>
          <w:rFonts w:ascii="Calibri" w:eastAsia="MS Mincho" w:hAnsi="Calibri" w:cs="Times New Roman"/>
          <w:vertAlign w:val="superscript"/>
        </w:rPr>
        <w:t xml:space="preserve"> </w:t>
      </w:r>
      <w:r w:rsidRPr="00A02BF3">
        <w:rPr>
          <w:rFonts w:ascii="Calibri" w:eastAsia="MS Mincho" w:hAnsi="Calibri" w:cs="Times New Roman"/>
        </w:rPr>
        <w:t>and Dysport. The PBAC considered this was reasonable</w:t>
      </w:r>
      <w:r w:rsidR="00293312">
        <w:rPr>
          <w:rFonts w:ascii="Calibri" w:eastAsia="MS Mincho" w:hAnsi="Calibri" w:cs="Times New Roman"/>
        </w:rPr>
        <w:t>.</w:t>
      </w:r>
    </w:p>
    <w:p w:rsidR="0093168F" w:rsidRDefault="008B34A6" w:rsidP="00FF609F">
      <w:pPr>
        <w:rPr>
          <w:rFonts w:ascii="Calibri" w:eastAsia="MS Mincho" w:hAnsi="Calibri" w:cs="Times New Roman"/>
        </w:rPr>
      </w:pPr>
      <w:r>
        <w:rPr>
          <w:rFonts w:ascii="Calibri" w:eastAsia="MS Mincho" w:hAnsi="Calibri" w:cs="Times New Roman"/>
        </w:rPr>
        <w:t>These were PBS listed in April 2015.</w:t>
      </w:r>
    </w:p>
    <w:p w:rsidR="00FF609F" w:rsidRPr="00247173" w:rsidRDefault="00FF609F" w:rsidP="00FF609F">
      <w:pPr>
        <w:rPr>
          <w:rFonts w:ascii="Calibri" w:eastAsia="MS Mincho" w:hAnsi="Calibri" w:cs="Times New Roman"/>
        </w:rPr>
      </w:pPr>
      <w:r w:rsidRPr="00247173">
        <w:rPr>
          <w:rFonts w:ascii="Calibri" w:eastAsia="MS Mincho" w:hAnsi="Calibri" w:cs="Times New Roman"/>
        </w:rPr>
        <w:t xml:space="preserve">For further details refer to the </w:t>
      </w:r>
      <w:hyperlink r:id="rId12" w:history="1">
        <w:r w:rsidRPr="00247173">
          <w:rPr>
            <w:rFonts w:ascii="Calibri" w:eastAsia="MS Mincho" w:hAnsi="Calibri" w:cs="Times New Roman"/>
            <w:color w:val="0000FF"/>
            <w:u w:val="single"/>
          </w:rPr>
          <w:t>Public Summary Document by product</w:t>
        </w:r>
      </w:hyperlink>
      <w:r w:rsidRPr="00247173">
        <w:rPr>
          <w:rFonts w:ascii="Calibri" w:eastAsia="MS Mincho" w:hAnsi="Calibri" w:cs="Times New Roman"/>
        </w:rPr>
        <w:t xml:space="preserve"> or </w:t>
      </w:r>
      <w:hyperlink r:id="rId13" w:history="1">
        <w:r w:rsidRPr="00247173">
          <w:rPr>
            <w:rFonts w:ascii="Calibri" w:eastAsia="MS Mincho" w:hAnsi="Calibri" w:cs="Times New Roman"/>
            <w:color w:val="0000FF"/>
            <w:u w:val="single"/>
          </w:rPr>
          <w:t>meeting</w:t>
        </w:r>
      </w:hyperlink>
      <w:r w:rsidRPr="00247173">
        <w:rPr>
          <w:rFonts w:ascii="Calibri" w:eastAsia="MS Mincho" w:hAnsi="Calibri" w:cs="Times New Roman"/>
        </w:rPr>
        <w:t>.</w:t>
      </w:r>
    </w:p>
    <w:p w:rsidR="00A02BF3" w:rsidRDefault="00A02BF3">
      <w:pPr>
        <w:spacing w:line="276" w:lineRule="auto"/>
        <w:rPr>
          <w:rFonts w:ascii="Calibri" w:eastAsia="MS Mincho" w:hAnsi="Calibri" w:cs="Times New Roman"/>
          <w:b/>
        </w:rPr>
      </w:pPr>
      <w:r>
        <w:rPr>
          <w:rFonts w:ascii="Calibri" w:eastAsia="MS Mincho" w:hAnsi="Calibri" w:cs="Times New Roman"/>
          <w:b/>
        </w:rPr>
        <w:br w:type="page"/>
      </w:r>
    </w:p>
    <w:p w:rsidR="000D281C" w:rsidRPr="000F42D8" w:rsidRDefault="000D281C" w:rsidP="000D281C">
      <w:pPr>
        <w:spacing w:line="276" w:lineRule="auto"/>
        <w:rPr>
          <w:rFonts w:ascii="Calibri" w:eastAsia="MS Mincho" w:hAnsi="Calibri" w:cs="Times New Roman"/>
          <w:b/>
        </w:rPr>
      </w:pPr>
      <w:r w:rsidRPr="000F42D8">
        <w:rPr>
          <w:rFonts w:ascii="Calibri" w:eastAsia="MS Mincho" w:hAnsi="Calibri" w:cs="Times New Roman"/>
          <w:b/>
        </w:rPr>
        <w:lastRenderedPageBreak/>
        <w:t>Previous DUSC reviews</w:t>
      </w:r>
    </w:p>
    <w:p w:rsidR="000D281C" w:rsidRPr="005319D3" w:rsidRDefault="000D281C" w:rsidP="000D281C">
      <w:pPr>
        <w:spacing w:before="120"/>
        <w:rPr>
          <w:rFonts w:ascii="Calibri" w:eastAsia="MS Mincho" w:hAnsi="Calibri" w:cs="Times New Roman"/>
        </w:rPr>
      </w:pPr>
      <w:r w:rsidRPr="005319D3">
        <w:rPr>
          <w:rFonts w:ascii="Calibri" w:eastAsia="MS Mincho" w:hAnsi="Calibri" w:cs="Times New Roman"/>
        </w:rPr>
        <w:t xml:space="preserve">DUSC has not previously reviewed the utilisation of botulinum toxin type A for spasticity and dystonia. Predicted versus actual utilisation analyses of Botox for prophylaxis of headache in patients with chronic migraine was considered at the </w:t>
      </w:r>
      <w:hyperlink r:id="rId14" w:history="1">
        <w:r w:rsidRPr="0022672C">
          <w:rPr>
            <w:rStyle w:val="Hyperlink"/>
            <w:rFonts w:ascii="Calibri" w:eastAsia="MS Mincho" w:hAnsi="Calibri" w:cs="Times New Roman"/>
          </w:rPr>
          <w:t>June 2017</w:t>
        </w:r>
      </w:hyperlink>
      <w:r w:rsidRPr="005319D3">
        <w:rPr>
          <w:rFonts w:ascii="Calibri" w:eastAsia="MS Mincho" w:hAnsi="Calibri" w:cs="Times New Roman"/>
        </w:rPr>
        <w:t xml:space="preserve"> meeting and for severe primary axillary hyperhidrosis at the </w:t>
      </w:r>
      <w:hyperlink r:id="rId15" w:history="1">
        <w:r w:rsidRPr="00311C9B">
          <w:rPr>
            <w:rStyle w:val="Hyperlink"/>
            <w:rFonts w:ascii="Calibri" w:eastAsia="MS Mincho" w:hAnsi="Calibri" w:cs="Times New Roman"/>
          </w:rPr>
          <w:t>October 2013</w:t>
        </w:r>
      </w:hyperlink>
      <w:r w:rsidRPr="005319D3">
        <w:rPr>
          <w:rFonts w:ascii="Calibri" w:eastAsia="MS Mincho" w:hAnsi="Calibri" w:cs="Times New Roman"/>
        </w:rPr>
        <w:t xml:space="preserve"> meeting. </w:t>
      </w:r>
    </w:p>
    <w:p w:rsidR="00B87CD5" w:rsidRPr="00B87CD5" w:rsidRDefault="00B87CD5" w:rsidP="00B87CD5">
      <w:pPr>
        <w:spacing w:before="240"/>
        <w:outlineLvl w:val="1"/>
        <w:rPr>
          <w:rFonts w:ascii="Calibri" w:eastAsia="MS Mincho" w:hAnsi="Calibri" w:cs="Times New Roman"/>
          <w:b/>
          <w:sz w:val="28"/>
        </w:rPr>
      </w:pPr>
      <w:r w:rsidRPr="00B87CD5">
        <w:rPr>
          <w:rFonts w:ascii="Calibri" w:eastAsia="MS Mincho" w:hAnsi="Calibri" w:cs="Times New Roman"/>
          <w:b/>
          <w:sz w:val="28"/>
        </w:rPr>
        <w:t>PBS listing details</w:t>
      </w:r>
      <w:r w:rsidR="00A5795B">
        <w:rPr>
          <w:rFonts w:ascii="Calibri" w:eastAsia="MS Mincho" w:hAnsi="Calibri" w:cs="Times New Roman"/>
          <w:b/>
          <w:sz w:val="28"/>
        </w:rPr>
        <w:t xml:space="preserve"> </w:t>
      </w:r>
      <w:r w:rsidR="00A5795B">
        <w:rPr>
          <w:rFonts w:ascii="Calibri" w:eastAsia="MS Mincho" w:hAnsi="Calibri" w:cs="Times New Roman"/>
          <w:b/>
        </w:rPr>
        <w:t xml:space="preserve">(as at </w:t>
      </w:r>
      <w:r w:rsidR="00440DED">
        <w:rPr>
          <w:rFonts w:ascii="Calibri" w:eastAsia="MS Mincho" w:hAnsi="Calibri" w:cs="Times New Roman"/>
          <w:b/>
        </w:rPr>
        <w:t>March</w:t>
      </w:r>
      <w:r w:rsidR="00A5795B">
        <w:rPr>
          <w:rFonts w:ascii="Calibri" w:eastAsia="MS Mincho" w:hAnsi="Calibri" w:cs="Times New Roman"/>
          <w:b/>
        </w:rPr>
        <w:t xml:space="preserve"> 201</w:t>
      </w:r>
      <w:r w:rsidR="00440DED">
        <w:rPr>
          <w:rFonts w:ascii="Calibri" w:eastAsia="MS Mincho" w:hAnsi="Calibri" w:cs="Times New Roman"/>
          <w:b/>
        </w:rPr>
        <w:t>8</w:t>
      </w:r>
      <w:r w:rsidR="00A5795B">
        <w:rPr>
          <w:rFonts w:ascii="Calibri" w:eastAsia="MS Mincho" w:hAnsi="Calibri" w:cs="Times New Roman"/>
          <w:b/>
        </w:rPr>
        <w:t>)</w:t>
      </w:r>
    </w:p>
    <w:p w:rsidR="00855AFB" w:rsidRPr="00FB036B" w:rsidRDefault="007B051A" w:rsidP="00FB036B">
      <w:pPr>
        <w:spacing w:before="120"/>
        <w:rPr>
          <w:rFonts w:ascii="Calibri" w:eastAsia="MS Mincho" w:hAnsi="Calibri" w:cs="Times New Roman"/>
        </w:rPr>
      </w:pPr>
      <w:r w:rsidRPr="00FB036B">
        <w:rPr>
          <w:rFonts w:ascii="Calibri" w:eastAsia="MS Mincho" w:hAnsi="Calibri" w:cs="Times New Roman"/>
        </w:rPr>
        <w:t xml:space="preserve">The </w:t>
      </w:r>
      <w:r>
        <w:rPr>
          <w:rFonts w:ascii="Calibri" w:eastAsia="MS Mincho" w:hAnsi="Calibri" w:cs="Times New Roman"/>
        </w:rPr>
        <w:t>PBS restrictions for botulinum toxin type </w:t>
      </w:r>
      <w:proofErr w:type="gramStart"/>
      <w:r>
        <w:rPr>
          <w:rFonts w:ascii="Calibri" w:eastAsia="MS Mincho" w:hAnsi="Calibri" w:cs="Times New Roman"/>
        </w:rPr>
        <w:t>A</w:t>
      </w:r>
      <w:proofErr w:type="gramEnd"/>
      <w:r>
        <w:rPr>
          <w:rFonts w:ascii="Calibri" w:eastAsia="MS Mincho" w:hAnsi="Calibri" w:cs="Times New Roman"/>
        </w:rPr>
        <w:t xml:space="preserve"> are summarised in Table 1 and the full restriction wording is provided in Appendix A. Botulinum toxin </w:t>
      </w:r>
      <w:r w:rsidR="00293312">
        <w:rPr>
          <w:rFonts w:ascii="Calibri" w:eastAsia="MS Mincho" w:hAnsi="Calibri" w:cs="Times New Roman"/>
        </w:rPr>
        <w:t xml:space="preserve">is </w:t>
      </w:r>
      <w:r>
        <w:rPr>
          <w:rFonts w:ascii="Calibri" w:eastAsia="MS Mincho" w:hAnsi="Calibri" w:cs="Times New Roman"/>
        </w:rPr>
        <w:t>listed in the Section 100 Botulinum toxin program as an Authority required (streamlined) medicine.</w:t>
      </w:r>
    </w:p>
    <w:p w:rsidR="006707E8" w:rsidRDefault="006707E8" w:rsidP="006707E8">
      <w:pPr>
        <w:rPr>
          <w:rFonts w:ascii="Calibri" w:eastAsia="MS Mincho" w:hAnsi="Calibri" w:cs="Times New Roman"/>
          <w:szCs w:val="28"/>
        </w:rPr>
      </w:pPr>
      <w:r>
        <w:rPr>
          <w:rFonts w:ascii="Calibri" w:eastAsia="MS Mincho" w:hAnsi="Calibri" w:cs="Times New Roman"/>
          <w:szCs w:val="28"/>
        </w:rPr>
        <w:t xml:space="preserve">The PBS restrictions specify that prescribing of botulinum toxin is limited to certain specialties. These are summarised in Table 4. </w:t>
      </w:r>
    </w:p>
    <w:p w:rsidR="006707E8" w:rsidRPr="0025527F" w:rsidRDefault="006707E8" w:rsidP="006707E8">
      <w:pPr>
        <w:spacing w:after="0" w:line="276" w:lineRule="auto"/>
        <w:rPr>
          <w:rFonts w:ascii="Calibri" w:eastAsia="MS Mincho" w:hAnsi="Calibri" w:cs="Times New Roman"/>
          <w:b/>
        </w:rPr>
      </w:pPr>
      <w:r w:rsidRPr="0025527F">
        <w:rPr>
          <w:rFonts w:ascii="Calibri" w:eastAsia="MS Mincho" w:hAnsi="Calibri" w:cs="Times New Roman"/>
          <w:b/>
        </w:rPr>
        <w:t xml:space="preserve">Table </w:t>
      </w:r>
      <w:r>
        <w:rPr>
          <w:rFonts w:ascii="Calibri" w:eastAsia="MS Mincho" w:hAnsi="Calibri" w:cs="Times New Roman"/>
          <w:b/>
        </w:rPr>
        <w:t>4</w:t>
      </w:r>
      <w:r w:rsidRPr="0025527F">
        <w:rPr>
          <w:rFonts w:ascii="Calibri" w:eastAsia="MS Mincho" w:hAnsi="Calibri" w:cs="Times New Roman"/>
          <w:b/>
        </w:rPr>
        <w:t xml:space="preserve">: </w:t>
      </w:r>
      <w:r>
        <w:rPr>
          <w:rFonts w:ascii="Calibri" w:eastAsia="MS Mincho" w:hAnsi="Calibri" w:cs="Times New Roman"/>
          <w:b/>
        </w:rPr>
        <w:t>Treatment specialists specified in restriction by indication</w:t>
      </w:r>
    </w:p>
    <w:tbl>
      <w:tblPr>
        <w:tblStyle w:val="TableGrid"/>
        <w:tblW w:w="9464" w:type="dxa"/>
        <w:tblLayout w:type="fixed"/>
        <w:tblLook w:val="04A0" w:firstRow="1" w:lastRow="0" w:firstColumn="1" w:lastColumn="0" w:noHBand="0" w:noVBand="1"/>
        <w:tblCaption w:val="Table 4: Treatment specialists specified in restriction by indication"/>
      </w:tblPr>
      <w:tblGrid>
        <w:gridCol w:w="1583"/>
        <w:gridCol w:w="1531"/>
        <w:gridCol w:w="1531"/>
        <w:gridCol w:w="1531"/>
        <w:gridCol w:w="1644"/>
        <w:gridCol w:w="1644"/>
      </w:tblGrid>
      <w:tr w:rsidR="006707E8" w:rsidTr="0014435E">
        <w:trPr>
          <w:tblHeader/>
        </w:trPr>
        <w:tc>
          <w:tcPr>
            <w:tcW w:w="1583" w:type="dxa"/>
            <w:shd w:val="clear" w:color="auto" w:fill="BFBFBF" w:themeFill="background1" w:themeFillShade="BF"/>
          </w:tcPr>
          <w:p w:rsidR="006707E8" w:rsidRPr="00F27AD1" w:rsidRDefault="006707E8">
            <w:pPr>
              <w:rPr>
                <w:rFonts w:ascii="Calibri" w:eastAsia="MS Mincho" w:hAnsi="Calibri" w:cs="Times New Roman"/>
                <w:b/>
                <w:i/>
                <w:sz w:val="20"/>
                <w:szCs w:val="20"/>
              </w:rPr>
            </w:pPr>
          </w:p>
        </w:tc>
        <w:tc>
          <w:tcPr>
            <w:tcW w:w="1531" w:type="dxa"/>
            <w:shd w:val="clear" w:color="auto" w:fill="BFBFBF" w:themeFill="background1" w:themeFillShade="BF"/>
            <w:vAlign w:val="center"/>
          </w:tcPr>
          <w:p w:rsidR="006707E8" w:rsidRPr="00F27AD1" w:rsidRDefault="006707E8" w:rsidP="006638F8">
            <w:pPr>
              <w:jc w:val="center"/>
              <w:rPr>
                <w:rFonts w:ascii="Calibri" w:hAnsi="Calibri"/>
                <w:b/>
                <w:color w:val="000000"/>
                <w:sz w:val="20"/>
                <w:szCs w:val="20"/>
              </w:rPr>
            </w:pPr>
            <w:r w:rsidRPr="00F27AD1">
              <w:rPr>
                <w:rFonts w:ascii="Calibri" w:hAnsi="Calibri"/>
                <w:b/>
                <w:color w:val="000000"/>
                <w:sz w:val="20"/>
                <w:szCs w:val="20"/>
              </w:rPr>
              <w:t>Blepharospasm or hemifacial spasm</w:t>
            </w:r>
          </w:p>
        </w:tc>
        <w:tc>
          <w:tcPr>
            <w:tcW w:w="1531" w:type="dxa"/>
            <w:shd w:val="clear" w:color="auto" w:fill="BFBFBF" w:themeFill="background1" w:themeFillShade="BF"/>
            <w:vAlign w:val="center"/>
          </w:tcPr>
          <w:p w:rsidR="006707E8" w:rsidRPr="00F27AD1" w:rsidRDefault="006707E8" w:rsidP="006638F8">
            <w:pPr>
              <w:jc w:val="center"/>
              <w:rPr>
                <w:rFonts w:ascii="Calibri" w:hAnsi="Calibri"/>
                <w:b/>
                <w:color w:val="000000"/>
                <w:sz w:val="20"/>
                <w:szCs w:val="20"/>
              </w:rPr>
            </w:pPr>
            <w:r w:rsidRPr="00F27AD1">
              <w:rPr>
                <w:rFonts w:ascii="Calibri" w:hAnsi="Calibri"/>
                <w:b/>
                <w:color w:val="000000"/>
                <w:sz w:val="20"/>
                <w:szCs w:val="20"/>
              </w:rPr>
              <w:t>Spasmodic torticollis</w:t>
            </w:r>
          </w:p>
        </w:tc>
        <w:tc>
          <w:tcPr>
            <w:tcW w:w="1531" w:type="dxa"/>
            <w:shd w:val="clear" w:color="auto" w:fill="BFBFBF" w:themeFill="background1" w:themeFillShade="BF"/>
            <w:vAlign w:val="center"/>
          </w:tcPr>
          <w:p w:rsidR="006707E8" w:rsidRPr="00F27AD1" w:rsidRDefault="006707E8" w:rsidP="006638F8">
            <w:pPr>
              <w:jc w:val="center"/>
              <w:rPr>
                <w:rFonts w:ascii="Calibri" w:hAnsi="Calibri"/>
                <w:b/>
                <w:color w:val="000000"/>
                <w:sz w:val="20"/>
                <w:szCs w:val="20"/>
              </w:rPr>
            </w:pPr>
            <w:r w:rsidRPr="00F27AD1">
              <w:rPr>
                <w:rFonts w:ascii="Calibri" w:hAnsi="Calibri"/>
                <w:b/>
                <w:color w:val="000000"/>
                <w:sz w:val="20"/>
                <w:szCs w:val="20"/>
              </w:rPr>
              <w:t>Dynamic equinus foot deformity</w:t>
            </w:r>
          </w:p>
        </w:tc>
        <w:tc>
          <w:tcPr>
            <w:tcW w:w="1644" w:type="dxa"/>
            <w:shd w:val="clear" w:color="auto" w:fill="BFBFBF" w:themeFill="background1" w:themeFillShade="BF"/>
            <w:vAlign w:val="center"/>
          </w:tcPr>
          <w:p w:rsidR="006707E8" w:rsidRPr="00F27AD1" w:rsidRDefault="006707E8" w:rsidP="006638F8">
            <w:pPr>
              <w:jc w:val="center"/>
              <w:rPr>
                <w:rFonts w:ascii="Calibri" w:hAnsi="Calibri"/>
                <w:b/>
                <w:color w:val="000000"/>
                <w:sz w:val="20"/>
                <w:szCs w:val="20"/>
              </w:rPr>
            </w:pPr>
            <w:r w:rsidRPr="00F27AD1">
              <w:rPr>
                <w:rFonts w:ascii="Calibri" w:hAnsi="Calibri"/>
                <w:b/>
                <w:color w:val="000000"/>
                <w:sz w:val="20"/>
                <w:szCs w:val="20"/>
              </w:rPr>
              <w:t xml:space="preserve">Moderate to severe spasticity of the upper limb </w:t>
            </w:r>
            <w:r>
              <w:rPr>
                <w:rFonts w:ascii="Calibri" w:hAnsi="Calibri"/>
                <w:b/>
                <w:color w:val="000000"/>
                <w:sz w:val="20"/>
                <w:szCs w:val="20"/>
              </w:rPr>
              <w:t xml:space="preserve">due to cerebral palsy </w:t>
            </w:r>
          </w:p>
        </w:tc>
        <w:tc>
          <w:tcPr>
            <w:tcW w:w="1644" w:type="dxa"/>
            <w:shd w:val="clear" w:color="auto" w:fill="BFBFBF" w:themeFill="background1" w:themeFillShade="BF"/>
          </w:tcPr>
          <w:p w:rsidR="006707E8" w:rsidRPr="00F27AD1" w:rsidRDefault="006707E8" w:rsidP="006638F8">
            <w:pPr>
              <w:jc w:val="center"/>
              <w:rPr>
                <w:rFonts w:ascii="Calibri" w:hAnsi="Calibri"/>
                <w:b/>
                <w:color w:val="000000"/>
                <w:sz w:val="20"/>
                <w:szCs w:val="20"/>
              </w:rPr>
            </w:pPr>
            <w:r w:rsidRPr="00F27AD1">
              <w:rPr>
                <w:rFonts w:ascii="Calibri" w:hAnsi="Calibri"/>
                <w:b/>
                <w:color w:val="000000"/>
                <w:sz w:val="20"/>
                <w:szCs w:val="20"/>
              </w:rPr>
              <w:t xml:space="preserve">Moderate to severe spasticity of the upper limb </w:t>
            </w:r>
            <w:r>
              <w:rPr>
                <w:rFonts w:ascii="Calibri" w:hAnsi="Calibri"/>
                <w:b/>
                <w:color w:val="000000"/>
                <w:sz w:val="20"/>
                <w:szCs w:val="20"/>
              </w:rPr>
              <w:t>following a</w:t>
            </w:r>
            <w:r w:rsidRPr="00F27AD1">
              <w:rPr>
                <w:rFonts w:ascii="Calibri" w:hAnsi="Calibri"/>
                <w:b/>
                <w:color w:val="000000"/>
                <w:sz w:val="20"/>
                <w:szCs w:val="20"/>
              </w:rPr>
              <w:t xml:space="preserve"> stroke)</w:t>
            </w:r>
          </w:p>
        </w:tc>
      </w:tr>
      <w:tr w:rsidR="006707E8" w:rsidTr="006638F8">
        <w:tc>
          <w:tcPr>
            <w:tcW w:w="1583" w:type="dxa"/>
            <w:vAlign w:val="center"/>
          </w:tcPr>
          <w:p w:rsidR="006707E8" w:rsidRDefault="006707E8" w:rsidP="00FB036B">
            <w:pPr>
              <w:rPr>
                <w:rFonts w:ascii="Calibri" w:hAnsi="Calibri"/>
                <w:b/>
                <w:bCs/>
                <w:color w:val="000000"/>
                <w:sz w:val="20"/>
                <w:szCs w:val="20"/>
              </w:rPr>
            </w:pPr>
            <w:r>
              <w:rPr>
                <w:rFonts w:ascii="Calibri" w:hAnsi="Calibri"/>
                <w:b/>
                <w:bCs/>
                <w:color w:val="000000"/>
                <w:sz w:val="20"/>
                <w:szCs w:val="20"/>
              </w:rPr>
              <w:t>neurologist</w:t>
            </w:r>
          </w:p>
        </w:tc>
        <w:tc>
          <w:tcPr>
            <w:tcW w:w="1531" w:type="dxa"/>
            <w:vAlign w:val="center"/>
          </w:tcPr>
          <w:p w:rsidR="006707E8" w:rsidRPr="00F27AD1" w:rsidRDefault="006707E8" w:rsidP="006638F8">
            <w:pPr>
              <w:jc w:val="center"/>
              <w:rPr>
                <w:rFonts w:ascii="Calibri" w:eastAsia="MS Mincho" w:hAnsi="Calibri" w:cs="Times New Roman"/>
                <w:sz w:val="20"/>
                <w:szCs w:val="20"/>
              </w:rPr>
            </w:pPr>
            <w:r w:rsidRPr="00F27AD1">
              <w:rPr>
                <w:rFonts w:ascii="Calibri" w:eastAsia="MS Mincho" w:hAnsi="Calibri" w:cs="Times New Roman"/>
                <w:sz w:val="20"/>
                <w:szCs w:val="20"/>
              </w:rPr>
              <w:t>X</w:t>
            </w:r>
          </w:p>
        </w:tc>
        <w:tc>
          <w:tcPr>
            <w:tcW w:w="1531" w:type="dxa"/>
            <w:vAlign w:val="center"/>
          </w:tcPr>
          <w:p w:rsidR="006707E8" w:rsidRPr="00F27AD1" w:rsidRDefault="006707E8" w:rsidP="006638F8">
            <w:pPr>
              <w:jc w:val="center"/>
              <w:rPr>
                <w:rFonts w:ascii="Calibri" w:eastAsia="MS Mincho" w:hAnsi="Calibri" w:cs="Times New Roman"/>
                <w:sz w:val="20"/>
                <w:szCs w:val="20"/>
              </w:rPr>
            </w:pPr>
            <w:r w:rsidRPr="00F27AD1">
              <w:rPr>
                <w:rFonts w:ascii="Calibri" w:eastAsia="MS Mincho" w:hAnsi="Calibri" w:cs="Times New Roman"/>
                <w:sz w:val="20"/>
                <w:szCs w:val="20"/>
              </w:rPr>
              <w:t>X</w:t>
            </w:r>
          </w:p>
        </w:tc>
        <w:tc>
          <w:tcPr>
            <w:tcW w:w="1531" w:type="dxa"/>
            <w:vAlign w:val="center"/>
          </w:tcPr>
          <w:p w:rsidR="006707E8" w:rsidRPr="00F27AD1" w:rsidRDefault="006707E8" w:rsidP="006638F8">
            <w:pPr>
              <w:jc w:val="center"/>
              <w:rPr>
                <w:rFonts w:ascii="Calibri" w:eastAsia="MS Mincho" w:hAnsi="Calibri" w:cs="Times New Roman"/>
                <w:sz w:val="20"/>
                <w:szCs w:val="20"/>
              </w:rPr>
            </w:pPr>
            <w:r w:rsidRPr="00F27AD1">
              <w:rPr>
                <w:rFonts w:ascii="Calibri" w:eastAsia="MS Mincho" w:hAnsi="Calibri" w:cs="Times New Roman"/>
                <w:sz w:val="20"/>
                <w:szCs w:val="20"/>
              </w:rPr>
              <w:t>X</w:t>
            </w:r>
          </w:p>
        </w:tc>
        <w:tc>
          <w:tcPr>
            <w:tcW w:w="1644"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r>
      <w:tr w:rsidR="006707E8" w:rsidTr="006638F8">
        <w:tc>
          <w:tcPr>
            <w:tcW w:w="1583" w:type="dxa"/>
            <w:vAlign w:val="center"/>
          </w:tcPr>
          <w:p w:rsidR="006707E8" w:rsidRDefault="006707E8" w:rsidP="00FB036B">
            <w:pPr>
              <w:rPr>
                <w:rFonts w:ascii="Calibri" w:hAnsi="Calibri"/>
                <w:b/>
                <w:bCs/>
                <w:color w:val="000000"/>
                <w:sz w:val="20"/>
                <w:szCs w:val="20"/>
              </w:rPr>
            </w:pPr>
            <w:r>
              <w:rPr>
                <w:rFonts w:ascii="Calibri" w:hAnsi="Calibri"/>
                <w:b/>
                <w:bCs/>
                <w:color w:val="000000"/>
                <w:sz w:val="20"/>
                <w:szCs w:val="20"/>
              </w:rPr>
              <w:t>ophthalmologist</w:t>
            </w:r>
          </w:p>
        </w:tc>
        <w:tc>
          <w:tcPr>
            <w:tcW w:w="1531" w:type="dxa"/>
            <w:vAlign w:val="center"/>
          </w:tcPr>
          <w:p w:rsidR="006707E8" w:rsidRPr="00F27AD1" w:rsidRDefault="006707E8" w:rsidP="006638F8">
            <w:pPr>
              <w:jc w:val="center"/>
              <w:rPr>
                <w:rFonts w:ascii="Calibri" w:eastAsia="MS Mincho" w:hAnsi="Calibri" w:cs="Times New Roman"/>
                <w:sz w:val="20"/>
                <w:szCs w:val="20"/>
              </w:rPr>
            </w:pPr>
            <w:r w:rsidRPr="00F27AD1">
              <w:rPr>
                <w:rFonts w:ascii="Calibri" w:eastAsia="MS Mincho" w:hAnsi="Calibri" w:cs="Times New Roman"/>
                <w:sz w:val="20"/>
                <w:szCs w:val="20"/>
              </w:rPr>
              <w:t>X</w:t>
            </w: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644" w:type="dxa"/>
            <w:vAlign w:val="center"/>
          </w:tcPr>
          <w:p w:rsidR="006707E8" w:rsidRPr="00F27AD1" w:rsidRDefault="006707E8" w:rsidP="006638F8">
            <w:pPr>
              <w:jc w:val="center"/>
              <w:rPr>
                <w:rFonts w:ascii="Calibri" w:eastAsia="MS Mincho" w:hAnsi="Calibri" w:cs="Times New Roman"/>
                <w:sz w:val="20"/>
                <w:szCs w:val="20"/>
              </w:rPr>
            </w:pPr>
          </w:p>
        </w:tc>
        <w:tc>
          <w:tcPr>
            <w:tcW w:w="1644" w:type="dxa"/>
            <w:vAlign w:val="center"/>
          </w:tcPr>
          <w:p w:rsidR="006707E8" w:rsidRPr="00F27AD1" w:rsidRDefault="006707E8" w:rsidP="006638F8">
            <w:pPr>
              <w:jc w:val="center"/>
              <w:rPr>
                <w:rFonts w:ascii="Calibri" w:eastAsia="MS Mincho" w:hAnsi="Calibri" w:cs="Times New Roman"/>
                <w:sz w:val="20"/>
                <w:szCs w:val="20"/>
              </w:rPr>
            </w:pPr>
          </w:p>
        </w:tc>
      </w:tr>
      <w:tr w:rsidR="006707E8" w:rsidTr="006638F8">
        <w:tc>
          <w:tcPr>
            <w:tcW w:w="1583" w:type="dxa"/>
            <w:vAlign w:val="center"/>
          </w:tcPr>
          <w:p w:rsidR="006707E8" w:rsidRDefault="006707E8" w:rsidP="00FB036B">
            <w:pPr>
              <w:rPr>
                <w:rFonts w:ascii="Calibri" w:hAnsi="Calibri"/>
                <w:b/>
                <w:bCs/>
                <w:color w:val="000000"/>
                <w:sz w:val="20"/>
                <w:szCs w:val="20"/>
              </w:rPr>
            </w:pPr>
            <w:r>
              <w:rPr>
                <w:rFonts w:ascii="Calibri" w:hAnsi="Calibri"/>
                <w:b/>
                <w:bCs/>
                <w:color w:val="000000"/>
                <w:sz w:val="20"/>
                <w:szCs w:val="20"/>
              </w:rPr>
              <w:t>otolaryngology head and neck surgeon</w:t>
            </w:r>
          </w:p>
        </w:tc>
        <w:tc>
          <w:tcPr>
            <w:tcW w:w="1531"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644" w:type="dxa"/>
            <w:vAlign w:val="center"/>
          </w:tcPr>
          <w:p w:rsidR="006707E8" w:rsidRPr="00F27AD1" w:rsidRDefault="006707E8" w:rsidP="006638F8">
            <w:pPr>
              <w:jc w:val="center"/>
              <w:rPr>
                <w:rFonts w:ascii="Calibri" w:eastAsia="MS Mincho" w:hAnsi="Calibri" w:cs="Times New Roman"/>
                <w:sz w:val="20"/>
                <w:szCs w:val="20"/>
              </w:rPr>
            </w:pPr>
          </w:p>
        </w:tc>
        <w:tc>
          <w:tcPr>
            <w:tcW w:w="1644" w:type="dxa"/>
            <w:vAlign w:val="center"/>
          </w:tcPr>
          <w:p w:rsidR="006707E8" w:rsidRPr="00F27AD1" w:rsidRDefault="006707E8" w:rsidP="006638F8">
            <w:pPr>
              <w:jc w:val="center"/>
              <w:rPr>
                <w:rFonts w:ascii="Calibri" w:eastAsia="MS Mincho" w:hAnsi="Calibri" w:cs="Times New Roman"/>
                <w:sz w:val="20"/>
                <w:szCs w:val="20"/>
              </w:rPr>
            </w:pPr>
          </w:p>
        </w:tc>
      </w:tr>
      <w:tr w:rsidR="006707E8" w:rsidTr="006638F8">
        <w:tc>
          <w:tcPr>
            <w:tcW w:w="1583" w:type="dxa"/>
            <w:vAlign w:val="center"/>
          </w:tcPr>
          <w:p w:rsidR="006707E8" w:rsidRDefault="006707E8" w:rsidP="00FB036B">
            <w:pPr>
              <w:rPr>
                <w:rFonts w:ascii="Calibri" w:hAnsi="Calibri"/>
                <w:b/>
                <w:bCs/>
                <w:color w:val="000000"/>
                <w:sz w:val="20"/>
                <w:szCs w:val="20"/>
              </w:rPr>
            </w:pPr>
            <w:r>
              <w:rPr>
                <w:rFonts w:ascii="Calibri" w:hAnsi="Calibri"/>
                <w:b/>
                <w:bCs/>
                <w:color w:val="000000"/>
                <w:sz w:val="20"/>
                <w:szCs w:val="20"/>
              </w:rPr>
              <w:t>plastic surgeon</w:t>
            </w:r>
          </w:p>
        </w:tc>
        <w:tc>
          <w:tcPr>
            <w:tcW w:w="1531"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531"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644"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r>
      <w:tr w:rsidR="006707E8" w:rsidTr="006638F8">
        <w:tc>
          <w:tcPr>
            <w:tcW w:w="1583" w:type="dxa"/>
            <w:vAlign w:val="center"/>
          </w:tcPr>
          <w:p w:rsidR="006707E8" w:rsidRDefault="006707E8" w:rsidP="00FB036B">
            <w:pPr>
              <w:rPr>
                <w:rFonts w:ascii="Calibri" w:hAnsi="Calibri"/>
                <w:b/>
                <w:bCs/>
                <w:color w:val="000000"/>
                <w:sz w:val="20"/>
                <w:szCs w:val="20"/>
              </w:rPr>
            </w:pPr>
            <w:r>
              <w:rPr>
                <w:rFonts w:ascii="Calibri" w:hAnsi="Calibri"/>
                <w:b/>
                <w:bCs/>
                <w:color w:val="000000"/>
                <w:sz w:val="20"/>
                <w:szCs w:val="20"/>
              </w:rPr>
              <w:t>rehabilitation specialist</w:t>
            </w: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531"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531"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r>
      <w:tr w:rsidR="006707E8" w:rsidTr="006638F8">
        <w:tc>
          <w:tcPr>
            <w:tcW w:w="1583" w:type="dxa"/>
            <w:vAlign w:val="center"/>
          </w:tcPr>
          <w:p w:rsidR="006707E8" w:rsidRDefault="006707E8" w:rsidP="00FB036B">
            <w:pPr>
              <w:rPr>
                <w:rFonts w:ascii="Calibri" w:hAnsi="Calibri"/>
                <w:b/>
                <w:bCs/>
                <w:color w:val="000000"/>
                <w:sz w:val="20"/>
                <w:szCs w:val="20"/>
              </w:rPr>
            </w:pPr>
            <w:r w:rsidRPr="00F27AD1">
              <w:rPr>
                <w:rFonts w:ascii="Calibri" w:eastAsia="MS Mincho" w:hAnsi="Calibri" w:cs="Times New Roman"/>
                <w:b/>
                <w:sz w:val="20"/>
                <w:szCs w:val="20"/>
              </w:rPr>
              <w:t>paediatrician</w:t>
            </w: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531" w:type="dxa"/>
            <w:vAlign w:val="center"/>
          </w:tcPr>
          <w:p w:rsidR="006707E8" w:rsidRDefault="006707E8" w:rsidP="006638F8">
            <w:pPr>
              <w:jc w:val="center"/>
              <w:rPr>
                <w:rFonts w:ascii="Calibri" w:eastAsia="MS Mincho" w:hAnsi="Calibri" w:cs="Times New Roman"/>
                <w:sz w:val="20"/>
                <w:szCs w:val="20"/>
              </w:rPr>
            </w:pPr>
          </w:p>
        </w:tc>
        <w:tc>
          <w:tcPr>
            <w:tcW w:w="1531"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Default="006707E8" w:rsidP="006638F8">
            <w:pPr>
              <w:jc w:val="center"/>
              <w:rPr>
                <w:rFonts w:ascii="Calibri" w:eastAsia="MS Mincho" w:hAnsi="Calibri" w:cs="Times New Roman"/>
                <w:sz w:val="20"/>
                <w:szCs w:val="20"/>
              </w:rPr>
            </w:pPr>
          </w:p>
        </w:tc>
      </w:tr>
      <w:tr w:rsidR="006707E8" w:rsidTr="006638F8">
        <w:tc>
          <w:tcPr>
            <w:tcW w:w="1583" w:type="dxa"/>
            <w:vAlign w:val="center"/>
          </w:tcPr>
          <w:p w:rsidR="006707E8" w:rsidRPr="00F27AD1" w:rsidRDefault="006707E8" w:rsidP="00FB036B">
            <w:pPr>
              <w:rPr>
                <w:rFonts w:ascii="Calibri" w:eastAsia="MS Mincho" w:hAnsi="Calibri" w:cs="Times New Roman"/>
                <w:b/>
                <w:sz w:val="20"/>
                <w:szCs w:val="20"/>
              </w:rPr>
            </w:pPr>
            <w:r>
              <w:rPr>
                <w:rFonts w:ascii="Calibri" w:eastAsia="MS Mincho" w:hAnsi="Calibri" w:cs="Times New Roman"/>
                <w:b/>
                <w:sz w:val="20"/>
                <w:szCs w:val="20"/>
              </w:rPr>
              <w:t>orthopaedic surgeon</w:t>
            </w: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531" w:type="dxa"/>
            <w:vAlign w:val="center"/>
          </w:tcPr>
          <w:p w:rsidR="006707E8" w:rsidRDefault="006707E8" w:rsidP="006638F8">
            <w:pPr>
              <w:jc w:val="center"/>
              <w:rPr>
                <w:rFonts w:ascii="Calibri" w:eastAsia="MS Mincho" w:hAnsi="Calibri" w:cs="Times New Roman"/>
                <w:sz w:val="20"/>
                <w:szCs w:val="20"/>
              </w:rPr>
            </w:pPr>
          </w:p>
        </w:tc>
        <w:tc>
          <w:tcPr>
            <w:tcW w:w="1531"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Pr="00F27AD1"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c>
          <w:tcPr>
            <w:tcW w:w="1644" w:type="dxa"/>
            <w:vAlign w:val="center"/>
          </w:tcPr>
          <w:p w:rsidR="006707E8"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r>
      <w:tr w:rsidR="006707E8" w:rsidTr="006638F8">
        <w:tc>
          <w:tcPr>
            <w:tcW w:w="1583" w:type="dxa"/>
            <w:vAlign w:val="center"/>
          </w:tcPr>
          <w:p w:rsidR="006707E8" w:rsidRDefault="006707E8" w:rsidP="00FB036B">
            <w:pPr>
              <w:rPr>
                <w:rFonts w:ascii="Calibri" w:eastAsia="MS Mincho" w:hAnsi="Calibri" w:cs="Times New Roman"/>
                <w:b/>
                <w:sz w:val="20"/>
                <w:szCs w:val="20"/>
              </w:rPr>
            </w:pPr>
            <w:r>
              <w:rPr>
                <w:rFonts w:ascii="Calibri" w:eastAsia="MS Mincho" w:hAnsi="Calibri" w:cs="Times New Roman"/>
                <w:b/>
                <w:sz w:val="20"/>
                <w:szCs w:val="20"/>
              </w:rPr>
              <w:t>geriatrician</w:t>
            </w:r>
          </w:p>
        </w:tc>
        <w:tc>
          <w:tcPr>
            <w:tcW w:w="1531" w:type="dxa"/>
            <w:vAlign w:val="center"/>
          </w:tcPr>
          <w:p w:rsidR="006707E8" w:rsidRPr="00F27AD1" w:rsidRDefault="006707E8" w:rsidP="006638F8">
            <w:pPr>
              <w:jc w:val="center"/>
              <w:rPr>
                <w:rFonts w:ascii="Calibri" w:eastAsia="MS Mincho" w:hAnsi="Calibri" w:cs="Times New Roman"/>
                <w:sz w:val="20"/>
                <w:szCs w:val="20"/>
              </w:rPr>
            </w:pPr>
          </w:p>
        </w:tc>
        <w:tc>
          <w:tcPr>
            <w:tcW w:w="1531" w:type="dxa"/>
            <w:vAlign w:val="center"/>
          </w:tcPr>
          <w:p w:rsidR="006707E8" w:rsidRDefault="006707E8" w:rsidP="006638F8">
            <w:pPr>
              <w:jc w:val="center"/>
              <w:rPr>
                <w:rFonts w:ascii="Calibri" w:eastAsia="MS Mincho" w:hAnsi="Calibri" w:cs="Times New Roman"/>
                <w:sz w:val="20"/>
                <w:szCs w:val="20"/>
              </w:rPr>
            </w:pPr>
          </w:p>
        </w:tc>
        <w:tc>
          <w:tcPr>
            <w:tcW w:w="1531" w:type="dxa"/>
            <w:vAlign w:val="center"/>
          </w:tcPr>
          <w:p w:rsidR="006707E8" w:rsidRDefault="006707E8" w:rsidP="006638F8">
            <w:pPr>
              <w:jc w:val="center"/>
              <w:rPr>
                <w:rFonts w:ascii="Calibri" w:eastAsia="MS Mincho" w:hAnsi="Calibri" w:cs="Times New Roman"/>
                <w:sz w:val="20"/>
                <w:szCs w:val="20"/>
              </w:rPr>
            </w:pPr>
          </w:p>
        </w:tc>
        <w:tc>
          <w:tcPr>
            <w:tcW w:w="1644" w:type="dxa"/>
            <w:vAlign w:val="center"/>
          </w:tcPr>
          <w:p w:rsidR="006707E8" w:rsidRDefault="006707E8" w:rsidP="006638F8">
            <w:pPr>
              <w:jc w:val="center"/>
              <w:rPr>
                <w:rFonts w:ascii="Calibri" w:eastAsia="MS Mincho" w:hAnsi="Calibri" w:cs="Times New Roman"/>
                <w:sz w:val="20"/>
                <w:szCs w:val="20"/>
              </w:rPr>
            </w:pPr>
          </w:p>
        </w:tc>
        <w:tc>
          <w:tcPr>
            <w:tcW w:w="1644" w:type="dxa"/>
            <w:vAlign w:val="center"/>
          </w:tcPr>
          <w:p w:rsidR="006707E8" w:rsidRDefault="006707E8" w:rsidP="006638F8">
            <w:pPr>
              <w:jc w:val="center"/>
              <w:rPr>
                <w:rFonts w:ascii="Calibri" w:eastAsia="MS Mincho" w:hAnsi="Calibri" w:cs="Times New Roman"/>
                <w:sz w:val="20"/>
                <w:szCs w:val="20"/>
              </w:rPr>
            </w:pPr>
            <w:r>
              <w:rPr>
                <w:rFonts w:ascii="Calibri" w:eastAsia="MS Mincho" w:hAnsi="Calibri" w:cs="Times New Roman"/>
                <w:sz w:val="20"/>
                <w:szCs w:val="20"/>
              </w:rPr>
              <w:t>X</w:t>
            </w:r>
          </w:p>
        </w:tc>
      </w:tr>
    </w:tbl>
    <w:p w:rsidR="006638F8" w:rsidRDefault="006638F8" w:rsidP="00200147">
      <w:pPr>
        <w:spacing w:after="0" w:line="276" w:lineRule="auto"/>
        <w:rPr>
          <w:rFonts w:ascii="Calibri" w:eastAsia="MS Mincho" w:hAnsi="Calibri" w:cs="Times New Roman"/>
          <w:b/>
        </w:rPr>
      </w:pPr>
    </w:p>
    <w:p w:rsidR="006638F8" w:rsidRPr="00FB036B" w:rsidRDefault="006638F8" w:rsidP="00FB036B">
      <w:pPr>
        <w:rPr>
          <w:rFonts w:ascii="Calibri" w:eastAsia="MS Mincho" w:hAnsi="Calibri" w:cs="Times New Roman"/>
          <w:szCs w:val="28"/>
        </w:rPr>
      </w:pPr>
      <w:r w:rsidRPr="00FB036B">
        <w:rPr>
          <w:rFonts w:ascii="Calibri" w:eastAsia="MS Mincho" w:hAnsi="Calibri" w:cs="Times New Roman"/>
          <w:szCs w:val="28"/>
        </w:rPr>
        <w:t>The PBS items codes, maximum quantities and repeats are provided in Table 5.</w:t>
      </w:r>
    </w:p>
    <w:p w:rsidR="00A02BF3" w:rsidRDefault="00A02BF3">
      <w:pPr>
        <w:spacing w:line="276" w:lineRule="auto"/>
        <w:rPr>
          <w:rFonts w:ascii="Calibri" w:eastAsia="MS Mincho" w:hAnsi="Calibri" w:cs="Times New Roman"/>
          <w:b/>
        </w:rPr>
      </w:pPr>
      <w:r>
        <w:rPr>
          <w:rFonts w:ascii="Calibri" w:eastAsia="MS Mincho" w:hAnsi="Calibri" w:cs="Times New Roman"/>
          <w:b/>
        </w:rPr>
        <w:br w:type="page"/>
      </w:r>
    </w:p>
    <w:p w:rsidR="00200147" w:rsidRPr="0025527F" w:rsidRDefault="00200147" w:rsidP="00200147">
      <w:pPr>
        <w:spacing w:after="0" w:line="276" w:lineRule="auto"/>
        <w:rPr>
          <w:rFonts w:ascii="Calibri" w:eastAsia="MS Mincho" w:hAnsi="Calibri" w:cs="Times New Roman"/>
          <w:b/>
        </w:rPr>
      </w:pPr>
      <w:r w:rsidRPr="0025527F">
        <w:rPr>
          <w:rFonts w:ascii="Calibri" w:eastAsia="MS Mincho" w:hAnsi="Calibri" w:cs="Times New Roman"/>
          <w:b/>
        </w:rPr>
        <w:lastRenderedPageBreak/>
        <w:t xml:space="preserve">Table </w:t>
      </w:r>
      <w:r w:rsidR="006638F8">
        <w:rPr>
          <w:rFonts w:ascii="Calibri" w:eastAsia="MS Mincho" w:hAnsi="Calibri" w:cs="Times New Roman"/>
          <w:b/>
        </w:rPr>
        <w:t>5</w:t>
      </w:r>
      <w:r w:rsidRPr="0025527F">
        <w:rPr>
          <w:rFonts w:ascii="Calibri" w:eastAsia="MS Mincho" w:hAnsi="Calibri" w:cs="Times New Roman"/>
          <w:b/>
        </w:rPr>
        <w:t xml:space="preserve">: </w:t>
      </w:r>
      <w:r>
        <w:rPr>
          <w:rFonts w:ascii="Calibri" w:eastAsia="MS Mincho" w:hAnsi="Calibri" w:cs="Times New Roman"/>
          <w:b/>
        </w:rPr>
        <w:t xml:space="preserve">Spasticity and dystonia </w:t>
      </w:r>
      <w:r w:rsidRPr="0025527F">
        <w:rPr>
          <w:rFonts w:ascii="Calibri" w:eastAsia="MS Mincho" w:hAnsi="Calibri" w:cs="Times New Roman"/>
          <w:b/>
        </w:rPr>
        <w:t>PBS listing</w:t>
      </w:r>
      <w:r>
        <w:rPr>
          <w:rFonts w:ascii="Calibri" w:eastAsia="MS Mincho" w:hAnsi="Calibri" w:cs="Times New Roman"/>
          <w:b/>
        </w:rPr>
        <w:t>s</w:t>
      </w:r>
      <w:r w:rsidRPr="0025527F">
        <w:rPr>
          <w:rFonts w:ascii="Calibri" w:eastAsia="MS Mincho" w:hAnsi="Calibri" w:cs="Times New Roman"/>
          <w:b/>
        </w:rPr>
        <w:t xml:space="preserve"> of botulinum toxin type A </w:t>
      </w:r>
      <w:r>
        <w:rPr>
          <w:rFonts w:ascii="Calibri" w:eastAsia="MS Mincho" w:hAnsi="Calibri" w:cs="Times New Roman"/>
          <w:b/>
        </w:rPr>
        <w:t>(at 1</w:t>
      </w:r>
      <w:r w:rsidR="00FA3BDC">
        <w:rPr>
          <w:rFonts w:ascii="Calibri" w:eastAsia="MS Mincho" w:hAnsi="Calibri" w:cs="Times New Roman"/>
          <w:b/>
        </w:rPr>
        <w:t> </w:t>
      </w:r>
      <w:r>
        <w:rPr>
          <w:rFonts w:ascii="Calibri" w:eastAsia="MS Mincho" w:hAnsi="Calibri" w:cs="Times New Roman"/>
          <w:b/>
        </w:rPr>
        <w:t>March</w:t>
      </w:r>
      <w:r w:rsidR="00FA3BDC">
        <w:rPr>
          <w:rFonts w:ascii="Calibri" w:eastAsia="MS Mincho" w:hAnsi="Calibri" w:cs="Times New Roman"/>
          <w:b/>
        </w:rPr>
        <w:t> </w:t>
      </w:r>
      <w:r>
        <w:rPr>
          <w:rFonts w:ascii="Calibri" w:eastAsia="MS Mincho" w:hAnsi="Calibri" w:cs="Times New Roman"/>
          <w:b/>
        </w:rPr>
        <w:t>2018)</w:t>
      </w:r>
    </w:p>
    <w:tbl>
      <w:tblPr>
        <w:tblStyle w:val="TableGrid1"/>
        <w:tblW w:w="9487" w:type="dxa"/>
        <w:tblLayout w:type="fixed"/>
        <w:tblLook w:val="04A0" w:firstRow="1" w:lastRow="0" w:firstColumn="1" w:lastColumn="0" w:noHBand="0" w:noVBand="1"/>
        <w:tblCaption w:val="Table 5: Spasticity and dystonia PBS listings of botulinum toxin type A (at 1 March 2018)"/>
      </w:tblPr>
      <w:tblGrid>
        <w:gridCol w:w="2778"/>
        <w:gridCol w:w="737"/>
        <w:gridCol w:w="624"/>
        <w:gridCol w:w="1040"/>
        <w:gridCol w:w="1077"/>
        <w:gridCol w:w="1814"/>
        <w:gridCol w:w="1417"/>
      </w:tblGrid>
      <w:tr w:rsidR="00200147" w:rsidRPr="0025527F" w:rsidTr="006638F8">
        <w:trPr>
          <w:trHeight w:val="694"/>
          <w:tblHeader/>
        </w:trPr>
        <w:tc>
          <w:tcPr>
            <w:tcW w:w="2778" w:type="dxa"/>
            <w:shd w:val="clear" w:color="auto" w:fill="BFBFBF" w:themeFill="background1" w:themeFillShade="BF"/>
          </w:tcPr>
          <w:p w:rsidR="00200147" w:rsidRPr="00C82468" w:rsidRDefault="00200147" w:rsidP="006638F8">
            <w:pPr>
              <w:autoSpaceDE w:val="0"/>
              <w:autoSpaceDN w:val="0"/>
              <w:adjustRightInd w:val="0"/>
              <w:spacing w:before="60" w:after="60"/>
              <w:jc w:val="center"/>
              <w:rPr>
                <w:rFonts w:ascii="Calibri" w:eastAsia="MS Mincho" w:hAnsi="Calibri" w:cs="Calibri"/>
                <w:b/>
                <w:sz w:val="20"/>
                <w:szCs w:val="20"/>
              </w:rPr>
            </w:pPr>
            <w:r w:rsidRPr="00C82468">
              <w:rPr>
                <w:rFonts w:ascii="Calibri" w:eastAsia="MS Mincho" w:hAnsi="Calibri" w:cs="Calibri"/>
                <w:b/>
                <w:sz w:val="20"/>
                <w:szCs w:val="20"/>
              </w:rPr>
              <w:t>Name, form &amp; strength, pack size</w:t>
            </w:r>
          </w:p>
        </w:tc>
        <w:tc>
          <w:tcPr>
            <w:tcW w:w="737" w:type="dxa"/>
            <w:shd w:val="clear" w:color="auto" w:fill="BFBFBF" w:themeFill="background1" w:themeFillShade="BF"/>
          </w:tcPr>
          <w:p w:rsidR="00200147" w:rsidRPr="00C82468" w:rsidRDefault="00200147" w:rsidP="006638F8">
            <w:pPr>
              <w:autoSpaceDE w:val="0"/>
              <w:autoSpaceDN w:val="0"/>
              <w:adjustRightInd w:val="0"/>
              <w:spacing w:before="60" w:after="60"/>
              <w:jc w:val="center"/>
              <w:rPr>
                <w:rFonts w:ascii="Calibri" w:eastAsia="MS Mincho" w:hAnsi="Calibri" w:cs="Calibri"/>
                <w:b/>
                <w:sz w:val="20"/>
                <w:szCs w:val="20"/>
              </w:rPr>
            </w:pPr>
            <w:r w:rsidRPr="00C82468">
              <w:rPr>
                <w:rFonts w:ascii="Calibri" w:eastAsia="MS Mincho" w:hAnsi="Calibri" w:cs="Calibri"/>
                <w:b/>
                <w:sz w:val="20"/>
                <w:szCs w:val="20"/>
              </w:rPr>
              <w:t>Max qty packs</w:t>
            </w:r>
          </w:p>
        </w:tc>
        <w:tc>
          <w:tcPr>
            <w:tcW w:w="624" w:type="dxa"/>
            <w:shd w:val="clear" w:color="auto" w:fill="BFBFBF" w:themeFill="background1" w:themeFillShade="BF"/>
          </w:tcPr>
          <w:p w:rsidR="00200147" w:rsidRPr="00C82468" w:rsidRDefault="00200147" w:rsidP="006638F8">
            <w:pPr>
              <w:autoSpaceDE w:val="0"/>
              <w:autoSpaceDN w:val="0"/>
              <w:adjustRightInd w:val="0"/>
              <w:spacing w:before="60" w:after="60"/>
              <w:jc w:val="center"/>
              <w:rPr>
                <w:rFonts w:ascii="Calibri" w:eastAsia="MS Mincho" w:hAnsi="Calibri" w:cs="Calibri"/>
                <w:b/>
                <w:sz w:val="20"/>
                <w:szCs w:val="20"/>
              </w:rPr>
            </w:pPr>
            <w:r w:rsidRPr="00C82468">
              <w:rPr>
                <w:rFonts w:ascii="Calibri" w:eastAsia="MS Mincho" w:hAnsi="Calibri" w:cs="Calibri"/>
                <w:b/>
                <w:sz w:val="20"/>
                <w:szCs w:val="20"/>
              </w:rPr>
              <w:t>Rpts</w:t>
            </w:r>
          </w:p>
        </w:tc>
        <w:tc>
          <w:tcPr>
            <w:tcW w:w="1040" w:type="dxa"/>
            <w:shd w:val="clear" w:color="auto" w:fill="BFBFBF" w:themeFill="background1" w:themeFillShade="BF"/>
          </w:tcPr>
          <w:p w:rsidR="00200147" w:rsidRPr="00C82468" w:rsidRDefault="00200147" w:rsidP="006638F8">
            <w:pPr>
              <w:autoSpaceDE w:val="0"/>
              <w:autoSpaceDN w:val="0"/>
              <w:adjustRightInd w:val="0"/>
              <w:spacing w:before="60" w:after="60"/>
              <w:jc w:val="center"/>
              <w:rPr>
                <w:rFonts w:ascii="Calibri" w:eastAsia="MS Mincho" w:hAnsi="Calibri" w:cs="Calibri"/>
                <w:b/>
                <w:sz w:val="20"/>
                <w:szCs w:val="20"/>
              </w:rPr>
            </w:pPr>
            <w:r w:rsidRPr="00C82468">
              <w:rPr>
                <w:rFonts w:ascii="Calibri" w:eastAsia="MS Mincho" w:hAnsi="Calibri" w:cs="Calibri"/>
                <w:b/>
                <w:sz w:val="20"/>
                <w:szCs w:val="20"/>
              </w:rPr>
              <w:t>DPMQ</w:t>
            </w:r>
          </w:p>
        </w:tc>
        <w:tc>
          <w:tcPr>
            <w:tcW w:w="1077" w:type="dxa"/>
            <w:shd w:val="clear" w:color="auto" w:fill="BFBFBF" w:themeFill="background1" w:themeFillShade="BF"/>
          </w:tcPr>
          <w:p w:rsidR="00200147" w:rsidRPr="00C82468" w:rsidRDefault="00200147" w:rsidP="006638F8">
            <w:pPr>
              <w:autoSpaceDE w:val="0"/>
              <w:autoSpaceDN w:val="0"/>
              <w:adjustRightInd w:val="0"/>
              <w:spacing w:before="60" w:after="60"/>
              <w:jc w:val="center"/>
              <w:rPr>
                <w:rFonts w:ascii="Calibri" w:eastAsia="MS Mincho" w:hAnsi="Calibri" w:cs="Calibri"/>
                <w:b/>
                <w:sz w:val="20"/>
                <w:szCs w:val="20"/>
              </w:rPr>
            </w:pPr>
            <w:r w:rsidRPr="00C82468">
              <w:rPr>
                <w:rFonts w:ascii="Calibri" w:eastAsia="MS Mincho" w:hAnsi="Calibri" w:cs="Calibri"/>
                <w:b/>
                <w:sz w:val="20"/>
                <w:szCs w:val="20"/>
              </w:rPr>
              <w:t>Item</w:t>
            </w:r>
          </w:p>
        </w:tc>
        <w:tc>
          <w:tcPr>
            <w:tcW w:w="1814" w:type="dxa"/>
            <w:shd w:val="clear" w:color="auto" w:fill="BFBFBF" w:themeFill="background1" w:themeFillShade="BF"/>
          </w:tcPr>
          <w:p w:rsidR="00200147" w:rsidRPr="00C82468" w:rsidRDefault="00200147" w:rsidP="006638F8">
            <w:pPr>
              <w:autoSpaceDE w:val="0"/>
              <w:autoSpaceDN w:val="0"/>
              <w:adjustRightInd w:val="0"/>
              <w:spacing w:before="60" w:after="60"/>
              <w:jc w:val="center"/>
              <w:rPr>
                <w:rFonts w:ascii="Calibri" w:eastAsia="MS Mincho" w:hAnsi="Calibri" w:cs="Calibri"/>
                <w:b/>
                <w:sz w:val="20"/>
                <w:szCs w:val="20"/>
              </w:rPr>
            </w:pPr>
            <w:r w:rsidRPr="00C82468">
              <w:rPr>
                <w:rFonts w:ascii="Calibri" w:eastAsia="MS Mincho" w:hAnsi="Calibri" w:cs="Calibri"/>
                <w:b/>
                <w:sz w:val="20"/>
                <w:szCs w:val="20"/>
              </w:rPr>
              <w:t>Indication</w:t>
            </w:r>
          </w:p>
        </w:tc>
        <w:tc>
          <w:tcPr>
            <w:tcW w:w="1417" w:type="dxa"/>
            <w:shd w:val="clear" w:color="auto" w:fill="BFBFBF" w:themeFill="background1" w:themeFillShade="BF"/>
          </w:tcPr>
          <w:p w:rsidR="00200147" w:rsidRPr="00C82468" w:rsidRDefault="00200147" w:rsidP="006638F8">
            <w:pPr>
              <w:autoSpaceDE w:val="0"/>
              <w:autoSpaceDN w:val="0"/>
              <w:adjustRightInd w:val="0"/>
              <w:spacing w:before="60" w:after="60"/>
              <w:jc w:val="center"/>
              <w:rPr>
                <w:rFonts w:ascii="Calibri" w:eastAsia="MS Mincho" w:hAnsi="Calibri" w:cs="Calibri"/>
                <w:b/>
                <w:sz w:val="20"/>
                <w:szCs w:val="20"/>
              </w:rPr>
            </w:pPr>
            <w:r w:rsidRPr="00C82468">
              <w:rPr>
                <w:rFonts w:ascii="Calibri" w:eastAsia="MS Mincho" w:hAnsi="Calibri" w:cs="Calibri"/>
                <w:b/>
                <w:sz w:val="20"/>
                <w:szCs w:val="20"/>
              </w:rPr>
              <w:t>Brand name and manufacturer</w:t>
            </w:r>
          </w:p>
        </w:tc>
      </w:tr>
      <w:tr w:rsidR="00200147" w:rsidRPr="00B20DD6" w:rsidTr="006638F8">
        <w:trPr>
          <w:trHeight w:val="552"/>
          <w:tblHeader/>
        </w:trPr>
        <w:tc>
          <w:tcPr>
            <w:tcW w:w="2778" w:type="dxa"/>
            <w:vMerge w:val="restart"/>
            <w:shd w:val="clear" w:color="auto" w:fill="auto"/>
          </w:tcPr>
          <w:p w:rsidR="00200147" w:rsidRPr="00B20DD6" w:rsidRDefault="00200147" w:rsidP="006638F8">
            <w:pPr>
              <w:autoSpaceDE w:val="0"/>
              <w:autoSpaceDN w:val="0"/>
              <w:adjustRightInd w:val="0"/>
              <w:spacing w:before="60" w:after="60"/>
              <w:rPr>
                <w:rFonts w:ascii="Calibri" w:eastAsia="MS Mincho" w:hAnsi="Calibri" w:cs="Calibri"/>
                <w:color w:val="000000"/>
                <w:sz w:val="18"/>
                <w:szCs w:val="18"/>
              </w:rPr>
            </w:pPr>
            <w:r w:rsidRPr="00B20DD6">
              <w:rPr>
                <w:rFonts w:ascii="Calibri" w:eastAsia="MS Mincho" w:hAnsi="Calibri" w:cs="Calibri"/>
                <w:color w:val="000000"/>
                <w:sz w:val="18"/>
                <w:szCs w:val="18"/>
              </w:rPr>
              <w:t>botulinum toxin type A 100 units injection, 1 vial</w:t>
            </w:r>
          </w:p>
          <w:p w:rsidR="00200147" w:rsidRPr="00B20DD6" w:rsidRDefault="00200147" w:rsidP="006638F8">
            <w:pPr>
              <w:autoSpaceDE w:val="0"/>
              <w:autoSpaceDN w:val="0"/>
              <w:adjustRightInd w:val="0"/>
              <w:spacing w:before="60" w:after="60"/>
              <w:rPr>
                <w:rFonts w:ascii="Calibri" w:eastAsia="MS Mincho" w:hAnsi="Calibri" w:cs="Calibri"/>
                <w:color w:val="000000"/>
                <w:sz w:val="18"/>
                <w:szCs w:val="18"/>
              </w:rPr>
            </w:pPr>
          </w:p>
        </w:tc>
        <w:tc>
          <w:tcPr>
            <w:tcW w:w="737" w:type="dxa"/>
            <w:vMerge w:val="restart"/>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vMerge w:val="restart"/>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vMerge w:val="restart"/>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$1626.07</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A82749" w:rsidRDefault="00200147" w:rsidP="006638F8">
            <w:pPr>
              <w:autoSpaceDE w:val="0"/>
              <w:autoSpaceDN w:val="0"/>
              <w:adjustRightInd w:val="0"/>
              <w:spacing w:before="60" w:after="60"/>
              <w:rPr>
                <w:sz w:val="18"/>
                <w:szCs w:val="18"/>
              </w:rPr>
            </w:pPr>
            <w:r w:rsidRPr="00B20DD6">
              <w:rPr>
                <w:sz w:val="18"/>
                <w:szCs w:val="18"/>
              </w:rPr>
              <w:t>10997T</w:t>
            </w:r>
          </w:p>
          <w:p w:rsidR="00200147" w:rsidRPr="00A82749" w:rsidRDefault="00200147" w:rsidP="006638F8">
            <w:pPr>
              <w:autoSpaceDE w:val="0"/>
              <w:autoSpaceDN w:val="0"/>
              <w:adjustRightInd w:val="0"/>
              <w:spacing w:before="60" w:after="60"/>
              <w:rPr>
                <w:sz w:val="18"/>
                <w:szCs w:val="18"/>
              </w:rPr>
            </w:pPr>
            <w:r w:rsidRPr="00B20DD6">
              <w:rPr>
                <w:sz w:val="18"/>
                <w:szCs w:val="18"/>
              </w:rPr>
              <w:t>(6103F*)</w:t>
            </w:r>
          </w:p>
        </w:tc>
        <w:tc>
          <w:tcPr>
            <w:tcW w:w="1814" w:type="dxa"/>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Blepharospasm or hemifacial spasm</w:t>
            </w:r>
          </w:p>
        </w:tc>
        <w:tc>
          <w:tcPr>
            <w:tcW w:w="1417" w:type="dxa"/>
            <w:vMerge w:val="restart"/>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Botox, Allergan Australia Pty Ltd</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 xml:space="preserve"> </w:t>
            </w:r>
          </w:p>
        </w:tc>
      </w:tr>
      <w:tr w:rsidR="00200147" w:rsidRPr="00B20DD6" w:rsidTr="006638F8">
        <w:trPr>
          <w:trHeight w:val="552"/>
          <w:tblHeader/>
        </w:trPr>
        <w:tc>
          <w:tcPr>
            <w:tcW w:w="2778" w:type="dxa"/>
            <w:vMerge/>
            <w:shd w:val="clear" w:color="auto" w:fill="auto"/>
          </w:tcPr>
          <w:p w:rsidR="00200147" w:rsidRPr="00B20DD6" w:rsidRDefault="00200147" w:rsidP="006638F8">
            <w:pPr>
              <w:autoSpaceDE w:val="0"/>
              <w:autoSpaceDN w:val="0"/>
              <w:adjustRightInd w:val="0"/>
              <w:spacing w:before="60" w:after="60"/>
              <w:rPr>
                <w:rFonts w:ascii="Calibri" w:eastAsia="MS Mincho" w:hAnsi="Calibri" w:cs="Calibri"/>
                <w:color w:val="000000"/>
                <w:sz w:val="18"/>
                <w:szCs w:val="18"/>
              </w:rPr>
            </w:pPr>
          </w:p>
        </w:tc>
        <w:tc>
          <w:tcPr>
            <w:tcW w:w="73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11023T</w:t>
            </w:r>
          </w:p>
          <w:p w:rsidR="00200147" w:rsidRPr="00A82749" w:rsidRDefault="00200147" w:rsidP="006638F8">
            <w:pPr>
              <w:autoSpaceDE w:val="0"/>
              <w:autoSpaceDN w:val="0"/>
              <w:adjustRightInd w:val="0"/>
              <w:spacing w:before="60" w:after="60"/>
              <w:rPr>
                <w:sz w:val="18"/>
                <w:szCs w:val="18"/>
              </w:rPr>
            </w:pPr>
            <w:r w:rsidRPr="00B20DD6">
              <w:rPr>
                <w:sz w:val="18"/>
                <w:szCs w:val="18"/>
              </w:rPr>
              <w:t>(6103F*)</w:t>
            </w:r>
          </w:p>
        </w:tc>
        <w:tc>
          <w:tcPr>
            <w:tcW w:w="1814" w:type="dxa"/>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sz w:val="18"/>
                <w:szCs w:val="18"/>
              </w:rPr>
              <w:t>Spasmodic torticollis</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vMerge/>
            <w:shd w:val="clear" w:color="auto" w:fill="auto"/>
          </w:tcPr>
          <w:p w:rsidR="00200147" w:rsidRPr="00B20DD6" w:rsidRDefault="00200147" w:rsidP="006638F8">
            <w:pPr>
              <w:autoSpaceDE w:val="0"/>
              <w:autoSpaceDN w:val="0"/>
              <w:adjustRightInd w:val="0"/>
              <w:spacing w:before="60" w:after="60"/>
              <w:rPr>
                <w:rFonts w:ascii="Calibri" w:eastAsia="MS Mincho" w:hAnsi="Calibri" w:cs="Calibri"/>
                <w:color w:val="000000"/>
                <w:sz w:val="18"/>
                <w:szCs w:val="18"/>
              </w:rPr>
            </w:pPr>
          </w:p>
        </w:tc>
        <w:tc>
          <w:tcPr>
            <w:tcW w:w="73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10998W</w:t>
            </w:r>
          </w:p>
          <w:p w:rsidR="00200147" w:rsidRPr="00A82749" w:rsidRDefault="00200147" w:rsidP="006638F8">
            <w:pPr>
              <w:autoSpaceDE w:val="0"/>
              <w:autoSpaceDN w:val="0"/>
              <w:adjustRightInd w:val="0"/>
              <w:spacing w:before="60" w:after="60"/>
              <w:rPr>
                <w:sz w:val="18"/>
                <w:szCs w:val="18"/>
              </w:rPr>
            </w:pPr>
            <w:r w:rsidRPr="00B20DD6">
              <w:rPr>
                <w:sz w:val="18"/>
                <w:szCs w:val="18"/>
              </w:rPr>
              <w:t>(6103F*)</w:t>
            </w:r>
          </w:p>
        </w:tc>
        <w:tc>
          <w:tcPr>
            <w:tcW w:w="1814" w:type="dxa"/>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sz w:val="18"/>
                <w:szCs w:val="18"/>
              </w:rPr>
              <w:t>Dynamic equinus foot deformity (cerebral palsy)</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vMerge/>
            <w:shd w:val="clear" w:color="auto" w:fill="auto"/>
          </w:tcPr>
          <w:p w:rsidR="00200147" w:rsidRPr="00B20DD6" w:rsidRDefault="00200147" w:rsidP="006638F8">
            <w:pPr>
              <w:autoSpaceDE w:val="0"/>
              <w:autoSpaceDN w:val="0"/>
              <w:adjustRightInd w:val="0"/>
              <w:spacing w:before="60" w:after="60"/>
              <w:rPr>
                <w:rFonts w:ascii="Calibri" w:eastAsia="MS Mincho" w:hAnsi="Calibri" w:cs="Calibri"/>
                <w:color w:val="000000"/>
                <w:sz w:val="18"/>
                <w:szCs w:val="18"/>
              </w:rPr>
            </w:pPr>
          </w:p>
        </w:tc>
        <w:tc>
          <w:tcPr>
            <w:tcW w:w="73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10999X</w:t>
            </w:r>
          </w:p>
          <w:p w:rsidR="00200147" w:rsidRPr="00A82749" w:rsidRDefault="00200147" w:rsidP="006638F8">
            <w:pPr>
              <w:autoSpaceDE w:val="0"/>
              <w:autoSpaceDN w:val="0"/>
              <w:adjustRightInd w:val="0"/>
              <w:spacing w:before="60" w:after="60"/>
              <w:rPr>
                <w:sz w:val="18"/>
                <w:szCs w:val="18"/>
              </w:rPr>
            </w:pPr>
            <w:r w:rsidRPr="00B20DD6">
              <w:rPr>
                <w:sz w:val="18"/>
                <w:szCs w:val="18"/>
              </w:rPr>
              <w:t>(6103F*)</w:t>
            </w:r>
          </w:p>
        </w:tc>
        <w:tc>
          <w:tcPr>
            <w:tcW w:w="1814" w:type="dxa"/>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sz w:val="18"/>
                <w:szCs w:val="18"/>
              </w:rPr>
              <w:t>Moderate to severe spasticity of the upper limb (due to cerebral palsy or stroke)</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300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$1420.91</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10928B</w:t>
            </w:r>
          </w:p>
          <w:p w:rsidR="00200147" w:rsidRPr="00A82749" w:rsidRDefault="00200147" w:rsidP="006638F8">
            <w:pPr>
              <w:autoSpaceDE w:val="0"/>
              <w:autoSpaceDN w:val="0"/>
              <w:adjustRightInd w:val="0"/>
              <w:spacing w:before="60" w:after="60"/>
              <w:rPr>
                <w:sz w:val="18"/>
                <w:szCs w:val="18"/>
              </w:rPr>
            </w:pPr>
            <w:r w:rsidRPr="00A82749">
              <w:rPr>
                <w:sz w:val="18"/>
                <w:szCs w:val="18"/>
              </w:rPr>
              <w:t>(1152P*)</w:t>
            </w:r>
          </w:p>
        </w:tc>
        <w:tc>
          <w:tcPr>
            <w:tcW w:w="1814" w:type="dxa"/>
            <w:vMerge w:val="restart"/>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sz w:val="18"/>
                <w:szCs w:val="18"/>
              </w:rPr>
              <w:t>Moderate to severe spasticity of the upper limb following a stroke</w:t>
            </w:r>
          </w:p>
        </w:tc>
        <w:tc>
          <w:tcPr>
            <w:tcW w:w="1417" w:type="dxa"/>
            <w:vMerge w:val="restart"/>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roofErr w:type="spellStart"/>
            <w:r w:rsidRPr="00B20DD6">
              <w:rPr>
                <w:sz w:val="18"/>
                <w:szCs w:val="18"/>
              </w:rPr>
              <w:t>Dysport</w:t>
            </w:r>
            <w:proofErr w:type="spellEnd"/>
            <w:r w:rsidRPr="00B20DD6">
              <w:rPr>
                <w:sz w:val="18"/>
                <w:szCs w:val="18"/>
              </w:rPr>
              <w:t xml:space="preserve">, </w:t>
            </w:r>
            <w:proofErr w:type="spellStart"/>
            <w:r w:rsidRPr="00B20DD6">
              <w:rPr>
                <w:sz w:val="18"/>
                <w:szCs w:val="18"/>
              </w:rPr>
              <w:t>Ipsen</w:t>
            </w:r>
            <w:proofErr w:type="spellEnd"/>
            <w:r w:rsidRPr="00B20DD6">
              <w:rPr>
                <w:sz w:val="18"/>
                <w:szCs w:val="18"/>
              </w:rPr>
              <w:t xml:space="preserve"> Pty Ltd</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500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2</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$1272.29</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10988H</w:t>
            </w:r>
          </w:p>
          <w:p w:rsidR="00200147" w:rsidRPr="00A82749" w:rsidRDefault="00200147" w:rsidP="006638F8">
            <w:pPr>
              <w:autoSpaceDE w:val="0"/>
              <w:autoSpaceDN w:val="0"/>
              <w:adjustRightInd w:val="0"/>
              <w:spacing w:before="60" w:after="60"/>
              <w:rPr>
                <w:sz w:val="18"/>
                <w:szCs w:val="18"/>
              </w:rPr>
            </w:pPr>
            <w:r w:rsidRPr="00A82749">
              <w:rPr>
                <w:sz w:val="18"/>
                <w:szCs w:val="18"/>
              </w:rPr>
              <w:t>(6293F*)</w:t>
            </w:r>
          </w:p>
        </w:tc>
        <w:tc>
          <w:tcPr>
            <w:tcW w:w="1814" w:type="dxa"/>
            <w:vMerge/>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300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$1420.91</w:t>
            </w: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10987G</w:t>
            </w:r>
          </w:p>
          <w:p w:rsidR="00200147" w:rsidRPr="00A82749" w:rsidRDefault="00200147" w:rsidP="006638F8">
            <w:pPr>
              <w:autoSpaceDE w:val="0"/>
              <w:autoSpaceDN w:val="0"/>
              <w:adjustRightInd w:val="0"/>
              <w:spacing w:before="60" w:after="60"/>
              <w:rPr>
                <w:sz w:val="18"/>
                <w:szCs w:val="18"/>
              </w:rPr>
            </w:pPr>
            <w:r w:rsidRPr="00A82749">
              <w:rPr>
                <w:sz w:val="18"/>
                <w:szCs w:val="18"/>
              </w:rPr>
              <w:t>(1152P*)</w:t>
            </w:r>
          </w:p>
        </w:tc>
        <w:tc>
          <w:tcPr>
            <w:tcW w:w="1814" w:type="dxa"/>
            <w:vMerge w:val="restart"/>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Blepharospasm or hemifacial spasm</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500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2</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$1272.29</w:t>
            </w: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11022D</w:t>
            </w:r>
          </w:p>
          <w:p w:rsidR="00200147" w:rsidRPr="00A82749" w:rsidRDefault="00200147" w:rsidP="006638F8">
            <w:pPr>
              <w:autoSpaceDE w:val="0"/>
              <w:autoSpaceDN w:val="0"/>
              <w:adjustRightInd w:val="0"/>
              <w:spacing w:before="60" w:after="60"/>
              <w:rPr>
                <w:sz w:val="18"/>
                <w:szCs w:val="18"/>
              </w:rPr>
            </w:pPr>
            <w:r w:rsidRPr="00A82749">
              <w:rPr>
                <w:sz w:val="18"/>
                <w:szCs w:val="18"/>
              </w:rPr>
              <w:t>(6293F*)</w:t>
            </w:r>
          </w:p>
        </w:tc>
        <w:tc>
          <w:tcPr>
            <w:tcW w:w="1814" w:type="dxa"/>
            <w:vMerge/>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300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$1420.91</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11007H</w:t>
            </w:r>
          </w:p>
          <w:p w:rsidR="00200147" w:rsidRPr="00A82749" w:rsidRDefault="00200147" w:rsidP="006638F8">
            <w:pPr>
              <w:autoSpaceDE w:val="0"/>
              <w:autoSpaceDN w:val="0"/>
              <w:adjustRightInd w:val="0"/>
              <w:spacing w:before="60" w:after="60"/>
              <w:rPr>
                <w:sz w:val="18"/>
                <w:szCs w:val="18"/>
              </w:rPr>
            </w:pPr>
            <w:r w:rsidRPr="00A82749">
              <w:rPr>
                <w:sz w:val="18"/>
                <w:szCs w:val="18"/>
              </w:rPr>
              <w:t>(1152P*)</w:t>
            </w:r>
          </w:p>
        </w:tc>
        <w:tc>
          <w:tcPr>
            <w:tcW w:w="1814" w:type="dxa"/>
            <w:vMerge w:val="restart"/>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sz w:val="18"/>
                <w:szCs w:val="18"/>
              </w:rPr>
              <w:t>Spasmodic torticollis</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500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2</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$1272.29</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11015R</w:t>
            </w:r>
          </w:p>
          <w:p w:rsidR="00200147" w:rsidRPr="00A82749" w:rsidRDefault="00200147" w:rsidP="006638F8">
            <w:pPr>
              <w:autoSpaceDE w:val="0"/>
              <w:autoSpaceDN w:val="0"/>
              <w:adjustRightInd w:val="0"/>
              <w:spacing w:before="60" w:after="60"/>
              <w:rPr>
                <w:sz w:val="18"/>
                <w:szCs w:val="18"/>
              </w:rPr>
            </w:pPr>
            <w:r w:rsidRPr="00A82749">
              <w:rPr>
                <w:sz w:val="18"/>
                <w:szCs w:val="18"/>
              </w:rPr>
              <w:t>(6293F*)</w:t>
            </w:r>
          </w:p>
        </w:tc>
        <w:tc>
          <w:tcPr>
            <w:tcW w:w="1814" w:type="dxa"/>
            <w:vMerge/>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300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$1420.91</w:t>
            </w: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10981Y</w:t>
            </w:r>
          </w:p>
          <w:p w:rsidR="00200147" w:rsidRPr="00A82749" w:rsidRDefault="00200147" w:rsidP="006638F8">
            <w:pPr>
              <w:autoSpaceDE w:val="0"/>
              <w:autoSpaceDN w:val="0"/>
              <w:adjustRightInd w:val="0"/>
              <w:spacing w:before="60" w:after="60"/>
              <w:rPr>
                <w:sz w:val="18"/>
                <w:szCs w:val="18"/>
              </w:rPr>
            </w:pPr>
            <w:r w:rsidRPr="00A82749">
              <w:rPr>
                <w:sz w:val="18"/>
                <w:szCs w:val="18"/>
              </w:rPr>
              <w:t>(1152P*)</w:t>
            </w:r>
          </w:p>
        </w:tc>
        <w:tc>
          <w:tcPr>
            <w:tcW w:w="1814" w:type="dxa"/>
            <w:vMerge w:val="restart"/>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sz w:val="18"/>
                <w:szCs w:val="18"/>
              </w:rPr>
              <w:t>Dynamic equinus foot deformity (cerebral palsy)</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shd w:val="clear" w:color="auto" w:fill="auto"/>
          </w:tcPr>
          <w:p w:rsidR="00200147" w:rsidRPr="00B20DD6" w:rsidRDefault="00200147" w:rsidP="006638F8">
            <w:pPr>
              <w:rPr>
                <w:rFonts w:cs="Arial"/>
                <w:color w:val="222222"/>
                <w:sz w:val="18"/>
                <w:szCs w:val="18"/>
              </w:rPr>
            </w:pPr>
            <w:r w:rsidRPr="00B20DD6">
              <w:rPr>
                <w:sz w:val="18"/>
                <w:szCs w:val="18"/>
              </w:rPr>
              <w:t>Clostridium botulinum type A toxin-</w:t>
            </w:r>
            <w:proofErr w:type="spellStart"/>
            <w:r w:rsidRPr="00B20DD6">
              <w:rPr>
                <w:sz w:val="18"/>
                <w:szCs w:val="18"/>
              </w:rPr>
              <w:t>haemagglutinin</w:t>
            </w:r>
            <w:proofErr w:type="spellEnd"/>
            <w:r w:rsidRPr="00B20DD6">
              <w:rPr>
                <w:sz w:val="18"/>
                <w:szCs w:val="18"/>
              </w:rPr>
              <w:t xml:space="preserve"> complex, 500 units injection, 1 vial</w:t>
            </w: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2</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$1272.29</w:t>
            </w: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11006G</w:t>
            </w:r>
          </w:p>
          <w:p w:rsidR="00200147" w:rsidRPr="00A82749" w:rsidRDefault="00200147" w:rsidP="006638F8">
            <w:pPr>
              <w:autoSpaceDE w:val="0"/>
              <w:autoSpaceDN w:val="0"/>
              <w:adjustRightInd w:val="0"/>
              <w:spacing w:before="60" w:after="60"/>
              <w:rPr>
                <w:sz w:val="18"/>
                <w:szCs w:val="18"/>
              </w:rPr>
            </w:pPr>
            <w:r w:rsidRPr="00A82749">
              <w:rPr>
                <w:sz w:val="18"/>
                <w:szCs w:val="18"/>
              </w:rPr>
              <w:t>(6293F*)</w:t>
            </w:r>
          </w:p>
        </w:tc>
        <w:tc>
          <w:tcPr>
            <w:tcW w:w="1814" w:type="dxa"/>
            <w:vMerge/>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c>
          <w:tcPr>
            <w:tcW w:w="1417" w:type="dxa"/>
            <w:vMerge/>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p>
        </w:tc>
      </w:tr>
      <w:tr w:rsidR="00200147" w:rsidRPr="00B20DD6" w:rsidTr="006638F8">
        <w:trPr>
          <w:trHeight w:val="552"/>
          <w:tblHeader/>
        </w:trPr>
        <w:tc>
          <w:tcPr>
            <w:tcW w:w="2778" w:type="dxa"/>
            <w:vMerge w:val="restart"/>
            <w:shd w:val="clear" w:color="auto" w:fill="auto"/>
          </w:tcPr>
          <w:p w:rsidR="00200147" w:rsidRPr="00B20DD6" w:rsidRDefault="00200147" w:rsidP="006638F8">
            <w:pPr>
              <w:rPr>
                <w:sz w:val="18"/>
                <w:szCs w:val="18"/>
              </w:rPr>
            </w:pPr>
            <w:proofErr w:type="spellStart"/>
            <w:r w:rsidRPr="00B20DD6">
              <w:rPr>
                <w:sz w:val="18"/>
                <w:szCs w:val="18"/>
              </w:rPr>
              <w:t>incobotulinumtoxinA</w:t>
            </w:r>
            <w:proofErr w:type="spellEnd"/>
            <w:r w:rsidRPr="00B20DD6">
              <w:rPr>
                <w:sz w:val="18"/>
                <w:szCs w:val="18"/>
              </w:rPr>
              <w:t>, 100 mouse LD50 units injection, 1 x 100 mouse LD50 units vial</w:t>
            </w:r>
          </w:p>
          <w:p w:rsidR="00200147" w:rsidRPr="00B20DD6" w:rsidRDefault="00200147" w:rsidP="006638F8">
            <w:pPr>
              <w:rPr>
                <w:sz w:val="18"/>
                <w:szCs w:val="18"/>
              </w:rPr>
            </w:pP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$1547.15</w:t>
            </w: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10983C</w:t>
            </w:r>
          </w:p>
          <w:p w:rsidR="00200147" w:rsidRPr="00A82749" w:rsidRDefault="00200147" w:rsidP="006638F8">
            <w:pPr>
              <w:autoSpaceDE w:val="0"/>
              <w:autoSpaceDN w:val="0"/>
              <w:adjustRightInd w:val="0"/>
              <w:spacing w:before="60" w:after="60"/>
              <w:rPr>
                <w:sz w:val="18"/>
                <w:szCs w:val="18"/>
              </w:rPr>
            </w:pPr>
            <w:r w:rsidRPr="00B20DD6">
              <w:rPr>
                <w:sz w:val="18"/>
                <w:szCs w:val="18"/>
              </w:rPr>
              <w:t>(10253P*)</w:t>
            </w:r>
          </w:p>
        </w:tc>
        <w:tc>
          <w:tcPr>
            <w:tcW w:w="1814" w:type="dxa"/>
          </w:tcPr>
          <w:p w:rsidR="00200147" w:rsidRPr="00B20DD6" w:rsidRDefault="00200147" w:rsidP="006638F8">
            <w:pPr>
              <w:autoSpaceDE w:val="0"/>
              <w:autoSpaceDN w:val="0"/>
              <w:adjustRightInd w:val="0"/>
              <w:spacing w:before="60" w:after="60"/>
              <w:jc w:val="center"/>
              <w:rPr>
                <w:sz w:val="18"/>
                <w:szCs w:val="18"/>
              </w:rPr>
            </w:pPr>
            <w:r w:rsidRPr="00B20DD6">
              <w:rPr>
                <w:sz w:val="18"/>
                <w:szCs w:val="18"/>
              </w:rPr>
              <w:t>Moderate to severe spasticity of the upper limb following a stroke</w:t>
            </w:r>
          </w:p>
        </w:tc>
        <w:tc>
          <w:tcPr>
            <w:tcW w:w="1417" w:type="dxa"/>
            <w:vMerge w:val="restart"/>
            <w:shd w:val="clear" w:color="auto" w:fill="auto"/>
          </w:tcPr>
          <w:p w:rsidR="00200147" w:rsidRPr="00B20DD6" w:rsidRDefault="00200147" w:rsidP="006638F8">
            <w:pPr>
              <w:autoSpaceDE w:val="0"/>
              <w:autoSpaceDN w:val="0"/>
              <w:adjustRightInd w:val="0"/>
              <w:spacing w:before="60" w:after="60"/>
              <w:jc w:val="center"/>
              <w:rPr>
                <w:sz w:val="18"/>
                <w:szCs w:val="18"/>
              </w:rPr>
            </w:pPr>
            <w:proofErr w:type="spellStart"/>
            <w:r w:rsidRPr="00B20DD6">
              <w:rPr>
                <w:sz w:val="18"/>
                <w:szCs w:val="18"/>
              </w:rPr>
              <w:t>Xeomin</w:t>
            </w:r>
            <w:proofErr w:type="spellEnd"/>
            <w:r w:rsidRPr="00B20DD6">
              <w:rPr>
                <w:sz w:val="18"/>
                <w:szCs w:val="18"/>
              </w:rPr>
              <w:t xml:space="preserve">, </w:t>
            </w:r>
            <w:proofErr w:type="spellStart"/>
            <w:r w:rsidRPr="00B20DD6">
              <w:rPr>
                <w:sz w:val="18"/>
                <w:szCs w:val="18"/>
              </w:rPr>
              <w:t>Merz</w:t>
            </w:r>
            <w:proofErr w:type="spellEnd"/>
            <w:r w:rsidRPr="00B20DD6">
              <w:rPr>
                <w:sz w:val="18"/>
                <w:szCs w:val="18"/>
              </w:rPr>
              <w:t xml:space="preserve"> Australia Pty Ltd</w:t>
            </w:r>
          </w:p>
          <w:p w:rsidR="00200147" w:rsidRPr="00B20DD6" w:rsidRDefault="00200147" w:rsidP="006638F8">
            <w:pPr>
              <w:autoSpaceDE w:val="0"/>
              <w:autoSpaceDN w:val="0"/>
              <w:adjustRightInd w:val="0"/>
              <w:spacing w:before="60" w:after="60"/>
              <w:jc w:val="center"/>
              <w:rPr>
                <w:sz w:val="18"/>
                <w:szCs w:val="18"/>
              </w:rPr>
            </w:pPr>
          </w:p>
        </w:tc>
      </w:tr>
      <w:tr w:rsidR="00200147" w:rsidRPr="00B20DD6" w:rsidTr="006638F8">
        <w:trPr>
          <w:trHeight w:val="552"/>
          <w:tblHeader/>
        </w:trPr>
        <w:tc>
          <w:tcPr>
            <w:tcW w:w="2778" w:type="dxa"/>
            <w:vMerge/>
            <w:shd w:val="clear" w:color="auto" w:fill="auto"/>
          </w:tcPr>
          <w:p w:rsidR="00200147" w:rsidRPr="00B20DD6" w:rsidRDefault="00200147" w:rsidP="006638F8">
            <w:pPr>
              <w:rPr>
                <w:sz w:val="18"/>
                <w:szCs w:val="18"/>
              </w:rPr>
            </w:pP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$1547.15</w:t>
            </w: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10994P</w:t>
            </w:r>
          </w:p>
          <w:p w:rsidR="00200147" w:rsidRPr="00A82749" w:rsidRDefault="00200147" w:rsidP="006638F8">
            <w:pPr>
              <w:autoSpaceDE w:val="0"/>
              <w:autoSpaceDN w:val="0"/>
              <w:adjustRightInd w:val="0"/>
              <w:spacing w:before="60" w:after="60"/>
              <w:rPr>
                <w:sz w:val="18"/>
                <w:szCs w:val="18"/>
              </w:rPr>
            </w:pPr>
            <w:r w:rsidRPr="00B20DD6">
              <w:rPr>
                <w:sz w:val="18"/>
                <w:szCs w:val="18"/>
              </w:rPr>
              <w:t>(10253P*)</w:t>
            </w:r>
          </w:p>
        </w:tc>
        <w:tc>
          <w:tcPr>
            <w:tcW w:w="1814" w:type="dxa"/>
          </w:tcPr>
          <w:p w:rsidR="00200147" w:rsidRPr="00B20DD6" w:rsidRDefault="00200147" w:rsidP="006638F8">
            <w:pPr>
              <w:autoSpaceDE w:val="0"/>
              <w:autoSpaceDN w:val="0"/>
              <w:adjustRightInd w:val="0"/>
              <w:spacing w:before="60" w:after="60"/>
              <w:jc w:val="center"/>
              <w:rPr>
                <w:sz w:val="18"/>
                <w:szCs w:val="18"/>
              </w:rPr>
            </w:pPr>
            <w:r w:rsidRPr="00B20DD6">
              <w:rPr>
                <w:rFonts w:ascii="Calibri" w:eastAsia="MS Mincho" w:hAnsi="Calibri" w:cs="Calibri"/>
                <w:color w:val="000000"/>
                <w:sz w:val="18"/>
                <w:szCs w:val="18"/>
              </w:rPr>
              <w:t>Blepharospasm</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sz w:val="18"/>
                <w:szCs w:val="18"/>
              </w:rPr>
            </w:pPr>
          </w:p>
        </w:tc>
      </w:tr>
      <w:tr w:rsidR="00200147" w:rsidRPr="00B20DD6" w:rsidTr="006638F8">
        <w:trPr>
          <w:trHeight w:val="552"/>
          <w:tblHeader/>
        </w:trPr>
        <w:tc>
          <w:tcPr>
            <w:tcW w:w="2778" w:type="dxa"/>
            <w:vMerge/>
            <w:shd w:val="clear" w:color="auto" w:fill="auto"/>
          </w:tcPr>
          <w:p w:rsidR="00200147" w:rsidRPr="00B20DD6" w:rsidRDefault="00200147" w:rsidP="006638F8">
            <w:pPr>
              <w:rPr>
                <w:sz w:val="18"/>
                <w:szCs w:val="18"/>
              </w:rPr>
            </w:pPr>
          </w:p>
        </w:tc>
        <w:tc>
          <w:tcPr>
            <w:tcW w:w="737"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4</w:t>
            </w:r>
          </w:p>
        </w:tc>
        <w:tc>
          <w:tcPr>
            <w:tcW w:w="624"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0</w:t>
            </w:r>
          </w:p>
        </w:tc>
        <w:tc>
          <w:tcPr>
            <w:tcW w:w="1040" w:type="dxa"/>
            <w:shd w:val="clear" w:color="auto" w:fill="auto"/>
          </w:tcPr>
          <w:p w:rsidR="00200147" w:rsidRPr="00B20DD6" w:rsidRDefault="00200147" w:rsidP="006638F8">
            <w:pPr>
              <w:autoSpaceDE w:val="0"/>
              <w:autoSpaceDN w:val="0"/>
              <w:adjustRightInd w:val="0"/>
              <w:spacing w:before="60" w:after="60"/>
              <w:jc w:val="center"/>
              <w:rPr>
                <w:rFonts w:ascii="Calibri" w:eastAsia="MS Mincho" w:hAnsi="Calibri" w:cs="Calibri"/>
                <w:color w:val="000000"/>
                <w:sz w:val="18"/>
                <w:szCs w:val="18"/>
              </w:rPr>
            </w:pPr>
            <w:r w:rsidRPr="00B20DD6">
              <w:rPr>
                <w:rFonts w:ascii="Calibri" w:eastAsia="MS Mincho" w:hAnsi="Calibri" w:cs="Calibri"/>
                <w:color w:val="000000"/>
                <w:sz w:val="18"/>
                <w:szCs w:val="18"/>
              </w:rPr>
              <w:t>$1547.15</w:t>
            </w:r>
          </w:p>
        </w:tc>
        <w:tc>
          <w:tcPr>
            <w:tcW w:w="1077" w:type="dxa"/>
          </w:tcPr>
          <w:p w:rsidR="00200147" w:rsidRPr="00B20DD6" w:rsidRDefault="00200147" w:rsidP="006638F8">
            <w:pPr>
              <w:autoSpaceDE w:val="0"/>
              <w:autoSpaceDN w:val="0"/>
              <w:adjustRightInd w:val="0"/>
              <w:spacing w:before="60" w:after="60"/>
              <w:rPr>
                <w:sz w:val="18"/>
                <w:szCs w:val="18"/>
              </w:rPr>
            </w:pPr>
            <w:r w:rsidRPr="00B20DD6">
              <w:rPr>
                <w:sz w:val="18"/>
                <w:szCs w:val="18"/>
              </w:rPr>
              <w:t>11005F</w:t>
            </w:r>
          </w:p>
          <w:p w:rsidR="00200147" w:rsidRPr="00A82749" w:rsidRDefault="00200147" w:rsidP="006638F8">
            <w:pPr>
              <w:autoSpaceDE w:val="0"/>
              <w:autoSpaceDN w:val="0"/>
              <w:adjustRightInd w:val="0"/>
              <w:spacing w:before="60" w:after="60"/>
              <w:rPr>
                <w:sz w:val="18"/>
                <w:szCs w:val="18"/>
              </w:rPr>
            </w:pPr>
            <w:r w:rsidRPr="00B20DD6">
              <w:rPr>
                <w:sz w:val="18"/>
                <w:szCs w:val="18"/>
              </w:rPr>
              <w:t>(10253P*)</w:t>
            </w:r>
          </w:p>
        </w:tc>
        <w:tc>
          <w:tcPr>
            <w:tcW w:w="1814" w:type="dxa"/>
          </w:tcPr>
          <w:p w:rsidR="00200147" w:rsidRPr="00B20DD6" w:rsidRDefault="00200147" w:rsidP="006638F8">
            <w:pPr>
              <w:autoSpaceDE w:val="0"/>
              <w:autoSpaceDN w:val="0"/>
              <w:adjustRightInd w:val="0"/>
              <w:spacing w:before="60" w:after="60"/>
              <w:jc w:val="center"/>
              <w:rPr>
                <w:sz w:val="18"/>
                <w:szCs w:val="18"/>
              </w:rPr>
            </w:pPr>
            <w:r w:rsidRPr="00B20DD6">
              <w:rPr>
                <w:sz w:val="18"/>
                <w:szCs w:val="18"/>
              </w:rPr>
              <w:t>Spasmodic torticollis</w:t>
            </w:r>
          </w:p>
        </w:tc>
        <w:tc>
          <w:tcPr>
            <w:tcW w:w="1417" w:type="dxa"/>
            <w:vMerge/>
            <w:shd w:val="clear" w:color="auto" w:fill="auto"/>
          </w:tcPr>
          <w:p w:rsidR="00200147" w:rsidRPr="00B20DD6" w:rsidRDefault="00200147" w:rsidP="006638F8">
            <w:pPr>
              <w:autoSpaceDE w:val="0"/>
              <w:autoSpaceDN w:val="0"/>
              <w:adjustRightInd w:val="0"/>
              <w:spacing w:before="60" w:after="60"/>
              <w:jc w:val="center"/>
              <w:rPr>
                <w:sz w:val="18"/>
                <w:szCs w:val="18"/>
              </w:rPr>
            </w:pPr>
          </w:p>
        </w:tc>
      </w:tr>
    </w:tbl>
    <w:p w:rsidR="00200147" w:rsidRPr="00B20DD6" w:rsidRDefault="00200147" w:rsidP="00200147">
      <w:pPr>
        <w:rPr>
          <w:rFonts w:ascii="Calibri" w:eastAsia="MS Mincho" w:hAnsi="Calibri" w:cs="Baskerville"/>
          <w:sz w:val="18"/>
          <w:szCs w:val="18"/>
        </w:rPr>
      </w:pPr>
      <w:r w:rsidRPr="00B20DD6">
        <w:rPr>
          <w:rFonts w:ascii="Calibri" w:eastAsia="MS Mincho" w:hAnsi="Calibri" w:cs="Baskerville"/>
          <w:sz w:val="18"/>
          <w:szCs w:val="18"/>
        </w:rPr>
        <w:t xml:space="preserve">Source: </w:t>
      </w:r>
      <w:hyperlink r:id="rId16" w:history="1">
        <w:r w:rsidRPr="00B20DD6">
          <w:rPr>
            <w:rStyle w:val="Hyperlink"/>
            <w:rFonts w:ascii="Calibri" w:eastAsia="MS Mincho" w:hAnsi="Calibri" w:cs="Baskerville"/>
            <w:sz w:val="18"/>
            <w:szCs w:val="18"/>
          </w:rPr>
          <w:t>pbs.gov.au</w:t>
        </w:r>
      </w:hyperlink>
      <w:r w:rsidRPr="00B20DD6">
        <w:rPr>
          <w:rStyle w:val="Hyperlink"/>
          <w:rFonts w:ascii="Calibri" w:eastAsia="MS Mincho" w:hAnsi="Calibri" w:cs="Baskerville"/>
          <w:sz w:val="18"/>
          <w:szCs w:val="18"/>
        </w:rPr>
        <w:br/>
      </w:r>
      <w:r w:rsidRPr="00B20DD6">
        <w:rPr>
          <w:rFonts w:ascii="Calibri" w:eastAsia="MS Mincho" w:hAnsi="Calibri" w:cs="Baskerville"/>
          <w:sz w:val="18"/>
          <w:szCs w:val="18"/>
        </w:rPr>
        <w:t>* PBS item codes prior to 1 January 2017, when indications needed to be distinguished by using the Streamlined Authority code</w:t>
      </w:r>
    </w:p>
    <w:p w:rsidR="00210797" w:rsidRDefault="00210797">
      <w:pPr>
        <w:spacing w:line="276" w:lineRule="auto"/>
        <w:rPr>
          <w:rFonts w:ascii="Calibri" w:eastAsia="MS Mincho" w:hAnsi="Calibri" w:cs="Times New Roman"/>
          <w:b/>
          <w:i/>
          <w:szCs w:val="28"/>
        </w:rPr>
      </w:pPr>
      <w:r>
        <w:rPr>
          <w:rFonts w:ascii="Calibri" w:eastAsia="MS Mincho" w:hAnsi="Calibri" w:cs="Times New Roman"/>
          <w:b/>
          <w:i/>
          <w:szCs w:val="28"/>
        </w:rPr>
        <w:br w:type="page"/>
      </w:r>
    </w:p>
    <w:p w:rsidR="00200147" w:rsidRPr="0025527F" w:rsidRDefault="00200147" w:rsidP="00200147">
      <w:pPr>
        <w:rPr>
          <w:rFonts w:ascii="Calibri" w:eastAsia="MS Mincho" w:hAnsi="Calibri" w:cs="Times New Roman"/>
          <w:b/>
          <w:i/>
          <w:szCs w:val="28"/>
        </w:rPr>
      </w:pPr>
      <w:r w:rsidRPr="0025527F">
        <w:rPr>
          <w:rFonts w:ascii="Calibri" w:eastAsia="MS Mincho" w:hAnsi="Calibri" w:cs="Times New Roman"/>
          <w:b/>
          <w:i/>
          <w:szCs w:val="28"/>
        </w:rPr>
        <w:lastRenderedPageBreak/>
        <w:t>Changes to listing and supply arrangements</w:t>
      </w:r>
    </w:p>
    <w:p w:rsidR="00200147" w:rsidRPr="0025527F" w:rsidRDefault="00200147" w:rsidP="00200147">
      <w:pPr>
        <w:rPr>
          <w:rFonts w:ascii="Calibri" w:eastAsia="MS Mincho" w:hAnsi="Calibri" w:cs="Baskerville"/>
        </w:rPr>
      </w:pPr>
      <w:r w:rsidRPr="0025527F">
        <w:rPr>
          <w:rFonts w:ascii="Calibri" w:eastAsia="MS Mincho" w:hAnsi="Calibri" w:cs="Baskerville"/>
        </w:rPr>
        <w:t>In recent years there have been two reforms to the way PBS subsidised botulinum toxin is supplied. The intent of the PBS restriction, including patient and prescriber eligibility criteria, has remained unchanged.</w:t>
      </w:r>
    </w:p>
    <w:p w:rsidR="00200147" w:rsidRPr="0025527F" w:rsidRDefault="00200147" w:rsidP="00200147">
      <w:pPr>
        <w:rPr>
          <w:rFonts w:ascii="Calibri" w:eastAsia="MS Mincho" w:hAnsi="Calibri" w:cs="Baskerville"/>
        </w:rPr>
      </w:pPr>
      <w:r w:rsidRPr="0025527F">
        <w:rPr>
          <w:rFonts w:ascii="Calibri" w:eastAsia="MS Mincho" w:hAnsi="Calibri" w:cs="Baskerville"/>
        </w:rPr>
        <w:t xml:space="preserve">Prior to 1 September 2015 botulinum toxin was available via the </w:t>
      </w:r>
      <w:r w:rsidRPr="0025527F">
        <w:rPr>
          <w:rFonts w:ascii="Calibri" w:eastAsia="MS Mincho" w:hAnsi="Calibri" w:cs="Baskerville"/>
          <w:i/>
        </w:rPr>
        <w:t xml:space="preserve">National Health (Botulinum </w:t>
      </w:r>
      <w:r w:rsidR="00E155B5">
        <w:rPr>
          <w:rFonts w:ascii="Calibri" w:eastAsia="MS Mincho" w:hAnsi="Calibri" w:cs="Baskerville"/>
          <w:i/>
        </w:rPr>
        <w:t>T</w:t>
      </w:r>
      <w:r w:rsidR="00E155B5" w:rsidRPr="0025527F">
        <w:rPr>
          <w:rFonts w:ascii="Calibri" w:eastAsia="MS Mincho" w:hAnsi="Calibri" w:cs="Baskerville"/>
          <w:i/>
        </w:rPr>
        <w:t xml:space="preserve">oxin </w:t>
      </w:r>
      <w:r w:rsidRPr="0025527F">
        <w:rPr>
          <w:rFonts w:ascii="Calibri" w:eastAsia="MS Mincho" w:hAnsi="Calibri" w:cs="Baskerville"/>
          <w:i/>
        </w:rPr>
        <w:t>Program) Special Arrangement 2011</w:t>
      </w:r>
      <w:r w:rsidRPr="0025527F">
        <w:rPr>
          <w:rFonts w:ascii="Calibri" w:eastAsia="MS Mincho" w:hAnsi="Calibri" w:cs="Baskerville"/>
        </w:rPr>
        <w:t xml:space="preserve">. This program provided alternative arrangements for distribution of botulinum toxin. </w:t>
      </w:r>
      <w:r w:rsidRPr="0025527F">
        <w:t xml:space="preserve">Prescribers were required to be </w:t>
      </w:r>
      <w:r w:rsidRPr="0025527F">
        <w:rPr>
          <w:rFonts w:ascii="Calibri" w:eastAsia="MS Mincho" w:hAnsi="Calibri" w:cs="Baskerville"/>
        </w:rPr>
        <w:t>individually authorised to prescribe botulinum toxin under the PBS following application to the Department of Human Services (DHS). Prescribers then telephoned DHS to arrange direct supply of the drug to the prescriber by the pharmaceutical company.</w:t>
      </w:r>
      <w:r w:rsidRPr="0025527F">
        <w:t xml:space="preserve"> </w:t>
      </w:r>
    </w:p>
    <w:p w:rsidR="00200147" w:rsidRPr="0025527F" w:rsidRDefault="00200147" w:rsidP="00200147">
      <w:pPr>
        <w:autoSpaceDE w:val="0"/>
        <w:autoSpaceDN w:val="0"/>
        <w:adjustRightInd w:val="0"/>
        <w:rPr>
          <w:rFonts w:ascii="Calibri" w:eastAsia="MS Mincho" w:hAnsi="Calibri" w:cs="Baskerville"/>
        </w:rPr>
      </w:pPr>
      <w:r w:rsidRPr="0025527F">
        <w:rPr>
          <w:rFonts w:ascii="Calibri" w:eastAsia="MS Mincho" w:hAnsi="Calibri" w:cs="Baskerville"/>
        </w:rPr>
        <w:t xml:space="preserve">From 1 September 2015 the way PBS-subsidised botulinum toxin was supplied changed to better align with other PBS arrangements, using PBS prescriptions and hospital pharmacy coordination points. The revised arrangements were supported through the </w:t>
      </w:r>
      <w:r w:rsidRPr="0025527F">
        <w:rPr>
          <w:rFonts w:ascii="Calibri" w:eastAsia="MS Mincho" w:hAnsi="Calibri" w:cs="Baskerville"/>
          <w:i/>
        </w:rPr>
        <w:t xml:space="preserve">National Health (Botulinum Toxin Program) Special Arrangement 2015. </w:t>
      </w:r>
      <w:r w:rsidRPr="0025527F">
        <w:rPr>
          <w:rFonts w:ascii="Calibri" w:eastAsia="MS Mincho" w:hAnsi="Calibri" w:cs="Baskerville"/>
        </w:rPr>
        <w:t>This change meant that eligible PBS botulinum toxin prescriptions are now claimed like other PBS prescriptions and prescription level data is made available to the Department of Health for analysis. This change required adaption of the Program from manual ordering by clinics through DHS to a system of Streamlined Authority prescriptions.</w:t>
      </w:r>
    </w:p>
    <w:p w:rsidR="00200147" w:rsidRPr="0025527F" w:rsidRDefault="00200147" w:rsidP="00200147">
      <w:pPr>
        <w:rPr>
          <w:rFonts w:ascii="Calibri" w:eastAsia="MS Mincho" w:hAnsi="Calibri" w:cs="Baskerville"/>
        </w:rPr>
      </w:pPr>
      <w:r w:rsidRPr="0025527F">
        <w:rPr>
          <w:rFonts w:ascii="Calibri" w:eastAsia="MS Mincho" w:hAnsi="Calibri" w:cs="Baskerville"/>
        </w:rPr>
        <w:t xml:space="preserve">The implementation of the Authority required (STREAMLINED) restriction meant that prescribers were no longer required to telephone DHS for authorisation and ordering supply. Prescribers must write a prescription for each patient ensuring the prescriptions they write comply with PBS requirements for subsidised botulinum toxin, including patient and prescriber eligibility criteria. </w:t>
      </w:r>
      <w:proofErr w:type="gramStart"/>
      <w:r w:rsidRPr="0025527F">
        <w:rPr>
          <w:rFonts w:ascii="Calibri" w:eastAsia="MS Mincho" w:hAnsi="Calibri" w:cs="Baskerville"/>
        </w:rPr>
        <w:t>As direct patient handing of botulinum toxin is not permitted, hospital pharmacies co-ordinate the supply to physicians.</w:t>
      </w:r>
      <w:proofErr w:type="gramEnd"/>
      <w:r w:rsidRPr="0025527F">
        <w:rPr>
          <w:rFonts w:ascii="Calibri" w:eastAsia="MS Mincho" w:hAnsi="Calibri" w:cs="Baskerville"/>
        </w:rPr>
        <w:t xml:space="preserve"> </w:t>
      </w:r>
    </w:p>
    <w:p w:rsidR="00200147" w:rsidRPr="0025527F" w:rsidRDefault="00200147" w:rsidP="00200147">
      <w:pPr>
        <w:rPr>
          <w:rFonts w:ascii="Calibri" w:eastAsia="MS Mincho" w:hAnsi="Calibri" w:cs="Baskerville"/>
        </w:rPr>
      </w:pPr>
      <w:r w:rsidRPr="0025527F">
        <w:rPr>
          <w:rFonts w:ascii="Calibri" w:eastAsia="MS Mincho" w:hAnsi="Calibri" w:cs="Baskerville"/>
        </w:rPr>
        <w:t xml:space="preserve">Changes to the </w:t>
      </w:r>
      <w:r w:rsidRPr="0025527F">
        <w:rPr>
          <w:rFonts w:ascii="Calibri" w:eastAsia="MS Mincho" w:hAnsi="Calibri" w:cs="Baskerville"/>
          <w:i/>
        </w:rPr>
        <w:t>National Health (Botulinum Toxin Program) Special Arrangement 2015</w:t>
      </w:r>
      <w:r w:rsidRPr="0025527F">
        <w:rPr>
          <w:rFonts w:ascii="Calibri" w:eastAsia="MS Mincho" w:hAnsi="Calibri" w:cs="Baskerville"/>
        </w:rPr>
        <w:t xml:space="preserve"> (effective 1 March 2017) allow prescribers to write two prescriptions for botulinum toxin on the same day, where a patient requires treatment for two different indications. Due to the limitation of the DHS PBS Online system, changes in the PBS item codes were required. </w:t>
      </w:r>
    </w:p>
    <w:p w:rsidR="00200147" w:rsidRPr="0025527F" w:rsidRDefault="00200147" w:rsidP="00200147">
      <w:pPr>
        <w:rPr>
          <w:rFonts w:ascii="Calibri" w:eastAsia="MS Mincho" w:hAnsi="Calibri" w:cs="Baskerville"/>
        </w:rPr>
      </w:pPr>
      <w:r w:rsidRPr="0025527F">
        <w:rPr>
          <w:rFonts w:ascii="Calibri" w:eastAsia="MS Mincho" w:hAnsi="Calibri" w:cs="Baskerville"/>
        </w:rPr>
        <w:t>Further information and frequently asked questions regarding the 1 September 2015 and 1</w:t>
      </w:r>
      <w:r w:rsidR="00E155B5">
        <w:rPr>
          <w:rFonts w:ascii="Calibri" w:eastAsia="MS Mincho" w:hAnsi="Calibri" w:cs="Baskerville"/>
        </w:rPr>
        <w:t> </w:t>
      </w:r>
      <w:r w:rsidRPr="0025527F">
        <w:rPr>
          <w:rFonts w:ascii="Calibri" w:eastAsia="MS Mincho" w:hAnsi="Calibri" w:cs="Baskerville"/>
        </w:rPr>
        <w:t>January</w:t>
      </w:r>
      <w:r w:rsidR="00E155B5">
        <w:rPr>
          <w:rFonts w:ascii="Calibri" w:eastAsia="MS Mincho" w:hAnsi="Calibri" w:cs="Baskerville"/>
        </w:rPr>
        <w:t> </w:t>
      </w:r>
      <w:r w:rsidRPr="0025527F">
        <w:rPr>
          <w:rFonts w:ascii="Calibri" w:eastAsia="MS Mincho" w:hAnsi="Calibri" w:cs="Baskerville"/>
        </w:rPr>
        <w:t>2017 – 1</w:t>
      </w:r>
      <w:r w:rsidR="00E155B5">
        <w:rPr>
          <w:rFonts w:ascii="Calibri" w:eastAsia="MS Mincho" w:hAnsi="Calibri" w:cs="Baskerville"/>
        </w:rPr>
        <w:t> </w:t>
      </w:r>
      <w:r w:rsidRPr="0025527F">
        <w:rPr>
          <w:rFonts w:ascii="Calibri" w:eastAsia="MS Mincho" w:hAnsi="Calibri" w:cs="Baskerville"/>
        </w:rPr>
        <w:t>March</w:t>
      </w:r>
      <w:r w:rsidR="00E155B5">
        <w:rPr>
          <w:rFonts w:ascii="Calibri" w:eastAsia="MS Mincho" w:hAnsi="Calibri" w:cs="Baskerville"/>
        </w:rPr>
        <w:t> </w:t>
      </w:r>
      <w:r w:rsidRPr="0025527F">
        <w:rPr>
          <w:rFonts w:ascii="Calibri" w:eastAsia="MS Mincho" w:hAnsi="Calibri" w:cs="Baskerville"/>
        </w:rPr>
        <w:t xml:space="preserve">2017 changes are available from the </w:t>
      </w:r>
      <w:hyperlink r:id="rId17" w:history="1">
        <w:r w:rsidRPr="0025527F">
          <w:rPr>
            <w:rStyle w:val="Hyperlink"/>
            <w:rFonts w:ascii="Calibri" w:eastAsia="MS Mincho" w:hAnsi="Calibri" w:cs="Baskerville"/>
          </w:rPr>
          <w:t>PBS website</w:t>
        </w:r>
      </w:hyperlink>
      <w:r w:rsidRPr="0025527F">
        <w:rPr>
          <w:rFonts w:ascii="Calibri" w:eastAsia="MS Mincho" w:hAnsi="Calibri" w:cs="Baskerville"/>
        </w:rPr>
        <w:t>.</w:t>
      </w:r>
    </w:p>
    <w:p w:rsidR="00855AFB" w:rsidRDefault="00855AFB" w:rsidP="00956D1B">
      <w:pPr>
        <w:spacing w:before="120"/>
        <w:rPr>
          <w:rFonts w:ascii="Calibri" w:eastAsia="MS Mincho" w:hAnsi="Calibri" w:cs="Times New Roman"/>
        </w:rPr>
      </w:pPr>
      <w:r>
        <w:rPr>
          <w:rFonts w:ascii="Calibri" w:eastAsia="MS Mincho" w:hAnsi="Calibri" w:cs="Times New Roman"/>
        </w:rPr>
        <w:t>T</w:t>
      </w:r>
      <w:r w:rsidR="00440DED">
        <w:rPr>
          <w:rFonts w:ascii="Calibri" w:eastAsia="MS Mincho" w:hAnsi="Calibri" w:cs="Times New Roman"/>
        </w:rPr>
        <w:t>here are</w:t>
      </w:r>
      <w:r>
        <w:rPr>
          <w:rFonts w:ascii="Calibri" w:eastAsia="MS Mincho" w:hAnsi="Calibri" w:cs="Times New Roman"/>
        </w:rPr>
        <w:t xml:space="preserve"> </w:t>
      </w:r>
      <w:r w:rsidR="00440DED">
        <w:rPr>
          <w:rFonts w:ascii="Calibri" w:eastAsia="MS Mincho" w:hAnsi="Calibri" w:cs="Times New Roman"/>
        </w:rPr>
        <w:t xml:space="preserve">MBS items for the injection of botulinum toxin for the all </w:t>
      </w:r>
      <w:r>
        <w:rPr>
          <w:rFonts w:ascii="Calibri" w:eastAsia="MS Mincho" w:hAnsi="Calibri" w:cs="Times New Roman"/>
        </w:rPr>
        <w:t>of the</w:t>
      </w:r>
      <w:r w:rsidR="00440DED">
        <w:rPr>
          <w:rFonts w:ascii="Calibri" w:eastAsia="MS Mincho" w:hAnsi="Calibri" w:cs="Times New Roman"/>
        </w:rPr>
        <w:t xml:space="preserve"> PBS subsidised indications</w:t>
      </w:r>
      <w:r w:rsidR="006C4FCF">
        <w:rPr>
          <w:rFonts w:ascii="Calibri" w:eastAsia="MS Mincho" w:hAnsi="Calibri" w:cs="Times New Roman"/>
        </w:rPr>
        <w:t xml:space="preserve"> as summarised in Table 6</w:t>
      </w:r>
      <w:r w:rsidR="00440DED">
        <w:rPr>
          <w:rFonts w:ascii="Calibri" w:eastAsia="MS Mincho" w:hAnsi="Calibri" w:cs="Times New Roman"/>
        </w:rPr>
        <w:t xml:space="preserve">. </w:t>
      </w:r>
    </w:p>
    <w:p w:rsidR="00210797" w:rsidRDefault="00210797">
      <w:pPr>
        <w:spacing w:line="276" w:lineRule="auto"/>
        <w:rPr>
          <w:rFonts w:ascii="Calibri" w:eastAsia="MS Mincho" w:hAnsi="Calibri" w:cs="Times New Roman"/>
          <w:b/>
        </w:rPr>
      </w:pPr>
      <w:r>
        <w:rPr>
          <w:rFonts w:ascii="Calibri" w:eastAsia="MS Mincho" w:hAnsi="Calibri" w:cs="Times New Roman"/>
          <w:b/>
        </w:rPr>
        <w:br w:type="page"/>
      </w:r>
    </w:p>
    <w:p w:rsidR="00D14138" w:rsidRPr="000C255A" w:rsidRDefault="00D14138" w:rsidP="00BF7C8F">
      <w:pPr>
        <w:spacing w:before="120" w:after="0"/>
        <w:rPr>
          <w:rFonts w:ascii="Calibri" w:eastAsia="MS Mincho" w:hAnsi="Calibri" w:cs="Times New Roman"/>
          <w:b/>
        </w:rPr>
      </w:pPr>
      <w:r w:rsidRPr="00BF7C8F">
        <w:rPr>
          <w:rFonts w:ascii="Calibri" w:eastAsia="MS Mincho" w:hAnsi="Calibri" w:cs="Times New Roman"/>
          <w:b/>
        </w:rPr>
        <w:lastRenderedPageBreak/>
        <w:t xml:space="preserve">Table 6: </w:t>
      </w:r>
      <w:r w:rsidR="000C255A" w:rsidRPr="000C255A">
        <w:rPr>
          <w:rFonts w:ascii="Calibri" w:eastAsia="MS Mincho" w:hAnsi="Calibri" w:cs="Times New Roman"/>
          <w:b/>
        </w:rPr>
        <w:t>MBS items for the injection of botulinum toxin for spasticity and dystonia</w:t>
      </w:r>
    </w:p>
    <w:tbl>
      <w:tblPr>
        <w:tblStyle w:val="TableGrid"/>
        <w:tblW w:w="0" w:type="auto"/>
        <w:tblLook w:val="04A0" w:firstRow="1" w:lastRow="0" w:firstColumn="1" w:lastColumn="0" w:noHBand="0" w:noVBand="1"/>
        <w:tblCaption w:val="Table 6: MBS items for the injection of botulinum toxin for spasticity and dystonia"/>
      </w:tblPr>
      <w:tblGrid>
        <w:gridCol w:w="1101"/>
        <w:gridCol w:w="8072"/>
      </w:tblGrid>
      <w:tr w:rsidR="00855AFB" w:rsidRPr="00BF7C8F" w:rsidTr="0014435E">
        <w:trPr>
          <w:tblHeader/>
        </w:trPr>
        <w:tc>
          <w:tcPr>
            <w:tcW w:w="1101" w:type="dxa"/>
            <w:shd w:val="clear" w:color="auto" w:fill="BFBFBF" w:themeFill="background1" w:themeFillShade="BF"/>
          </w:tcPr>
          <w:p w:rsidR="00855AFB" w:rsidRPr="00BF7C8F" w:rsidRDefault="00855AFB" w:rsidP="00A77C2C">
            <w:pPr>
              <w:rPr>
                <w:rFonts w:eastAsia="MS Mincho" w:cs="Times New Roman"/>
                <w:b/>
                <w:sz w:val="20"/>
                <w:szCs w:val="20"/>
              </w:rPr>
            </w:pPr>
            <w:r w:rsidRPr="00BF7C8F">
              <w:rPr>
                <w:rFonts w:eastAsia="MS Mincho" w:cs="Times New Roman"/>
                <w:b/>
                <w:sz w:val="20"/>
                <w:szCs w:val="20"/>
              </w:rPr>
              <w:t>MBS item</w:t>
            </w:r>
          </w:p>
        </w:tc>
        <w:tc>
          <w:tcPr>
            <w:tcW w:w="8072" w:type="dxa"/>
            <w:shd w:val="clear" w:color="auto" w:fill="BFBFBF" w:themeFill="background1" w:themeFillShade="BF"/>
          </w:tcPr>
          <w:p w:rsidR="00855AFB" w:rsidRPr="00BF7C8F" w:rsidRDefault="00BF7C8F" w:rsidP="00A77C2C">
            <w:pPr>
              <w:rPr>
                <w:rFonts w:eastAsia="MS Mincho" w:cs="Times New Roman"/>
                <w:b/>
                <w:sz w:val="20"/>
                <w:szCs w:val="20"/>
              </w:rPr>
            </w:pPr>
            <w:r>
              <w:rPr>
                <w:rFonts w:eastAsia="MS Mincho" w:cs="Times New Roman"/>
                <w:b/>
                <w:sz w:val="20"/>
                <w:szCs w:val="20"/>
              </w:rPr>
              <w:t>Description of injection service</w:t>
            </w:r>
            <w:r w:rsidR="00FC4341" w:rsidRPr="00BF7C8F">
              <w:rPr>
                <w:rFonts w:eastAsia="MS Mincho" w:cs="Times New Roman"/>
                <w:b/>
                <w:sz w:val="20"/>
                <w:szCs w:val="20"/>
              </w:rPr>
              <w:t xml:space="preserve"> (abridged)</w:t>
            </w:r>
          </w:p>
        </w:tc>
      </w:tr>
      <w:tr w:rsidR="00855AFB" w:rsidTr="00A77C2C">
        <w:tc>
          <w:tcPr>
            <w:tcW w:w="1101" w:type="dxa"/>
          </w:tcPr>
          <w:p w:rsidR="00855AFB" w:rsidRPr="00A82749" w:rsidRDefault="006C4FCF" w:rsidP="00A77C2C">
            <w:pPr>
              <w:rPr>
                <w:rFonts w:eastAsia="MS Mincho" w:cs="Times New Roman"/>
                <w:sz w:val="20"/>
                <w:szCs w:val="20"/>
              </w:rPr>
            </w:pPr>
            <w:r w:rsidRPr="00A82749">
              <w:rPr>
                <w:rFonts w:eastAsia="MS Mincho" w:cs="Times New Roman"/>
                <w:sz w:val="20"/>
                <w:szCs w:val="20"/>
              </w:rPr>
              <w:t>18350</w:t>
            </w:r>
          </w:p>
        </w:tc>
        <w:tc>
          <w:tcPr>
            <w:tcW w:w="8072" w:type="dxa"/>
          </w:tcPr>
          <w:p w:rsidR="00855AFB" w:rsidRPr="00A82749" w:rsidRDefault="00FC4341" w:rsidP="00A77C2C">
            <w:pPr>
              <w:rPr>
                <w:rFonts w:eastAsia="MS Mincho" w:cs="Times New Roman"/>
                <w:sz w:val="20"/>
                <w:szCs w:val="20"/>
              </w:rPr>
            </w:pPr>
            <w:r w:rsidRPr="00A82749">
              <w:rPr>
                <w:sz w:val="20"/>
                <w:szCs w:val="20"/>
              </w:rPr>
              <w:t>Botox</w:t>
            </w:r>
            <w:r w:rsidR="005200FD" w:rsidRPr="00A82749">
              <w:rPr>
                <w:sz w:val="20"/>
                <w:szCs w:val="20"/>
              </w:rPr>
              <w:t xml:space="preserve"> for hemifacial spasm in </w:t>
            </w:r>
            <w:r w:rsidR="00D14138" w:rsidRPr="00A82749">
              <w:rPr>
                <w:sz w:val="20"/>
                <w:szCs w:val="20"/>
              </w:rPr>
              <w:t xml:space="preserve">a </w:t>
            </w:r>
            <w:r w:rsidR="005200FD" w:rsidRPr="00A82749">
              <w:rPr>
                <w:sz w:val="20"/>
                <w:szCs w:val="20"/>
              </w:rPr>
              <w:t xml:space="preserve">patient </w:t>
            </w:r>
            <w:r w:rsidR="00D14138" w:rsidRPr="00A82749">
              <w:rPr>
                <w:sz w:val="20"/>
                <w:szCs w:val="20"/>
              </w:rPr>
              <w:t>≥</w:t>
            </w:r>
            <w:r w:rsidR="005200FD" w:rsidRPr="00A82749">
              <w:rPr>
                <w:sz w:val="20"/>
                <w:szCs w:val="20"/>
              </w:rPr>
              <w:t>12 years of age, including all such injections on any one day.</w:t>
            </w:r>
          </w:p>
        </w:tc>
      </w:tr>
      <w:tr w:rsidR="00855AFB" w:rsidTr="00A77C2C">
        <w:tc>
          <w:tcPr>
            <w:tcW w:w="1101" w:type="dxa"/>
          </w:tcPr>
          <w:p w:rsidR="00855AFB" w:rsidRPr="00A82749" w:rsidRDefault="006C4FCF" w:rsidP="00A77C2C">
            <w:pPr>
              <w:rPr>
                <w:rFonts w:eastAsia="MS Mincho" w:cs="Times New Roman"/>
                <w:sz w:val="20"/>
                <w:szCs w:val="20"/>
              </w:rPr>
            </w:pPr>
            <w:r w:rsidRPr="00A82749">
              <w:rPr>
                <w:rFonts w:eastAsia="MS Mincho" w:cs="Times New Roman"/>
                <w:sz w:val="20"/>
                <w:szCs w:val="20"/>
              </w:rPr>
              <w:t>18351</w:t>
            </w:r>
          </w:p>
        </w:tc>
        <w:tc>
          <w:tcPr>
            <w:tcW w:w="8072" w:type="dxa"/>
          </w:tcPr>
          <w:p w:rsidR="00855AFB" w:rsidRPr="00A82749" w:rsidRDefault="00FC4341" w:rsidP="00A77C2C">
            <w:pPr>
              <w:rPr>
                <w:rFonts w:eastAsia="MS Mincho" w:cs="Times New Roman"/>
                <w:sz w:val="20"/>
                <w:szCs w:val="20"/>
              </w:rPr>
            </w:pPr>
            <w:r w:rsidRPr="00A82749">
              <w:rPr>
                <w:sz w:val="20"/>
                <w:szCs w:val="20"/>
              </w:rPr>
              <w:t>Dysport</w:t>
            </w:r>
            <w:r w:rsidR="006C4FCF" w:rsidRPr="00A82749">
              <w:rPr>
                <w:sz w:val="20"/>
                <w:szCs w:val="20"/>
              </w:rPr>
              <w:t xml:space="preserve"> for hemifacial spasm in a patient </w:t>
            </w:r>
            <w:r w:rsidR="00D14138" w:rsidRPr="00A82749">
              <w:rPr>
                <w:sz w:val="20"/>
                <w:szCs w:val="20"/>
              </w:rPr>
              <w:t>≥</w:t>
            </w:r>
            <w:r w:rsidR="006C4FCF" w:rsidRPr="00A82749">
              <w:rPr>
                <w:sz w:val="20"/>
                <w:szCs w:val="20"/>
              </w:rPr>
              <w:t xml:space="preserve"> 18 years of age, including all such injections on any one day</w:t>
            </w:r>
          </w:p>
        </w:tc>
      </w:tr>
      <w:tr w:rsidR="006C4FCF" w:rsidTr="00A77C2C">
        <w:tc>
          <w:tcPr>
            <w:tcW w:w="1101" w:type="dxa"/>
          </w:tcPr>
          <w:p w:rsidR="006C4FCF" w:rsidRPr="00A82749" w:rsidRDefault="006C4FCF" w:rsidP="00A77C2C">
            <w:pPr>
              <w:rPr>
                <w:rFonts w:eastAsia="MS Mincho" w:cs="Times New Roman"/>
                <w:sz w:val="20"/>
                <w:szCs w:val="20"/>
              </w:rPr>
            </w:pPr>
            <w:r w:rsidRPr="00A82749">
              <w:rPr>
                <w:rFonts w:eastAsia="MS Mincho" w:cs="Times New Roman"/>
                <w:sz w:val="20"/>
                <w:szCs w:val="20"/>
              </w:rPr>
              <w:t>18353</w:t>
            </w:r>
          </w:p>
        </w:tc>
        <w:tc>
          <w:tcPr>
            <w:tcW w:w="8072" w:type="dxa"/>
          </w:tcPr>
          <w:p w:rsidR="006C4FCF" w:rsidRPr="00A82749" w:rsidRDefault="006C4FCF" w:rsidP="00A77C2C">
            <w:pPr>
              <w:rPr>
                <w:rFonts w:eastAsia="MS Mincho" w:cs="Times New Roman"/>
                <w:sz w:val="20"/>
                <w:szCs w:val="20"/>
              </w:rPr>
            </w:pPr>
            <w:r w:rsidRPr="00A82749">
              <w:rPr>
                <w:sz w:val="20"/>
                <w:szCs w:val="20"/>
              </w:rPr>
              <w:t>Botox or</w:t>
            </w:r>
            <w:r w:rsidR="00FC4341" w:rsidRPr="00A82749">
              <w:rPr>
                <w:sz w:val="20"/>
                <w:szCs w:val="20"/>
              </w:rPr>
              <w:t xml:space="preserve"> </w:t>
            </w:r>
            <w:r w:rsidRPr="00A82749">
              <w:rPr>
                <w:sz w:val="20"/>
                <w:szCs w:val="20"/>
              </w:rPr>
              <w:t>Dysport or Xeomin for cervical dystonia (spasmodic torticollis), including all such injections on any one day</w:t>
            </w:r>
          </w:p>
        </w:tc>
      </w:tr>
      <w:tr w:rsidR="006C4FCF" w:rsidTr="00A77C2C">
        <w:tc>
          <w:tcPr>
            <w:tcW w:w="1101" w:type="dxa"/>
          </w:tcPr>
          <w:p w:rsidR="006C4FCF" w:rsidRPr="00A82749" w:rsidRDefault="006C4FCF" w:rsidP="00A77C2C">
            <w:pPr>
              <w:rPr>
                <w:rFonts w:eastAsia="MS Mincho" w:cs="Times New Roman"/>
                <w:sz w:val="20"/>
                <w:szCs w:val="20"/>
              </w:rPr>
            </w:pPr>
            <w:r w:rsidRPr="00A82749">
              <w:rPr>
                <w:rFonts w:eastAsia="MS Mincho" w:cs="Times New Roman"/>
                <w:sz w:val="20"/>
                <w:szCs w:val="20"/>
              </w:rPr>
              <w:t>18354</w:t>
            </w:r>
          </w:p>
        </w:tc>
        <w:tc>
          <w:tcPr>
            <w:tcW w:w="8072" w:type="dxa"/>
          </w:tcPr>
          <w:p w:rsidR="006C4FCF" w:rsidRPr="00A82749" w:rsidRDefault="006C4FCF" w:rsidP="00A77C2C">
            <w:pPr>
              <w:shd w:val="clear" w:color="auto" w:fill="FBFBFB"/>
              <w:rPr>
                <w:rFonts w:eastAsia="MS Mincho" w:cs="Times New Roman"/>
                <w:sz w:val="20"/>
                <w:szCs w:val="20"/>
              </w:rPr>
            </w:pPr>
            <w:r w:rsidRPr="00A82749">
              <w:rPr>
                <w:rFonts w:eastAsia="Times New Roman" w:cs="Times New Roman"/>
                <w:sz w:val="20"/>
                <w:szCs w:val="20"/>
              </w:rPr>
              <w:t xml:space="preserve">Botox or Dysport for dynamic equinus foot deformity (including </w:t>
            </w:r>
            <w:proofErr w:type="spellStart"/>
            <w:r w:rsidRPr="00A82749">
              <w:rPr>
                <w:rFonts w:eastAsia="Times New Roman" w:cs="Times New Roman"/>
                <w:sz w:val="20"/>
                <w:szCs w:val="20"/>
              </w:rPr>
              <w:t>equinovarus</w:t>
            </w:r>
            <w:proofErr w:type="spellEnd"/>
            <w:r w:rsidRPr="00A82749">
              <w:rPr>
                <w:rFonts w:eastAsia="Times New Roman" w:cs="Times New Roman"/>
                <w:sz w:val="20"/>
                <w:szCs w:val="20"/>
              </w:rPr>
              <w:t xml:space="preserve"> and </w:t>
            </w:r>
            <w:proofErr w:type="spellStart"/>
            <w:r w:rsidRPr="00A82749">
              <w:rPr>
                <w:rFonts w:eastAsia="Times New Roman" w:cs="Times New Roman"/>
                <w:sz w:val="20"/>
                <w:szCs w:val="20"/>
              </w:rPr>
              <w:t>equinovalgus</w:t>
            </w:r>
            <w:proofErr w:type="spellEnd"/>
            <w:r w:rsidRPr="00A82749">
              <w:rPr>
                <w:rFonts w:eastAsia="Times New Roman" w:cs="Times New Roman"/>
                <w:sz w:val="20"/>
                <w:szCs w:val="20"/>
              </w:rPr>
              <w:t>) due to spasticity in an ambulant cerebral palsy patient, if</w:t>
            </w:r>
            <w:r w:rsidR="00FC4341" w:rsidRPr="00A82749">
              <w:rPr>
                <w:rFonts w:eastAsia="Times New Roman" w:cs="Times New Roman"/>
                <w:sz w:val="20"/>
                <w:szCs w:val="20"/>
              </w:rPr>
              <w:t xml:space="preserve"> </w:t>
            </w:r>
            <w:r w:rsidRPr="00A82749">
              <w:rPr>
                <w:rFonts w:eastAsia="Times New Roman" w:cs="Times New Roman"/>
                <w:sz w:val="20"/>
                <w:szCs w:val="20"/>
              </w:rPr>
              <w:t xml:space="preserve">(a) patient </w:t>
            </w:r>
            <w:r w:rsidR="002C67DD" w:rsidRPr="00A82749">
              <w:rPr>
                <w:sz w:val="20"/>
                <w:szCs w:val="20"/>
              </w:rPr>
              <w:t>≥</w:t>
            </w:r>
            <w:r w:rsidRPr="00A82749">
              <w:rPr>
                <w:rFonts w:eastAsia="Times New Roman" w:cs="Times New Roman"/>
                <w:sz w:val="20"/>
                <w:szCs w:val="20"/>
              </w:rPr>
              <w:t xml:space="preserve"> 2 years of age; and (b) the treatment is for all or any of the muscles subserving one functional activity and supplied by one motor nerve, with a maximum of 4 sets of injections for the patient on </w:t>
            </w:r>
            <w:r w:rsidR="00C474E2" w:rsidRPr="00A82749">
              <w:rPr>
                <w:rFonts w:eastAsia="Times New Roman" w:cs="Times New Roman"/>
                <w:sz w:val="20"/>
                <w:szCs w:val="20"/>
              </w:rPr>
              <w:t>any one day (with a maximum of </w:t>
            </w:r>
            <w:r w:rsidRPr="00A82749">
              <w:rPr>
                <w:rFonts w:eastAsia="Times New Roman" w:cs="Times New Roman"/>
                <w:sz w:val="20"/>
                <w:szCs w:val="20"/>
              </w:rPr>
              <w:t>2 sets of injections for each lower limb), including all injections per set</w:t>
            </w:r>
          </w:p>
        </w:tc>
      </w:tr>
      <w:tr w:rsidR="006C4FCF" w:rsidTr="00A77C2C">
        <w:tc>
          <w:tcPr>
            <w:tcW w:w="1101" w:type="dxa"/>
          </w:tcPr>
          <w:p w:rsidR="006C4FCF" w:rsidRPr="00A82749" w:rsidRDefault="006C4FCF" w:rsidP="00A77C2C">
            <w:pPr>
              <w:rPr>
                <w:rFonts w:eastAsia="MS Mincho" w:cs="Times New Roman"/>
                <w:sz w:val="20"/>
                <w:szCs w:val="20"/>
              </w:rPr>
            </w:pPr>
            <w:r w:rsidRPr="00A82749">
              <w:rPr>
                <w:rFonts w:eastAsia="MS Mincho" w:cs="Times New Roman"/>
                <w:sz w:val="20"/>
                <w:szCs w:val="20"/>
              </w:rPr>
              <w:t>18360</w:t>
            </w:r>
            <w:r w:rsidR="0077789B" w:rsidRPr="00A82749">
              <w:rPr>
                <w:rFonts w:eastAsia="MS Mincho" w:cs="Times New Roman"/>
                <w:sz w:val="20"/>
                <w:szCs w:val="20"/>
              </w:rPr>
              <w:t>*</w:t>
            </w:r>
          </w:p>
        </w:tc>
        <w:tc>
          <w:tcPr>
            <w:tcW w:w="8072" w:type="dxa"/>
          </w:tcPr>
          <w:p w:rsidR="006C4FCF" w:rsidRPr="00A82749" w:rsidRDefault="006C4FCF" w:rsidP="00A77C2C">
            <w:pPr>
              <w:shd w:val="clear" w:color="auto" w:fill="FBFBFB"/>
              <w:rPr>
                <w:rFonts w:eastAsia="MS Mincho" w:cs="Times New Roman"/>
                <w:sz w:val="20"/>
                <w:szCs w:val="20"/>
              </w:rPr>
            </w:pPr>
            <w:r w:rsidRPr="00A82749">
              <w:rPr>
                <w:rFonts w:eastAsia="Times New Roman" w:cs="Times New Roman"/>
                <w:sz w:val="20"/>
                <w:szCs w:val="20"/>
              </w:rPr>
              <w:t>Botox for moderate to severe focal spasticity, if</w:t>
            </w:r>
            <w:r w:rsidR="00FC4341" w:rsidRPr="00A82749">
              <w:rPr>
                <w:rFonts w:eastAsia="Times New Roman" w:cs="Times New Roman"/>
                <w:sz w:val="20"/>
                <w:szCs w:val="20"/>
              </w:rPr>
              <w:t xml:space="preserve"> </w:t>
            </w:r>
            <w:r w:rsidRPr="00A82749">
              <w:rPr>
                <w:rFonts w:eastAsia="Times New Roman" w:cs="Times New Roman"/>
                <w:sz w:val="20"/>
                <w:szCs w:val="20"/>
              </w:rPr>
              <w:t xml:space="preserve">(a) patient </w:t>
            </w:r>
            <w:r w:rsidR="002C67DD" w:rsidRPr="00A82749">
              <w:rPr>
                <w:sz w:val="20"/>
                <w:szCs w:val="20"/>
              </w:rPr>
              <w:t>≥</w:t>
            </w:r>
            <w:r w:rsidRPr="00A82749">
              <w:rPr>
                <w:rFonts w:eastAsia="Times New Roman" w:cs="Times New Roman"/>
                <w:sz w:val="20"/>
                <w:szCs w:val="20"/>
              </w:rPr>
              <w:t>18 years of age; and (b)</w:t>
            </w:r>
            <w:r w:rsidR="00FC4341" w:rsidRPr="00A82749">
              <w:rPr>
                <w:rFonts w:eastAsia="Times New Roman" w:cs="Times New Roman"/>
                <w:sz w:val="20"/>
                <w:szCs w:val="20"/>
              </w:rPr>
              <w:t xml:space="preserve"> </w:t>
            </w:r>
            <w:r w:rsidRPr="00A82749">
              <w:rPr>
                <w:rFonts w:eastAsia="Times New Roman" w:cs="Times New Roman"/>
                <w:sz w:val="20"/>
                <w:szCs w:val="20"/>
              </w:rPr>
              <w:t>the spasticity is associated with a previously diagnosed neurological disorder; and (c) treatment is provided as (</w:t>
            </w:r>
            <w:proofErr w:type="spellStart"/>
            <w:r w:rsidRPr="00A82749">
              <w:rPr>
                <w:rFonts w:eastAsia="Times New Roman" w:cs="Times New Roman"/>
                <w:sz w:val="20"/>
                <w:szCs w:val="20"/>
              </w:rPr>
              <w:t>i</w:t>
            </w:r>
            <w:proofErr w:type="spellEnd"/>
            <w:r w:rsidRPr="00A82749">
              <w:rPr>
                <w:rFonts w:eastAsia="Times New Roman" w:cs="Times New Roman"/>
                <w:sz w:val="20"/>
                <w:szCs w:val="20"/>
              </w:rPr>
              <w:t>)</w:t>
            </w:r>
            <w:r w:rsidR="00AA5D67" w:rsidRPr="00A82749">
              <w:rPr>
                <w:rFonts w:eastAsia="Times New Roman" w:cs="Times New Roman"/>
                <w:sz w:val="20"/>
                <w:szCs w:val="20"/>
              </w:rPr>
              <w:t xml:space="preserve"> </w:t>
            </w:r>
            <w:r w:rsidRPr="00A82749">
              <w:rPr>
                <w:rFonts w:eastAsia="Times New Roman" w:cs="Times New Roman"/>
                <w:sz w:val="20"/>
                <w:szCs w:val="20"/>
              </w:rPr>
              <w:t>second line therapy when standard treatment for the conditions has failed; or (ii) an adjunct to physical therapy; and (d)</w:t>
            </w:r>
            <w:r w:rsidR="00FC4341" w:rsidRPr="00A82749">
              <w:rPr>
                <w:rFonts w:eastAsia="Times New Roman" w:cs="Times New Roman"/>
                <w:sz w:val="20"/>
                <w:szCs w:val="20"/>
              </w:rPr>
              <w:t xml:space="preserve"> </w:t>
            </w:r>
            <w:r w:rsidRPr="00A82749">
              <w:rPr>
                <w:rFonts w:eastAsia="Times New Roman" w:cs="Times New Roman"/>
                <w:sz w:val="20"/>
                <w:szCs w:val="20"/>
              </w:rPr>
              <w:t>the treatment is for all or any of the muscles subserving one functional activity and supplied by one motor nerve, with a maximum of 4 sets of injections for the patient on any one day (with a maximum of 2 sets of injections for each limb), including all injections per set; and (e)</w:t>
            </w:r>
            <w:r w:rsidR="00FC4341" w:rsidRPr="00A82749">
              <w:rPr>
                <w:rFonts w:eastAsia="Times New Roman" w:cs="Times New Roman"/>
                <w:sz w:val="20"/>
                <w:szCs w:val="20"/>
              </w:rPr>
              <w:t xml:space="preserve"> </w:t>
            </w:r>
            <w:r w:rsidRPr="00A82749">
              <w:rPr>
                <w:rFonts w:eastAsia="Times New Roman" w:cs="Times New Roman"/>
                <w:sz w:val="20"/>
                <w:szCs w:val="20"/>
              </w:rPr>
              <w:t>the treatment is not provided on the same occasion as a service mentioned in item 18365</w:t>
            </w:r>
            <w:r w:rsidR="00FC4341" w:rsidRPr="00A82749">
              <w:rPr>
                <w:rFonts w:eastAsia="Times New Roman" w:cs="Times New Roman"/>
                <w:sz w:val="20"/>
                <w:szCs w:val="20"/>
              </w:rPr>
              <w:t>.</w:t>
            </w:r>
          </w:p>
        </w:tc>
      </w:tr>
      <w:tr w:rsidR="00855AFB" w:rsidTr="00A77C2C">
        <w:tc>
          <w:tcPr>
            <w:tcW w:w="1101" w:type="dxa"/>
          </w:tcPr>
          <w:p w:rsidR="00855AFB" w:rsidRPr="00A82749" w:rsidRDefault="006C4FCF" w:rsidP="00A77C2C">
            <w:pPr>
              <w:rPr>
                <w:rFonts w:eastAsia="MS Mincho" w:cs="Times New Roman"/>
                <w:sz w:val="20"/>
                <w:szCs w:val="20"/>
              </w:rPr>
            </w:pPr>
            <w:r w:rsidRPr="00A82749">
              <w:rPr>
                <w:rFonts w:eastAsia="MS Mincho" w:cs="Times New Roman"/>
                <w:sz w:val="20"/>
                <w:szCs w:val="20"/>
              </w:rPr>
              <w:t>18361</w:t>
            </w:r>
          </w:p>
        </w:tc>
        <w:tc>
          <w:tcPr>
            <w:tcW w:w="8072" w:type="dxa"/>
          </w:tcPr>
          <w:p w:rsidR="00855AFB" w:rsidRPr="00A82749" w:rsidRDefault="006C4FCF" w:rsidP="00A77C2C">
            <w:pPr>
              <w:shd w:val="clear" w:color="auto" w:fill="FBFBFB"/>
              <w:rPr>
                <w:rFonts w:eastAsia="MS Mincho" w:cs="Times New Roman"/>
                <w:sz w:val="20"/>
                <w:szCs w:val="20"/>
              </w:rPr>
            </w:pPr>
            <w:r w:rsidRPr="00A82749">
              <w:rPr>
                <w:rFonts w:eastAsia="Times New Roman" w:cs="Times New Roman"/>
                <w:sz w:val="20"/>
                <w:szCs w:val="20"/>
              </w:rPr>
              <w:t xml:space="preserve">Botox for moderate to severe upper limb spasticity due to cerebral palsy if: (a) patient </w:t>
            </w:r>
            <w:r w:rsidR="002C67DD" w:rsidRPr="00A82749">
              <w:rPr>
                <w:sz w:val="20"/>
                <w:szCs w:val="20"/>
              </w:rPr>
              <w:t>≥</w:t>
            </w:r>
            <w:r w:rsidRPr="00A82749">
              <w:rPr>
                <w:rFonts w:eastAsia="Times New Roman" w:cs="Times New Roman"/>
                <w:sz w:val="20"/>
                <w:szCs w:val="20"/>
              </w:rPr>
              <w:t xml:space="preserve"> 2 years of age, and (b) for a patient who is at least 18 years of age - before the patient turned 18, the patient had commenced treatment for the spasticity with botulinum toxin supplied under the pharmaceutical benefits scheme; and (c) the treatment is for all or any of the muscles subserving one functional activity and supplied by one motor nerve, with a maximum of 4 sets of injections for the patient on any one day (with a maximum of 2 sets of injections for each upper limb), including all injections per set</w:t>
            </w:r>
            <w:r w:rsidR="00FC4341" w:rsidRPr="00A82749">
              <w:rPr>
                <w:rFonts w:eastAsia="Times New Roman" w:cs="Times New Roman"/>
                <w:sz w:val="20"/>
                <w:szCs w:val="20"/>
              </w:rPr>
              <w:t>.</w:t>
            </w:r>
            <w:r w:rsidRPr="00A82749">
              <w:rPr>
                <w:rFonts w:eastAsia="Times New Roman" w:cs="Times New Roman"/>
                <w:sz w:val="20"/>
                <w:szCs w:val="20"/>
              </w:rPr>
              <w:t xml:space="preserve"> </w:t>
            </w:r>
          </w:p>
        </w:tc>
      </w:tr>
      <w:tr w:rsidR="00855AFB" w:rsidTr="00A77C2C">
        <w:tc>
          <w:tcPr>
            <w:tcW w:w="1101" w:type="dxa"/>
          </w:tcPr>
          <w:p w:rsidR="00855AFB" w:rsidRPr="00A82749" w:rsidRDefault="006C4FCF" w:rsidP="00A77C2C">
            <w:pPr>
              <w:rPr>
                <w:rFonts w:eastAsia="MS Mincho" w:cs="Times New Roman"/>
                <w:sz w:val="20"/>
                <w:szCs w:val="20"/>
              </w:rPr>
            </w:pPr>
            <w:r w:rsidRPr="00A82749">
              <w:rPr>
                <w:rFonts w:eastAsia="MS Mincho" w:cs="Times New Roman"/>
                <w:sz w:val="20"/>
                <w:szCs w:val="20"/>
              </w:rPr>
              <w:t>18365</w:t>
            </w:r>
          </w:p>
        </w:tc>
        <w:tc>
          <w:tcPr>
            <w:tcW w:w="8072" w:type="dxa"/>
          </w:tcPr>
          <w:p w:rsidR="00855AFB" w:rsidRPr="00A82749" w:rsidRDefault="00BF7C8F" w:rsidP="00A77C2C">
            <w:pPr>
              <w:shd w:val="clear" w:color="auto" w:fill="FBFBFB"/>
              <w:rPr>
                <w:rFonts w:eastAsia="MS Mincho" w:cs="Times New Roman"/>
                <w:sz w:val="20"/>
                <w:szCs w:val="20"/>
              </w:rPr>
            </w:pPr>
            <w:r w:rsidRPr="00A82749">
              <w:rPr>
                <w:rFonts w:eastAsia="Times New Roman" w:cs="Times New Roman"/>
                <w:sz w:val="20"/>
                <w:szCs w:val="20"/>
              </w:rPr>
              <w:t>B</w:t>
            </w:r>
            <w:r w:rsidR="006C4FCF" w:rsidRPr="00A82749">
              <w:rPr>
                <w:rFonts w:eastAsia="Times New Roman" w:cs="Times New Roman"/>
                <w:sz w:val="20"/>
                <w:szCs w:val="20"/>
              </w:rPr>
              <w:t>otox or</w:t>
            </w:r>
            <w:r w:rsidR="00FC4341" w:rsidRPr="00A82749">
              <w:rPr>
                <w:rFonts w:eastAsia="Times New Roman" w:cs="Times New Roman"/>
                <w:sz w:val="20"/>
                <w:szCs w:val="20"/>
              </w:rPr>
              <w:t xml:space="preserve"> </w:t>
            </w:r>
            <w:r w:rsidR="006C4FCF" w:rsidRPr="00A82749">
              <w:rPr>
                <w:rFonts w:eastAsia="Times New Roman" w:cs="Times New Roman"/>
                <w:sz w:val="20"/>
                <w:szCs w:val="20"/>
              </w:rPr>
              <w:t xml:space="preserve">Dysport or Xeomin for moderate to severe spasticity of the upper limb following a stroke, if: (a) patient </w:t>
            </w:r>
            <w:r w:rsidR="002C67DD" w:rsidRPr="00A82749">
              <w:rPr>
                <w:sz w:val="20"/>
                <w:szCs w:val="20"/>
              </w:rPr>
              <w:t>≥</w:t>
            </w:r>
            <w:r w:rsidR="006C4FCF" w:rsidRPr="00A82749">
              <w:rPr>
                <w:rFonts w:eastAsia="Times New Roman" w:cs="Times New Roman"/>
                <w:sz w:val="20"/>
                <w:szCs w:val="20"/>
              </w:rPr>
              <w:t>18 years of age; and (b) treatment is provided as (</w:t>
            </w:r>
            <w:proofErr w:type="spellStart"/>
            <w:r w:rsidR="006C4FCF" w:rsidRPr="00A82749">
              <w:rPr>
                <w:rFonts w:eastAsia="Times New Roman" w:cs="Times New Roman"/>
                <w:sz w:val="20"/>
                <w:szCs w:val="20"/>
              </w:rPr>
              <w:t>i</w:t>
            </w:r>
            <w:proofErr w:type="spellEnd"/>
            <w:r w:rsidR="006C4FCF" w:rsidRPr="00A82749">
              <w:rPr>
                <w:rFonts w:eastAsia="Times New Roman" w:cs="Times New Roman"/>
                <w:sz w:val="20"/>
                <w:szCs w:val="20"/>
              </w:rPr>
              <w:t xml:space="preserve">) second line therapy when standard treatment for the condition has failed; or (ii) an adjunct to physical therapy; and (c) the patient does not have established severe contracture in the limb that is to be treated; and (d) the treatment is for all or any of the muscles subserving one functional activity and supplied by one motor nerve, with a maximum of 4 sets of injections for the patient on any one day (with a maximum of 2 sets of injections for each upper limb), including all injections per set; and (e) for a patient who has received treatment on 2 previous separate occasions - the patient has responded to the treatment </w:t>
            </w:r>
            <w:r w:rsidR="00DF1307" w:rsidRPr="00A82749">
              <w:rPr>
                <w:rFonts w:eastAsia="Times New Roman" w:cs="Times New Roman"/>
                <w:sz w:val="20"/>
                <w:szCs w:val="20"/>
              </w:rPr>
              <w:t>.</w:t>
            </w:r>
          </w:p>
        </w:tc>
      </w:tr>
      <w:tr w:rsidR="006C4FCF" w:rsidTr="00A77C2C">
        <w:tc>
          <w:tcPr>
            <w:tcW w:w="1101" w:type="dxa"/>
          </w:tcPr>
          <w:p w:rsidR="006C4FCF" w:rsidRPr="00A82749" w:rsidRDefault="006C4FCF" w:rsidP="00A77C2C">
            <w:pPr>
              <w:rPr>
                <w:rFonts w:eastAsia="MS Mincho" w:cs="Times New Roman"/>
                <w:sz w:val="20"/>
                <w:szCs w:val="20"/>
              </w:rPr>
            </w:pPr>
            <w:r w:rsidRPr="00A82749">
              <w:rPr>
                <w:rFonts w:eastAsia="MS Mincho" w:cs="Times New Roman"/>
                <w:sz w:val="20"/>
                <w:szCs w:val="20"/>
              </w:rPr>
              <w:t>18369</w:t>
            </w:r>
          </w:p>
        </w:tc>
        <w:tc>
          <w:tcPr>
            <w:tcW w:w="8072" w:type="dxa"/>
          </w:tcPr>
          <w:p w:rsidR="006C4FCF" w:rsidRPr="00A82749" w:rsidRDefault="006C4FCF" w:rsidP="00A77C2C">
            <w:pPr>
              <w:rPr>
                <w:rFonts w:eastAsia="MS Mincho" w:cs="Times New Roman"/>
                <w:sz w:val="20"/>
                <w:szCs w:val="20"/>
              </w:rPr>
            </w:pPr>
            <w:r w:rsidRPr="00A82749">
              <w:rPr>
                <w:sz w:val="20"/>
                <w:szCs w:val="20"/>
              </w:rPr>
              <w:t>Dysport or Xeomin for unilateral blepharospasm in a patient who is at least 18 years of age, including all such injections on any one day</w:t>
            </w:r>
            <w:r w:rsidR="0077789B" w:rsidRPr="00A82749">
              <w:rPr>
                <w:sz w:val="20"/>
                <w:szCs w:val="20"/>
              </w:rPr>
              <w:t>.</w:t>
            </w:r>
          </w:p>
        </w:tc>
      </w:tr>
      <w:tr w:rsidR="006C4FCF" w:rsidTr="00A77C2C">
        <w:tc>
          <w:tcPr>
            <w:tcW w:w="1101" w:type="dxa"/>
          </w:tcPr>
          <w:p w:rsidR="006C4FCF" w:rsidRPr="00A82749" w:rsidRDefault="006C4FCF" w:rsidP="00A77C2C">
            <w:pPr>
              <w:rPr>
                <w:rFonts w:eastAsia="MS Mincho" w:cs="Times New Roman"/>
                <w:sz w:val="20"/>
                <w:szCs w:val="20"/>
              </w:rPr>
            </w:pPr>
            <w:r w:rsidRPr="00A82749">
              <w:rPr>
                <w:rFonts w:eastAsia="MS Mincho" w:cs="Times New Roman"/>
                <w:sz w:val="20"/>
                <w:szCs w:val="20"/>
              </w:rPr>
              <w:t>18370</w:t>
            </w:r>
          </w:p>
        </w:tc>
        <w:tc>
          <w:tcPr>
            <w:tcW w:w="8072" w:type="dxa"/>
          </w:tcPr>
          <w:p w:rsidR="006C4FCF" w:rsidRPr="00A82749" w:rsidRDefault="006C4FCF" w:rsidP="00A77C2C">
            <w:pPr>
              <w:rPr>
                <w:rFonts w:eastAsia="MS Mincho" w:cs="Times New Roman"/>
                <w:sz w:val="20"/>
                <w:szCs w:val="20"/>
              </w:rPr>
            </w:pPr>
            <w:r w:rsidRPr="00A82749">
              <w:rPr>
                <w:sz w:val="20"/>
                <w:szCs w:val="20"/>
              </w:rPr>
              <w:t xml:space="preserve">Botox for unilateral blepharospasm in a patient </w:t>
            </w:r>
            <w:r w:rsidR="002C67DD" w:rsidRPr="00A82749">
              <w:rPr>
                <w:sz w:val="20"/>
                <w:szCs w:val="20"/>
              </w:rPr>
              <w:t>≥</w:t>
            </w:r>
            <w:r w:rsidRPr="00A82749">
              <w:rPr>
                <w:sz w:val="20"/>
                <w:szCs w:val="20"/>
              </w:rPr>
              <w:t>12 years of age, including all such injections on any one day</w:t>
            </w:r>
          </w:p>
        </w:tc>
      </w:tr>
      <w:tr w:rsidR="006C4FCF" w:rsidTr="00A77C2C">
        <w:tc>
          <w:tcPr>
            <w:tcW w:w="1101" w:type="dxa"/>
          </w:tcPr>
          <w:p w:rsidR="006C4FCF" w:rsidRPr="00A82749" w:rsidRDefault="006C4FCF" w:rsidP="00A77C2C">
            <w:pPr>
              <w:rPr>
                <w:rFonts w:eastAsia="MS Mincho" w:cs="Times New Roman"/>
                <w:sz w:val="20"/>
                <w:szCs w:val="20"/>
              </w:rPr>
            </w:pPr>
            <w:r w:rsidRPr="00A82749">
              <w:rPr>
                <w:rFonts w:eastAsia="MS Mincho" w:cs="Times New Roman"/>
                <w:sz w:val="20"/>
                <w:szCs w:val="20"/>
              </w:rPr>
              <w:t>18372</w:t>
            </w:r>
          </w:p>
        </w:tc>
        <w:tc>
          <w:tcPr>
            <w:tcW w:w="8072" w:type="dxa"/>
          </w:tcPr>
          <w:p w:rsidR="006C4FCF" w:rsidRPr="00A82749" w:rsidRDefault="006C4FCF" w:rsidP="00A77C2C">
            <w:pPr>
              <w:rPr>
                <w:rFonts w:eastAsia="MS Mincho" w:cs="Times New Roman"/>
                <w:sz w:val="20"/>
                <w:szCs w:val="20"/>
              </w:rPr>
            </w:pPr>
            <w:r w:rsidRPr="00A82749">
              <w:rPr>
                <w:sz w:val="20"/>
                <w:szCs w:val="20"/>
              </w:rPr>
              <w:t xml:space="preserve">Botox for bilateral blepharospasm, in a patient </w:t>
            </w:r>
            <w:r w:rsidR="002C67DD" w:rsidRPr="00A82749">
              <w:rPr>
                <w:sz w:val="20"/>
                <w:szCs w:val="20"/>
              </w:rPr>
              <w:t>≥</w:t>
            </w:r>
            <w:r w:rsidRPr="00A82749">
              <w:rPr>
                <w:sz w:val="20"/>
                <w:szCs w:val="20"/>
              </w:rPr>
              <w:t>12 years of age; including all such injections on any one day</w:t>
            </w:r>
          </w:p>
        </w:tc>
      </w:tr>
      <w:tr w:rsidR="006C4FCF" w:rsidTr="00A77C2C">
        <w:tc>
          <w:tcPr>
            <w:tcW w:w="1101" w:type="dxa"/>
          </w:tcPr>
          <w:p w:rsidR="006C4FCF" w:rsidRPr="00A82749" w:rsidRDefault="006C4FCF" w:rsidP="00A77C2C">
            <w:pPr>
              <w:rPr>
                <w:rFonts w:eastAsia="MS Mincho" w:cs="Times New Roman"/>
                <w:sz w:val="20"/>
                <w:szCs w:val="20"/>
              </w:rPr>
            </w:pPr>
            <w:r w:rsidRPr="00A82749">
              <w:rPr>
                <w:rFonts w:eastAsia="MS Mincho" w:cs="Times New Roman"/>
                <w:sz w:val="20"/>
                <w:szCs w:val="20"/>
              </w:rPr>
              <w:t>18374</w:t>
            </w:r>
          </w:p>
        </w:tc>
        <w:tc>
          <w:tcPr>
            <w:tcW w:w="8072" w:type="dxa"/>
          </w:tcPr>
          <w:p w:rsidR="006C4FCF" w:rsidRPr="00A82749" w:rsidRDefault="006C4FCF" w:rsidP="00A77C2C">
            <w:pPr>
              <w:rPr>
                <w:rFonts w:eastAsia="MS Mincho" w:cs="Times New Roman"/>
                <w:sz w:val="20"/>
                <w:szCs w:val="20"/>
              </w:rPr>
            </w:pPr>
            <w:r w:rsidRPr="00A82749">
              <w:rPr>
                <w:sz w:val="20"/>
                <w:szCs w:val="20"/>
              </w:rPr>
              <w:t>Dysport or Xeomin for</w:t>
            </w:r>
            <w:r w:rsidR="002C67DD" w:rsidRPr="00A82749">
              <w:rPr>
                <w:sz w:val="20"/>
                <w:szCs w:val="20"/>
              </w:rPr>
              <w:t xml:space="preserve"> </w:t>
            </w:r>
            <w:r w:rsidRPr="00A82749">
              <w:rPr>
                <w:sz w:val="20"/>
                <w:szCs w:val="20"/>
              </w:rPr>
              <w:t xml:space="preserve">bilateral blepharospasm in a patient </w:t>
            </w:r>
            <w:r w:rsidR="002C67DD" w:rsidRPr="00A82749">
              <w:rPr>
                <w:sz w:val="20"/>
                <w:szCs w:val="20"/>
              </w:rPr>
              <w:t>≥</w:t>
            </w:r>
            <w:r w:rsidRPr="00A82749">
              <w:rPr>
                <w:sz w:val="20"/>
                <w:szCs w:val="20"/>
              </w:rPr>
              <w:t>18 years of age, including all such injections on any one day</w:t>
            </w:r>
          </w:p>
        </w:tc>
      </w:tr>
    </w:tbl>
    <w:p w:rsidR="00855AFB" w:rsidRPr="00BF7C8F" w:rsidRDefault="00855AFB" w:rsidP="00BF7C8F">
      <w:pPr>
        <w:spacing w:after="0"/>
        <w:rPr>
          <w:rFonts w:ascii="Calibri" w:eastAsia="MS Mincho" w:hAnsi="Calibri" w:cs="Times New Roman"/>
          <w:sz w:val="20"/>
          <w:szCs w:val="20"/>
        </w:rPr>
      </w:pPr>
      <w:r w:rsidRPr="00BF7C8F">
        <w:rPr>
          <w:rFonts w:ascii="Calibri" w:eastAsia="MS Mincho" w:hAnsi="Calibri" w:cs="Times New Roman"/>
          <w:sz w:val="20"/>
          <w:szCs w:val="20"/>
        </w:rPr>
        <w:t>Source:</w:t>
      </w:r>
      <w:r w:rsidR="00AA5D67" w:rsidRPr="00BF7C8F">
        <w:rPr>
          <w:rFonts w:ascii="Calibri" w:eastAsia="MS Mincho" w:hAnsi="Calibri" w:cs="Times New Roman"/>
          <w:sz w:val="20"/>
          <w:szCs w:val="20"/>
        </w:rPr>
        <w:t xml:space="preserve"> MBS Online Medicare Benefits Schedule. </w:t>
      </w:r>
      <w:proofErr w:type="gramStart"/>
      <w:r w:rsidR="00AA5D67" w:rsidRPr="00BF7C8F">
        <w:rPr>
          <w:rFonts w:ascii="Calibri" w:eastAsia="MS Mincho" w:hAnsi="Calibri" w:cs="Times New Roman"/>
          <w:sz w:val="20"/>
          <w:szCs w:val="20"/>
        </w:rPr>
        <w:t>Accessed 18 April 2018.</w:t>
      </w:r>
      <w:proofErr w:type="gramEnd"/>
    </w:p>
    <w:p w:rsidR="00AA5D67" w:rsidRPr="00BF7C8F" w:rsidRDefault="00AA5D67" w:rsidP="00BF7C8F">
      <w:pPr>
        <w:spacing w:after="0"/>
        <w:rPr>
          <w:rFonts w:ascii="Calibri" w:eastAsia="MS Mincho" w:hAnsi="Calibri" w:cs="Times New Roman"/>
          <w:sz w:val="20"/>
          <w:szCs w:val="20"/>
        </w:rPr>
      </w:pPr>
      <w:r w:rsidRPr="00BF7C8F">
        <w:rPr>
          <w:rFonts w:ascii="Calibri" w:eastAsia="MS Mincho" w:hAnsi="Calibri" w:cs="Times New Roman"/>
          <w:sz w:val="20"/>
          <w:szCs w:val="20"/>
          <w:vertAlign w:val="superscript"/>
        </w:rPr>
        <w:t>*</w:t>
      </w:r>
      <w:r w:rsidRPr="00BF7C8F">
        <w:rPr>
          <w:rFonts w:ascii="Calibri" w:eastAsia="MS Mincho" w:hAnsi="Calibri" w:cs="Times New Roman"/>
          <w:sz w:val="20"/>
          <w:szCs w:val="20"/>
        </w:rPr>
        <w:t>This MBS item for focal spasticity is broad</w:t>
      </w:r>
      <w:r w:rsidR="00BF7C8F">
        <w:rPr>
          <w:rFonts w:ascii="Calibri" w:eastAsia="MS Mincho" w:hAnsi="Calibri" w:cs="Times New Roman"/>
          <w:sz w:val="20"/>
          <w:szCs w:val="20"/>
        </w:rPr>
        <w:t xml:space="preserve"> and is included in this review as there is potential for it to be used for </w:t>
      </w:r>
      <w:r w:rsidR="0022672C">
        <w:rPr>
          <w:rFonts w:ascii="Calibri" w:eastAsia="MS Mincho" w:hAnsi="Calibri" w:cs="Times New Roman"/>
          <w:sz w:val="20"/>
          <w:szCs w:val="20"/>
        </w:rPr>
        <w:t>inj</w:t>
      </w:r>
      <w:r w:rsidR="00351D5C">
        <w:rPr>
          <w:rFonts w:ascii="Calibri" w:eastAsia="MS Mincho" w:hAnsi="Calibri" w:cs="Times New Roman"/>
          <w:sz w:val="20"/>
          <w:szCs w:val="20"/>
        </w:rPr>
        <w:t>e</w:t>
      </w:r>
      <w:r w:rsidR="0022672C">
        <w:rPr>
          <w:rFonts w:ascii="Calibri" w:eastAsia="MS Mincho" w:hAnsi="Calibri" w:cs="Times New Roman"/>
          <w:sz w:val="20"/>
          <w:szCs w:val="20"/>
        </w:rPr>
        <w:t>ction</w:t>
      </w:r>
      <w:r w:rsidR="00BF7C8F">
        <w:rPr>
          <w:rFonts w:ascii="Calibri" w:eastAsia="MS Mincho" w:hAnsi="Calibri" w:cs="Times New Roman"/>
          <w:sz w:val="20"/>
          <w:szCs w:val="20"/>
        </w:rPr>
        <w:t xml:space="preserve"> of PBS subsidised botulinum toxin A.</w:t>
      </w:r>
    </w:p>
    <w:p w:rsidR="00A82749" w:rsidRDefault="00A82749">
      <w:pPr>
        <w:spacing w:line="276" w:lineRule="auto"/>
        <w:rPr>
          <w:rFonts w:ascii="Calibri" w:eastAsia="MS Mincho" w:hAnsi="Calibri" w:cs="Times New Roman"/>
        </w:rPr>
      </w:pPr>
      <w:r>
        <w:rPr>
          <w:rFonts w:ascii="Calibri" w:eastAsia="MS Mincho" w:hAnsi="Calibri" w:cs="Times New Roman"/>
        </w:rPr>
        <w:br w:type="page"/>
      </w:r>
    </w:p>
    <w:p w:rsidR="00351D5C" w:rsidRPr="00351D5C" w:rsidRDefault="00673771" w:rsidP="00351D5C">
      <w:pPr>
        <w:spacing w:before="120"/>
        <w:rPr>
          <w:rFonts w:ascii="Calibri" w:eastAsia="MS Mincho" w:hAnsi="Calibri" w:cs="Times New Roman"/>
        </w:rPr>
      </w:pPr>
      <w:r>
        <w:rPr>
          <w:rFonts w:ascii="Calibri" w:eastAsia="MS Mincho" w:hAnsi="Calibri" w:cs="Times New Roman"/>
        </w:rPr>
        <w:lastRenderedPageBreak/>
        <w:t>T</w:t>
      </w:r>
      <w:r w:rsidR="00440DED">
        <w:rPr>
          <w:rFonts w:ascii="Calibri" w:eastAsia="MS Mincho" w:hAnsi="Calibri" w:cs="Times New Roman"/>
        </w:rPr>
        <w:t xml:space="preserve">here are MBS items for strabismus (18366) and spasmodic dysphonia (18368), but no corresponding PBS </w:t>
      </w:r>
      <w:r w:rsidR="00797A88">
        <w:rPr>
          <w:rFonts w:ascii="Calibri" w:eastAsia="MS Mincho" w:hAnsi="Calibri" w:cs="Times New Roman"/>
        </w:rPr>
        <w:t xml:space="preserve">subsidy </w:t>
      </w:r>
      <w:r w:rsidR="00440DED">
        <w:rPr>
          <w:rFonts w:ascii="Calibri" w:eastAsia="MS Mincho" w:hAnsi="Calibri" w:cs="Times New Roman"/>
        </w:rPr>
        <w:t>for these indications</w:t>
      </w:r>
      <w:r w:rsidR="000B491E" w:rsidRPr="00956D1B">
        <w:rPr>
          <w:rFonts w:ascii="Calibri" w:eastAsia="MS Mincho" w:hAnsi="Calibri" w:cs="Times New Roman"/>
        </w:rPr>
        <w:t>.</w:t>
      </w:r>
      <w:r w:rsidR="00351D5C">
        <w:rPr>
          <w:rFonts w:ascii="Calibri" w:eastAsia="MS Mincho" w:hAnsi="Calibri" w:cs="Times New Roman"/>
        </w:rPr>
        <w:t xml:space="preserve"> </w:t>
      </w:r>
      <w:r w:rsidR="00E155B5">
        <w:rPr>
          <w:rFonts w:ascii="Calibri" w:eastAsia="MS Mincho" w:hAnsi="Calibri" w:cs="Times New Roman"/>
        </w:rPr>
        <w:t>T</w:t>
      </w:r>
      <w:r w:rsidR="00351D5C">
        <w:rPr>
          <w:rFonts w:ascii="Calibri" w:eastAsia="MS Mincho" w:hAnsi="Calibri" w:cs="Times New Roman"/>
        </w:rPr>
        <w:t xml:space="preserve">here are </w:t>
      </w:r>
      <w:r w:rsidR="00E155B5">
        <w:rPr>
          <w:rFonts w:ascii="Calibri" w:eastAsia="MS Mincho" w:hAnsi="Calibri" w:cs="Times New Roman"/>
        </w:rPr>
        <w:t xml:space="preserve">also </w:t>
      </w:r>
      <w:r w:rsidR="00351D5C">
        <w:rPr>
          <w:rFonts w:ascii="Calibri" w:eastAsia="MS Mincho" w:hAnsi="Calibri" w:cs="Times New Roman"/>
        </w:rPr>
        <w:t xml:space="preserve">MBS items for </w:t>
      </w:r>
      <w:r w:rsidR="003675AC">
        <w:rPr>
          <w:rFonts w:ascii="Calibri" w:eastAsia="MS Mincho" w:hAnsi="Calibri" w:cs="Times New Roman"/>
        </w:rPr>
        <w:t>s</w:t>
      </w:r>
      <w:r w:rsidR="00351D5C" w:rsidRPr="00351D5C">
        <w:rPr>
          <w:rFonts w:ascii="Calibri" w:eastAsia="MS Mincho" w:hAnsi="Calibri" w:cs="Times New Roman"/>
        </w:rPr>
        <w:t>evere</w:t>
      </w:r>
      <w:r w:rsidR="00351D5C">
        <w:rPr>
          <w:rFonts w:ascii="Calibri" w:eastAsia="MS Mincho" w:hAnsi="Calibri" w:cs="Times New Roman"/>
        </w:rPr>
        <w:t xml:space="preserve"> primary axillary hyperhidrosis (</w:t>
      </w:r>
      <w:r w:rsidR="00351D5C" w:rsidRPr="00351D5C">
        <w:rPr>
          <w:rFonts w:ascii="Calibri" w:eastAsia="MS Mincho" w:hAnsi="Calibri" w:cs="Times New Roman"/>
        </w:rPr>
        <w:t>18362</w:t>
      </w:r>
      <w:r w:rsidR="00351D5C">
        <w:rPr>
          <w:rFonts w:ascii="Calibri" w:eastAsia="MS Mincho" w:hAnsi="Calibri" w:cs="Times New Roman"/>
        </w:rPr>
        <w:t xml:space="preserve">), </w:t>
      </w:r>
      <w:r w:rsidR="003675AC">
        <w:rPr>
          <w:rFonts w:ascii="Calibri" w:eastAsia="MS Mincho" w:hAnsi="Calibri" w:cs="Times New Roman"/>
        </w:rPr>
        <w:t>u</w:t>
      </w:r>
      <w:r w:rsidR="00351D5C" w:rsidRPr="00351D5C">
        <w:rPr>
          <w:rFonts w:ascii="Calibri" w:eastAsia="MS Mincho" w:hAnsi="Calibri" w:cs="Times New Roman"/>
        </w:rPr>
        <w:t>rinary incontinence</w:t>
      </w:r>
      <w:r w:rsidR="003675AC">
        <w:rPr>
          <w:rFonts w:ascii="Calibri" w:eastAsia="MS Mincho" w:hAnsi="Calibri" w:cs="Times New Roman"/>
        </w:rPr>
        <w:t xml:space="preserve"> (</w:t>
      </w:r>
      <w:r w:rsidR="003675AC" w:rsidRPr="00351D5C">
        <w:rPr>
          <w:rFonts w:ascii="Calibri" w:eastAsia="MS Mincho" w:hAnsi="Calibri" w:cs="Times New Roman"/>
        </w:rPr>
        <w:t>18375</w:t>
      </w:r>
      <w:proofErr w:type="gramStart"/>
      <w:r w:rsidR="003675AC">
        <w:rPr>
          <w:rFonts w:ascii="Calibri" w:eastAsia="MS Mincho" w:hAnsi="Calibri" w:cs="Times New Roman"/>
        </w:rPr>
        <w:t>,18379</w:t>
      </w:r>
      <w:proofErr w:type="gramEnd"/>
      <w:r w:rsidR="003675AC">
        <w:rPr>
          <w:rFonts w:ascii="Calibri" w:eastAsia="MS Mincho" w:hAnsi="Calibri" w:cs="Times New Roman"/>
        </w:rPr>
        <w:t>) and chronic migraine (18377) which have corresponding PBS items</w:t>
      </w:r>
      <w:r w:rsidR="00E155B5">
        <w:rPr>
          <w:rFonts w:ascii="Calibri" w:eastAsia="MS Mincho" w:hAnsi="Calibri" w:cs="Times New Roman"/>
        </w:rPr>
        <w:t xml:space="preserve"> but are out of scope </w:t>
      </w:r>
      <w:r w:rsidR="00293312">
        <w:rPr>
          <w:rFonts w:ascii="Calibri" w:eastAsia="MS Mincho" w:hAnsi="Calibri" w:cs="Times New Roman"/>
        </w:rPr>
        <w:t>of</w:t>
      </w:r>
      <w:r w:rsidR="00E155B5">
        <w:rPr>
          <w:rFonts w:ascii="Calibri" w:eastAsia="MS Mincho" w:hAnsi="Calibri" w:cs="Times New Roman"/>
        </w:rPr>
        <w:t xml:space="preserve"> this review</w:t>
      </w:r>
      <w:r w:rsidR="003675AC">
        <w:rPr>
          <w:rFonts w:ascii="Calibri" w:eastAsia="MS Mincho" w:hAnsi="Calibri" w:cs="Times New Roman"/>
        </w:rPr>
        <w:t>.</w:t>
      </w:r>
    </w:p>
    <w:p w:rsidR="00673771" w:rsidRDefault="00673771" w:rsidP="00956D1B">
      <w:pPr>
        <w:spacing w:before="120"/>
        <w:rPr>
          <w:rFonts w:ascii="Calibri" w:eastAsia="MS Mincho" w:hAnsi="Calibri" w:cs="Baskerville"/>
        </w:rPr>
      </w:pPr>
      <w:r>
        <w:rPr>
          <w:rFonts w:ascii="Calibri" w:eastAsia="MS Mincho" w:hAnsi="Calibri" w:cs="Baskerville"/>
        </w:rPr>
        <w:t xml:space="preserve">In addition, electrical stimulation, electromyography, ultrasound or a combination of these are </w:t>
      </w:r>
      <w:r w:rsidR="007B051A">
        <w:rPr>
          <w:rFonts w:ascii="Calibri" w:eastAsia="MS Mincho" w:hAnsi="Calibri" w:cs="Baskerville"/>
        </w:rPr>
        <w:t>generally</w:t>
      </w:r>
      <w:r>
        <w:rPr>
          <w:rFonts w:ascii="Calibri" w:eastAsia="MS Mincho" w:hAnsi="Calibri" w:cs="Baskerville"/>
        </w:rPr>
        <w:t xml:space="preserve"> used for </w:t>
      </w:r>
      <w:r w:rsidR="007B051A">
        <w:rPr>
          <w:rFonts w:ascii="Calibri" w:eastAsia="MS Mincho" w:hAnsi="Calibri" w:cs="Baskerville"/>
        </w:rPr>
        <w:t>localisation</w:t>
      </w:r>
      <w:r>
        <w:rPr>
          <w:rFonts w:ascii="Calibri" w:eastAsia="MS Mincho" w:hAnsi="Calibri" w:cs="Baskerville"/>
        </w:rPr>
        <w:t xml:space="preserve"> of the muscle and neuromuscular receptors.</w:t>
      </w:r>
      <w:r w:rsidRPr="00673771">
        <w:rPr>
          <w:rFonts w:ascii="Calibri" w:eastAsia="MS Mincho" w:hAnsi="Calibri" w:cs="Baskerville"/>
          <w:vertAlign w:val="superscript"/>
        </w:rPr>
        <w:fldChar w:fldCharType="begin"/>
      </w:r>
      <w:r w:rsidRPr="00673771">
        <w:rPr>
          <w:rFonts w:ascii="Calibri" w:eastAsia="MS Mincho" w:hAnsi="Calibri" w:cs="Baskerville"/>
          <w:vertAlign w:val="superscript"/>
        </w:rPr>
        <w:instrText xml:space="preserve"> NOTEREF _Ref511664304 \h </w:instrText>
      </w:r>
      <w:r>
        <w:rPr>
          <w:rFonts w:ascii="Calibri" w:eastAsia="MS Mincho" w:hAnsi="Calibri" w:cs="Baskerville"/>
          <w:vertAlign w:val="superscript"/>
        </w:rPr>
        <w:instrText xml:space="preserve"> \* MERGEFORMAT </w:instrText>
      </w:r>
      <w:r w:rsidRPr="00673771">
        <w:rPr>
          <w:rFonts w:ascii="Calibri" w:eastAsia="MS Mincho" w:hAnsi="Calibri" w:cs="Baskerville"/>
          <w:vertAlign w:val="superscript"/>
        </w:rPr>
      </w:r>
      <w:r w:rsidRPr="00673771">
        <w:rPr>
          <w:rFonts w:ascii="Calibri" w:eastAsia="MS Mincho" w:hAnsi="Calibri" w:cs="Baskerville"/>
          <w:vertAlign w:val="superscript"/>
        </w:rPr>
        <w:fldChar w:fldCharType="separate"/>
      </w:r>
      <w:r w:rsidR="006D5284">
        <w:rPr>
          <w:rFonts w:ascii="Calibri" w:eastAsia="MS Mincho" w:hAnsi="Calibri" w:cs="Baskerville"/>
          <w:vertAlign w:val="superscript"/>
        </w:rPr>
        <w:t>1</w:t>
      </w:r>
      <w:r w:rsidRPr="00673771">
        <w:rPr>
          <w:rFonts w:ascii="Calibri" w:eastAsia="MS Mincho" w:hAnsi="Calibri" w:cs="Baskerville"/>
          <w:vertAlign w:val="superscript"/>
        </w:rPr>
        <w:fldChar w:fldCharType="end"/>
      </w:r>
    </w:p>
    <w:p w:rsidR="00956D1B" w:rsidRPr="00956D1B" w:rsidRDefault="00956D1B" w:rsidP="00956D1B">
      <w:pPr>
        <w:spacing w:before="120"/>
        <w:rPr>
          <w:rFonts w:ascii="Calibri" w:eastAsia="MS Mincho" w:hAnsi="Calibri" w:cs="Baskerville"/>
        </w:rPr>
      </w:pPr>
      <w:r w:rsidRPr="00956D1B">
        <w:rPr>
          <w:rFonts w:ascii="Calibri" w:eastAsia="MS Mincho" w:hAnsi="Calibri" w:cs="Baskerville"/>
        </w:rPr>
        <w:t xml:space="preserve">Further information </w:t>
      </w:r>
      <w:r>
        <w:rPr>
          <w:rFonts w:ascii="Calibri" w:eastAsia="MS Mincho" w:hAnsi="Calibri" w:cs="Baskerville"/>
        </w:rPr>
        <w:t xml:space="preserve">on the MBS botulinum toxin injection items </w:t>
      </w:r>
      <w:r w:rsidRPr="00956D1B">
        <w:rPr>
          <w:rFonts w:ascii="Calibri" w:eastAsia="MS Mincho" w:hAnsi="Calibri" w:cs="Baskerville"/>
        </w:rPr>
        <w:t>is available from the MBS online website</w:t>
      </w:r>
      <w:r>
        <w:rPr>
          <w:rStyle w:val="FootnoteReference"/>
          <w:rFonts w:ascii="Calibri" w:eastAsia="MS Mincho" w:hAnsi="Calibri" w:cs="Baskerville"/>
        </w:rPr>
        <w:footnoteReference w:id="5"/>
      </w:r>
      <w:r w:rsidRPr="00956D1B">
        <w:rPr>
          <w:rFonts w:ascii="Calibri" w:eastAsia="MS Mincho" w:hAnsi="Calibri" w:cs="Baskerville"/>
        </w:rPr>
        <w:t>.</w:t>
      </w:r>
    </w:p>
    <w:p w:rsidR="00B87CD5" w:rsidRPr="007E7818" w:rsidRDefault="00B87CD5" w:rsidP="00941706">
      <w:pPr>
        <w:keepNext/>
        <w:keepLines/>
        <w:spacing w:before="480" w:after="240"/>
        <w:outlineLvl w:val="0"/>
        <w:rPr>
          <w:rFonts w:ascii="Calibri" w:eastAsia="MS Gothic" w:hAnsi="Calibri" w:cs="Times New Roman"/>
          <w:b/>
          <w:bCs/>
          <w:sz w:val="32"/>
          <w:szCs w:val="32"/>
        </w:rPr>
      </w:pPr>
      <w:bookmarkStart w:id="4" w:name="_Methods"/>
      <w:bookmarkEnd w:id="4"/>
      <w:r w:rsidRPr="007E7818">
        <w:rPr>
          <w:rFonts w:ascii="Calibri" w:eastAsia="MS Gothic" w:hAnsi="Calibri" w:cs="Times New Roman"/>
          <w:b/>
          <w:bCs/>
          <w:sz w:val="32"/>
          <w:szCs w:val="32"/>
        </w:rPr>
        <w:t>Methods</w:t>
      </w:r>
    </w:p>
    <w:p w:rsidR="00CF70B5" w:rsidRPr="007A7BDB" w:rsidRDefault="00CF70B5" w:rsidP="00CF70B5">
      <w:pPr>
        <w:rPr>
          <w:rFonts w:ascii="Calibri" w:eastAsia="MS Mincho" w:hAnsi="Calibri" w:cs="Times New Roman"/>
          <w:b/>
          <w:i/>
        </w:rPr>
      </w:pPr>
      <w:r>
        <w:rPr>
          <w:rFonts w:ascii="Calibri" w:eastAsia="MS Mincho" w:hAnsi="Calibri" w:cs="Times New Roman"/>
          <w:b/>
          <w:i/>
        </w:rPr>
        <w:t>P</w:t>
      </w:r>
      <w:r w:rsidRPr="007A7BDB">
        <w:rPr>
          <w:rFonts w:ascii="Calibri" w:eastAsia="MS Mincho" w:hAnsi="Calibri" w:cs="Times New Roman"/>
          <w:b/>
          <w:i/>
        </w:rPr>
        <w:t xml:space="preserve">BS </w:t>
      </w:r>
      <w:r>
        <w:rPr>
          <w:rFonts w:ascii="Calibri" w:eastAsia="MS Mincho" w:hAnsi="Calibri" w:cs="Times New Roman"/>
          <w:b/>
          <w:i/>
        </w:rPr>
        <w:t>prescription</w:t>
      </w:r>
      <w:r w:rsidRPr="007A7BDB">
        <w:rPr>
          <w:rFonts w:ascii="Calibri" w:eastAsia="MS Mincho" w:hAnsi="Calibri" w:cs="Times New Roman"/>
          <w:b/>
          <w:i/>
        </w:rPr>
        <w:t xml:space="preserve"> data</w:t>
      </w:r>
    </w:p>
    <w:p w:rsidR="003D755B" w:rsidRPr="007E7818" w:rsidRDefault="003D755B" w:rsidP="003D755B">
      <w:pPr>
        <w:rPr>
          <w:rFonts w:ascii="Calibri" w:eastAsia="MS Mincho" w:hAnsi="Calibri" w:cs="Times New Roman"/>
        </w:rPr>
      </w:pPr>
      <w:r w:rsidRPr="007E7818">
        <w:rPr>
          <w:rFonts w:ascii="Calibri" w:eastAsia="MS Mincho" w:hAnsi="Calibri" w:cs="Times New Roman"/>
        </w:rPr>
        <w:t>PBS prescription data for botulinum toxin from 1 September 2015 to 31 December 201</w:t>
      </w:r>
      <w:r w:rsidR="007E7818">
        <w:rPr>
          <w:rFonts w:ascii="Calibri" w:eastAsia="MS Mincho" w:hAnsi="Calibri" w:cs="Times New Roman"/>
        </w:rPr>
        <w:t>7</w:t>
      </w:r>
      <w:r w:rsidRPr="007E7818">
        <w:rPr>
          <w:rFonts w:ascii="Calibri" w:eastAsia="MS Mincho" w:hAnsi="Calibri" w:cs="Times New Roman"/>
        </w:rPr>
        <w:t xml:space="preserve"> were extracted from the DHS prescription database based on the date of dispensing. The date of dispensing may differ from the date of administration because</w:t>
      </w:r>
      <w:r w:rsidRPr="007E7818">
        <w:t xml:space="preserve"> </w:t>
      </w:r>
      <w:r w:rsidRPr="007E7818">
        <w:rPr>
          <w:rFonts w:ascii="Calibri" w:eastAsia="MS Mincho" w:hAnsi="Calibri" w:cs="Times New Roman"/>
        </w:rPr>
        <w:t>prescribers may order botulinum toxin medicines from hospital pharmacies in advance of providing a valid PBS prescription/s to cover the supply. PBS Regulations require prescribers to make prescriptions available within seven days of a verbal or written order</w:t>
      </w:r>
      <w:r w:rsidR="00E67737" w:rsidRPr="007E7818">
        <w:rPr>
          <w:rStyle w:val="FootnoteReference"/>
          <w:rFonts w:ascii="Calibri" w:eastAsia="MS Mincho" w:hAnsi="Calibri" w:cs="Times New Roman"/>
        </w:rPr>
        <w:footnoteReference w:id="6"/>
      </w:r>
      <w:r w:rsidRPr="007E7818">
        <w:rPr>
          <w:rFonts w:ascii="Calibri" w:eastAsia="MS Mincho" w:hAnsi="Calibri" w:cs="Times New Roman"/>
        </w:rPr>
        <w:t xml:space="preserve">. The date of processing of the PBS prescription may also differ from the date of dispensing. Consequently there may be differences in data reported by date of dispensing or processing (such as that available publicly available from </w:t>
      </w:r>
      <w:hyperlink r:id="rId18" w:anchor="a2" w:history="1">
        <w:r w:rsidRPr="007E7818">
          <w:rPr>
            <w:rStyle w:val="Hyperlink"/>
            <w:rFonts w:ascii="Calibri" w:eastAsia="MS Mincho" w:hAnsi="Calibri" w:cs="Times New Roman"/>
          </w:rPr>
          <w:t>DHS Medicare website</w:t>
        </w:r>
      </w:hyperlink>
      <w:r w:rsidRPr="007E7818">
        <w:rPr>
          <w:rFonts w:ascii="Calibri" w:eastAsia="MS Mincho" w:hAnsi="Calibri" w:cs="Times New Roman"/>
        </w:rPr>
        <w:t xml:space="preserve">). </w:t>
      </w:r>
    </w:p>
    <w:p w:rsidR="003D755B" w:rsidRDefault="003D755B" w:rsidP="007E7818">
      <w:pPr>
        <w:rPr>
          <w:rFonts w:ascii="Calibri" w:eastAsia="MS Mincho" w:hAnsi="Calibri" w:cs="Times New Roman"/>
        </w:rPr>
      </w:pPr>
      <w:r w:rsidRPr="007E7818">
        <w:rPr>
          <w:rFonts w:ascii="Calibri" w:eastAsia="MS Mincho" w:hAnsi="Calibri" w:cs="Times New Roman"/>
        </w:rPr>
        <w:t xml:space="preserve">PBS prescription data were used to determine the number of prescriptions supplied, the </w:t>
      </w:r>
      <w:r w:rsidR="007E7818" w:rsidRPr="007E7818">
        <w:rPr>
          <w:rFonts w:ascii="Calibri" w:eastAsia="MS Mincho" w:hAnsi="Calibri" w:cs="Times New Roman"/>
        </w:rPr>
        <w:t>time to resupply of prescriptions</w:t>
      </w:r>
      <w:r w:rsidR="007E7818">
        <w:rPr>
          <w:rFonts w:ascii="Calibri" w:eastAsia="MS Mincho" w:hAnsi="Calibri" w:cs="Times New Roman"/>
        </w:rPr>
        <w:t>, incident and prevalent patient counts.</w:t>
      </w:r>
      <w:r w:rsidR="00F4648B">
        <w:rPr>
          <w:rFonts w:ascii="Calibri" w:eastAsia="MS Mincho" w:hAnsi="Calibri" w:cs="Times New Roman"/>
        </w:rPr>
        <w:t xml:space="preserve"> Prescription indications were determined using Streamlined Authority code</w:t>
      </w:r>
      <w:r w:rsidR="004F7772">
        <w:rPr>
          <w:rFonts w:ascii="Calibri" w:eastAsia="MS Mincho" w:hAnsi="Calibri" w:cs="Times New Roman"/>
        </w:rPr>
        <w:t>s</w:t>
      </w:r>
      <w:r w:rsidR="00F4648B">
        <w:rPr>
          <w:rFonts w:ascii="Calibri" w:eastAsia="MS Mincho" w:hAnsi="Calibri" w:cs="Times New Roman"/>
        </w:rPr>
        <w:t xml:space="preserve"> for the period 1</w:t>
      </w:r>
      <w:r w:rsidR="008E1B1E">
        <w:rPr>
          <w:rFonts w:ascii="Calibri" w:eastAsia="MS Mincho" w:hAnsi="Calibri" w:cs="Times New Roman"/>
        </w:rPr>
        <w:t> </w:t>
      </w:r>
      <w:r w:rsidR="00F4648B">
        <w:rPr>
          <w:rFonts w:ascii="Calibri" w:eastAsia="MS Mincho" w:hAnsi="Calibri" w:cs="Times New Roman"/>
        </w:rPr>
        <w:t>September</w:t>
      </w:r>
      <w:r w:rsidR="008E1B1E">
        <w:rPr>
          <w:rFonts w:ascii="Calibri" w:eastAsia="MS Mincho" w:hAnsi="Calibri" w:cs="Times New Roman"/>
        </w:rPr>
        <w:t> </w:t>
      </w:r>
      <w:r w:rsidR="00F4648B">
        <w:rPr>
          <w:rFonts w:ascii="Calibri" w:eastAsia="MS Mincho" w:hAnsi="Calibri" w:cs="Times New Roman"/>
        </w:rPr>
        <w:t>2015 to 31</w:t>
      </w:r>
      <w:r w:rsidR="008E1B1E">
        <w:rPr>
          <w:rFonts w:ascii="Calibri" w:eastAsia="MS Mincho" w:hAnsi="Calibri" w:cs="Times New Roman"/>
        </w:rPr>
        <w:t> </w:t>
      </w:r>
      <w:r w:rsidR="00F4648B">
        <w:rPr>
          <w:rFonts w:ascii="Calibri" w:eastAsia="MS Mincho" w:hAnsi="Calibri" w:cs="Times New Roman"/>
        </w:rPr>
        <w:t>December</w:t>
      </w:r>
      <w:r w:rsidR="008E1B1E">
        <w:rPr>
          <w:rFonts w:ascii="Calibri" w:eastAsia="MS Mincho" w:hAnsi="Calibri" w:cs="Times New Roman"/>
        </w:rPr>
        <w:t> </w:t>
      </w:r>
      <w:r w:rsidR="00F4648B">
        <w:rPr>
          <w:rFonts w:ascii="Calibri" w:eastAsia="MS Mincho" w:hAnsi="Calibri" w:cs="Times New Roman"/>
        </w:rPr>
        <w:t xml:space="preserve">2016 when the PBS item codes were not indication specific </w:t>
      </w:r>
      <w:r w:rsidR="000D1F2F">
        <w:rPr>
          <w:rFonts w:ascii="Calibri" w:eastAsia="MS Mincho" w:hAnsi="Calibri" w:cs="Times New Roman"/>
        </w:rPr>
        <w:t>(</w:t>
      </w:r>
      <w:r w:rsidR="00F4648B">
        <w:rPr>
          <w:rFonts w:ascii="Calibri" w:eastAsia="MS Mincho" w:hAnsi="Calibri" w:cs="Times New Roman"/>
        </w:rPr>
        <w:t>see Table</w:t>
      </w:r>
      <w:r w:rsidR="008E1B1E">
        <w:rPr>
          <w:rFonts w:ascii="Calibri" w:eastAsia="MS Mincho" w:hAnsi="Calibri" w:cs="Times New Roman"/>
        </w:rPr>
        <w:t> </w:t>
      </w:r>
      <w:r w:rsidR="00763188">
        <w:rPr>
          <w:rFonts w:ascii="Calibri" w:eastAsia="MS Mincho" w:hAnsi="Calibri" w:cs="Times New Roman"/>
        </w:rPr>
        <w:t>5</w:t>
      </w:r>
      <w:r w:rsidR="00F4648B">
        <w:rPr>
          <w:rFonts w:ascii="Calibri" w:eastAsia="MS Mincho" w:hAnsi="Calibri" w:cs="Times New Roman"/>
        </w:rPr>
        <w:t>). New PBS item codes were introduced on 1</w:t>
      </w:r>
      <w:r w:rsidR="008E1B1E">
        <w:rPr>
          <w:rFonts w:ascii="Calibri" w:eastAsia="MS Mincho" w:hAnsi="Calibri" w:cs="Times New Roman"/>
        </w:rPr>
        <w:t> </w:t>
      </w:r>
      <w:r w:rsidR="00F4648B">
        <w:rPr>
          <w:rFonts w:ascii="Calibri" w:eastAsia="MS Mincho" w:hAnsi="Calibri" w:cs="Times New Roman"/>
        </w:rPr>
        <w:t>January</w:t>
      </w:r>
      <w:r w:rsidR="008E1B1E">
        <w:rPr>
          <w:rFonts w:ascii="Calibri" w:eastAsia="MS Mincho" w:hAnsi="Calibri" w:cs="Times New Roman"/>
        </w:rPr>
        <w:t> </w:t>
      </w:r>
      <w:r w:rsidR="00F4648B">
        <w:rPr>
          <w:rFonts w:ascii="Calibri" w:eastAsia="MS Mincho" w:hAnsi="Calibri" w:cs="Times New Roman"/>
        </w:rPr>
        <w:t xml:space="preserve">2017. These were indication specific so indications were allocated on the basis of PBS item codes alone. An exception was in order to distinguish between </w:t>
      </w:r>
      <w:r w:rsidR="008E1B1E">
        <w:rPr>
          <w:rFonts w:ascii="Calibri" w:eastAsia="MS Mincho" w:hAnsi="Calibri" w:cs="Times New Roman"/>
        </w:rPr>
        <w:t>cerebral p</w:t>
      </w:r>
      <w:r w:rsidR="003B6388">
        <w:rPr>
          <w:rFonts w:ascii="Calibri" w:eastAsia="MS Mincho" w:hAnsi="Calibri" w:cs="Times New Roman"/>
        </w:rPr>
        <w:t>alsy and</w:t>
      </w:r>
      <w:r w:rsidR="008E1B1E">
        <w:rPr>
          <w:rFonts w:ascii="Calibri" w:eastAsia="MS Mincho" w:hAnsi="Calibri" w:cs="Times New Roman"/>
        </w:rPr>
        <w:t xml:space="preserve"> stroke</w:t>
      </w:r>
      <w:r w:rsidR="00365A50">
        <w:rPr>
          <w:rFonts w:ascii="Calibri" w:eastAsia="MS Mincho" w:hAnsi="Calibri" w:cs="Times New Roman"/>
        </w:rPr>
        <w:t xml:space="preserve"> </w:t>
      </w:r>
      <w:r w:rsidR="008E1B1E">
        <w:rPr>
          <w:rFonts w:ascii="Calibri" w:eastAsia="MS Mincho" w:hAnsi="Calibri" w:cs="Times New Roman"/>
        </w:rPr>
        <w:t xml:space="preserve">for </w:t>
      </w:r>
      <w:r w:rsidR="00CF70B5">
        <w:rPr>
          <w:rFonts w:ascii="Calibri" w:eastAsia="MS Mincho" w:hAnsi="Calibri" w:cs="Times New Roman"/>
        </w:rPr>
        <w:t>sp</w:t>
      </w:r>
      <w:r w:rsidR="00F4648B" w:rsidRPr="00F4648B">
        <w:rPr>
          <w:rFonts w:ascii="Calibri" w:eastAsia="MS Mincho" w:hAnsi="Calibri" w:cs="Times New Roman"/>
        </w:rPr>
        <w:t>asticity of the upper limb</w:t>
      </w:r>
      <w:r w:rsidR="00F4648B">
        <w:rPr>
          <w:rFonts w:ascii="Calibri" w:eastAsia="MS Mincho" w:hAnsi="Calibri" w:cs="Times New Roman"/>
        </w:rPr>
        <w:t xml:space="preserve"> it was necessary to have regard to the Streamlined Authority codes for item 10999X (</w:t>
      </w:r>
      <w:r w:rsidR="008C0CD9">
        <w:rPr>
          <w:rFonts w:ascii="Calibri" w:eastAsia="MS Mincho" w:hAnsi="Calibri" w:cs="Times New Roman"/>
        </w:rPr>
        <w:t>i</w:t>
      </w:r>
      <w:r w:rsidR="00C474E2">
        <w:rPr>
          <w:rFonts w:ascii="Calibri" w:eastAsia="MS Mincho" w:hAnsi="Calibri" w:cs="Times New Roman"/>
        </w:rPr>
        <w:t>.</w:t>
      </w:r>
      <w:r w:rsidR="008C0CD9">
        <w:rPr>
          <w:rFonts w:ascii="Calibri" w:eastAsia="MS Mincho" w:hAnsi="Calibri" w:cs="Times New Roman"/>
        </w:rPr>
        <w:t>e. 5178 and 5261 for cerebral palsy and 5220 for stroke).</w:t>
      </w:r>
    </w:p>
    <w:p w:rsidR="006F5944" w:rsidRDefault="006F5944" w:rsidP="007E7818">
      <w:pPr>
        <w:rPr>
          <w:rFonts w:ascii="Calibri" w:eastAsia="MS Mincho" w:hAnsi="Calibri" w:cs="Times New Roman"/>
        </w:rPr>
      </w:pPr>
      <w:r>
        <w:rPr>
          <w:rFonts w:ascii="Calibri" w:eastAsia="MS Mincho" w:hAnsi="Calibri" w:cs="Times New Roman"/>
        </w:rPr>
        <w:t xml:space="preserve">The </w:t>
      </w:r>
      <w:r w:rsidR="00371F7D">
        <w:rPr>
          <w:rFonts w:ascii="Calibri" w:eastAsia="MS Mincho" w:hAnsi="Calibri" w:cs="Times New Roman"/>
        </w:rPr>
        <w:t>p</w:t>
      </w:r>
      <w:r w:rsidR="00371F7D" w:rsidRPr="00371F7D">
        <w:rPr>
          <w:rFonts w:ascii="Calibri" w:eastAsia="MS Mincho" w:hAnsi="Calibri" w:cs="Times New Roman"/>
        </w:rPr>
        <w:t>revalent patients per 1000 population</w:t>
      </w:r>
      <w:r w:rsidR="00365A50">
        <w:rPr>
          <w:rFonts w:ascii="Calibri" w:eastAsia="MS Mincho" w:hAnsi="Calibri" w:cs="Times New Roman"/>
        </w:rPr>
        <w:t xml:space="preserve"> </w:t>
      </w:r>
      <w:r w:rsidR="00365A50" w:rsidRPr="00365A50">
        <w:rPr>
          <w:rFonts w:ascii="Calibri" w:eastAsia="MS Mincho" w:hAnsi="Calibri" w:cs="Times New Roman"/>
        </w:rPr>
        <w:t>(age standardised, ABS direct method)</w:t>
      </w:r>
      <w:r w:rsidR="00371F7D">
        <w:rPr>
          <w:rFonts w:ascii="Calibri" w:eastAsia="MS Mincho" w:hAnsi="Calibri" w:cs="Times New Roman"/>
        </w:rPr>
        <w:t xml:space="preserve"> in 2017 by patient state (see Figure </w:t>
      </w:r>
      <w:r w:rsidR="00763188">
        <w:rPr>
          <w:rFonts w:ascii="Calibri" w:eastAsia="MS Mincho" w:hAnsi="Calibri" w:cs="Times New Roman"/>
        </w:rPr>
        <w:t>10</w:t>
      </w:r>
      <w:r w:rsidR="00371F7D">
        <w:rPr>
          <w:rFonts w:ascii="Calibri" w:eastAsia="MS Mincho" w:hAnsi="Calibri" w:cs="Times New Roman"/>
        </w:rPr>
        <w:t xml:space="preserve">) was calculated using </w:t>
      </w:r>
      <w:r w:rsidRPr="006F5944">
        <w:rPr>
          <w:rFonts w:ascii="Calibri" w:eastAsia="MS Mincho" w:hAnsi="Calibri" w:cs="Times New Roman"/>
        </w:rPr>
        <w:t xml:space="preserve">population data sourced from </w:t>
      </w:r>
      <w:r w:rsidR="00371F7D">
        <w:rPr>
          <w:rFonts w:ascii="Calibri" w:eastAsia="MS Mincho" w:hAnsi="Calibri" w:cs="Times New Roman"/>
        </w:rPr>
        <w:t xml:space="preserve">the </w:t>
      </w:r>
      <w:r w:rsidRPr="006F5944">
        <w:rPr>
          <w:rFonts w:ascii="Calibri" w:eastAsia="MS Mincho" w:hAnsi="Calibri" w:cs="Times New Roman"/>
        </w:rPr>
        <w:t>ABS</w:t>
      </w:r>
      <w:r w:rsidR="00371F7D">
        <w:rPr>
          <w:rFonts w:ascii="Calibri" w:eastAsia="MS Mincho" w:hAnsi="Calibri" w:cs="Times New Roman"/>
        </w:rPr>
        <w:t xml:space="preserve"> publication</w:t>
      </w:r>
      <w:r w:rsidRPr="006F5944">
        <w:rPr>
          <w:rFonts w:ascii="Calibri" w:eastAsia="MS Mincho" w:hAnsi="Calibri" w:cs="Times New Roman"/>
        </w:rPr>
        <w:t>, 3101.0, Australian Demographic Statistics, Jun 2017, Table 8, Estimated resident population, by age and sex at 30 June 2017.</w:t>
      </w:r>
      <w:r w:rsidR="00365A50">
        <w:rPr>
          <w:rFonts w:ascii="Calibri" w:eastAsia="MS Mincho" w:hAnsi="Calibri" w:cs="Times New Roman"/>
        </w:rPr>
        <w:t xml:space="preserve"> </w:t>
      </w:r>
    </w:p>
    <w:p w:rsidR="00A82749" w:rsidRDefault="00A82749">
      <w:pPr>
        <w:spacing w:line="276" w:lineRule="auto"/>
        <w:rPr>
          <w:rFonts w:ascii="Calibri" w:eastAsia="MS Mincho" w:hAnsi="Calibri" w:cs="Times New Roman"/>
          <w:b/>
          <w:i/>
        </w:rPr>
      </w:pPr>
      <w:r>
        <w:rPr>
          <w:rFonts w:ascii="Calibri" w:eastAsia="MS Mincho" w:hAnsi="Calibri" w:cs="Times New Roman"/>
          <w:b/>
          <w:i/>
        </w:rPr>
        <w:br w:type="page"/>
      </w:r>
    </w:p>
    <w:p w:rsidR="007A7BDB" w:rsidRPr="007A7BDB" w:rsidRDefault="007A7BDB" w:rsidP="007E7818">
      <w:pPr>
        <w:rPr>
          <w:rFonts w:ascii="Calibri" w:eastAsia="MS Mincho" w:hAnsi="Calibri" w:cs="Times New Roman"/>
          <w:b/>
          <w:i/>
        </w:rPr>
      </w:pPr>
      <w:r w:rsidRPr="007A7BDB">
        <w:rPr>
          <w:rFonts w:ascii="Calibri" w:eastAsia="MS Mincho" w:hAnsi="Calibri" w:cs="Times New Roman"/>
          <w:b/>
          <w:i/>
        </w:rPr>
        <w:lastRenderedPageBreak/>
        <w:t>MBS services data</w:t>
      </w:r>
    </w:p>
    <w:p w:rsidR="00013A0D" w:rsidRDefault="00013A0D" w:rsidP="007E7818">
      <w:pPr>
        <w:rPr>
          <w:rFonts w:ascii="Calibri" w:eastAsia="MS Mincho" w:hAnsi="Calibri" w:cs="Times New Roman"/>
        </w:rPr>
      </w:pPr>
      <w:r>
        <w:rPr>
          <w:rFonts w:ascii="Calibri" w:eastAsia="MS Mincho" w:hAnsi="Calibri" w:cs="Times New Roman"/>
        </w:rPr>
        <w:t xml:space="preserve">MBS services </w:t>
      </w:r>
      <w:r w:rsidRPr="007E7818">
        <w:rPr>
          <w:rFonts w:ascii="Calibri" w:eastAsia="MS Mincho" w:hAnsi="Calibri" w:cs="Times New Roman"/>
        </w:rPr>
        <w:t xml:space="preserve">data for </w:t>
      </w:r>
      <w:r>
        <w:rPr>
          <w:rFonts w:ascii="Calibri" w:eastAsia="MS Mincho" w:hAnsi="Calibri" w:cs="Times New Roman"/>
        </w:rPr>
        <w:t xml:space="preserve">injection of </w:t>
      </w:r>
      <w:r w:rsidRPr="007E7818">
        <w:rPr>
          <w:rFonts w:ascii="Calibri" w:eastAsia="MS Mincho" w:hAnsi="Calibri" w:cs="Times New Roman"/>
        </w:rPr>
        <w:t xml:space="preserve">botulinum toxin </w:t>
      </w:r>
      <w:r>
        <w:rPr>
          <w:rFonts w:ascii="Calibri" w:eastAsia="MS Mincho" w:hAnsi="Calibri" w:cs="Times New Roman"/>
        </w:rPr>
        <w:t xml:space="preserve">(MBS Group T11) </w:t>
      </w:r>
      <w:r w:rsidRPr="007E7818">
        <w:rPr>
          <w:rFonts w:ascii="Calibri" w:eastAsia="MS Mincho" w:hAnsi="Calibri" w:cs="Times New Roman"/>
        </w:rPr>
        <w:t xml:space="preserve">were extracted from the DHS </w:t>
      </w:r>
      <w:r>
        <w:rPr>
          <w:rFonts w:ascii="Calibri" w:eastAsia="MS Mincho" w:hAnsi="Calibri" w:cs="Times New Roman"/>
        </w:rPr>
        <w:t xml:space="preserve">MBS services </w:t>
      </w:r>
      <w:r w:rsidRPr="007E7818">
        <w:rPr>
          <w:rFonts w:ascii="Calibri" w:eastAsia="MS Mincho" w:hAnsi="Calibri" w:cs="Times New Roman"/>
        </w:rPr>
        <w:t xml:space="preserve">database </w:t>
      </w:r>
      <w:r>
        <w:rPr>
          <w:rFonts w:ascii="Calibri" w:eastAsia="MS Mincho" w:hAnsi="Calibri" w:cs="Times New Roman"/>
        </w:rPr>
        <w:t>for date of services from 1 December 1991 to the end of December 2017 (date of processing up until the end of March 2018)</w:t>
      </w:r>
      <w:r w:rsidRPr="007E7818">
        <w:rPr>
          <w:rFonts w:ascii="Calibri" w:eastAsia="MS Mincho" w:hAnsi="Calibri" w:cs="Times New Roman"/>
        </w:rPr>
        <w:t>.</w:t>
      </w:r>
    </w:p>
    <w:p w:rsidR="00351D5C" w:rsidRPr="007E7818" w:rsidRDefault="003675AC" w:rsidP="007E7818">
      <w:pPr>
        <w:rPr>
          <w:rFonts w:ascii="Calibri" w:eastAsia="MS Mincho" w:hAnsi="Calibri" w:cs="Times New Roman"/>
        </w:rPr>
      </w:pPr>
      <w:r>
        <w:rPr>
          <w:rFonts w:ascii="Calibri" w:eastAsia="MS Mincho" w:hAnsi="Calibri" w:cs="Times New Roman"/>
        </w:rPr>
        <w:t xml:space="preserve">The MBS </w:t>
      </w:r>
      <w:r w:rsidR="00266A53">
        <w:rPr>
          <w:rFonts w:ascii="Calibri" w:eastAsia="MS Mincho" w:hAnsi="Calibri" w:cs="Times New Roman"/>
        </w:rPr>
        <w:t>data</w:t>
      </w:r>
      <w:r>
        <w:rPr>
          <w:rFonts w:ascii="Calibri" w:eastAsia="MS Mincho" w:hAnsi="Calibri" w:cs="Times New Roman"/>
        </w:rPr>
        <w:t xml:space="preserve"> were used because they have a longer time series of patient level data </w:t>
      </w:r>
      <w:r w:rsidR="007B051A">
        <w:rPr>
          <w:rFonts w:ascii="Calibri" w:eastAsia="MS Mincho" w:hAnsi="Calibri" w:cs="Times New Roman"/>
        </w:rPr>
        <w:t>than PBS</w:t>
      </w:r>
      <w:r>
        <w:rPr>
          <w:rFonts w:ascii="Calibri" w:eastAsia="MS Mincho" w:hAnsi="Calibri" w:cs="Times New Roman"/>
        </w:rPr>
        <w:t xml:space="preserve"> </w:t>
      </w:r>
      <w:r w:rsidR="00266A53">
        <w:rPr>
          <w:rFonts w:ascii="Calibri" w:eastAsia="MS Mincho" w:hAnsi="Calibri" w:cs="Times New Roman"/>
        </w:rPr>
        <w:t>data</w:t>
      </w:r>
      <w:r>
        <w:rPr>
          <w:rFonts w:ascii="Calibri" w:eastAsia="MS Mincho" w:hAnsi="Calibri" w:cs="Times New Roman"/>
        </w:rPr>
        <w:t>. This enabled the analysis of trends in prevalent and initiating patients and the calculation of length of treatment.</w:t>
      </w:r>
    </w:p>
    <w:p w:rsidR="00E37EE9" w:rsidRDefault="007A7BDB" w:rsidP="00FA3BDC">
      <w:pPr>
        <w:rPr>
          <w:rFonts w:ascii="Calibri" w:eastAsia="MS Gothic" w:hAnsi="Calibri" w:cs="Times New Roman"/>
          <w:b/>
          <w:bCs/>
          <w:sz w:val="32"/>
          <w:szCs w:val="32"/>
        </w:rPr>
      </w:pPr>
      <w:r>
        <w:rPr>
          <w:rFonts w:ascii="Calibri" w:eastAsia="MS Mincho" w:hAnsi="Calibri" w:cs="Times New Roman"/>
        </w:rPr>
        <w:t xml:space="preserve">The duration of MBS treatment analysis used the Kaplan Meier (aka Product-Limit) method to determine the length of treatment for patients </w:t>
      </w:r>
      <w:r w:rsidR="00FA3BDC">
        <w:rPr>
          <w:rFonts w:ascii="Calibri" w:eastAsia="MS Mincho" w:hAnsi="Calibri" w:cs="Times New Roman"/>
        </w:rPr>
        <w:t>receiving</w:t>
      </w:r>
      <w:r>
        <w:rPr>
          <w:rFonts w:ascii="Calibri" w:eastAsia="MS Mincho" w:hAnsi="Calibri" w:cs="Times New Roman"/>
        </w:rPr>
        <w:t xml:space="preserve"> botulinum toxin injections by indication</w:t>
      </w:r>
      <w:r w:rsidRPr="0074607C">
        <w:rPr>
          <w:rFonts w:ascii="Calibri" w:eastAsia="MS Mincho" w:hAnsi="Calibri" w:cs="Times New Roman"/>
        </w:rPr>
        <w:t xml:space="preserve">. </w:t>
      </w:r>
      <w:r w:rsidR="00F264C6">
        <w:rPr>
          <w:rFonts w:ascii="Calibri" w:eastAsia="MS Mincho" w:hAnsi="Calibri" w:cs="Times New Roman"/>
        </w:rPr>
        <w:t>The length of treatment cho</w:t>
      </w:r>
      <w:r w:rsidR="00A876C3" w:rsidRPr="0074607C">
        <w:rPr>
          <w:rFonts w:ascii="Calibri" w:eastAsia="MS Mincho" w:hAnsi="Calibri" w:cs="Times New Roman"/>
        </w:rPr>
        <w:t>sen for this analysis included breaks in treatment. This was the time from a patient</w:t>
      </w:r>
      <w:r w:rsidR="00D26A4B" w:rsidRPr="0074607C">
        <w:rPr>
          <w:rFonts w:ascii="Calibri" w:eastAsia="MS Mincho" w:hAnsi="Calibri" w:cs="Times New Roman"/>
        </w:rPr>
        <w:t>’</w:t>
      </w:r>
      <w:r w:rsidR="00A876C3" w:rsidRPr="0074607C">
        <w:rPr>
          <w:rFonts w:ascii="Calibri" w:eastAsia="MS Mincho" w:hAnsi="Calibri" w:cs="Times New Roman"/>
        </w:rPr>
        <w:t xml:space="preserve">s first </w:t>
      </w:r>
      <w:r w:rsidR="00D26A4B" w:rsidRPr="0074607C">
        <w:rPr>
          <w:rFonts w:ascii="Calibri" w:eastAsia="MS Mincho" w:hAnsi="Calibri" w:cs="Times New Roman"/>
        </w:rPr>
        <w:t>s</w:t>
      </w:r>
      <w:r w:rsidR="00A876C3" w:rsidRPr="0074607C">
        <w:rPr>
          <w:rFonts w:ascii="Calibri" w:eastAsia="MS Mincho" w:hAnsi="Calibri" w:cs="Times New Roman"/>
        </w:rPr>
        <w:t xml:space="preserve">ervice until their last service, plus an allowance for the coverage of the last </w:t>
      </w:r>
      <w:r w:rsidR="00D26A4B" w:rsidRPr="0074607C">
        <w:rPr>
          <w:rFonts w:ascii="Calibri" w:eastAsia="MS Mincho" w:hAnsi="Calibri" w:cs="Times New Roman"/>
        </w:rPr>
        <w:t>service</w:t>
      </w:r>
      <w:r w:rsidR="00A876C3" w:rsidRPr="0074607C">
        <w:rPr>
          <w:rFonts w:ascii="Calibri" w:eastAsia="MS Mincho" w:hAnsi="Calibri" w:cs="Times New Roman"/>
        </w:rPr>
        <w:t>. This allowance was the indication specif</w:t>
      </w:r>
      <w:r w:rsidR="00D26A4B" w:rsidRPr="0074607C">
        <w:rPr>
          <w:rFonts w:ascii="Calibri" w:eastAsia="MS Mincho" w:hAnsi="Calibri" w:cs="Times New Roman"/>
        </w:rPr>
        <w:t>i</w:t>
      </w:r>
      <w:r w:rsidR="00A876C3" w:rsidRPr="0074607C">
        <w:rPr>
          <w:rFonts w:ascii="Calibri" w:eastAsia="MS Mincho" w:hAnsi="Calibri" w:cs="Times New Roman"/>
        </w:rPr>
        <w:t xml:space="preserve">c median time to next service, calculated across all the data. </w:t>
      </w:r>
      <w:r w:rsidRPr="0074607C">
        <w:rPr>
          <w:rFonts w:ascii="Calibri" w:eastAsia="MS Mincho" w:hAnsi="Calibri" w:cs="Times New Roman"/>
        </w:rPr>
        <w:t xml:space="preserve">A patient was deemed to be continuing treatment (classified as censored in the Product-Limit method) at the end of the data period (i.e. the end of December 2017) if their last service was within 3 times the median time to next service of this end date. </w:t>
      </w:r>
      <w:r w:rsidR="008A6E99">
        <w:rPr>
          <w:rFonts w:ascii="Calibri" w:eastAsia="MS Mincho" w:hAnsi="Calibri" w:cs="Times New Roman"/>
        </w:rPr>
        <w:t>T</w:t>
      </w:r>
      <w:r>
        <w:rPr>
          <w:rFonts w:ascii="Calibri" w:eastAsia="MS Mincho" w:hAnsi="Calibri" w:cs="Times New Roman"/>
        </w:rPr>
        <w:t xml:space="preserve">he </w:t>
      </w:r>
      <w:r w:rsidR="008A6E99">
        <w:rPr>
          <w:rFonts w:ascii="Calibri" w:eastAsia="MS Mincho" w:hAnsi="Calibri" w:cs="Times New Roman"/>
        </w:rPr>
        <w:t xml:space="preserve">continuing </w:t>
      </w:r>
      <w:r>
        <w:rPr>
          <w:rFonts w:ascii="Calibri" w:eastAsia="MS Mincho" w:hAnsi="Calibri" w:cs="Times New Roman"/>
        </w:rPr>
        <w:t>patient</w:t>
      </w:r>
      <w:r w:rsidR="008A6E99">
        <w:rPr>
          <w:rFonts w:ascii="Calibri" w:eastAsia="MS Mincho" w:hAnsi="Calibri" w:cs="Times New Roman"/>
        </w:rPr>
        <w:t xml:space="preserve">’s length of </w:t>
      </w:r>
      <w:r>
        <w:rPr>
          <w:rFonts w:ascii="Calibri" w:eastAsia="MS Mincho" w:hAnsi="Calibri" w:cs="Times New Roman"/>
        </w:rPr>
        <w:t xml:space="preserve">treatment </w:t>
      </w:r>
      <w:r w:rsidR="008A6E99">
        <w:rPr>
          <w:rFonts w:ascii="Calibri" w:eastAsia="MS Mincho" w:hAnsi="Calibri" w:cs="Times New Roman"/>
        </w:rPr>
        <w:t xml:space="preserve">was based on </w:t>
      </w:r>
      <w:r>
        <w:rPr>
          <w:rFonts w:ascii="Calibri" w:eastAsia="MS Mincho" w:hAnsi="Calibri" w:cs="Times New Roman"/>
        </w:rPr>
        <w:t xml:space="preserve">the treatment coverage end date being </w:t>
      </w:r>
      <w:r w:rsidR="008A6E99">
        <w:rPr>
          <w:rFonts w:ascii="Calibri" w:eastAsia="MS Mincho" w:hAnsi="Calibri" w:cs="Times New Roman"/>
        </w:rPr>
        <w:t xml:space="preserve">the end of the data period or </w:t>
      </w:r>
      <w:r>
        <w:rPr>
          <w:rFonts w:ascii="Calibri" w:eastAsia="MS Mincho" w:hAnsi="Calibri" w:cs="Times New Roman"/>
        </w:rPr>
        <w:t>the service date of their last service plus a median time to next service, whichever was later.</w:t>
      </w:r>
    </w:p>
    <w:p w:rsidR="00A82749" w:rsidRDefault="00A82749">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p>
    <w:p w:rsidR="00B87CD5" w:rsidRDefault="00B87CD5" w:rsidP="00B87CD5">
      <w:pPr>
        <w:keepNext/>
        <w:keepLines/>
        <w:spacing w:before="480" w:after="240"/>
        <w:outlineLvl w:val="0"/>
        <w:rPr>
          <w:rFonts w:ascii="Calibri" w:eastAsia="MS Gothic" w:hAnsi="Calibri" w:cs="Times New Roman"/>
          <w:b/>
          <w:bCs/>
          <w:sz w:val="32"/>
          <w:szCs w:val="32"/>
        </w:rPr>
      </w:pPr>
      <w:r w:rsidRPr="00B87CD5">
        <w:rPr>
          <w:rFonts w:ascii="Calibri" w:eastAsia="MS Gothic" w:hAnsi="Calibri" w:cs="Times New Roman"/>
          <w:b/>
          <w:bCs/>
          <w:sz w:val="32"/>
          <w:szCs w:val="32"/>
        </w:rPr>
        <w:lastRenderedPageBreak/>
        <w:t>Results</w:t>
      </w:r>
    </w:p>
    <w:p w:rsidR="000528EB" w:rsidRDefault="00BA6B3F" w:rsidP="000528EB">
      <w:pPr>
        <w:spacing w:before="240"/>
        <w:outlineLvl w:val="2"/>
        <w:rPr>
          <w:rFonts w:ascii="Calibri" w:eastAsia="MS Mincho" w:hAnsi="Calibri" w:cs="Times New Roman"/>
          <w:b/>
          <w:i/>
          <w:szCs w:val="28"/>
        </w:rPr>
      </w:pPr>
      <w:r>
        <w:rPr>
          <w:rFonts w:ascii="Calibri" w:eastAsia="MS Mincho" w:hAnsi="Calibri" w:cs="Times New Roman"/>
          <w:b/>
          <w:i/>
          <w:szCs w:val="28"/>
        </w:rPr>
        <w:t>Number of services and prescriptions</w:t>
      </w:r>
    </w:p>
    <w:p w:rsidR="00D40591" w:rsidRDefault="00EB1F56" w:rsidP="00AD57B8">
      <w:pPr>
        <w:rPr>
          <w:rFonts w:ascii="Calibri" w:eastAsia="MS Mincho" w:hAnsi="Calibri" w:cs="Times New Roman"/>
          <w:b/>
        </w:rPr>
      </w:pPr>
      <w:r w:rsidRPr="00CF1434">
        <w:rPr>
          <w:rFonts w:ascii="Calibri" w:eastAsia="MS Mincho" w:hAnsi="Calibri" w:cs="Times New Roman"/>
        </w:rPr>
        <w:t xml:space="preserve">Figure 1 shows the utilisation of </w:t>
      </w:r>
      <w:r>
        <w:rPr>
          <w:rFonts w:ascii="Calibri" w:eastAsia="MS Mincho" w:hAnsi="Calibri" w:cs="Times New Roman"/>
        </w:rPr>
        <w:t xml:space="preserve">MBS services for injection of </w:t>
      </w:r>
      <w:r w:rsidRPr="00CF1434">
        <w:rPr>
          <w:rFonts w:ascii="Calibri" w:eastAsia="MS Mincho" w:hAnsi="Calibri" w:cs="Times New Roman"/>
        </w:rPr>
        <w:t xml:space="preserve">botulinum toxin for </w:t>
      </w:r>
      <w:r w:rsidRPr="00755921">
        <w:t>spasticity</w:t>
      </w:r>
      <w:r w:rsidR="00AD57B8">
        <w:t xml:space="preserve"> </w:t>
      </w:r>
      <w:r w:rsidRPr="00755921">
        <w:t>and dystonia</w:t>
      </w:r>
      <w:r w:rsidR="00AD57B8">
        <w:rPr>
          <w:rFonts w:ascii="Calibri" w:eastAsia="MS Mincho" w:hAnsi="Calibri" w:cs="Times New Roman"/>
        </w:rPr>
        <w:t>.</w:t>
      </w:r>
    </w:p>
    <w:p w:rsidR="002C2D4E" w:rsidRDefault="002C2D4E" w:rsidP="00314ACF">
      <w:pPr>
        <w:spacing w:after="0"/>
        <w:rPr>
          <w:rFonts w:ascii="Calibri" w:eastAsia="MS Mincho" w:hAnsi="Calibri" w:cs="Times New Roman"/>
          <w:b/>
        </w:rPr>
      </w:pPr>
      <w:r>
        <w:rPr>
          <w:noProof/>
        </w:rPr>
        <w:drawing>
          <wp:inline distT="0" distB="0" distL="0" distR="0" wp14:anchorId="75BAFD15" wp14:editId="2FEED2F5">
            <wp:extent cx="5687695" cy="3715232"/>
            <wp:effectExtent l="0" t="0" r="27305" b="19050"/>
            <wp:docPr id="4" name="Chart 4" title="Figure 1: MBS services for injection of botulinum toxin for spasticity and dysto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14ACF" w:rsidRDefault="00D40591" w:rsidP="00314ACF">
      <w:pPr>
        <w:spacing w:after="0"/>
        <w:rPr>
          <w:rFonts w:ascii="Calibri" w:eastAsia="MS Mincho" w:hAnsi="Calibri" w:cs="Times New Roman"/>
          <w:b/>
        </w:rPr>
      </w:pPr>
      <w:r w:rsidRPr="00B87CD5">
        <w:rPr>
          <w:rFonts w:ascii="Calibri" w:eastAsia="MS Mincho" w:hAnsi="Calibri" w:cs="Times New Roman"/>
          <w:b/>
        </w:rPr>
        <w:t xml:space="preserve">Figure 1: </w:t>
      </w:r>
      <w:r w:rsidRPr="00D40591">
        <w:rPr>
          <w:rFonts w:ascii="Calibri" w:eastAsia="MS Mincho" w:hAnsi="Calibri" w:cs="Times New Roman"/>
          <w:b/>
        </w:rPr>
        <w:t>MBS services for injection of botulinum toxin for spasticity and dystonia</w:t>
      </w:r>
    </w:p>
    <w:p w:rsidR="00215BCD" w:rsidRPr="00FC694C" w:rsidRDefault="00884F43" w:rsidP="00EB1F56">
      <w:pPr>
        <w:rPr>
          <w:rFonts w:ascii="Calibri" w:eastAsia="MS Mincho" w:hAnsi="Calibri" w:cs="Times New Roman"/>
          <w:b/>
        </w:rPr>
      </w:pPr>
      <w:r>
        <w:rPr>
          <w:rFonts w:ascii="Calibri" w:eastAsia="MS Mincho" w:hAnsi="Calibri" w:cs="Times New Roman"/>
          <w:sz w:val="20"/>
        </w:rPr>
        <w:t>Source:</w:t>
      </w:r>
      <w:r w:rsidRPr="00AB4293">
        <w:rPr>
          <w:rFonts w:ascii="Calibri" w:eastAsia="MS Mincho" w:hAnsi="Calibri" w:cs="Times New Roman"/>
          <w:sz w:val="20"/>
        </w:rPr>
        <w:t xml:space="preserve"> </w:t>
      </w:r>
      <w:r>
        <w:rPr>
          <w:rFonts w:ascii="Calibri" w:eastAsia="MS Mincho" w:hAnsi="Calibri" w:cs="Times New Roman"/>
          <w:sz w:val="20"/>
        </w:rPr>
        <w:t>D</w:t>
      </w:r>
      <w:r w:rsidRPr="00B87CD5">
        <w:rPr>
          <w:rFonts w:ascii="Calibri" w:eastAsia="MS Mincho" w:hAnsi="Calibri" w:cs="Times New Roman"/>
          <w:sz w:val="20"/>
        </w:rPr>
        <w:t xml:space="preserve">HS </w:t>
      </w:r>
      <w:r>
        <w:rPr>
          <w:rFonts w:ascii="Calibri" w:eastAsia="MS Mincho" w:hAnsi="Calibri" w:cs="Times New Roman"/>
          <w:sz w:val="20"/>
        </w:rPr>
        <w:t>MBS services</w:t>
      </w:r>
      <w:r w:rsidRPr="00B87CD5">
        <w:rPr>
          <w:rFonts w:ascii="Calibri" w:eastAsia="MS Mincho" w:hAnsi="Calibri" w:cs="Times New Roman"/>
          <w:sz w:val="20"/>
        </w:rPr>
        <w:t xml:space="preserve">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18 April </w:t>
      </w:r>
      <w:r w:rsidRPr="00B87CD5">
        <w:rPr>
          <w:rFonts w:ascii="Calibri" w:eastAsia="MS Mincho" w:hAnsi="Calibri" w:cs="Times New Roman"/>
          <w:sz w:val="20"/>
        </w:rPr>
        <w:t>201</w:t>
      </w:r>
      <w:r>
        <w:rPr>
          <w:rFonts w:ascii="Calibri" w:eastAsia="MS Mincho" w:hAnsi="Calibri" w:cs="Times New Roman"/>
          <w:sz w:val="20"/>
        </w:rPr>
        <w:t>8)</w:t>
      </w:r>
    </w:p>
    <w:p w:rsidR="00210797" w:rsidRDefault="00210797">
      <w:pPr>
        <w:spacing w:line="276" w:lineRule="auto"/>
        <w:rPr>
          <w:rFonts w:ascii="Calibri" w:eastAsia="MS Mincho" w:hAnsi="Calibri" w:cs="Times New Roman"/>
        </w:rPr>
      </w:pPr>
      <w:r>
        <w:rPr>
          <w:rFonts w:ascii="Calibri" w:eastAsia="MS Mincho" w:hAnsi="Calibri" w:cs="Times New Roman"/>
        </w:rPr>
        <w:br w:type="page"/>
      </w:r>
    </w:p>
    <w:p w:rsidR="00502978" w:rsidRDefault="003F43D6" w:rsidP="00502978">
      <w:pPr>
        <w:rPr>
          <w:rFonts w:ascii="Calibri" w:eastAsia="MS Mincho" w:hAnsi="Calibri" w:cs="Times New Roman"/>
        </w:rPr>
      </w:pPr>
      <w:r>
        <w:rPr>
          <w:rFonts w:ascii="Calibri" w:eastAsia="MS Mincho" w:hAnsi="Calibri" w:cs="Times New Roman"/>
        </w:rPr>
        <w:lastRenderedPageBreak/>
        <w:t>The first MBS item available for the administration of bo</w:t>
      </w:r>
      <w:r w:rsidRPr="00FB06F3">
        <w:rPr>
          <w:rFonts w:ascii="Calibri" w:eastAsia="MS Mincho" w:hAnsi="Calibri" w:cs="Times New Roman"/>
        </w:rPr>
        <w:t>tulinum toxin</w:t>
      </w:r>
      <w:r>
        <w:rPr>
          <w:rFonts w:ascii="Calibri" w:eastAsia="MS Mincho" w:hAnsi="Calibri" w:cs="Times New Roman"/>
        </w:rPr>
        <w:t xml:space="preserve"> was for blepharospasm (item 42827) from December 1991. </w:t>
      </w:r>
      <w:r w:rsidR="00502978">
        <w:rPr>
          <w:rFonts w:ascii="Calibri" w:eastAsia="MS Mincho" w:hAnsi="Calibri" w:cs="Times New Roman"/>
        </w:rPr>
        <w:t>In May 2003, n</w:t>
      </w:r>
      <w:r w:rsidR="00502978" w:rsidRPr="00FB06F3">
        <w:rPr>
          <w:rFonts w:ascii="Calibri" w:eastAsia="MS Mincho" w:hAnsi="Calibri" w:cs="Times New Roman"/>
        </w:rPr>
        <w:t xml:space="preserve">ew items </w:t>
      </w:r>
      <w:r w:rsidR="00502978">
        <w:rPr>
          <w:rFonts w:ascii="Calibri" w:eastAsia="MS Mincho" w:hAnsi="Calibri" w:cs="Times New Roman"/>
        </w:rPr>
        <w:t xml:space="preserve">were </w:t>
      </w:r>
      <w:r w:rsidR="00502978" w:rsidRPr="00FB06F3">
        <w:rPr>
          <w:rFonts w:ascii="Calibri" w:eastAsia="MS Mincho" w:hAnsi="Calibri" w:cs="Times New Roman"/>
        </w:rPr>
        <w:t xml:space="preserve">introduced and several amendments </w:t>
      </w:r>
      <w:r w:rsidR="00502978">
        <w:rPr>
          <w:rFonts w:ascii="Calibri" w:eastAsia="MS Mincho" w:hAnsi="Calibri" w:cs="Times New Roman"/>
        </w:rPr>
        <w:t>were</w:t>
      </w:r>
      <w:r w:rsidR="00502978" w:rsidRPr="00FB06F3">
        <w:rPr>
          <w:rFonts w:ascii="Calibri" w:eastAsia="MS Mincho" w:hAnsi="Calibri" w:cs="Times New Roman"/>
        </w:rPr>
        <w:t xml:space="preserve"> made to existing</w:t>
      </w:r>
      <w:r w:rsidR="00502978">
        <w:rPr>
          <w:rFonts w:ascii="Calibri" w:eastAsia="MS Mincho" w:hAnsi="Calibri" w:cs="Times New Roman"/>
        </w:rPr>
        <w:t xml:space="preserve"> </w:t>
      </w:r>
      <w:r w:rsidR="00502978" w:rsidRPr="00FB06F3">
        <w:rPr>
          <w:rFonts w:ascii="Calibri" w:eastAsia="MS Mincho" w:hAnsi="Calibri" w:cs="Times New Roman"/>
        </w:rPr>
        <w:t>items to cover the treatment of specific conditions with botulinum toxin</w:t>
      </w:r>
      <w:r w:rsidR="00502978">
        <w:rPr>
          <w:rStyle w:val="FootnoteReference"/>
          <w:rFonts w:ascii="Calibri" w:eastAsia="MS Mincho" w:hAnsi="Calibri" w:cs="Times New Roman"/>
        </w:rPr>
        <w:footnoteReference w:id="7"/>
      </w:r>
      <w:r w:rsidR="00502978">
        <w:rPr>
          <w:rFonts w:ascii="Calibri" w:eastAsia="MS Mincho" w:hAnsi="Calibri" w:cs="Times New Roman"/>
        </w:rPr>
        <w:t xml:space="preserve">. </w:t>
      </w:r>
    </w:p>
    <w:p w:rsidR="00502978" w:rsidRPr="00BE34F6" w:rsidRDefault="00502978" w:rsidP="00502978">
      <w:pPr>
        <w:rPr>
          <w:rFonts w:ascii="Calibri" w:eastAsia="MS Mincho" w:hAnsi="Calibri" w:cs="Times New Roman"/>
        </w:rPr>
      </w:pPr>
      <w:r w:rsidRPr="00BE34F6">
        <w:rPr>
          <w:rFonts w:ascii="Calibri" w:eastAsia="MS Mincho" w:hAnsi="Calibri" w:cs="Times New Roman"/>
        </w:rPr>
        <w:t>The new indications added were;</w:t>
      </w:r>
    </w:p>
    <w:p w:rsidR="00502978" w:rsidRPr="00BE34F6" w:rsidRDefault="00502978" w:rsidP="00502978">
      <w:pPr>
        <w:pStyle w:val="ListParagraph"/>
        <w:numPr>
          <w:ilvl w:val="0"/>
          <w:numId w:val="1"/>
        </w:numPr>
        <w:rPr>
          <w:rFonts w:ascii="Calibri" w:eastAsia="MS Mincho" w:hAnsi="Calibri" w:cs="Times New Roman"/>
        </w:rPr>
      </w:pPr>
      <w:r w:rsidRPr="00BE34F6">
        <w:rPr>
          <w:rFonts w:ascii="Calibri" w:eastAsia="MS Mincho" w:hAnsi="Calibri" w:cs="Times New Roman"/>
        </w:rPr>
        <w:t>hemifacial spasm in adults (item 18350)</w:t>
      </w:r>
    </w:p>
    <w:p w:rsidR="00502978" w:rsidRPr="00BE34F6" w:rsidRDefault="00502978" w:rsidP="00502978">
      <w:pPr>
        <w:pStyle w:val="ListParagraph"/>
        <w:numPr>
          <w:ilvl w:val="0"/>
          <w:numId w:val="1"/>
        </w:numPr>
        <w:rPr>
          <w:rFonts w:ascii="Calibri" w:eastAsia="MS Mincho" w:hAnsi="Calibri" w:cs="Times New Roman"/>
        </w:rPr>
      </w:pPr>
      <w:r w:rsidRPr="00BE34F6">
        <w:t xml:space="preserve">cervical dystonia (spasmodic torticollis, item 18352) </w:t>
      </w:r>
    </w:p>
    <w:p w:rsidR="00502978" w:rsidRPr="00BE34F6" w:rsidRDefault="00502978" w:rsidP="00502978">
      <w:pPr>
        <w:pStyle w:val="ListParagraph"/>
        <w:numPr>
          <w:ilvl w:val="0"/>
          <w:numId w:val="1"/>
        </w:numPr>
        <w:rPr>
          <w:rFonts w:ascii="Calibri" w:eastAsia="MS Mincho" w:hAnsi="Calibri" w:cs="Times New Roman"/>
        </w:rPr>
      </w:pPr>
      <w:proofErr w:type="gramStart"/>
      <w:r w:rsidRPr="00BE34F6">
        <w:t>dynamic</w:t>
      </w:r>
      <w:proofErr w:type="gramEnd"/>
      <w:r w:rsidRPr="00BE34F6">
        <w:t xml:space="preserve"> equinus (item 18354) , </w:t>
      </w:r>
      <w:proofErr w:type="spellStart"/>
      <w:r w:rsidRPr="00BE34F6">
        <w:t>equinovarus</w:t>
      </w:r>
      <w:proofErr w:type="spellEnd"/>
      <w:r w:rsidRPr="00BE34F6">
        <w:t xml:space="preserve"> (item 18356) and </w:t>
      </w:r>
      <w:proofErr w:type="spellStart"/>
      <w:r w:rsidRPr="00BE34F6">
        <w:t>equinovalgus</w:t>
      </w:r>
      <w:proofErr w:type="spellEnd"/>
      <w:r w:rsidRPr="00BE34F6">
        <w:t xml:space="preserve"> (item</w:t>
      </w:r>
      <w:r w:rsidR="00314ACF">
        <w:t> </w:t>
      </w:r>
      <w:r w:rsidRPr="00BE34F6">
        <w:t>18358) foot deformity</w:t>
      </w:r>
      <w:r>
        <w:t xml:space="preserve"> </w:t>
      </w:r>
      <w:r w:rsidRPr="00BE34F6">
        <w:t xml:space="preserve">in cerebral palsy patients. Note that all these items have been mapped to “Dynamic equinus foot deformity” in Figure 1. The current descriptor of item 18354 has been changed to include </w:t>
      </w:r>
      <w:proofErr w:type="spellStart"/>
      <w:r w:rsidRPr="00BE34F6">
        <w:t>equinovarus</w:t>
      </w:r>
      <w:proofErr w:type="spellEnd"/>
      <w:r w:rsidRPr="00BE34F6">
        <w:t xml:space="preserve"> and </w:t>
      </w:r>
      <w:proofErr w:type="spellStart"/>
      <w:r w:rsidRPr="00BE34F6">
        <w:t>equinovalgus</w:t>
      </w:r>
      <w:proofErr w:type="spellEnd"/>
      <w:r w:rsidRPr="00BE34F6">
        <w:t xml:space="preserve"> (see Table 6) and the items 18356 &amp; 18358 have ceased.</w:t>
      </w:r>
    </w:p>
    <w:p w:rsidR="00502978" w:rsidRPr="00BE34F6" w:rsidRDefault="00502978" w:rsidP="00502978">
      <w:pPr>
        <w:rPr>
          <w:rFonts w:ascii="Calibri" w:eastAsia="MS Mincho" w:hAnsi="Calibri" w:cs="Times New Roman"/>
        </w:rPr>
      </w:pPr>
      <w:r>
        <w:rPr>
          <w:rFonts w:ascii="Calibri" w:eastAsia="MS Mincho" w:hAnsi="Calibri" w:cs="Times New Roman"/>
        </w:rPr>
        <w:t xml:space="preserve">Also in May 2003, item 42827 was renumbered to 18370, but the descriptor remained the same. The drop in the services for the </w:t>
      </w:r>
      <w:r w:rsidRPr="002E40A6">
        <w:rPr>
          <w:rFonts w:ascii="Calibri" w:eastAsia="MS Mincho" w:hAnsi="Calibri" w:cs="Times New Roman"/>
        </w:rPr>
        <w:t>blepharospasm</w:t>
      </w:r>
      <w:r>
        <w:rPr>
          <w:rFonts w:ascii="Calibri" w:eastAsia="MS Mincho" w:hAnsi="Calibri" w:cs="Times New Roman"/>
        </w:rPr>
        <w:t xml:space="preserve"> indication in 2003, suggests that prior to May 2003 there </w:t>
      </w:r>
      <w:r w:rsidR="003F43D6">
        <w:rPr>
          <w:rFonts w:ascii="Calibri" w:eastAsia="MS Mincho" w:hAnsi="Calibri" w:cs="Times New Roman"/>
        </w:rPr>
        <w:t>may have been</w:t>
      </w:r>
      <w:r>
        <w:rPr>
          <w:rFonts w:ascii="Calibri" w:eastAsia="MS Mincho" w:hAnsi="Calibri" w:cs="Times New Roman"/>
        </w:rPr>
        <w:t xml:space="preserve"> some use of the </w:t>
      </w:r>
      <w:r w:rsidRPr="002E40A6">
        <w:rPr>
          <w:rFonts w:ascii="Calibri" w:eastAsia="MS Mincho" w:hAnsi="Calibri" w:cs="Times New Roman"/>
        </w:rPr>
        <w:t>blepharospasm</w:t>
      </w:r>
      <w:r>
        <w:rPr>
          <w:rFonts w:ascii="Calibri" w:eastAsia="MS Mincho" w:hAnsi="Calibri" w:cs="Times New Roman"/>
        </w:rPr>
        <w:t xml:space="preserve"> item 42827 for other indications. </w:t>
      </w:r>
    </w:p>
    <w:p w:rsidR="00502978" w:rsidRDefault="00502978" w:rsidP="00502978">
      <w:pPr>
        <w:rPr>
          <w:rFonts w:ascii="Calibri" w:eastAsia="MS Mincho" w:hAnsi="Calibri" w:cs="Times New Roman"/>
        </w:rPr>
      </w:pPr>
      <w:r w:rsidRPr="00502978">
        <w:rPr>
          <w:rFonts w:ascii="Calibri" w:eastAsia="MS Mincho" w:hAnsi="Calibri" w:cs="Times New Roman"/>
        </w:rPr>
        <w:t xml:space="preserve">Since </w:t>
      </w:r>
      <w:r>
        <w:rPr>
          <w:rFonts w:ascii="Calibri" w:eastAsia="MS Mincho" w:hAnsi="Calibri" w:cs="Times New Roman"/>
        </w:rPr>
        <w:t xml:space="preserve">May 2003, </w:t>
      </w:r>
      <w:r w:rsidR="00D2533D">
        <w:rPr>
          <w:rFonts w:ascii="Calibri" w:eastAsia="MS Mincho" w:hAnsi="Calibri" w:cs="Times New Roman"/>
        </w:rPr>
        <w:t xml:space="preserve">the </w:t>
      </w:r>
      <w:r w:rsidR="003B6388">
        <w:rPr>
          <w:rFonts w:ascii="Calibri" w:eastAsia="MS Mincho" w:hAnsi="Calibri" w:cs="Times New Roman"/>
        </w:rPr>
        <w:t>number of services for blepharospasm, hemifacial spasm and spasmodic torticollis has</w:t>
      </w:r>
      <w:r w:rsidR="00080FA3">
        <w:rPr>
          <w:rFonts w:ascii="Calibri" w:eastAsia="MS Mincho" w:hAnsi="Calibri" w:cs="Times New Roman"/>
        </w:rPr>
        <w:t xml:space="preserve"> </w:t>
      </w:r>
      <w:r>
        <w:rPr>
          <w:rFonts w:ascii="Calibri" w:eastAsia="MS Mincho" w:hAnsi="Calibri" w:cs="Times New Roman"/>
        </w:rPr>
        <w:t>grown steadily. S</w:t>
      </w:r>
      <w:r w:rsidRPr="00502978">
        <w:rPr>
          <w:rFonts w:ascii="Calibri" w:eastAsia="MS Mincho" w:hAnsi="Calibri" w:cs="Times New Roman"/>
        </w:rPr>
        <w:t>pasmodic torticollis</w:t>
      </w:r>
      <w:r>
        <w:rPr>
          <w:rFonts w:ascii="Calibri" w:eastAsia="MS Mincho" w:hAnsi="Calibri" w:cs="Times New Roman"/>
        </w:rPr>
        <w:t xml:space="preserve"> has grown the fastest and is now the most common. The growth rate for </w:t>
      </w:r>
      <w:r w:rsidRPr="00502978">
        <w:rPr>
          <w:rFonts w:ascii="Calibri" w:eastAsia="MS Mincho" w:hAnsi="Calibri" w:cs="Times New Roman"/>
        </w:rPr>
        <w:t>spasmodic torticollis</w:t>
      </w:r>
      <w:r>
        <w:rPr>
          <w:rFonts w:ascii="Calibri" w:eastAsia="MS Mincho" w:hAnsi="Calibri" w:cs="Times New Roman"/>
        </w:rPr>
        <w:t xml:space="preserve"> </w:t>
      </w:r>
      <w:r w:rsidR="00EC32EA">
        <w:rPr>
          <w:rFonts w:ascii="Calibri" w:eastAsia="MS Mincho" w:hAnsi="Calibri" w:cs="Times New Roman"/>
        </w:rPr>
        <w:t xml:space="preserve">has </w:t>
      </w:r>
      <w:r w:rsidR="003F43D6">
        <w:rPr>
          <w:rFonts w:ascii="Calibri" w:eastAsia="MS Mincho" w:hAnsi="Calibri" w:cs="Times New Roman"/>
        </w:rPr>
        <w:t>increased more rapidly since 2016 coinciding with</w:t>
      </w:r>
      <w:r>
        <w:rPr>
          <w:rFonts w:ascii="Calibri" w:eastAsia="MS Mincho" w:hAnsi="Calibri" w:cs="Times New Roman"/>
        </w:rPr>
        <w:t xml:space="preserve"> the PBS approval process for prescribing of </w:t>
      </w:r>
      <w:r w:rsidRPr="00502978">
        <w:rPr>
          <w:rFonts w:ascii="Calibri" w:eastAsia="MS Mincho" w:hAnsi="Calibri" w:cs="Times New Roman"/>
        </w:rPr>
        <w:t>botulinum toxin</w:t>
      </w:r>
      <w:r>
        <w:rPr>
          <w:rFonts w:ascii="Calibri" w:eastAsia="MS Mincho" w:hAnsi="Calibri" w:cs="Times New Roman"/>
        </w:rPr>
        <w:t xml:space="preserve"> chang</w:t>
      </w:r>
      <w:r w:rsidR="00EC32EA">
        <w:rPr>
          <w:rFonts w:ascii="Calibri" w:eastAsia="MS Mincho" w:hAnsi="Calibri" w:cs="Times New Roman"/>
        </w:rPr>
        <w:t>ing</w:t>
      </w:r>
      <w:r>
        <w:rPr>
          <w:rFonts w:ascii="Calibri" w:eastAsia="MS Mincho" w:hAnsi="Calibri" w:cs="Times New Roman"/>
        </w:rPr>
        <w:t xml:space="preserve"> from </w:t>
      </w:r>
      <w:r w:rsidR="00E37EE9">
        <w:rPr>
          <w:rFonts w:ascii="Calibri" w:eastAsia="MS Mincho" w:hAnsi="Calibri" w:cs="Times New Roman"/>
        </w:rPr>
        <w:t xml:space="preserve">telephone approval </w:t>
      </w:r>
      <w:r>
        <w:rPr>
          <w:rFonts w:ascii="Calibri" w:eastAsia="MS Mincho" w:hAnsi="Calibri" w:cs="Times New Roman"/>
        </w:rPr>
        <w:t>to Authority Required (Streamlined).</w:t>
      </w:r>
      <w:r w:rsidR="00080FA3">
        <w:rPr>
          <w:rFonts w:ascii="Calibri" w:eastAsia="MS Mincho" w:hAnsi="Calibri" w:cs="Times New Roman"/>
        </w:rPr>
        <w:t xml:space="preserve"> </w:t>
      </w:r>
      <w:r w:rsidR="001931BE">
        <w:rPr>
          <w:rFonts w:ascii="Calibri" w:eastAsia="MS Mincho" w:hAnsi="Calibri" w:cs="Times New Roman"/>
        </w:rPr>
        <w:t xml:space="preserve">Services for moderate to severe </w:t>
      </w:r>
      <w:r w:rsidR="007B051A">
        <w:rPr>
          <w:rFonts w:ascii="Calibri" w:eastAsia="MS Mincho" w:hAnsi="Calibri" w:cs="Times New Roman"/>
        </w:rPr>
        <w:t>spasticity</w:t>
      </w:r>
      <w:r w:rsidR="001931BE">
        <w:rPr>
          <w:rFonts w:ascii="Calibri" w:eastAsia="MS Mincho" w:hAnsi="Calibri" w:cs="Times New Roman"/>
        </w:rPr>
        <w:t xml:space="preserve"> of the upper limb due to stroke or cerebral palsy represent a small proportion of all MBS services. The </w:t>
      </w:r>
      <w:r w:rsidR="003B6388">
        <w:rPr>
          <w:rFonts w:ascii="Calibri" w:eastAsia="MS Mincho" w:hAnsi="Calibri" w:cs="Times New Roman"/>
        </w:rPr>
        <w:t>number of services for upper limb spasticity and dynamic equinus foot deformity due to spasticity has</w:t>
      </w:r>
      <w:r w:rsidR="00080FA3">
        <w:rPr>
          <w:rFonts w:ascii="Calibri" w:eastAsia="MS Mincho" w:hAnsi="Calibri" w:cs="Times New Roman"/>
        </w:rPr>
        <w:t xml:space="preserve"> remained steady in recent years. </w:t>
      </w:r>
    </w:p>
    <w:p w:rsidR="00A77FDE" w:rsidRPr="00CF1434" w:rsidRDefault="00215BCD" w:rsidP="00CF1434">
      <w:pPr>
        <w:rPr>
          <w:rFonts w:ascii="Calibri" w:eastAsia="MS Mincho" w:hAnsi="Calibri" w:cs="Times New Roman"/>
        </w:rPr>
      </w:pPr>
      <w:r>
        <w:rPr>
          <w:rFonts w:ascii="Calibri" w:eastAsia="MS Mincho" w:hAnsi="Calibri" w:cs="Times New Roman"/>
        </w:rPr>
        <w:t>Figure 2</w:t>
      </w:r>
      <w:r w:rsidR="00A77FDE" w:rsidRPr="00CF1434">
        <w:rPr>
          <w:rFonts w:ascii="Calibri" w:eastAsia="MS Mincho" w:hAnsi="Calibri" w:cs="Times New Roman"/>
        </w:rPr>
        <w:t xml:space="preserve"> shows the </w:t>
      </w:r>
      <w:r w:rsidR="00607C30">
        <w:rPr>
          <w:rFonts w:ascii="Calibri" w:eastAsia="MS Mincho" w:hAnsi="Calibri" w:cs="Times New Roman"/>
        </w:rPr>
        <w:t xml:space="preserve">PBS </w:t>
      </w:r>
      <w:r w:rsidR="00A77FDE" w:rsidRPr="00CF1434">
        <w:rPr>
          <w:rFonts w:ascii="Calibri" w:eastAsia="MS Mincho" w:hAnsi="Calibri" w:cs="Times New Roman"/>
        </w:rPr>
        <w:t xml:space="preserve">utilisation of botulinum toxin for </w:t>
      </w:r>
      <w:r w:rsidR="00420D7E" w:rsidRPr="00420D7E">
        <w:rPr>
          <w:rFonts w:ascii="Calibri" w:eastAsia="MS Mincho" w:hAnsi="Calibri" w:cs="Times New Roman"/>
        </w:rPr>
        <w:t xml:space="preserve">spasticity </w:t>
      </w:r>
      <w:r w:rsidR="00A869EA">
        <w:rPr>
          <w:rFonts w:ascii="Calibri" w:eastAsia="MS Mincho" w:hAnsi="Calibri" w:cs="Times New Roman"/>
        </w:rPr>
        <w:t xml:space="preserve">and dystonia </w:t>
      </w:r>
      <w:r w:rsidR="00420D7E">
        <w:rPr>
          <w:rFonts w:ascii="Calibri" w:eastAsia="MS Mincho" w:hAnsi="Calibri" w:cs="Times New Roman"/>
        </w:rPr>
        <w:t>since the processing of this medicine became prescription based on 1 September 2015</w:t>
      </w:r>
      <w:r w:rsidR="00C474E2">
        <w:rPr>
          <w:rFonts w:ascii="Calibri" w:eastAsia="MS Mincho" w:hAnsi="Calibri" w:cs="Times New Roman"/>
        </w:rPr>
        <w:t>.</w:t>
      </w:r>
      <w:r w:rsidR="00214079" w:rsidRPr="00214079">
        <w:rPr>
          <w:rFonts w:ascii="Calibri" w:eastAsia="MS Mincho" w:hAnsi="Calibri" w:cs="Times New Roman"/>
        </w:rPr>
        <w:t xml:space="preserve"> </w:t>
      </w:r>
      <w:r w:rsidR="00BB079F" w:rsidRPr="00BB079F">
        <w:rPr>
          <w:rFonts w:ascii="Calibri" w:eastAsia="MS Mincho" w:hAnsi="Calibri" w:cs="Times New Roman"/>
        </w:rPr>
        <w:t>Note that</w:t>
      </w:r>
      <w:r w:rsidR="00BB079F">
        <w:rPr>
          <w:rFonts w:ascii="Calibri" w:eastAsia="MS Mincho" w:hAnsi="Calibri" w:cs="Times New Roman"/>
        </w:rPr>
        <w:t xml:space="preserve"> the first quarter (</w:t>
      </w:r>
      <w:r w:rsidR="00BB079F" w:rsidRPr="00BB079F">
        <w:rPr>
          <w:rFonts w:ascii="Calibri" w:eastAsia="MS Mincho" w:hAnsi="Calibri" w:cs="Times New Roman"/>
        </w:rPr>
        <w:t>2015Q3</w:t>
      </w:r>
      <w:r w:rsidR="00BB079F">
        <w:rPr>
          <w:rFonts w:ascii="Calibri" w:eastAsia="MS Mincho" w:hAnsi="Calibri" w:cs="Times New Roman"/>
        </w:rPr>
        <w:t xml:space="preserve">) </w:t>
      </w:r>
      <w:r w:rsidR="00BB079F" w:rsidRPr="00BB079F">
        <w:rPr>
          <w:rFonts w:ascii="Calibri" w:eastAsia="MS Mincho" w:hAnsi="Calibri" w:cs="Times New Roman"/>
        </w:rPr>
        <w:t xml:space="preserve">is </w:t>
      </w:r>
      <w:r>
        <w:rPr>
          <w:rFonts w:ascii="Calibri" w:eastAsia="MS Mincho" w:hAnsi="Calibri" w:cs="Times New Roman"/>
        </w:rPr>
        <w:t xml:space="preserve">not included in Figure 2 </w:t>
      </w:r>
      <w:r w:rsidR="00BB079F" w:rsidRPr="00BB079F">
        <w:rPr>
          <w:rFonts w:ascii="Calibri" w:eastAsia="MS Mincho" w:hAnsi="Calibri" w:cs="Times New Roman"/>
        </w:rPr>
        <w:t>as it only contains one month</w:t>
      </w:r>
      <w:r>
        <w:rPr>
          <w:rFonts w:ascii="Calibri" w:eastAsia="MS Mincho" w:hAnsi="Calibri" w:cs="Times New Roman"/>
        </w:rPr>
        <w:t xml:space="preserve"> of data (i</w:t>
      </w:r>
      <w:r w:rsidR="00C474E2">
        <w:rPr>
          <w:rFonts w:ascii="Calibri" w:eastAsia="MS Mincho" w:hAnsi="Calibri" w:cs="Times New Roman"/>
        </w:rPr>
        <w:t>.</w:t>
      </w:r>
      <w:r>
        <w:rPr>
          <w:rFonts w:ascii="Calibri" w:eastAsia="MS Mincho" w:hAnsi="Calibri" w:cs="Times New Roman"/>
        </w:rPr>
        <w:t>e. September 2015).</w:t>
      </w:r>
    </w:p>
    <w:p w:rsidR="000528EB" w:rsidRPr="00793E16" w:rsidRDefault="00852CA1" w:rsidP="000528EB">
      <w:pPr>
        <w:rPr>
          <w:rFonts w:ascii="Calibri" w:eastAsia="MS Mincho" w:hAnsi="Calibri" w:cs="Times New Roman"/>
          <w:b/>
        </w:rPr>
      </w:pPr>
      <w:r>
        <w:rPr>
          <w:noProof/>
        </w:rPr>
        <w:lastRenderedPageBreak/>
        <w:drawing>
          <wp:inline distT="0" distB="0" distL="0" distR="0" wp14:anchorId="4AF295A3" wp14:editId="5323675C">
            <wp:extent cx="5664529" cy="3800104"/>
            <wp:effectExtent l="0" t="0" r="12700" b="10160"/>
            <wp:docPr id="10" name="Chart 10" title="Figure 2: Prescriptions of botulinum toxin for spasticity and dystonia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B87CD5">
        <w:rPr>
          <w:rFonts w:ascii="Calibri" w:eastAsia="MS Mincho" w:hAnsi="Calibri" w:cs="Times New Roman"/>
          <w:b/>
        </w:rPr>
        <w:t xml:space="preserve"> </w:t>
      </w:r>
      <w:r w:rsidR="000528EB" w:rsidRPr="00B87CD5">
        <w:rPr>
          <w:rFonts w:ascii="Calibri" w:eastAsia="MS Mincho" w:hAnsi="Calibri" w:cs="Times New Roman"/>
          <w:b/>
        </w:rPr>
        <w:t>F</w:t>
      </w:r>
      <w:r w:rsidR="000B2019">
        <w:rPr>
          <w:rFonts w:ascii="Calibri" w:eastAsia="MS Mincho" w:hAnsi="Calibri" w:cs="Times New Roman"/>
          <w:b/>
        </w:rPr>
        <w:t>igure 2</w:t>
      </w:r>
      <w:r w:rsidR="000528EB" w:rsidRPr="00B87CD5">
        <w:rPr>
          <w:rFonts w:ascii="Calibri" w:eastAsia="MS Mincho" w:hAnsi="Calibri" w:cs="Times New Roman"/>
          <w:b/>
        </w:rPr>
        <w:t xml:space="preserve">: </w:t>
      </w:r>
      <w:r w:rsidR="00420D7E">
        <w:rPr>
          <w:rFonts w:ascii="Calibri" w:eastAsia="MS Mincho" w:hAnsi="Calibri" w:cs="Times New Roman"/>
          <w:b/>
        </w:rPr>
        <w:t>P</w:t>
      </w:r>
      <w:r w:rsidR="000528EB">
        <w:rPr>
          <w:rFonts w:ascii="Calibri" w:eastAsia="MS Mincho" w:hAnsi="Calibri" w:cs="Times New Roman"/>
          <w:b/>
        </w:rPr>
        <w:t>rescriptions of bo</w:t>
      </w:r>
      <w:r w:rsidR="000528EB" w:rsidRPr="00AB4293">
        <w:rPr>
          <w:rFonts w:ascii="Calibri" w:eastAsia="MS Mincho" w:hAnsi="Calibri" w:cs="Times New Roman"/>
          <w:b/>
        </w:rPr>
        <w:t xml:space="preserve">tulinum </w:t>
      </w:r>
      <w:r w:rsidR="000528EB">
        <w:rPr>
          <w:rFonts w:ascii="Calibri" w:eastAsia="MS Mincho" w:hAnsi="Calibri" w:cs="Times New Roman"/>
          <w:b/>
        </w:rPr>
        <w:t>t</w:t>
      </w:r>
      <w:r w:rsidR="000528EB" w:rsidRPr="00AB4293">
        <w:rPr>
          <w:rFonts w:ascii="Calibri" w:eastAsia="MS Mincho" w:hAnsi="Calibri" w:cs="Times New Roman"/>
          <w:b/>
        </w:rPr>
        <w:t xml:space="preserve">oxin </w:t>
      </w:r>
      <w:r w:rsidR="00420D7E" w:rsidRPr="00CE248B">
        <w:rPr>
          <w:rFonts w:ascii="Calibri" w:eastAsia="MS Mincho" w:hAnsi="Calibri" w:cs="Times New Roman"/>
          <w:b/>
        </w:rPr>
        <w:t xml:space="preserve">for spasticity </w:t>
      </w:r>
      <w:r w:rsidR="00CE248B">
        <w:rPr>
          <w:rFonts w:ascii="Calibri" w:eastAsia="MS Mincho" w:hAnsi="Calibri" w:cs="Times New Roman"/>
          <w:b/>
        </w:rPr>
        <w:t>and dystonia</w:t>
      </w:r>
      <w:r w:rsidR="00323C0E">
        <w:rPr>
          <w:rFonts w:ascii="Calibri" w:eastAsia="MS Mincho" w:hAnsi="Calibri" w:cs="Times New Roman"/>
          <w:b/>
        </w:rPr>
        <w:t xml:space="preserve"> by indication</w:t>
      </w:r>
      <w:r w:rsidR="00420D7E">
        <w:rPr>
          <w:rFonts w:ascii="Calibri" w:eastAsia="MS Mincho" w:hAnsi="Calibri" w:cs="Times New Roman"/>
          <w:b/>
        </w:rPr>
        <w:br/>
      </w:r>
      <w:r w:rsidR="00D12341">
        <w:rPr>
          <w:rFonts w:ascii="Calibri" w:eastAsia="MS Mincho" w:hAnsi="Calibri" w:cs="Times New Roman"/>
          <w:sz w:val="20"/>
        </w:rPr>
        <w:t>Sources</w:t>
      </w:r>
      <w:r w:rsidR="000528EB">
        <w:rPr>
          <w:rFonts w:ascii="Calibri" w:eastAsia="MS Mincho" w:hAnsi="Calibri" w:cs="Times New Roman"/>
          <w:sz w:val="20"/>
        </w:rPr>
        <w:t>:</w:t>
      </w:r>
      <w:r w:rsidR="000528EB" w:rsidRPr="00AB4293">
        <w:rPr>
          <w:rFonts w:ascii="Calibri" w:eastAsia="MS Mincho" w:hAnsi="Calibri" w:cs="Times New Roman"/>
          <w:sz w:val="20"/>
        </w:rPr>
        <w:t xml:space="preserve"> </w:t>
      </w:r>
      <w:r w:rsidR="00420D7E">
        <w:rPr>
          <w:rFonts w:ascii="Calibri" w:eastAsia="MS Mincho" w:hAnsi="Calibri" w:cs="Times New Roman"/>
          <w:sz w:val="20"/>
        </w:rPr>
        <w:t>D</w:t>
      </w:r>
      <w:r w:rsidR="000528EB" w:rsidRPr="00B87CD5">
        <w:rPr>
          <w:rFonts w:ascii="Calibri" w:eastAsia="MS Mincho" w:hAnsi="Calibri" w:cs="Times New Roman"/>
          <w:sz w:val="20"/>
        </w:rPr>
        <w:t>HS prescription database</w:t>
      </w:r>
      <w:r w:rsidR="00D12341">
        <w:rPr>
          <w:rFonts w:ascii="Calibri" w:eastAsia="MS Mincho" w:hAnsi="Calibri" w:cs="Times New Roman"/>
          <w:sz w:val="20"/>
        </w:rPr>
        <w:t xml:space="preserve"> (</w:t>
      </w:r>
      <w:r w:rsidR="000528EB" w:rsidRPr="00B87CD5">
        <w:rPr>
          <w:rFonts w:ascii="Calibri" w:eastAsia="MS Mincho" w:hAnsi="Calibri" w:cs="Times New Roman"/>
          <w:sz w:val="20"/>
        </w:rPr>
        <w:t xml:space="preserve">accessed </w:t>
      </w:r>
      <w:r w:rsidR="000528EB">
        <w:rPr>
          <w:rFonts w:ascii="Calibri" w:eastAsia="MS Mincho" w:hAnsi="Calibri" w:cs="Times New Roman"/>
          <w:sz w:val="20"/>
        </w:rPr>
        <w:t xml:space="preserve">21 </w:t>
      </w:r>
      <w:r w:rsidR="00420D7E">
        <w:rPr>
          <w:rFonts w:ascii="Calibri" w:eastAsia="MS Mincho" w:hAnsi="Calibri" w:cs="Times New Roman"/>
          <w:sz w:val="20"/>
        </w:rPr>
        <w:t>February</w:t>
      </w:r>
      <w:r w:rsidR="000528EB">
        <w:rPr>
          <w:rFonts w:ascii="Calibri" w:eastAsia="MS Mincho" w:hAnsi="Calibri" w:cs="Times New Roman"/>
          <w:sz w:val="20"/>
        </w:rPr>
        <w:t xml:space="preserve"> </w:t>
      </w:r>
      <w:r w:rsidR="000528EB" w:rsidRPr="00B87CD5">
        <w:rPr>
          <w:rFonts w:ascii="Calibri" w:eastAsia="MS Mincho" w:hAnsi="Calibri" w:cs="Times New Roman"/>
          <w:sz w:val="20"/>
        </w:rPr>
        <w:t>201</w:t>
      </w:r>
      <w:r w:rsidR="00804DBF">
        <w:rPr>
          <w:rFonts w:ascii="Calibri" w:eastAsia="MS Mincho" w:hAnsi="Calibri" w:cs="Times New Roman"/>
          <w:sz w:val="20"/>
        </w:rPr>
        <w:t>8</w:t>
      </w:r>
      <w:r w:rsidR="00D12341">
        <w:rPr>
          <w:rFonts w:ascii="Calibri" w:eastAsia="MS Mincho" w:hAnsi="Calibri" w:cs="Times New Roman"/>
          <w:sz w:val="20"/>
        </w:rPr>
        <w:t>)</w:t>
      </w:r>
      <w:r w:rsidR="000528EB" w:rsidRPr="00B87CD5">
        <w:rPr>
          <w:rFonts w:ascii="Calibri" w:eastAsia="MS Mincho" w:hAnsi="Calibri" w:cs="Times New Roman"/>
          <w:sz w:val="20"/>
        </w:rPr>
        <w:t>.</w:t>
      </w:r>
      <w:r w:rsidR="000528EB">
        <w:rPr>
          <w:rFonts w:ascii="Calibri" w:eastAsia="MS Mincho" w:hAnsi="Calibri" w:cs="Times New Roman"/>
          <w:sz w:val="20"/>
        </w:rPr>
        <w:t xml:space="preserve"> </w:t>
      </w:r>
    </w:p>
    <w:p w:rsidR="00A26242" w:rsidRDefault="00420D7E" w:rsidP="0051534B">
      <w:pPr>
        <w:rPr>
          <w:rFonts w:ascii="Calibri" w:eastAsia="MS Mincho" w:hAnsi="Calibri" w:cs="Times New Roman"/>
        </w:rPr>
      </w:pPr>
      <w:r>
        <w:rPr>
          <w:rFonts w:ascii="Calibri" w:eastAsia="MS Mincho" w:hAnsi="Calibri" w:cs="Times New Roman"/>
        </w:rPr>
        <w:t xml:space="preserve">Figure </w:t>
      </w:r>
      <w:r w:rsidR="00FC694C">
        <w:rPr>
          <w:rFonts w:ascii="Calibri" w:eastAsia="MS Mincho" w:hAnsi="Calibri" w:cs="Times New Roman"/>
        </w:rPr>
        <w:t>2</w:t>
      </w:r>
      <w:r>
        <w:rPr>
          <w:rFonts w:ascii="Calibri" w:eastAsia="MS Mincho" w:hAnsi="Calibri" w:cs="Times New Roman"/>
        </w:rPr>
        <w:t xml:space="preserve"> sho</w:t>
      </w:r>
      <w:r w:rsidR="00BB079F">
        <w:rPr>
          <w:rFonts w:ascii="Calibri" w:eastAsia="MS Mincho" w:hAnsi="Calibri" w:cs="Times New Roman"/>
        </w:rPr>
        <w:t>w</w:t>
      </w:r>
      <w:r>
        <w:rPr>
          <w:rFonts w:ascii="Calibri" w:eastAsia="MS Mincho" w:hAnsi="Calibri" w:cs="Times New Roman"/>
        </w:rPr>
        <w:t xml:space="preserve">s that the utilisation for the </w:t>
      </w:r>
      <w:r w:rsidR="0088244C">
        <w:rPr>
          <w:rFonts w:ascii="Calibri" w:eastAsia="MS Mincho" w:hAnsi="Calibri" w:cs="Times New Roman"/>
        </w:rPr>
        <w:t>b</w:t>
      </w:r>
      <w:r w:rsidRPr="00420D7E">
        <w:rPr>
          <w:rFonts w:ascii="Calibri" w:eastAsia="MS Mincho" w:hAnsi="Calibri" w:cs="Times New Roman"/>
        </w:rPr>
        <w:t>lepharospasm or hemifacial spasm</w:t>
      </w:r>
      <w:r>
        <w:rPr>
          <w:rFonts w:ascii="Calibri" w:eastAsia="MS Mincho" w:hAnsi="Calibri" w:cs="Times New Roman"/>
        </w:rPr>
        <w:t xml:space="preserve"> and </w:t>
      </w:r>
      <w:r w:rsidR="0088244C">
        <w:rPr>
          <w:rFonts w:ascii="Calibri" w:eastAsia="MS Mincho" w:hAnsi="Calibri" w:cs="Times New Roman"/>
        </w:rPr>
        <w:t>s</w:t>
      </w:r>
      <w:r w:rsidRPr="00420D7E">
        <w:rPr>
          <w:rFonts w:ascii="Calibri" w:eastAsia="MS Mincho" w:hAnsi="Calibri" w:cs="Times New Roman"/>
        </w:rPr>
        <w:t>pasmodic torticollis</w:t>
      </w:r>
      <w:r w:rsidR="00BB079F">
        <w:rPr>
          <w:rFonts w:ascii="Calibri" w:eastAsia="MS Mincho" w:hAnsi="Calibri" w:cs="Times New Roman"/>
        </w:rPr>
        <w:t xml:space="preserve"> indications has been increasing steadily since the first complete quarter, 2015 Q4. </w:t>
      </w:r>
      <w:r w:rsidR="00A26242">
        <w:rPr>
          <w:rFonts w:ascii="Calibri" w:eastAsia="MS Mincho" w:hAnsi="Calibri" w:cs="Times New Roman"/>
        </w:rPr>
        <w:t xml:space="preserve">As there is no prior PBS data, it is not possible </w:t>
      </w:r>
      <w:r w:rsidR="001931BE">
        <w:rPr>
          <w:rFonts w:ascii="Calibri" w:eastAsia="MS Mincho" w:hAnsi="Calibri" w:cs="Times New Roman"/>
        </w:rPr>
        <w:t xml:space="preserve">from this data alone </w:t>
      </w:r>
      <w:r w:rsidR="00A26242">
        <w:rPr>
          <w:rFonts w:ascii="Calibri" w:eastAsia="MS Mincho" w:hAnsi="Calibri" w:cs="Times New Roman"/>
        </w:rPr>
        <w:t>to determine if the growth rate</w:t>
      </w:r>
      <w:r w:rsidR="00D2533D">
        <w:rPr>
          <w:rFonts w:ascii="Calibri" w:eastAsia="MS Mincho" w:hAnsi="Calibri" w:cs="Times New Roman"/>
        </w:rPr>
        <w:t>s</w:t>
      </w:r>
      <w:r w:rsidR="00A26242">
        <w:rPr>
          <w:rFonts w:ascii="Calibri" w:eastAsia="MS Mincho" w:hAnsi="Calibri" w:cs="Times New Roman"/>
        </w:rPr>
        <w:t xml:space="preserve"> f</w:t>
      </w:r>
      <w:r w:rsidR="00D2533D">
        <w:rPr>
          <w:rFonts w:ascii="Calibri" w:eastAsia="MS Mincho" w:hAnsi="Calibri" w:cs="Times New Roman"/>
        </w:rPr>
        <w:t>or</w:t>
      </w:r>
      <w:r w:rsidR="00A26242">
        <w:rPr>
          <w:rFonts w:ascii="Calibri" w:eastAsia="MS Mincho" w:hAnsi="Calibri" w:cs="Times New Roman"/>
        </w:rPr>
        <w:t xml:space="preserve"> these indications have increased since September 2015 when prescribing of </w:t>
      </w:r>
      <w:r w:rsidR="00A26242" w:rsidRPr="00502978">
        <w:rPr>
          <w:rFonts w:ascii="Calibri" w:eastAsia="MS Mincho" w:hAnsi="Calibri" w:cs="Times New Roman"/>
        </w:rPr>
        <w:t>botulinum toxin</w:t>
      </w:r>
      <w:r w:rsidR="00A26242">
        <w:rPr>
          <w:rFonts w:ascii="Calibri" w:eastAsia="MS Mincho" w:hAnsi="Calibri" w:cs="Times New Roman"/>
        </w:rPr>
        <w:t xml:space="preserve"> changed from telephone approval to Authority Required (Streamlined).</w:t>
      </w:r>
      <w:r w:rsidR="001931BE">
        <w:rPr>
          <w:rFonts w:ascii="Calibri" w:eastAsia="MS Mincho" w:hAnsi="Calibri" w:cs="Times New Roman"/>
        </w:rPr>
        <w:t xml:space="preserve"> However, comparison with the MBS services data in Figure 1 indicates that there has been substantial growth in the </w:t>
      </w:r>
      <w:r w:rsidR="007B051A">
        <w:rPr>
          <w:rFonts w:ascii="Calibri" w:eastAsia="MS Mincho" w:hAnsi="Calibri" w:cs="Times New Roman"/>
        </w:rPr>
        <w:t>utilisation</w:t>
      </w:r>
      <w:r w:rsidR="001931BE">
        <w:rPr>
          <w:rFonts w:ascii="Calibri" w:eastAsia="MS Mincho" w:hAnsi="Calibri" w:cs="Times New Roman"/>
        </w:rPr>
        <w:t xml:space="preserve"> of botulinum toxin for spasmodic torticollis.</w:t>
      </w:r>
    </w:p>
    <w:p w:rsidR="00D85CFC" w:rsidRPr="00502978" w:rsidRDefault="00BB079F" w:rsidP="00D85CFC">
      <w:pPr>
        <w:rPr>
          <w:rFonts w:ascii="Calibri" w:eastAsia="MS Mincho" w:hAnsi="Calibri" w:cs="Times New Roman"/>
        </w:rPr>
      </w:pPr>
      <w:r>
        <w:rPr>
          <w:rFonts w:ascii="Calibri" w:eastAsia="MS Mincho" w:hAnsi="Calibri" w:cs="Times New Roman"/>
        </w:rPr>
        <w:t xml:space="preserve">Utilisation for the other </w:t>
      </w:r>
      <w:r w:rsidR="00FC694C">
        <w:rPr>
          <w:rFonts w:ascii="Calibri" w:eastAsia="MS Mincho" w:hAnsi="Calibri" w:cs="Times New Roman"/>
        </w:rPr>
        <w:t>three</w:t>
      </w:r>
      <w:r>
        <w:rPr>
          <w:rFonts w:ascii="Calibri" w:eastAsia="MS Mincho" w:hAnsi="Calibri" w:cs="Times New Roman"/>
        </w:rPr>
        <w:t xml:space="preserve"> indications (i</w:t>
      </w:r>
      <w:r w:rsidR="00C474E2">
        <w:rPr>
          <w:rFonts w:ascii="Calibri" w:eastAsia="MS Mincho" w:hAnsi="Calibri" w:cs="Times New Roman"/>
        </w:rPr>
        <w:t>.</w:t>
      </w:r>
      <w:r>
        <w:rPr>
          <w:rFonts w:ascii="Calibri" w:eastAsia="MS Mincho" w:hAnsi="Calibri" w:cs="Times New Roman"/>
        </w:rPr>
        <w:t xml:space="preserve">e. </w:t>
      </w:r>
      <w:r w:rsidR="00CE248B">
        <w:rPr>
          <w:rFonts w:ascii="Calibri" w:eastAsia="MS Mincho" w:hAnsi="Calibri" w:cs="Times New Roman"/>
        </w:rPr>
        <w:t>d</w:t>
      </w:r>
      <w:r w:rsidRPr="00BB079F">
        <w:rPr>
          <w:rFonts w:ascii="Calibri" w:eastAsia="MS Mincho" w:hAnsi="Calibri" w:cs="Times New Roman"/>
        </w:rPr>
        <w:t>ynamic equinus foot deformity</w:t>
      </w:r>
      <w:r>
        <w:rPr>
          <w:rFonts w:ascii="Calibri" w:eastAsia="MS Mincho" w:hAnsi="Calibri" w:cs="Times New Roman"/>
        </w:rPr>
        <w:t xml:space="preserve"> and </w:t>
      </w:r>
      <w:r w:rsidR="00CE248B">
        <w:rPr>
          <w:rFonts w:ascii="Calibri" w:eastAsia="MS Mincho" w:hAnsi="Calibri" w:cs="Times New Roman"/>
        </w:rPr>
        <w:t>m</w:t>
      </w:r>
      <w:r w:rsidRPr="00BB079F">
        <w:rPr>
          <w:rFonts w:ascii="Calibri" w:eastAsia="MS Mincho" w:hAnsi="Calibri" w:cs="Times New Roman"/>
        </w:rPr>
        <w:t>oderate to severe spasticity</w:t>
      </w:r>
      <w:r w:rsidR="00D2533D">
        <w:rPr>
          <w:rFonts w:ascii="Calibri" w:eastAsia="MS Mincho" w:hAnsi="Calibri" w:cs="Times New Roman"/>
        </w:rPr>
        <w:t xml:space="preserve"> of the </w:t>
      </w:r>
      <w:r w:rsidRPr="00BB079F">
        <w:rPr>
          <w:rFonts w:ascii="Calibri" w:eastAsia="MS Mincho" w:hAnsi="Calibri" w:cs="Times New Roman"/>
        </w:rPr>
        <w:t>upper limb</w:t>
      </w:r>
      <w:r w:rsidR="00D2533D">
        <w:rPr>
          <w:rFonts w:ascii="Calibri" w:eastAsia="MS Mincho" w:hAnsi="Calibri" w:cs="Times New Roman"/>
        </w:rPr>
        <w:t xml:space="preserve"> due to </w:t>
      </w:r>
      <w:r w:rsidR="00FC694C">
        <w:rPr>
          <w:rFonts w:ascii="Calibri" w:eastAsia="MS Mincho" w:hAnsi="Calibri" w:cs="Times New Roman"/>
        </w:rPr>
        <w:t xml:space="preserve">cerebral palsy </w:t>
      </w:r>
      <w:r w:rsidR="00D2533D">
        <w:rPr>
          <w:rFonts w:ascii="Calibri" w:eastAsia="MS Mincho" w:hAnsi="Calibri" w:cs="Times New Roman"/>
        </w:rPr>
        <w:t xml:space="preserve">or </w:t>
      </w:r>
      <w:r w:rsidR="00FC694C">
        <w:rPr>
          <w:rFonts w:ascii="Calibri" w:eastAsia="MS Mincho" w:hAnsi="Calibri" w:cs="Times New Roman"/>
        </w:rPr>
        <w:t>stroke</w:t>
      </w:r>
      <w:r>
        <w:rPr>
          <w:rFonts w:ascii="Calibri" w:eastAsia="MS Mincho" w:hAnsi="Calibri" w:cs="Times New Roman"/>
        </w:rPr>
        <w:t>) has remained relatively constant over the same period.</w:t>
      </w:r>
      <w:r w:rsidR="00D85CFC" w:rsidRPr="00D85CFC">
        <w:rPr>
          <w:rFonts w:ascii="Calibri" w:eastAsia="MS Mincho" w:hAnsi="Calibri" w:cs="Times New Roman"/>
        </w:rPr>
        <w:t xml:space="preserve"> </w:t>
      </w:r>
    </w:p>
    <w:p w:rsidR="00A26242" w:rsidRDefault="00A26242" w:rsidP="0051534B">
      <w:pPr>
        <w:rPr>
          <w:rFonts w:ascii="Calibri" w:eastAsia="MS Mincho" w:hAnsi="Calibri" w:cs="Times New Roman"/>
        </w:rPr>
      </w:pPr>
      <w:r>
        <w:rPr>
          <w:rFonts w:ascii="Calibri" w:eastAsia="MS Mincho" w:hAnsi="Calibri" w:cs="Times New Roman"/>
        </w:rPr>
        <w:t>Comparing</w:t>
      </w:r>
      <w:r w:rsidR="0017207D">
        <w:rPr>
          <w:rFonts w:ascii="Calibri" w:eastAsia="MS Mincho" w:hAnsi="Calibri" w:cs="Times New Roman"/>
        </w:rPr>
        <w:t xml:space="preserve"> the</w:t>
      </w:r>
      <w:r>
        <w:rPr>
          <w:rFonts w:ascii="Calibri" w:eastAsia="MS Mincho" w:hAnsi="Calibri" w:cs="Times New Roman"/>
        </w:rPr>
        <w:t xml:space="preserve"> </w:t>
      </w:r>
      <w:r w:rsidR="000C255A">
        <w:rPr>
          <w:rFonts w:ascii="Calibri" w:eastAsia="MS Mincho" w:hAnsi="Calibri" w:cs="Times New Roman"/>
        </w:rPr>
        <w:t xml:space="preserve">number of </w:t>
      </w:r>
      <w:r>
        <w:rPr>
          <w:rFonts w:ascii="Calibri" w:eastAsia="MS Mincho" w:hAnsi="Calibri" w:cs="Times New Roman"/>
        </w:rPr>
        <w:t>MBS services (Figure 1) with</w:t>
      </w:r>
      <w:r w:rsidR="000C255A">
        <w:rPr>
          <w:rFonts w:ascii="Calibri" w:eastAsia="MS Mincho" w:hAnsi="Calibri" w:cs="Times New Roman"/>
        </w:rPr>
        <w:t xml:space="preserve"> the number </w:t>
      </w:r>
      <w:r w:rsidR="007B051A">
        <w:rPr>
          <w:rFonts w:ascii="Calibri" w:eastAsia="MS Mincho" w:hAnsi="Calibri" w:cs="Times New Roman"/>
        </w:rPr>
        <w:t>of PBS</w:t>
      </w:r>
      <w:r>
        <w:rPr>
          <w:rFonts w:ascii="Calibri" w:eastAsia="MS Mincho" w:hAnsi="Calibri" w:cs="Times New Roman"/>
        </w:rPr>
        <w:t xml:space="preserve"> prescriptions (Figure</w:t>
      </w:r>
      <w:r w:rsidR="000C255A">
        <w:rPr>
          <w:rFonts w:ascii="Calibri" w:eastAsia="MS Mincho" w:hAnsi="Calibri" w:cs="Times New Roman"/>
        </w:rPr>
        <w:t> </w:t>
      </w:r>
      <w:r>
        <w:rPr>
          <w:rFonts w:ascii="Calibri" w:eastAsia="MS Mincho" w:hAnsi="Calibri" w:cs="Times New Roman"/>
        </w:rPr>
        <w:t>2) it can be seen that the number of MBS services is not the same as the number of PBS prescriptions</w:t>
      </w:r>
      <w:r w:rsidR="00414BDE">
        <w:rPr>
          <w:rFonts w:ascii="Calibri" w:eastAsia="MS Mincho" w:hAnsi="Calibri" w:cs="Times New Roman"/>
        </w:rPr>
        <w:t xml:space="preserve"> for some indications. </w:t>
      </w:r>
    </w:p>
    <w:p w:rsidR="00210797" w:rsidRDefault="00210797">
      <w:pPr>
        <w:spacing w:line="276" w:lineRule="auto"/>
        <w:rPr>
          <w:rFonts w:ascii="Calibri" w:eastAsia="MS Mincho" w:hAnsi="Calibri" w:cs="Times New Roman"/>
          <w:b/>
        </w:rPr>
      </w:pPr>
      <w:r>
        <w:rPr>
          <w:rFonts w:ascii="Calibri" w:eastAsia="MS Mincho" w:hAnsi="Calibri" w:cs="Times New Roman"/>
          <w:b/>
        </w:rPr>
        <w:br w:type="page"/>
      </w:r>
    </w:p>
    <w:p w:rsidR="005C5D07" w:rsidRPr="00797648" w:rsidRDefault="005C5D07" w:rsidP="00797648">
      <w:pPr>
        <w:spacing w:after="0"/>
        <w:rPr>
          <w:rFonts w:ascii="Calibri" w:eastAsia="MS Mincho" w:hAnsi="Calibri" w:cs="Times New Roman"/>
          <w:b/>
        </w:rPr>
      </w:pPr>
      <w:r w:rsidRPr="00797648">
        <w:rPr>
          <w:rFonts w:ascii="Calibri" w:eastAsia="MS Mincho" w:hAnsi="Calibri" w:cs="Times New Roman"/>
          <w:b/>
        </w:rPr>
        <w:lastRenderedPageBreak/>
        <w:t xml:space="preserve">Table </w:t>
      </w:r>
      <w:r w:rsidR="00414BDE">
        <w:rPr>
          <w:rFonts w:ascii="Calibri" w:eastAsia="MS Mincho" w:hAnsi="Calibri" w:cs="Times New Roman"/>
          <w:b/>
        </w:rPr>
        <w:t>7</w:t>
      </w:r>
      <w:r w:rsidRPr="00797648">
        <w:rPr>
          <w:rFonts w:ascii="Calibri" w:eastAsia="MS Mincho" w:hAnsi="Calibri" w:cs="Times New Roman"/>
          <w:b/>
        </w:rPr>
        <w:t>: Ratio of M</w:t>
      </w:r>
      <w:r w:rsidR="00797648">
        <w:rPr>
          <w:rFonts w:ascii="Calibri" w:eastAsia="MS Mincho" w:hAnsi="Calibri" w:cs="Times New Roman"/>
          <w:b/>
        </w:rPr>
        <w:t xml:space="preserve">BS services to PBS prescriptions </w:t>
      </w:r>
      <w:r w:rsidRPr="00797648">
        <w:rPr>
          <w:rFonts w:ascii="Calibri" w:eastAsia="MS Mincho" w:hAnsi="Calibri" w:cs="Times New Roman"/>
          <w:b/>
        </w:rPr>
        <w:t xml:space="preserve">by </w:t>
      </w:r>
      <w:r w:rsidR="007B051A" w:rsidRPr="00797648">
        <w:rPr>
          <w:rFonts w:ascii="Calibri" w:eastAsia="MS Mincho" w:hAnsi="Calibri" w:cs="Times New Roman"/>
          <w:b/>
        </w:rPr>
        <w:t>indication</w:t>
      </w:r>
    </w:p>
    <w:tbl>
      <w:tblPr>
        <w:tblW w:w="0" w:type="auto"/>
        <w:tblInd w:w="93" w:type="dxa"/>
        <w:tblLayout w:type="fixed"/>
        <w:tblLook w:val="04A0" w:firstRow="1" w:lastRow="0" w:firstColumn="1" w:lastColumn="0" w:noHBand="0" w:noVBand="1"/>
      </w:tblPr>
      <w:tblGrid>
        <w:gridCol w:w="5364"/>
        <w:gridCol w:w="902"/>
        <w:gridCol w:w="903"/>
      </w:tblGrid>
      <w:tr w:rsidR="00797648" w:rsidRPr="00797648" w:rsidTr="00B804D5">
        <w:trPr>
          <w:trHeight w:val="300"/>
        </w:trPr>
        <w:tc>
          <w:tcPr>
            <w:tcW w:w="5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97648" w:rsidRPr="00A82749" w:rsidRDefault="00797648" w:rsidP="00797648">
            <w:pPr>
              <w:spacing w:after="0"/>
              <w:rPr>
                <w:rFonts w:ascii="Calibri" w:eastAsia="Times New Roman" w:hAnsi="Calibri" w:cs="Times New Roman"/>
                <w:b/>
                <w:sz w:val="20"/>
                <w:szCs w:val="20"/>
              </w:rPr>
            </w:pPr>
          </w:p>
        </w:tc>
        <w:tc>
          <w:tcPr>
            <w:tcW w:w="1805"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797648" w:rsidRPr="00A82749" w:rsidRDefault="00797648" w:rsidP="00423561">
            <w:pPr>
              <w:spacing w:after="0"/>
              <w:jc w:val="center"/>
              <w:rPr>
                <w:rFonts w:ascii="Calibri" w:eastAsia="Times New Roman" w:hAnsi="Calibri" w:cs="Times New Roman"/>
                <w:b/>
                <w:sz w:val="20"/>
                <w:szCs w:val="20"/>
              </w:rPr>
            </w:pPr>
            <w:r w:rsidRPr="00A82749">
              <w:rPr>
                <w:rFonts w:ascii="Calibri" w:eastAsia="Times New Roman" w:hAnsi="Calibri" w:cs="Times New Roman"/>
                <w:b/>
                <w:sz w:val="20"/>
                <w:szCs w:val="20"/>
              </w:rPr>
              <w:t>Year</w:t>
            </w:r>
          </w:p>
        </w:tc>
      </w:tr>
      <w:tr w:rsidR="00797648" w:rsidRPr="00797648" w:rsidTr="00797648">
        <w:trPr>
          <w:trHeight w:val="300"/>
        </w:trPr>
        <w:tc>
          <w:tcPr>
            <w:tcW w:w="5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797648" w:rsidRPr="00A82749" w:rsidRDefault="00797648" w:rsidP="00797648">
            <w:pPr>
              <w:spacing w:after="0"/>
              <w:rPr>
                <w:rFonts w:ascii="Calibri" w:eastAsia="Times New Roman" w:hAnsi="Calibri" w:cs="Times New Roman"/>
                <w:b/>
                <w:sz w:val="20"/>
                <w:szCs w:val="20"/>
              </w:rPr>
            </w:pPr>
            <w:r w:rsidRPr="00A82749">
              <w:rPr>
                <w:rFonts w:ascii="Calibri" w:eastAsia="Times New Roman" w:hAnsi="Calibri" w:cs="Times New Roman"/>
                <w:b/>
                <w:sz w:val="20"/>
                <w:szCs w:val="20"/>
              </w:rPr>
              <w:t>Indication</w:t>
            </w:r>
          </w:p>
        </w:tc>
        <w:tc>
          <w:tcPr>
            <w:tcW w:w="90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97648" w:rsidRPr="00A82749" w:rsidRDefault="00797648" w:rsidP="00797648">
            <w:pPr>
              <w:spacing w:after="0"/>
              <w:jc w:val="center"/>
              <w:rPr>
                <w:rFonts w:ascii="Calibri" w:eastAsia="Times New Roman" w:hAnsi="Calibri" w:cs="Times New Roman"/>
                <w:b/>
                <w:sz w:val="20"/>
                <w:szCs w:val="20"/>
              </w:rPr>
            </w:pPr>
            <w:r w:rsidRPr="00A82749">
              <w:rPr>
                <w:rFonts w:ascii="Calibri" w:eastAsia="Times New Roman" w:hAnsi="Calibri" w:cs="Times New Roman"/>
                <w:b/>
                <w:sz w:val="20"/>
                <w:szCs w:val="20"/>
              </w:rPr>
              <w:t>2016</w:t>
            </w:r>
          </w:p>
        </w:tc>
        <w:tc>
          <w:tcPr>
            <w:tcW w:w="9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97648" w:rsidRPr="00A82749" w:rsidRDefault="00797648" w:rsidP="00797648">
            <w:pPr>
              <w:spacing w:after="0"/>
              <w:jc w:val="center"/>
              <w:rPr>
                <w:rFonts w:ascii="Calibri" w:eastAsia="Times New Roman" w:hAnsi="Calibri" w:cs="Times New Roman"/>
                <w:b/>
                <w:sz w:val="20"/>
                <w:szCs w:val="20"/>
              </w:rPr>
            </w:pPr>
            <w:r w:rsidRPr="00A82749">
              <w:rPr>
                <w:rFonts w:ascii="Calibri" w:eastAsia="Times New Roman" w:hAnsi="Calibri" w:cs="Times New Roman"/>
                <w:b/>
                <w:sz w:val="20"/>
                <w:szCs w:val="20"/>
              </w:rPr>
              <w:t>2017</w:t>
            </w:r>
          </w:p>
        </w:tc>
      </w:tr>
      <w:tr w:rsidR="00423561" w:rsidRPr="00797648" w:rsidTr="00423561">
        <w:trPr>
          <w:trHeight w:val="300"/>
        </w:trPr>
        <w:tc>
          <w:tcPr>
            <w:tcW w:w="5364" w:type="dxa"/>
            <w:tcBorders>
              <w:top w:val="nil"/>
              <w:left w:val="single" w:sz="4" w:space="0" w:color="auto"/>
              <w:bottom w:val="single" w:sz="4" w:space="0" w:color="auto"/>
              <w:right w:val="single" w:sz="4" w:space="0" w:color="auto"/>
            </w:tcBorders>
            <w:shd w:val="clear" w:color="auto" w:fill="auto"/>
            <w:noWrap/>
            <w:vAlign w:val="center"/>
            <w:hideMark/>
          </w:tcPr>
          <w:p w:rsidR="00423561" w:rsidRPr="00797648" w:rsidRDefault="00423561" w:rsidP="00797648">
            <w:pPr>
              <w:spacing w:after="0"/>
              <w:rPr>
                <w:rFonts w:ascii="Calibri" w:eastAsia="Times New Roman" w:hAnsi="Calibri" w:cs="Times New Roman"/>
                <w:sz w:val="20"/>
                <w:szCs w:val="20"/>
              </w:rPr>
            </w:pPr>
            <w:r w:rsidRPr="00797648">
              <w:rPr>
                <w:rFonts w:ascii="Calibri" w:eastAsia="Times New Roman" w:hAnsi="Calibri" w:cs="Times New Roman"/>
                <w:sz w:val="20"/>
                <w:szCs w:val="20"/>
              </w:rPr>
              <w:t>Blepharospasm or hemifacial spasm</w:t>
            </w:r>
          </w:p>
        </w:tc>
        <w:tc>
          <w:tcPr>
            <w:tcW w:w="902"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1.09</w:t>
            </w:r>
          </w:p>
        </w:tc>
        <w:tc>
          <w:tcPr>
            <w:tcW w:w="903"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1.09</w:t>
            </w:r>
          </w:p>
        </w:tc>
      </w:tr>
      <w:tr w:rsidR="00423561" w:rsidRPr="00797648" w:rsidTr="00423561">
        <w:trPr>
          <w:trHeight w:val="300"/>
        </w:trPr>
        <w:tc>
          <w:tcPr>
            <w:tcW w:w="5364" w:type="dxa"/>
            <w:tcBorders>
              <w:top w:val="nil"/>
              <w:left w:val="single" w:sz="4" w:space="0" w:color="auto"/>
              <w:bottom w:val="single" w:sz="4" w:space="0" w:color="auto"/>
              <w:right w:val="single" w:sz="4" w:space="0" w:color="auto"/>
            </w:tcBorders>
            <w:shd w:val="clear" w:color="auto" w:fill="auto"/>
            <w:noWrap/>
            <w:vAlign w:val="center"/>
            <w:hideMark/>
          </w:tcPr>
          <w:p w:rsidR="00423561" w:rsidRPr="00797648" w:rsidRDefault="00423561" w:rsidP="00797648">
            <w:pPr>
              <w:spacing w:after="0"/>
              <w:rPr>
                <w:rFonts w:ascii="Calibri" w:eastAsia="Times New Roman" w:hAnsi="Calibri" w:cs="Times New Roman"/>
                <w:sz w:val="20"/>
                <w:szCs w:val="20"/>
              </w:rPr>
            </w:pPr>
            <w:r w:rsidRPr="00797648">
              <w:rPr>
                <w:rFonts w:ascii="Calibri" w:eastAsia="Times New Roman" w:hAnsi="Calibri" w:cs="Times New Roman"/>
                <w:sz w:val="20"/>
                <w:szCs w:val="20"/>
              </w:rPr>
              <w:t>Spasmodic torticollis</w:t>
            </w:r>
          </w:p>
        </w:tc>
        <w:tc>
          <w:tcPr>
            <w:tcW w:w="902"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0.97</w:t>
            </w:r>
          </w:p>
        </w:tc>
        <w:tc>
          <w:tcPr>
            <w:tcW w:w="903"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1.00</w:t>
            </w:r>
          </w:p>
        </w:tc>
      </w:tr>
      <w:tr w:rsidR="00423561" w:rsidRPr="00797648" w:rsidTr="00423561">
        <w:trPr>
          <w:trHeight w:val="300"/>
        </w:trPr>
        <w:tc>
          <w:tcPr>
            <w:tcW w:w="5364" w:type="dxa"/>
            <w:tcBorders>
              <w:top w:val="nil"/>
              <w:left w:val="single" w:sz="4" w:space="0" w:color="auto"/>
              <w:bottom w:val="single" w:sz="4" w:space="0" w:color="auto"/>
              <w:right w:val="single" w:sz="4" w:space="0" w:color="auto"/>
            </w:tcBorders>
            <w:shd w:val="clear" w:color="auto" w:fill="auto"/>
            <w:noWrap/>
            <w:vAlign w:val="center"/>
            <w:hideMark/>
          </w:tcPr>
          <w:p w:rsidR="00423561" w:rsidRPr="00797648" w:rsidRDefault="00423561" w:rsidP="00797648">
            <w:pPr>
              <w:spacing w:after="0"/>
              <w:rPr>
                <w:rFonts w:ascii="Calibri" w:eastAsia="Times New Roman" w:hAnsi="Calibri" w:cs="Times New Roman"/>
                <w:sz w:val="20"/>
                <w:szCs w:val="20"/>
              </w:rPr>
            </w:pPr>
            <w:r w:rsidRPr="00797648">
              <w:rPr>
                <w:rFonts w:ascii="Calibri" w:eastAsia="Times New Roman" w:hAnsi="Calibri" w:cs="Times New Roman"/>
                <w:sz w:val="20"/>
                <w:szCs w:val="20"/>
              </w:rPr>
              <w:t>Dynamic equinus foot deformity</w:t>
            </w:r>
          </w:p>
        </w:tc>
        <w:tc>
          <w:tcPr>
            <w:tcW w:w="902"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1.51</w:t>
            </w:r>
          </w:p>
        </w:tc>
        <w:tc>
          <w:tcPr>
            <w:tcW w:w="903"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1.50</w:t>
            </w:r>
          </w:p>
        </w:tc>
      </w:tr>
      <w:tr w:rsidR="00423561" w:rsidRPr="00797648" w:rsidTr="00423561">
        <w:trPr>
          <w:trHeight w:val="300"/>
        </w:trPr>
        <w:tc>
          <w:tcPr>
            <w:tcW w:w="5364" w:type="dxa"/>
            <w:tcBorders>
              <w:top w:val="nil"/>
              <w:left w:val="single" w:sz="4" w:space="0" w:color="auto"/>
              <w:bottom w:val="single" w:sz="4" w:space="0" w:color="auto"/>
              <w:right w:val="single" w:sz="4" w:space="0" w:color="auto"/>
            </w:tcBorders>
            <w:shd w:val="clear" w:color="auto" w:fill="auto"/>
            <w:noWrap/>
            <w:vAlign w:val="center"/>
            <w:hideMark/>
          </w:tcPr>
          <w:p w:rsidR="00423561" w:rsidRPr="00797648" w:rsidRDefault="00423561" w:rsidP="00797648">
            <w:pPr>
              <w:spacing w:after="0"/>
              <w:rPr>
                <w:rFonts w:ascii="Calibri" w:eastAsia="Times New Roman" w:hAnsi="Calibri" w:cs="Times New Roman"/>
                <w:sz w:val="20"/>
                <w:szCs w:val="20"/>
              </w:rPr>
            </w:pPr>
            <w:r w:rsidRPr="00797648">
              <w:rPr>
                <w:rFonts w:ascii="Calibri" w:eastAsia="Times New Roman" w:hAnsi="Calibri" w:cs="Times New Roman"/>
                <w:sz w:val="20"/>
                <w:szCs w:val="20"/>
              </w:rPr>
              <w:t>Moderate to severe spasticity - upper limb, cerebral palsy</w:t>
            </w:r>
          </w:p>
        </w:tc>
        <w:tc>
          <w:tcPr>
            <w:tcW w:w="902"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1.39</w:t>
            </w:r>
          </w:p>
        </w:tc>
        <w:tc>
          <w:tcPr>
            <w:tcW w:w="903"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1.34</w:t>
            </w:r>
          </w:p>
        </w:tc>
      </w:tr>
      <w:tr w:rsidR="00423561" w:rsidRPr="00797648" w:rsidTr="00423561">
        <w:trPr>
          <w:trHeight w:val="300"/>
        </w:trPr>
        <w:tc>
          <w:tcPr>
            <w:tcW w:w="5364" w:type="dxa"/>
            <w:tcBorders>
              <w:top w:val="nil"/>
              <w:left w:val="single" w:sz="4" w:space="0" w:color="auto"/>
              <w:bottom w:val="single" w:sz="4" w:space="0" w:color="auto"/>
              <w:right w:val="single" w:sz="4" w:space="0" w:color="auto"/>
            </w:tcBorders>
            <w:shd w:val="clear" w:color="auto" w:fill="auto"/>
            <w:noWrap/>
            <w:vAlign w:val="center"/>
            <w:hideMark/>
          </w:tcPr>
          <w:p w:rsidR="00423561" w:rsidRPr="00797648" w:rsidRDefault="00423561" w:rsidP="00797648">
            <w:pPr>
              <w:spacing w:after="0"/>
              <w:rPr>
                <w:rFonts w:ascii="Calibri" w:eastAsia="Times New Roman" w:hAnsi="Calibri" w:cs="Times New Roman"/>
                <w:sz w:val="20"/>
                <w:szCs w:val="20"/>
              </w:rPr>
            </w:pPr>
            <w:r w:rsidRPr="00797648">
              <w:rPr>
                <w:rFonts w:ascii="Calibri" w:eastAsia="Times New Roman" w:hAnsi="Calibri" w:cs="Times New Roman"/>
                <w:sz w:val="20"/>
                <w:szCs w:val="20"/>
              </w:rPr>
              <w:t>Moderate to severe spasticity - upper limb, stroke</w:t>
            </w:r>
          </w:p>
        </w:tc>
        <w:tc>
          <w:tcPr>
            <w:tcW w:w="902"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0.97</w:t>
            </w:r>
          </w:p>
        </w:tc>
        <w:tc>
          <w:tcPr>
            <w:tcW w:w="903"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0.85</w:t>
            </w:r>
          </w:p>
        </w:tc>
      </w:tr>
      <w:tr w:rsidR="00423561" w:rsidRPr="00797648" w:rsidTr="00423561">
        <w:trPr>
          <w:trHeight w:val="348"/>
        </w:trPr>
        <w:tc>
          <w:tcPr>
            <w:tcW w:w="5364" w:type="dxa"/>
            <w:tcBorders>
              <w:top w:val="nil"/>
              <w:left w:val="single" w:sz="4" w:space="0" w:color="auto"/>
              <w:bottom w:val="single" w:sz="4" w:space="0" w:color="auto"/>
              <w:right w:val="single" w:sz="4" w:space="0" w:color="auto"/>
            </w:tcBorders>
            <w:shd w:val="clear" w:color="auto" w:fill="auto"/>
            <w:noWrap/>
            <w:vAlign w:val="center"/>
            <w:hideMark/>
          </w:tcPr>
          <w:p w:rsidR="00423561" w:rsidRPr="00797648" w:rsidRDefault="00423561" w:rsidP="00797648">
            <w:pPr>
              <w:spacing w:after="0"/>
              <w:rPr>
                <w:rFonts w:ascii="Calibri" w:eastAsia="Times New Roman" w:hAnsi="Calibri" w:cs="Times New Roman"/>
                <w:sz w:val="20"/>
                <w:szCs w:val="20"/>
              </w:rPr>
            </w:pPr>
            <w:r w:rsidRPr="00797648">
              <w:rPr>
                <w:rFonts w:ascii="Calibri" w:eastAsia="Times New Roman" w:hAnsi="Calibri" w:cs="Times New Roman"/>
                <w:sz w:val="20"/>
                <w:szCs w:val="20"/>
              </w:rPr>
              <w:t>Total</w:t>
            </w:r>
          </w:p>
        </w:tc>
        <w:tc>
          <w:tcPr>
            <w:tcW w:w="902"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1.10</w:t>
            </w:r>
          </w:p>
        </w:tc>
        <w:tc>
          <w:tcPr>
            <w:tcW w:w="903" w:type="dxa"/>
            <w:tcBorders>
              <w:top w:val="nil"/>
              <w:left w:val="nil"/>
              <w:bottom w:val="single" w:sz="4" w:space="0" w:color="auto"/>
              <w:right w:val="single" w:sz="4" w:space="0" w:color="auto"/>
            </w:tcBorders>
            <w:shd w:val="clear" w:color="auto" w:fill="auto"/>
            <w:noWrap/>
            <w:vAlign w:val="center"/>
            <w:hideMark/>
          </w:tcPr>
          <w:p w:rsidR="00423561" w:rsidRPr="00423561" w:rsidRDefault="00423561" w:rsidP="00423561">
            <w:pPr>
              <w:spacing w:after="0"/>
              <w:jc w:val="center"/>
              <w:rPr>
                <w:rFonts w:ascii="Calibri" w:hAnsi="Calibri"/>
                <w:sz w:val="20"/>
                <w:szCs w:val="22"/>
              </w:rPr>
            </w:pPr>
            <w:r w:rsidRPr="00423561">
              <w:rPr>
                <w:rFonts w:ascii="Calibri" w:hAnsi="Calibri"/>
                <w:sz w:val="20"/>
                <w:szCs w:val="22"/>
              </w:rPr>
              <w:t>1.10</w:t>
            </w:r>
          </w:p>
        </w:tc>
      </w:tr>
    </w:tbl>
    <w:p w:rsidR="00884F43" w:rsidRDefault="00884F43" w:rsidP="0051534B">
      <w:pPr>
        <w:rPr>
          <w:rFonts w:ascii="Calibri" w:eastAsia="MS Mincho" w:hAnsi="Calibri" w:cs="Times New Roman"/>
          <w:sz w:val="20"/>
          <w:szCs w:val="20"/>
        </w:rPr>
      </w:pPr>
      <w:r>
        <w:rPr>
          <w:rFonts w:ascii="Calibri" w:eastAsia="MS Mincho" w:hAnsi="Calibri" w:cs="Times New Roman"/>
          <w:sz w:val="20"/>
        </w:rPr>
        <w:t>Source:</w:t>
      </w:r>
      <w:r w:rsidRPr="00AB4293">
        <w:rPr>
          <w:rFonts w:ascii="Calibri" w:eastAsia="MS Mincho" w:hAnsi="Calibri" w:cs="Times New Roman"/>
          <w:sz w:val="20"/>
        </w:rPr>
        <w:t xml:space="preserve"> </w:t>
      </w:r>
      <w:r>
        <w:rPr>
          <w:rFonts w:ascii="Calibri" w:eastAsia="MS Mincho" w:hAnsi="Calibri" w:cs="Times New Roman"/>
          <w:sz w:val="20"/>
        </w:rPr>
        <w:t>D</w:t>
      </w:r>
      <w:r w:rsidRPr="00B87CD5">
        <w:rPr>
          <w:rFonts w:ascii="Calibri" w:eastAsia="MS Mincho" w:hAnsi="Calibri" w:cs="Times New Roman"/>
          <w:sz w:val="20"/>
        </w:rPr>
        <w:t xml:space="preserve">HS </w:t>
      </w:r>
      <w:r>
        <w:rPr>
          <w:rFonts w:ascii="Calibri" w:eastAsia="MS Mincho" w:hAnsi="Calibri" w:cs="Times New Roman"/>
          <w:sz w:val="20"/>
        </w:rPr>
        <w:t>MBS services</w:t>
      </w:r>
      <w:r w:rsidRPr="00B87CD5">
        <w:rPr>
          <w:rFonts w:ascii="Calibri" w:eastAsia="MS Mincho" w:hAnsi="Calibri" w:cs="Times New Roman"/>
          <w:sz w:val="20"/>
        </w:rPr>
        <w:t xml:space="preserve">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18 April </w:t>
      </w:r>
      <w:r w:rsidRPr="00B87CD5">
        <w:rPr>
          <w:rFonts w:ascii="Calibri" w:eastAsia="MS Mincho" w:hAnsi="Calibri" w:cs="Times New Roman"/>
          <w:sz w:val="20"/>
        </w:rPr>
        <w:t>201</w:t>
      </w:r>
      <w:r>
        <w:rPr>
          <w:rFonts w:ascii="Calibri" w:eastAsia="MS Mincho" w:hAnsi="Calibri" w:cs="Times New Roman"/>
          <w:sz w:val="20"/>
        </w:rPr>
        <w:t xml:space="preserve">8) and </w:t>
      </w:r>
      <w:r w:rsidRPr="00884F43">
        <w:rPr>
          <w:rFonts w:ascii="Calibri" w:eastAsia="MS Mincho" w:hAnsi="Calibri" w:cs="Times New Roman"/>
          <w:sz w:val="20"/>
        </w:rPr>
        <w:t>DHS pre</w:t>
      </w:r>
      <w:r w:rsidR="00210797">
        <w:rPr>
          <w:rFonts w:ascii="Calibri" w:eastAsia="MS Mincho" w:hAnsi="Calibri" w:cs="Times New Roman"/>
          <w:sz w:val="20"/>
        </w:rPr>
        <w:t>scription database (accessed 21 </w:t>
      </w:r>
      <w:r w:rsidRPr="00884F43">
        <w:rPr>
          <w:rFonts w:ascii="Calibri" w:eastAsia="MS Mincho" w:hAnsi="Calibri" w:cs="Times New Roman"/>
          <w:sz w:val="20"/>
        </w:rPr>
        <w:t>February 2018)</w:t>
      </w:r>
      <w:r>
        <w:rPr>
          <w:rFonts w:ascii="Calibri" w:eastAsia="MS Mincho" w:hAnsi="Calibri" w:cs="Times New Roman"/>
          <w:sz w:val="20"/>
        </w:rPr>
        <w:t xml:space="preserve"> </w:t>
      </w:r>
    </w:p>
    <w:p w:rsidR="00423561" w:rsidRDefault="00E84FBB" w:rsidP="00AB0C8C">
      <w:pPr>
        <w:rPr>
          <w:rFonts w:ascii="Calibri" w:eastAsia="MS Mincho" w:hAnsi="Calibri" w:cs="Times New Roman"/>
        </w:rPr>
      </w:pPr>
      <w:r>
        <w:rPr>
          <w:rFonts w:ascii="Calibri" w:eastAsia="MS Mincho" w:hAnsi="Calibri" w:cs="Times New Roman"/>
        </w:rPr>
        <w:t xml:space="preserve">Table </w:t>
      </w:r>
      <w:r w:rsidR="00414BDE">
        <w:rPr>
          <w:rFonts w:ascii="Calibri" w:eastAsia="MS Mincho" w:hAnsi="Calibri" w:cs="Times New Roman"/>
        </w:rPr>
        <w:t xml:space="preserve">7 </w:t>
      </w:r>
      <w:r>
        <w:rPr>
          <w:rFonts w:ascii="Calibri" w:eastAsia="MS Mincho" w:hAnsi="Calibri" w:cs="Times New Roman"/>
        </w:rPr>
        <w:t xml:space="preserve">shows that </w:t>
      </w:r>
      <w:r w:rsidR="00BC458D">
        <w:rPr>
          <w:rFonts w:ascii="Calibri" w:eastAsia="MS Mincho" w:hAnsi="Calibri" w:cs="Times New Roman"/>
        </w:rPr>
        <w:t xml:space="preserve">the number of MBS services matches the number of PBS prescriptions reasonably well for </w:t>
      </w:r>
      <w:r>
        <w:rPr>
          <w:rFonts w:ascii="Calibri" w:eastAsia="MS Mincho" w:hAnsi="Calibri" w:cs="Times New Roman"/>
        </w:rPr>
        <w:t xml:space="preserve">the dystonia indications. However, </w:t>
      </w:r>
      <w:r w:rsidR="00B20DD6">
        <w:rPr>
          <w:rFonts w:ascii="Calibri" w:eastAsia="MS Mincho" w:hAnsi="Calibri" w:cs="Times New Roman"/>
        </w:rPr>
        <w:t xml:space="preserve">for </w:t>
      </w:r>
      <w:r>
        <w:rPr>
          <w:rFonts w:ascii="Calibri" w:eastAsia="MS Mincho" w:hAnsi="Calibri" w:cs="Times New Roman"/>
        </w:rPr>
        <w:t xml:space="preserve">cerebral palsy patients (including </w:t>
      </w:r>
      <w:r w:rsidR="009C6A66">
        <w:rPr>
          <w:rFonts w:ascii="Calibri" w:eastAsia="MS Mincho" w:hAnsi="Calibri" w:cs="Times New Roman"/>
        </w:rPr>
        <w:t xml:space="preserve">upper limb spasticity and </w:t>
      </w:r>
      <w:r>
        <w:rPr>
          <w:rFonts w:ascii="Calibri" w:eastAsia="MS Mincho" w:hAnsi="Calibri" w:cs="Times New Roman"/>
        </w:rPr>
        <w:t xml:space="preserve">dynamic equinus foot deformity) there is on average more than one MBS service per PBS prescription. </w:t>
      </w:r>
      <w:r w:rsidR="00BC458D">
        <w:rPr>
          <w:rFonts w:ascii="Calibri" w:eastAsia="MS Mincho" w:hAnsi="Calibri" w:cs="Times New Roman"/>
        </w:rPr>
        <w:t xml:space="preserve">This may </w:t>
      </w:r>
      <w:r w:rsidR="006054EF">
        <w:rPr>
          <w:rFonts w:ascii="Calibri" w:eastAsia="MS Mincho" w:hAnsi="Calibri" w:cs="Times New Roman"/>
        </w:rPr>
        <w:t xml:space="preserve">possibly </w:t>
      </w:r>
      <w:r w:rsidR="00BC458D">
        <w:rPr>
          <w:rFonts w:ascii="Calibri" w:eastAsia="MS Mincho" w:hAnsi="Calibri" w:cs="Times New Roman"/>
        </w:rPr>
        <w:t xml:space="preserve">be explained by two </w:t>
      </w:r>
      <w:r>
        <w:rPr>
          <w:rFonts w:ascii="Calibri" w:eastAsia="MS Mincho" w:hAnsi="Calibri" w:cs="Times New Roman"/>
        </w:rPr>
        <w:t>limbs</w:t>
      </w:r>
      <w:r w:rsidR="009655F8">
        <w:rPr>
          <w:rFonts w:ascii="Calibri" w:eastAsia="MS Mincho" w:hAnsi="Calibri" w:cs="Times New Roman"/>
        </w:rPr>
        <w:t xml:space="preserve"> </w:t>
      </w:r>
      <w:r w:rsidR="009C6A66">
        <w:rPr>
          <w:rFonts w:ascii="Calibri" w:eastAsia="MS Mincho" w:hAnsi="Calibri" w:cs="Times New Roman"/>
        </w:rPr>
        <w:t xml:space="preserve">or feet </w:t>
      </w:r>
      <w:r w:rsidR="009655F8">
        <w:rPr>
          <w:rFonts w:ascii="Calibri" w:eastAsia="MS Mincho" w:hAnsi="Calibri" w:cs="Times New Roman"/>
        </w:rPr>
        <w:t xml:space="preserve">being injected using two MBS services (this could be </w:t>
      </w:r>
      <w:r w:rsidR="00B20DD6">
        <w:rPr>
          <w:rFonts w:ascii="Calibri" w:eastAsia="MS Mincho" w:hAnsi="Calibri" w:cs="Times New Roman"/>
        </w:rPr>
        <w:t xml:space="preserve">on </w:t>
      </w:r>
      <w:r w:rsidR="009655F8">
        <w:rPr>
          <w:rFonts w:ascii="Calibri" w:eastAsia="MS Mincho" w:hAnsi="Calibri" w:cs="Times New Roman"/>
        </w:rPr>
        <w:t>the same or separate occasions)</w:t>
      </w:r>
      <w:r w:rsidR="00BC458D">
        <w:rPr>
          <w:rFonts w:ascii="Calibri" w:eastAsia="MS Mincho" w:hAnsi="Calibri" w:cs="Times New Roman"/>
        </w:rPr>
        <w:t xml:space="preserve"> and the</w:t>
      </w:r>
      <w:r w:rsidR="009C6A66">
        <w:rPr>
          <w:rFonts w:ascii="Calibri" w:eastAsia="MS Mincho" w:hAnsi="Calibri" w:cs="Times New Roman"/>
        </w:rPr>
        <w:t xml:space="preserve"> quantity suppl</w:t>
      </w:r>
      <w:r w:rsidR="00D24CD8">
        <w:rPr>
          <w:rFonts w:ascii="Calibri" w:eastAsia="MS Mincho" w:hAnsi="Calibri" w:cs="Times New Roman"/>
        </w:rPr>
        <w:t>i</w:t>
      </w:r>
      <w:r w:rsidR="009C6A66">
        <w:rPr>
          <w:rFonts w:ascii="Calibri" w:eastAsia="MS Mincho" w:hAnsi="Calibri" w:cs="Times New Roman"/>
        </w:rPr>
        <w:t xml:space="preserve">ed on a single </w:t>
      </w:r>
      <w:r w:rsidR="00BC458D">
        <w:rPr>
          <w:rFonts w:ascii="Calibri" w:eastAsia="MS Mincho" w:hAnsi="Calibri" w:cs="Times New Roman"/>
        </w:rPr>
        <w:t xml:space="preserve">prescription being </w:t>
      </w:r>
      <w:r w:rsidR="003B6388">
        <w:rPr>
          <w:rFonts w:ascii="Calibri" w:eastAsia="MS Mincho" w:hAnsi="Calibri" w:cs="Times New Roman"/>
        </w:rPr>
        <w:t>sufficient</w:t>
      </w:r>
      <w:r w:rsidR="00BC458D">
        <w:rPr>
          <w:rFonts w:ascii="Calibri" w:eastAsia="MS Mincho" w:hAnsi="Calibri" w:cs="Times New Roman"/>
        </w:rPr>
        <w:t xml:space="preserve"> for both </w:t>
      </w:r>
      <w:r>
        <w:rPr>
          <w:rFonts w:ascii="Calibri" w:eastAsia="MS Mincho" w:hAnsi="Calibri" w:cs="Times New Roman"/>
        </w:rPr>
        <w:t>limbs</w:t>
      </w:r>
      <w:r w:rsidR="009655F8">
        <w:rPr>
          <w:rFonts w:ascii="Calibri" w:eastAsia="MS Mincho" w:hAnsi="Calibri" w:cs="Times New Roman"/>
        </w:rPr>
        <w:t>.</w:t>
      </w:r>
      <w:r w:rsidR="009C6A66">
        <w:rPr>
          <w:rFonts w:ascii="Calibri" w:eastAsia="MS Mincho" w:hAnsi="Calibri" w:cs="Times New Roman"/>
        </w:rPr>
        <w:t xml:space="preserve"> </w:t>
      </w:r>
      <w:r w:rsidR="007B051A">
        <w:rPr>
          <w:rFonts w:ascii="Calibri" w:eastAsia="MS Mincho" w:hAnsi="Calibri" w:cs="Times New Roman"/>
        </w:rPr>
        <w:t>The distribution</w:t>
      </w:r>
      <w:r w:rsidR="00423561">
        <w:rPr>
          <w:rFonts w:ascii="Calibri" w:eastAsia="MS Mincho" w:hAnsi="Calibri" w:cs="Times New Roman"/>
        </w:rPr>
        <w:t xml:space="preserve"> of MBS services per PBS prescription</w:t>
      </w:r>
      <w:r w:rsidR="009C6A66">
        <w:rPr>
          <w:rFonts w:ascii="Calibri" w:eastAsia="MS Mincho" w:hAnsi="Calibri" w:cs="Times New Roman"/>
        </w:rPr>
        <w:t xml:space="preserve"> could be investigated further by linking</w:t>
      </w:r>
      <w:r w:rsidR="00423561">
        <w:rPr>
          <w:rFonts w:ascii="Calibri" w:eastAsia="MS Mincho" w:hAnsi="Calibri" w:cs="Times New Roman"/>
        </w:rPr>
        <w:t xml:space="preserve"> the MBS and PBS data</w:t>
      </w:r>
      <w:r w:rsidR="009C6A66">
        <w:rPr>
          <w:rFonts w:ascii="Calibri" w:eastAsia="MS Mincho" w:hAnsi="Calibri" w:cs="Times New Roman"/>
        </w:rPr>
        <w:t>, but this was considered out of scope for the current review.</w:t>
      </w:r>
    </w:p>
    <w:p w:rsidR="00210797" w:rsidRDefault="00BE3C0C" w:rsidP="00210797">
      <w:pPr>
        <w:rPr>
          <w:rFonts w:ascii="Calibri" w:eastAsia="MS Mincho" w:hAnsi="Calibri" w:cs="Times New Roman"/>
        </w:rPr>
      </w:pPr>
      <w:r>
        <w:rPr>
          <w:rFonts w:ascii="Calibri" w:eastAsia="MS Mincho" w:hAnsi="Calibri" w:cs="Times New Roman"/>
        </w:rPr>
        <w:t xml:space="preserve">Figure </w:t>
      </w:r>
      <w:r w:rsidR="00FC694C">
        <w:rPr>
          <w:rFonts w:ascii="Calibri" w:eastAsia="MS Mincho" w:hAnsi="Calibri" w:cs="Times New Roman"/>
        </w:rPr>
        <w:t>2</w:t>
      </w:r>
      <w:r>
        <w:rPr>
          <w:rFonts w:ascii="Calibri" w:eastAsia="MS Mincho" w:hAnsi="Calibri" w:cs="Times New Roman"/>
        </w:rPr>
        <w:t xml:space="preserve"> includes all three </w:t>
      </w:r>
      <w:r w:rsidR="001931BE">
        <w:rPr>
          <w:rFonts w:ascii="Calibri" w:eastAsia="MS Mincho" w:hAnsi="Calibri" w:cs="Times New Roman"/>
        </w:rPr>
        <w:t xml:space="preserve">preparations </w:t>
      </w:r>
      <w:r>
        <w:rPr>
          <w:rFonts w:ascii="Calibri" w:eastAsia="MS Mincho" w:hAnsi="Calibri" w:cs="Times New Roman"/>
        </w:rPr>
        <w:t>of botulinum toxin</w:t>
      </w:r>
      <w:r w:rsidR="001931BE">
        <w:rPr>
          <w:rFonts w:ascii="Calibri" w:eastAsia="MS Mincho" w:hAnsi="Calibri" w:cs="Times New Roman"/>
        </w:rPr>
        <w:t xml:space="preserve"> -</w:t>
      </w:r>
      <w:r>
        <w:rPr>
          <w:rFonts w:ascii="Calibri" w:eastAsia="MS Mincho" w:hAnsi="Calibri" w:cs="Times New Roman"/>
        </w:rPr>
        <w:t xml:space="preserve"> Botox, Dysport and Xeomin. Figure </w:t>
      </w:r>
      <w:r w:rsidR="00FC694C">
        <w:rPr>
          <w:rFonts w:ascii="Calibri" w:eastAsia="MS Mincho" w:hAnsi="Calibri" w:cs="Times New Roman"/>
        </w:rPr>
        <w:t>3</w:t>
      </w:r>
      <w:r>
        <w:rPr>
          <w:rFonts w:ascii="Calibri" w:eastAsia="MS Mincho" w:hAnsi="Calibri" w:cs="Times New Roman"/>
        </w:rPr>
        <w:t xml:space="preserve"> shows utilisation by brand</w:t>
      </w:r>
      <w:r w:rsidR="00AC407D">
        <w:rPr>
          <w:rFonts w:ascii="Calibri" w:eastAsia="MS Mincho" w:hAnsi="Calibri" w:cs="Times New Roman"/>
        </w:rPr>
        <w:t>, form and strength</w:t>
      </w:r>
      <w:r>
        <w:rPr>
          <w:rFonts w:ascii="Calibri" w:eastAsia="MS Mincho" w:hAnsi="Calibri" w:cs="Times New Roman"/>
        </w:rPr>
        <w:t xml:space="preserve">. </w:t>
      </w:r>
      <w:r w:rsidR="00DA7A6F">
        <w:rPr>
          <w:rFonts w:ascii="Calibri" w:eastAsia="MS Mincho" w:hAnsi="Calibri" w:cs="Times New Roman"/>
        </w:rPr>
        <w:t xml:space="preserve">Botox is the dominant brand utilised for </w:t>
      </w:r>
      <w:r w:rsidR="00DA7A6F" w:rsidRPr="00323C0E">
        <w:rPr>
          <w:rFonts w:ascii="Calibri" w:eastAsia="MS Mincho" w:hAnsi="Calibri" w:cs="Times New Roman"/>
        </w:rPr>
        <w:t xml:space="preserve">spasticity </w:t>
      </w:r>
      <w:r w:rsidR="00DA7A6F">
        <w:rPr>
          <w:rFonts w:ascii="Calibri" w:eastAsia="MS Mincho" w:hAnsi="Calibri" w:cs="Times New Roman"/>
        </w:rPr>
        <w:t xml:space="preserve">and dystonia </w:t>
      </w:r>
      <w:r w:rsidR="00DA7A6F" w:rsidRPr="00323C0E">
        <w:rPr>
          <w:rFonts w:ascii="Calibri" w:eastAsia="MS Mincho" w:hAnsi="Calibri" w:cs="Times New Roman"/>
        </w:rPr>
        <w:t>indications</w:t>
      </w:r>
      <w:r w:rsidR="00DA7A6F">
        <w:rPr>
          <w:rFonts w:ascii="Calibri" w:eastAsia="MS Mincho" w:hAnsi="Calibri" w:cs="Times New Roman"/>
        </w:rPr>
        <w:t>.</w:t>
      </w:r>
    </w:p>
    <w:p w:rsidR="00D24CD8" w:rsidRDefault="00AC407D" w:rsidP="00210797">
      <w:pPr>
        <w:spacing w:after="0"/>
        <w:rPr>
          <w:rFonts w:ascii="Calibri" w:eastAsia="MS Mincho" w:hAnsi="Calibri" w:cs="Times New Roman"/>
          <w:b/>
        </w:rPr>
      </w:pPr>
      <w:r>
        <w:rPr>
          <w:noProof/>
        </w:rPr>
        <w:drawing>
          <wp:inline distT="0" distB="0" distL="0" distR="0" wp14:anchorId="6C442DA0" wp14:editId="0E974A1D">
            <wp:extent cx="5686425" cy="3476625"/>
            <wp:effectExtent l="0" t="0" r="9525" b="9525"/>
            <wp:docPr id="3" name="Chart 3" title="Figure 3: Prescriptions of botulinum toxin for spasticity and dystonia by brand, form and strength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323C0E" w:rsidRPr="00B87CD5">
        <w:rPr>
          <w:rFonts w:ascii="Calibri" w:eastAsia="MS Mincho" w:hAnsi="Calibri" w:cs="Times New Roman"/>
          <w:b/>
        </w:rPr>
        <w:t xml:space="preserve">Figure </w:t>
      </w:r>
      <w:r w:rsidR="00D60335">
        <w:rPr>
          <w:rFonts w:ascii="Calibri" w:eastAsia="MS Mincho" w:hAnsi="Calibri" w:cs="Times New Roman"/>
          <w:b/>
        </w:rPr>
        <w:t>3</w:t>
      </w:r>
      <w:r w:rsidR="00323C0E" w:rsidRPr="00B87CD5">
        <w:rPr>
          <w:rFonts w:ascii="Calibri" w:eastAsia="MS Mincho" w:hAnsi="Calibri" w:cs="Times New Roman"/>
          <w:b/>
        </w:rPr>
        <w:t xml:space="preserve">: </w:t>
      </w:r>
      <w:r w:rsidR="00323C0E">
        <w:rPr>
          <w:rFonts w:ascii="Calibri" w:eastAsia="MS Mincho" w:hAnsi="Calibri" w:cs="Times New Roman"/>
          <w:b/>
        </w:rPr>
        <w:t>Prescriptions of bo</w:t>
      </w:r>
      <w:r w:rsidR="00323C0E" w:rsidRPr="00AB4293">
        <w:rPr>
          <w:rFonts w:ascii="Calibri" w:eastAsia="MS Mincho" w:hAnsi="Calibri" w:cs="Times New Roman"/>
          <w:b/>
        </w:rPr>
        <w:t xml:space="preserve">tulinum </w:t>
      </w:r>
      <w:r w:rsidR="00323C0E">
        <w:rPr>
          <w:rFonts w:ascii="Calibri" w:eastAsia="MS Mincho" w:hAnsi="Calibri" w:cs="Times New Roman"/>
          <w:b/>
        </w:rPr>
        <w:t>t</w:t>
      </w:r>
      <w:r w:rsidR="00323C0E" w:rsidRPr="00AB4293">
        <w:rPr>
          <w:rFonts w:ascii="Calibri" w:eastAsia="MS Mincho" w:hAnsi="Calibri" w:cs="Times New Roman"/>
          <w:b/>
        </w:rPr>
        <w:t xml:space="preserve">oxin </w:t>
      </w:r>
      <w:r w:rsidR="00323C0E">
        <w:rPr>
          <w:rFonts w:ascii="Calibri" w:eastAsia="MS Mincho" w:hAnsi="Calibri" w:cs="Times New Roman"/>
          <w:b/>
        </w:rPr>
        <w:t xml:space="preserve">for spasticity </w:t>
      </w:r>
      <w:r w:rsidR="00A869EA">
        <w:rPr>
          <w:rFonts w:ascii="Calibri" w:eastAsia="MS Mincho" w:hAnsi="Calibri" w:cs="Times New Roman"/>
          <w:b/>
        </w:rPr>
        <w:t>and dystonia</w:t>
      </w:r>
      <w:r w:rsidR="00323C0E">
        <w:rPr>
          <w:rFonts w:ascii="Calibri" w:eastAsia="MS Mincho" w:hAnsi="Calibri" w:cs="Times New Roman"/>
          <w:b/>
        </w:rPr>
        <w:t xml:space="preserve"> by brand</w:t>
      </w:r>
      <w:r>
        <w:rPr>
          <w:rFonts w:ascii="Calibri" w:eastAsia="MS Mincho" w:hAnsi="Calibri" w:cs="Times New Roman"/>
          <w:b/>
        </w:rPr>
        <w:t xml:space="preserve">, form and strength </w:t>
      </w:r>
    </w:p>
    <w:p w:rsidR="00E554E6" w:rsidRDefault="007B051A" w:rsidP="00210797">
      <w:pPr>
        <w:spacing w:after="0"/>
        <w:rPr>
          <w:rFonts w:ascii="Calibri" w:eastAsia="MS Mincho" w:hAnsi="Calibri" w:cs="Times New Roman"/>
          <w:sz w:val="20"/>
        </w:rPr>
      </w:pPr>
      <w:r>
        <w:rPr>
          <w:rFonts w:ascii="Calibri" w:eastAsia="MS Mincho" w:hAnsi="Calibri" w:cs="Times New Roman"/>
          <w:sz w:val="20"/>
        </w:rPr>
        <w:t>Source:</w:t>
      </w:r>
      <w:r w:rsidRPr="00AB4293">
        <w:rPr>
          <w:rFonts w:ascii="Calibri" w:eastAsia="MS Mincho" w:hAnsi="Calibri" w:cs="Times New Roman"/>
          <w:sz w:val="20"/>
        </w:rPr>
        <w:t xml:space="preserve"> </w:t>
      </w:r>
      <w:r>
        <w:rPr>
          <w:rFonts w:ascii="Calibri" w:eastAsia="MS Mincho" w:hAnsi="Calibri" w:cs="Times New Roman"/>
          <w:sz w:val="20"/>
        </w:rPr>
        <w:t>D</w:t>
      </w:r>
      <w:r w:rsidRPr="00B87CD5">
        <w:rPr>
          <w:rFonts w:ascii="Calibri" w:eastAsia="MS Mincho" w:hAnsi="Calibri" w:cs="Times New Roman"/>
          <w:sz w:val="20"/>
        </w:rPr>
        <w:t>HS prescription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21 February </w:t>
      </w:r>
      <w:r w:rsidRPr="00B87CD5">
        <w:rPr>
          <w:rFonts w:ascii="Calibri" w:eastAsia="MS Mincho" w:hAnsi="Calibri" w:cs="Times New Roman"/>
          <w:sz w:val="20"/>
        </w:rPr>
        <w:t>201</w:t>
      </w:r>
      <w:r>
        <w:rPr>
          <w:rFonts w:ascii="Calibri" w:eastAsia="MS Mincho" w:hAnsi="Calibri" w:cs="Times New Roman"/>
          <w:sz w:val="20"/>
        </w:rPr>
        <w:t>8)</w:t>
      </w:r>
      <w:r w:rsidRPr="00B87CD5">
        <w:rPr>
          <w:rFonts w:ascii="Calibri" w:eastAsia="MS Mincho" w:hAnsi="Calibri" w:cs="Times New Roman"/>
          <w:sz w:val="20"/>
        </w:rPr>
        <w:t>.</w:t>
      </w:r>
    </w:p>
    <w:p w:rsidR="00423561" w:rsidRPr="00423561" w:rsidRDefault="00BA6B3F" w:rsidP="0051534B">
      <w:pPr>
        <w:rPr>
          <w:rFonts w:ascii="Calibri" w:eastAsia="MS Mincho" w:hAnsi="Calibri" w:cs="Times New Roman"/>
          <w:b/>
          <w:i/>
        </w:rPr>
      </w:pPr>
      <w:r>
        <w:rPr>
          <w:rFonts w:ascii="Calibri" w:eastAsia="MS Mincho" w:hAnsi="Calibri" w:cs="Times New Roman"/>
          <w:b/>
          <w:i/>
        </w:rPr>
        <w:lastRenderedPageBreak/>
        <w:t>Number of patients treated</w:t>
      </w:r>
      <w:r w:rsidR="007134D4">
        <w:rPr>
          <w:rFonts w:ascii="Calibri" w:eastAsia="MS Mincho" w:hAnsi="Calibri" w:cs="Times New Roman"/>
          <w:b/>
          <w:i/>
        </w:rPr>
        <w:t xml:space="preserve"> – MBS data</w:t>
      </w:r>
    </w:p>
    <w:p w:rsidR="00B27439" w:rsidRDefault="00BA6B3F" w:rsidP="0051534B">
      <w:pPr>
        <w:rPr>
          <w:rFonts w:ascii="Calibri" w:eastAsia="MS Mincho" w:hAnsi="Calibri" w:cs="Times New Roman"/>
        </w:rPr>
      </w:pPr>
      <w:r>
        <w:rPr>
          <w:rFonts w:ascii="Calibri" w:eastAsia="MS Mincho" w:hAnsi="Calibri" w:cs="Times New Roman"/>
        </w:rPr>
        <w:t xml:space="preserve">Figure 4 shows the </w:t>
      </w:r>
      <w:r w:rsidR="005B4ABE">
        <w:rPr>
          <w:rFonts w:ascii="Calibri" w:eastAsia="MS Mincho" w:hAnsi="Calibri" w:cs="Times New Roman"/>
        </w:rPr>
        <w:t xml:space="preserve">overall </w:t>
      </w:r>
      <w:r>
        <w:rPr>
          <w:rFonts w:ascii="Calibri" w:eastAsia="MS Mincho" w:hAnsi="Calibri" w:cs="Times New Roman"/>
        </w:rPr>
        <w:t>number</w:t>
      </w:r>
      <w:r w:rsidR="005B4ABE">
        <w:rPr>
          <w:rFonts w:ascii="Calibri" w:eastAsia="MS Mincho" w:hAnsi="Calibri" w:cs="Times New Roman"/>
        </w:rPr>
        <w:t xml:space="preserve"> of</w:t>
      </w:r>
      <w:r>
        <w:rPr>
          <w:rFonts w:ascii="Calibri" w:eastAsia="MS Mincho" w:hAnsi="Calibri" w:cs="Times New Roman"/>
        </w:rPr>
        <w:t xml:space="preserve"> patients commencing botulinum toxin for the first time (incident patients) and the total number of patients receiving treatment (prevalent patients) based on MBS injection services.</w:t>
      </w:r>
      <w:r w:rsidR="007134D4">
        <w:rPr>
          <w:rFonts w:ascii="Calibri" w:eastAsia="MS Mincho" w:hAnsi="Calibri" w:cs="Times New Roman"/>
        </w:rPr>
        <w:t xml:space="preserve"> Figures </w:t>
      </w:r>
      <w:r w:rsidR="00E554E6">
        <w:rPr>
          <w:rFonts w:ascii="Calibri" w:eastAsia="MS Mincho" w:hAnsi="Calibri" w:cs="Times New Roman"/>
        </w:rPr>
        <w:t>5</w:t>
      </w:r>
      <w:r w:rsidR="007134D4">
        <w:rPr>
          <w:rFonts w:ascii="Calibri" w:eastAsia="MS Mincho" w:hAnsi="Calibri" w:cs="Times New Roman"/>
        </w:rPr>
        <w:t xml:space="preserve"> and </w:t>
      </w:r>
      <w:r w:rsidR="00E554E6">
        <w:rPr>
          <w:rFonts w:ascii="Calibri" w:eastAsia="MS Mincho" w:hAnsi="Calibri" w:cs="Times New Roman"/>
        </w:rPr>
        <w:t>6</w:t>
      </w:r>
      <w:r w:rsidR="007134D4">
        <w:rPr>
          <w:rFonts w:ascii="Calibri" w:eastAsia="MS Mincho" w:hAnsi="Calibri" w:cs="Times New Roman"/>
        </w:rPr>
        <w:t xml:space="preserve"> present the number of prevalent and initiating patients receiving injections by indication. </w:t>
      </w:r>
      <w:r>
        <w:rPr>
          <w:rFonts w:ascii="Calibri" w:eastAsia="MS Mincho" w:hAnsi="Calibri" w:cs="Times New Roman"/>
        </w:rPr>
        <w:t>The MBS data (from Dec 1991) gives a much longer time series than the PBS data (from September 2015) to assess trends in the number of patients treated with botulinum toxin.</w:t>
      </w:r>
      <w:r w:rsidR="00DA7A6F">
        <w:rPr>
          <w:rFonts w:ascii="Calibri" w:eastAsia="MS Mincho" w:hAnsi="Calibri" w:cs="Times New Roman"/>
        </w:rPr>
        <w:t xml:space="preserve"> </w:t>
      </w:r>
      <w:r w:rsidR="00423561">
        <w:rPr>
          <w:rFonts w:ascii="Calibri" w:eastAsia="MS Mincho" w:hAnsi="Calibri" w:cs="Times New Roman"/>
        </w:rPr>
        <w:t>It is also simpler methodologically, as the MBS data is complete, there is no need for a lookback period to determine i</w:t>
      </w:r>
      <w:r w:rsidR="00C757AB">
        <w:rPr>
          <w:rFonts w:ascii="Calibri" w:eastAsia="MS Mincho" w:hAnsi="Calibri" w:cs="Times New Roman"/>
        </w:rPr>
        <w:t>f</w:t>
      </w:r>
      <w:r w:rsidR="00423561">
        <w:rPr>
          <w:rFonts w:ascii="Calibri" w:eastAsia="MS Mincho" w:hAnsi="Calibri" w:cs="Times New Roman"/>
        </w:rPr>
        <w:t xml:space="preserve"> a patient is initiating treatment (i</w:t>
      </w:r>
      <w:r w:rsidR="00C474E2">
        <w:rPr>
          <w:rFonts w:ascii="Calibri" w:eastAsia="MS Mincho" w:hAnsi="Calibri" w:cs="Times New Roman"/>
        </w:rPr>
        <w:t>.</w:t>
      </w:r>
      <w:r w:rsidR="00423561">
        <w:rPr>
          <w:rFonts w:ascii="Calibri" w:eastAsia="MS Mincho" w:hAnsi="Calibri" w:cs="Times New Roman"/>
        </w:rPr>
        <w:t xml:space="preserve">e. </w:t>
      </w:r>
      <w:r w:rsidR="00B27439">
        <w:rPr>
          <w:rFonts w:ascii="Calibri" w:eastAsia="MS Mincho" w:hAnsi="Calibri" w:cs="Times New Roman"/>
        </w:rPr>
        <w:t xml:space="preserve">the </w:t>
      </w:r>
      <w:r w:rsidR="00423561">
        <w:rPr>
          <w:rFonts w:ascii="Calibri" w:eastAsia="MS Mincho" w:hAnsi="Calibri" w:cs="Times New Roman"/>
        </w:rPr>
        <w:t xml:space="preserve">first MBS service </w:t>
      </w:r>
      <w:r w:rsidR="00B27439">
        <w:rPr>
          <w:rFonts w:ascii="Calibri" w:eastAsia="MS Mincho" w:hAnsi="Calibri" w:cs="Times New Roman"/>
        </w:rPr>
        <w:t xml:space="preserve">for a patient is </w:t>
      </w:r>
      <w:r w:rsidR="00423561">
        <w:rPr>
          <w:rFonts w:ascii="Calibri" w:eastAsia="MS Mincho" w:hAnsi="Calibri" w:cs="Times New Roman"/>
        </w:rPr>
        <w:t>a</w:t>
      </w:r>
      <w:r w:rsidR="00B27439">
        <w:rPr>
          <w:rFonts w:ascii="Calibri" w:eastAsia="MS Mincho" w:hAnsi="Calibri" w:cs="Times New Roman"/>
        </w:rPr>
        <w:t>n</w:t>
      </w:r>
      <w:r w:rsidR="00423561">
        <w:rPr>
          <w:rFonts w:ascii="Calibri" w:eastAsia="MS Mincho" w:hAnsi="Calibri" w:cs="Times New Roman"/>
        </w:rPr>
        <w:t xml:space="preserve"> initiation</w:t>
      </w:r>
      <w:r w:rsidR="00B27439">
        <w:rPr>
          <w:rFonts w:ascii="Calibri" w:eastAsia="MS Mincho" w:hAnsi="Calibri" w:cs="Times New Roman"/>
        </w:rPr>
        <w:t>)</w:t>
      </w:r>
      <w:r w:rsidR="00567FDD">
        <w:rPr>
          <w:rFonts w:ascii="Calibri" w:eastAsia="MS Mincho" w:hAnsi="Calibri" w:cs="Times New Roman"/>
        </w:rPr>
        <w:t>.</w:t>
      </w:r>
    </w:p>
    <w:p w:rsidR="00330A8F" w:rsidRDefault="00884F43" w:rsidP="00330A8F">
      <w:pPr>
        <w:spacing w:after="0"/>
        <w:rPr>
          <w:rFonts w:ascii="Calibri" w:eastAsia="MS Mincho" w:hAnsi="Calibri" w:cs="Times New Roman"/>
          <w:b/>
        </w:rPr>
      </w:pPr>
      <w:r>
        <w:rPr>
          <w:noProof/>
        </w:rPr>
        <w:drawing>
          <wp:inline distT="0" distB="0" distL="0" distR="0" wp14:anchorId="3D5E5166" wp14:editId="6665863A">
            <wp:extent cx="5741581" cy="3657600"/>
            <wp:effectExtent l="0" t="0" r="12065" b="19050"/>
            <wp:docPr id="16" name="Chart 16" title="Figure 4: Patients initiating and prevalent to MBS services for injection of botulinum toxin for all spasticity and dystonia indica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00A9C" w:rsidRPr="00B87CD5">
        <w:rPr>
          <w:rFonts w:ascii="Calibri" w:eastAsia="MS Mincho" w:hAnsi="Calibri" w:cs="Times New Roman"/>
          <w:b/>
        </w:rPr>
        <w:t xml:space="preserve">Figure </w:t>
      </w:r>
      <w:r w:rsidR="00700A9C">
        <w:rPr>
          <w:rFonts w:ascii="Calibri" w:eastAsia="MS Mincho" w:hAnsi="Calibri" w:cs="Times New Roman"/>
          <w:b/>
        </w:rPr>
        <w:t>4</w:t>
      </w:r>
      <w:r w:rsidR="00700A9C" w:rsidRPr="00B87CD5">
        <w:rPr>
          <w:rFonts w:ascii="Calibri" w:eastAsia="MS Mincho" w:hAnsi="Calibri" w:cs="Times New Roman"/>
          <w:b/>
        </w:rPr>
        <w:t xml:space="preserve">: </w:t>
      </w:r>
      <w:r w:rsidR="00B340E6">
        <w:rPr>
          <w:rFonts w:ascii="Calibri" w:eastAsia="MS Mincho" w:hAnsi="Calibri" w:cs="Times New Roman"/>
          <w:b/>
        </w:rPr>
        <w:t xml:space="preserve">Patients </w:t>
      </w:r>
      <w:r w:rsidR="007B051A">
        <w:rPr>
          <w:rFonts w:ascii="Calibri" w:eastAsia="MS Mincho" w:hAnsi="Calibri" w:cs="Times New Roman"/>
          <w:b/>
        </w:rPr>
        <w:t>initiating</w:t>
      </w:r>
      <w:r w:rsidR="00700A9C">
        <w:rPr>
          <w:rFonts w:ascii="Calibri" w:eastAsia="MS Mincho" w:hAnsi="Calibri" w:cs="Times New Roman"/>
          <w:b/>
        </w:rPr>
        <w:t xml:space="preserve"> and prevalent </w:t>
      </w:r>
      <w:r w:rsidR="00B340E6">
        <w:rPr>
          <w:rFonts w:ascii="Calibri" w:eastAsia="MS Mincho" w:hAnsi="Calibri" w:cs="Times New Roman"/>
          <w:b/>
        </w:rPr>
        <w:t>to</w:t>
      </w:r>
      <w:r w:rsidR="00700A9C">
        <w:rPr>
          <w:rFonts w:ascii="Calibri" w:eastAsia="MS Mincho" w:hAnsi="Calibri" w:cs="Times New Roman"/>
          <w:b/>
        </w:rPr>
        <w:t xml:space="preserve"> </w:t>
      </w:r>
      <w:r w:rsidR="00700A9C" w:rsidRPr="00D40591">
        <w:rPr>
          <w:rFonts w:ascii="Calibri" w:eastAsia="MS Mincho" w:hAnsi="Calibri" w:cs="Times New Roman"/>
          <w:b/>
        </w:rPr>
        <w:t xml:space="preserve">MBS services for injection of botulinum toxin for </w:t>
      </w:r>
      <w:r w:rsidR="00700A9C">
        <w:rPr>
          <w:rFonts w:ascii="Calibri" w:eastAsia="MS Mincho" w:hAnsi="Calibri" w:cs="Times New Roman"/>
          <w:b/>
        </w:rPr>
        <w:t xml:space="preserve">all </w:t>
      </w:r>
      <w:r w:rsidR="00700A9C" w:rsidRPr="00D40591">
        <w:rPr>
          <w:rFonts w:ascii="Calibri" w:eastAsia="MS Mincho" w:hAnsi="Calibri" w:cs="Times New Roman"/>
          <w:b/>
        </w:rPr>
        <w:t>spas</w:t>
      </w:r>
      <w:r w:rsidR="00330A8F">
        <w:rPr>
          <w:rFonts w:ascii="Calibri" w:eastAsia="MS Mincho" w:hAnsi="Calibri" w:cs="Times New Roman"/>
          <w:b/>
        </w:rPr>
        <w:t>ticity and dystonia indications</w:t>
      </w:r>
    </w:p>
    <w:p w:rsidR="00884F43" w:rsidRPr="00E554E6" w:rsidRDefault="00700A9C" w:rsidP="00E554E6">
      <w:pPr>
        <w:rPr>
          <w:rFonts w:ascii="Calibri" w:eastAsia="MS Mincho" w:hAnsi="Calibri" w:cs="Times New Roman"/>
          <w:b/>
        </w:rPr>
      </w:pPr>
      <w:r>
        <w:rPr>
          <w:rFonts w:ascii="Calibri" w:eastAsia="MS Mincho" w:hAnsi="Calibri" w:cs="Times New Roman"/>
          <w:sz w:val="20"/>
        </w:rPr>
        <w:t>Source:</w:t>
      </w:r>
      <w:r w:rsidRPr="00AB4293">
        <w:rPr>
          <w:rFonts w:ascii="Calibri" w:eastAsia="MS Mincho" w:hAnsi="Calibri" w:cs="Times New Roman"/>
          <w:sz w:val="20"/>
        </w:rPr>
        <w:t xml:space="preserve"> </w:t>
      </w:r>
      <w:r>
        <w:rPr>
          <w:rFonts w:ascii="Calibri" w:eastAsia="MS Mincho" w:hAnsi="Calibri" w:cs="Times New Roman"/>
          <w:sz w:val="20"/>
        </w:rPr>
        <w:t>D</w:t>
      </w:r>
      <w:r w:rsidRPr="00B87CD5">
        <w:rPr>
          <w:rFonts w:ascii="Calibri" w:eastAsia="MS Mincho" w:hAnsi="Calibri" w:cs="Times New Roman"/>
          <w:sz w:val="20"/>
        </w:rPr>
        <w:t xml:space="preserve">HS </w:t>
      </w:r>
      <w:r>
        <w:rPr>
          <w:rFonts w:ascii="Calibri" w:eastAsia="MS Mincho" w:hAnsi="Calibri" w:cs="Times New Roman"/>
          <w:sz w:val="20"/>
        </w:rPr>
        <w:t>MBS services</w:t>
      </w:r>
      <w:r w:rsidRPr="00B87CD5">
        <w:rPr>
          <w:rFonts w:ascii="Calibri" w:eastAsia="MS Mincho" w:hAnsi="Calibri" w:cs="Times New Roman"/>
          <w:sz w:val="20"/>
        </w:rPr>
        <w:t xml:space="preserve">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18 April </w:t>
      </w:r>
      <w:r w:rsidRPr="00B87CD5">
        <w:rPr>
          <w:rFonts w:ascii="Calibri" w:eastAsia="MS Mincho" w:hAnsi="Calibri" w:cs="Times New Roman"/>
          <w:sz w:val="20"/>
        </w:rPr>
        <w:t>201</w:t>
      </w:r>
      <w:r>
        <w:rPr>
          <w:rFonts w:ascii="Calibri" w:eastAsia="MS Mincho" w:hAnsi="Calibri" w:cs="Times New Roman"/>
          <w:sz w:val="20"/>
        </w:rPr>
        <w:t>8)</w:t>
      </w:r>
    </w:p>
    <w:p w:rsidR="00DA7A6F" w:rsidRDefault="00796F04" w:rsidP="00A77C2C">
      <w:pPr>
        <w:rPr>
          <w:rFonts w:ascii="Calibri" w:eastAsia="MS Mincho" w:hAnsi="Calibri" w:cs="Times New Roman"/>
        </w:rPr>
      </w:pPr>
      <w:r>
        <w:rPr>
          <w:rFonts w:ascii="Calibri" w:eastAsia="MS Mincho" w:hAnsi="Calibri" w:cs="Times New Roman"/>
        </w:rPr>
        <w:t>The step up in the number of patients receiving botulinum toxin injections in 2003 was due to the addition of MBS items for hemifacial spasm, cervical dystonia and spasticity described for Figure 1</w:t>
      </w:r>
      <w:r w:rsidR="009825D2">
        <w:rPr>
          <w:rFonts w:ascii="Calibri" w:eastAsia="MS Mincho" w:hAnsi="Calibri" w:cs="Times New Roman"/>
        </w:rPr>
        <w:t xml:space="preserve">. The slight increase in new patients in 2009 is likely due to the PBS listing of botulinum toxin for upper limb spasticity. This is evident in Figures 5 and 6 </w:t>
      </w:r>
      <w:r w:rsidR="007134D4">
        <w:rPr>
          <w:rFonts w:ascii="Calibri" w:eastAsia="MS Mincho" w:hAnsi="Calibri" w:cs="Times New Roman"/>
        </w:rPr>
        <w:t xml:space="preserve">where patient counts are presented by </w:t>
      </w:r>
      <w:r w:rsidR="009825D2">
        <w:rPr>
          <w:rFonts w:ascii="Calibri" w:eastAsia="MS Mincho" w:hAnsi="Calibri" w:cs="Times New Roman"/>
        </w:rPr>
        <w:t>indication. Between</w:t>
      </w:r>
      <w:r>
        <w:rPr>
          <w:rFonts w:ascii="Calibri" w:eastAsia="MS Mincho" w:hAnsi="Calibri" w:cs="Times New Roman"/>
        </w:rPr>
        <w:t xml:space="preserve"> 2009 and 2015 the growth in the number of </w:t>
      </w:r>
      <w:r w:rsidR="00BA6B3F">
        <w:rPr>
          <w:rFonts w:ascii="Calibri" w:eastAsia="MS Mincho" w:hAnsi="Calibri" w:cs="Times New Roman"/>
        </w:rPr>
        <w:t>new patients commencing botulinum injections was reasonably steady</w:t>
      </w:r>
      <w:r>
        <w:rPr>
          <w:rFonts w:ascii="Calibri" w:eastAsia="MS Mincho" w:hAnsi="Calibri" w:cs="Times New Roman"/>
        </w:rPr>
        <w:t xml:space="preserve"> with an average of about 2%</w:t>
      </w:r>
      <w:r w:rsidR="00DA7A6F">
        <w:rPr>
          <w:rFonts w:ascii="Calibri" w:eastAsia="MS Mincho" w:hAnsi="Calibri" w:cs="Times New Roman"/>
        </w:rPr>
        <w:t xml:space="preserve"> per annum</w:t>
      </w:r>
      <w:r>
        <w:rPr>
          <w:rFonts w:ascii="Calibri" w:eastAsia="MS Mincho" w:hAnsi="Calibri" w:cs="Times New Roman"/>
        </w:rPr>
        <w:t>.</w:t>
      </w:r>
      <w:r w:rsidR="009825D2">
        <w:rPr>
          <w:rFonts w:ascii="Calibri" w:eastAsia="MS Mincho" w:hAnsi="Calibri" w:cs="Times New Roman"/>
        </w:rPr>
        <w:t xml:space="preserve"> In </w:t>
      </w:r>
      <w:r>
        <w:rPr>
          <w:rFonts w:ascii="Calibri" w:eastAsia="MS Mincho" w:hAnsi="Calibri" w:cs="Times New Roman"/>
        </w:rPr>
        <w:t>2016 and 2017</w:t>
      </w:r>
      <w:r w:rsidR="009825D2">
        <w:rPr>
          <w:rFonts w:ascii="Calibri" w:eastAsia="MS Mincho" w:hAnsi="Calibri" w:cs="Times New Roman"/>
        </w:rPr>
        <w:t xml:space="preserve"> </w:t>
      </w:r>
      <w:r w:rsidR="00DA7A6F">
        <w:rPr>
          <w:rFonts w:ascii="Calibri" w:eastAsia="MS Mincho" w:hAnsi="Calibri" w:cs="Times New Roman"/>
        </w:rPr>
        <w:t xml:space="preserve">the </w:t>
      </w:r>
      <w:r w:rsidR="009825D2">
        <w:rPr>
          <w:rFonts w:ascii="Calibri" w:eastAsia="MS Mincho" w:hAnsi="Calibri" w:cs="Times New Roman"/>
        </w:rPr>
        <w:t xml:space="preserve">annual growth in new patients treated has been approximately 9%, with this increase driven by the dystonia </w:t>
      </w:r>
      <w:r w:rsidR="007B051A">
        <w:rPr>
          <w:rFonts w:ascii="Calibri" w:eastAsia="MS Mincho" w:hAnsi="Calibri" w:cs="Times New Roman"/>
        </w:rPr>
        <w:t>indications</w:t>
      </w:r>
      <w:r w:rsidR="009825D2">
        <w:rPr>
          <w:rFonts w:ascii="Calibri" w:eastAsia="MS Mincho" w:hAnsi="Calibri" w:cs="Times New Roman"/>
        </w:rPr>
        <w:t xml:space="preserve">, particularly spasmodic torticollis. </w:t>
      </w:r>
    </w:p>
    <w:p w:rsidR="00210797" w:rsidRDefault="00210797">
      <w:pPr>
        <w:spacing w:line="276" w:lineRule="auto"/>
        <w:rPr>
          <w:rFonts w:ascii="Calibri" w:eastAsia="MS Mincho" w:hAnsi="Calibri" w:cs="Times New Roman"/>
        </w:rPr>
      </w:pPr>
      <w:r>
        <w:rPr>
          <w:rFonts w:ascii="Calibri" w:eastAsia="MS Mincho" w:hAnsi="Calibri" w:cs="Times New Roman"/>
        </w:rPr>
        <w:br w:type="page"/>
      </w:r>
    </w:p>
    <w:p w:rsidR="003B34EB" w:rsidRDefault="009825D2" w:rsidP="00A77C2C">
      <w:pPr>
        <w:rPr>
          <w:rFonts w:ascii="Calibri" w:eastAsia="MS Mincho" w:hAnsi="Calibri" w:cs="Times New Roman"/>
        </w:rPr>
      </w:pPr>
      <w:r>
        <w:rPr>
          <w:rFonts w:ascii="Calibri" w:eastAsia="MS Mincho" w:hAnsi="Calibri" w:cs="Times New Roman"/>
        </w:rPr>
        <w:lastRenderedPageBreak/>
        <w:t>The prevalent treated population</w:t>
      </w:r>
      <w:r w:rsidR="00C14960">
        <w:rPr>
          <w:rFonts w:ascii="Calibri" w:eastAsia="MS Mincho" w:hAnsi="Calibri" w:cs="Times New Roman"/>
        </w:rPr>
        <w:t>,</w:t>
      </w:r>
      <w:r w:rsidR="00DA7A6F">
        <w:rPr>
          <w:rFonts w:ascii="Calibri" w:eastAsia="MS Mincho" w:hAnsi="Calibri" w:cs="Times New Roman"/>
        </w:rPr>
        <w:t xml:space="preserve"> </w:t>
      </w:r>
      <w:r w:rsidR="00C14960">
        <w:rPr>
          <w:rFonts w:ascii="Calibri" w:eastAsia="MS Mincho" w:hAnsi="Calibri" w:cs="Times New Roman"/>
        </w:rPr>
        <w:t xml:space="preserve">both overall </w:t>
      </w:r>
      <w:r w:rsidR="00DA7A6F">
        <w:rPr>
          <w:rFonts w:ascii="Calibri" w:eastAsia="MS Mincho" w:hAnsi="Calibri" w:cs="Times New Roman"/>
        </w:rPr>
        <w:t>and for each indication</w:t>
      </w:r>
      <w:r w:rsidR="00C14960">
        <w:rPr>
          <w:rFonts w:ascii="Calibri" w:eastAsia="MS Mincho" w:hAnsi="Calibri" w:cs="Times New Roman"/>
        </w:rPr>
        <w:t>,</w:t>
      </w:r>
      <w:r>
        <w:rPr>
          <w:rFonts w:ascii="Calibri" w:eastAsia="MS Mincho" w:hAnsi="Calibri" w:cs="Times New Roman"/>
        </w:rPr>
        <w:t xml:space="preserve"> continue to grow</w:t>
      </w:r>
      <w:r w:rsidR="00D2533D">
        <w:rPr>
          <w:rFonts w:ascii="Calibri" w:eastAsia="MS Mincho" w:hAnsi="Calibri" w:cs="Times New Roman"/>
        </w:rPr>
        <w:t xml:space="preserve"> likely</w:t>
      </w:r>
      <w:r>
        <w:rPr>
          <w:rFonts w:ascii="Calibri" w:eastAsia="MS Mincho" w:hAnsi="Calibri" w:cs="Times New Roman"/>
        </w:rPr>
        <w:t xml:space="preserve"> due to the chronic nature of the underlying conditions</w:t>
      </w:r>
      <w:r w:rsidR="007134D4">
        <w:rPr>
          <w:rFonts w:ascii="Calibri" w:eastAsia="MS Mincho" w:hAnsi="Calibri" w:cs="Times New Roman"/>
        </w:rPr>
        <w:t xml:space="preserve"> and the requirement for repeated administration of botulinum toxin as the effects generally wear off after 3-4 months.</w:t>
      </w:r>
      <w:r>
        <w:rPr>
          <w:rFonts w:ascii="Calibri" w:eastAsia="MS Mincho" w:hAnsi="Calibri" w:cs="Times New Roman"/>
        </w:rPr>
        <w:t xml:space="preserve"> </w:t>
      </w:r>
      <w:r w:rsidR="00DA7A6F">
        <w:rPr>
          <w:rFonts w:ascii="Calibri" w:eastAsia="MS Mincho" w:hAnsi="Calibri" w:cs="Times New Roman"/>
        </w:rPr>
        <w:t>A length of treatment analysis is presented later in this report.</w:t>
      </w:r>
    </w:p>
    <w:p w:rsidR="00C14960" w:rsidRDefault="00D037C4" w:rsidP="00C14960">
      <w:pPr>
        <w:spacing w:after="0"/>
        <w:rPr>
          <w:rFonts w:ascii="Calibri" w:eastAsia="MS Mincho" w:hAnsi="Calibri" w:cs="Times New Roman"/>
          <w:b/>
        </w:rPr>
      </w:pPr>
      <w:r>
        <w:rPr>
          <w:noProof/>
        </w:rPr>
        <w:drawing>
          <wp:inline distT="0" distB="0" distL="0" distR="0" wp14:anchorId="118C0C1D" wp14:editId="44B972A7">
            <wp:extent cx="5687695" cy="3715232"/>
            <wp:effectExtent l="0" t="0" r="27305" b="19050"/>
            <wp:docPr id="36" name="Chart 36" title="Figure 5: Prevalent patients receiving MBS services for injection of botulinum toxin for spasticity and dystonia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B340E6" w:rsidRPr="00B87CD5">
        <w:rPr>
          <w:rFonts w:ascii="Calibri" w:eastAsia="MS Mincho" w:hAnsi="Calibri" w:cs="Times New Roman"/>
          <w:b/>
        </w:rPr>
        <w:t xml:space="preserve">Figure </w:t>
      </w:r>
      <w:r w:rsidR="003B34EB">
        <w:rPr>
          <w:rFonts w:ascii="Calibri" w:eastAsia="MS Mincho" w:hAnsi="Calibri" w:cs="Times New Roman"/>
          <w:b/>
        </w:rPr>
        <w:t>5</w:t>
      </w:r>
      <w:r w:rsidR="00B340E6" w:rsidRPr="00B87CD5">
        <w:rPr>
          <w:rFonts w:ascii="Calibri" w:eastAsia="MS Mincho" w:hAnsi="Calibri" w:cs="Times New Roman"/>
          <w:b/>
        </w:rPr>
        <w:t xml:space="preserve">: </w:t>
      </w:r>
      <w:r w:rsidR="006F0CD7">
        <w:rPr>
          <w:rFonts w:ascii="Calibri" w:eastAsia="MS Mincho" w:hAnsi="Calibri" w:cs="Times New Roman"/>
          <w:b/>
        </w:rPr>
        <w:t>Prevalent p</w:t>
      </w:r>
      <w:r w:rsidR="00B340E6">
        <w:rPr>
          <w:rFonts w:ascii="Calibri" w:eastAsia="MS Mincho" w:hAnsi="Calibri" w:cs="Times New Roman"/>
          <w:b/>
        </w:rPr>
        <w:t>at</w:t>
      </w:r>
      <w:r w:rsidR="003B34EB">
        <w:rPr>
          <w:rFonts w:ascii="Calibri" w:eastAsia="MS Mincho" w:hAnsi="Calibri" w:cs="Times New Roman"/>
          <w:b/>
        </w:rPr>
        <w:t>i</w:t>
      </w:r>
      <w:r w:rsidR="00B340E6">
        <w:rPr>
          <w:rFonts w:ascii="Calibri" w:eastAsia="MS Mincho" w:hAnsi="Calibri" w:cs="Times New Roman"/>
          <w:b/>
        </w:rPr>
        <w:t xml:space="preserve">ents </w:t>
      </w:r>
      <w:r w:rsidR="006F0CD7">
        <w:rPr>
          <w:rFonts w:ascii="Calibri" w:eastAsia="MS Mincho" w:hAnsi="Calibri" w:cs="Times New Roman"/>
          <w:b/>
        </w:rPr>
        <w:t>receiving</w:t>
      </w:r>
      <w:r w:rsidR="00B340E6">
        <w:rPr>
          <w:rFonts w:ascii="Calibri" w:eastAsia="MS Mincho" w:hAnsi="Calibri" w:cs="Times New Roman"/>
          <w:b/>
        </w:rPr>
        <w:t xml:space="preserve"> </w:t>
      </w:r>
      <w:r w:rsidR="00B340E6" w:rsidRPr="00D40591">
        <w:rPr>
          <w:rFonts w:ascii="Calibri" w:eastAsia="MS Mincho" w:hAnsi="Calibri" w:cs="Times New Roman"/>
          <w:b/>
        </w:rPr>
        <w:t xml:space="preserve">MBS services for injection of botulinum toxin for spasticity and dystonia </w:t>
      </w:r>
      <w:r w:rsidR="00B340E6">
        <w:rPr>
          <w:rFonts w:ascii="Calibri" w:eastAsia="MS Mincho" w:hAnsi="Calibri" w:cs="Times New Roman"/>
          <w:b/>
        </w:rPr>
        <w:t>by indication</w:t>
      </w:r>
    </w:p>
    <w:p w:rsidR="00B340E6" w:rsidRPr="00E554E6" w:rsidRDefault="00B340E6" w:rsidP="0051534B">
      <w:pPr>
        <w:rPr>
          <w:rFonts w:ascii="Calibri" w:eastAsia="MS Mincho" w:hAnsi="Calibri" w:cs="Times New Roman"/>
          <w:b/>
        </w:rPr>
      </w:pPr>
      <w:r>
        <w:rPr>
          <w:rFonts w:ascii="Calibri" w:eastAsia="MS Mincho" w:hAnsi="Calibri" w:cs="Times New Roman"/>
          <w:sz w:val="20"/>
        </w:rPr>
        <w:t>Source:</w:t>
      </w:r>
      <w:r w:rsidRPr="00AB4293">
        <w:rPr>
          <w:rFonts w:ascii="Calibri" w:eastAsia="MS Mincho" w:hAnsi="Calibri" w:cs="Times New Roman"/>
          <w:sz w:val="20"/>
        </w:rPr>
        <w:t xml:space="preserve"> </w:t>
      </w:r>
      <w:r>
        <w:rPr>
          <w:rFonts w:ascii="Calibri" w:eastAsia="MS Mincho" w:hAnsi="Calibri" w:cs="Times New Roman"/>
          <w:sz w:val="20"/>
        </w:rPr>
        <w:t>D</w:t>
      </w:r>
      <w:r w:rsidRPr="00B87CD5">
        <w:rPr>
          <w:rFonts w:ascii="Calibri" w:eastAsia="MS Mincho" w:hAnsi="Calibri" w:cs="Times New Roman"/>
          <w:sz w:val="20"/>
        </w:rPr>
        <w:t xml:space="preserve">HS </w:t>
      </w:r>
      <w:r>
        <w:rPr>
          <w:rFonts w:ascii="Calibri" w:eastAsia="MS Mincho" w:hAnsi="Calibri" w:cs="Times New Roman"/>
          <w:sz w:val="20"/>
        </w:rPr>
        <w:t>MBS services</w:t>
      </w:r>
      <w:r w:rsidRPr="00B87CD5">
        <w:rPr>
          <w:rFonts w:ascii="Calibri" w:eastAsia="MS Mincho" w:hAnsi="Calibri" w:cs="Times New Roman"/>
          <w:sz w:val="20"/>
        </w:rPr>
        <w:t xml:space="preserve">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18 April </w:t>
      </w:r>
      <w:r w:rsidRPr="00B87CD5">
        <w:rPr>
          <w:rFonts w:ascii="Calibri" w:eastAsia="MS Mincho" w:hAnsi="Calibri" w:cs="Times New Roman"/>
          <w:sz w:val="20"/>
        </w:rPr>
        <w:t>201</w:t>
      </w:r>
      <w:r>
        <w:rPr>
          <w:rFonts w:ascii="Calibri" w:eastAsia="MS Mincho" w:hAnsi="Calibri" w:cs="Times New Roman"/>
          <w:sz w:val="20"/>
        </w:rPr>
        <w:t>8)</w:t>
      </w:r>
    </w:p>
    <w:p w:rsidR="001B6108" w:rsidRDefault="00432AAD" w:rsidP="001B6108">
      <w:pPr>
        <w:spacing w:after="0"/>
        <w:rPr>
          <w:rFonts w:ascii="Calibri" w:eastAsia="MS Mincho" w:hAnsi="Calibri" w:cs="Times New Roman"/>
          <w:b/>
        </w:rPr>
      </w:pPr>
      <w:r>
        <w:rPr>
          <w:noProof/>
        </w:rPr>
        <w:lastRenderedPageBreak/>
        <w:drawing>
          <wp:inline distT="0" distB="0" distL="0" distR="0" wp14:anchorId="51D5091B" wp14:editId="74CB289F">
            <wp:extent cx="5687695" cy="3720700"/>
            <wp:effectExtent l="0" t="0" r="27305" b="13335"/>
            <wp:docPr id="40" name="Chart 40" title="Figure 6: Patients initiating MBS services for injection of botulinum toxin for spasticity and dystonia by indication "/>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B87CD5">
        <w:rPr>
          <w:rFonts w:ascii="Calibri" w:eastAsia="MS Mincho" w:hAnsi="Calibri" w:cs="Times New Roman"/>
          <w:b/>
        </w:rPr>
        <w:t xml:space="preserve">Figure </w:t>
      </w:r>
      <w:r>
        <w:rPr>
          <w:rFonts w:ascii="Calibri" w:eastAsia="MS Mincho" w:hAnsi="Calibri" w:cs="Times New Roman"/>
          <w:b/>
        </w:rPr>
        <w:t>6</w:t>
      </w:r>
      <w:r w:rsidRPr="00B87CD5">
        <w:rPr>
          <w:rFonts w:ascii="Calibri" w:eastAsia="MS Mincho" w:hAnsi="Calibri" w:cs="Times New Roman"/>
          <w:b/>
        </w:rPr>
        <w:t xml:space="preserve">: </w:t>
      </w:r>
      <w:r>
        <w:rPr>
          <w:rFonts w:ascii="Calibri" w:eastAsia="MS Mincho" w:hAnsi="Calibri" w:cs="Times New Roman"/>
          <w:b/>
        </w:rPr>
        <w:t xml:space="preserve">Patients initiating </w:t>
      </w:r>
      <w:r w:rsidRPr="00D40591">
        <w:rPr>
          <w:rFonts w:ascii="Calibri" w:eastAsia="MS Mincho" w:hAnsi="Calibri" w:cs="Times New Roman"/>
          <w:b/>
        </w:rPr>
        <w:t xml:space="preserve">MBS services for injection of botulinum toxin for spasticity and dystonia </w:t>
      </w:r>
      <w:r>
        <w:rPr>
          <w:rFonts w:ascii="Calibri" w:eastAsia="MS Mincho" w:hAnsi="Calibri" w:cs="Times New Roman"/>
          <w:b/>
        </w:rPr>
        <w:t xml:space="preserve">by indication </w:t>
      </w:r>
    </w:p>
    <w:p w:rsidR="00432AAD" w:rsidRPr="00E554E6" w:rsidRDefault="00432AAD" w:rsidP="00432AAD">
      <w:pPr>
        <w:rPr>
          <w:rFonts w:ascii="Calibri" w:eastAsia="MS Mincho" w:hAnsi="Calibri" w:cs="Times New Roman"/>
          <w:b/>
        </w:rPr>
      </w:pPr>
      <w:r>
        <w:rPr>
          <w:rFonts w:ascii="Calibri" w:eastAsia="MS Mincho" w:hAnsi="Calibri" w:cs="Times New Roman"/>
          <w:sz w:val="20"/>
        </w:rPr>
        <w:t>Source:</w:t>
      </w:r>
      <w:r w:rsidRPr="00AB4293">
        <w:rPr>
          <w:rFonts w:ascii="Calibri" w:eastAsia="MS Mincho" w:hAnsi="Calibri" w:cs="Times New Roman"/>
          <w:sz w:val="20"/>
        </w:rPr>
        <w:t xml:space="preserve"> </w:t>
      </w:r>
      <w:r>
        <w:rPr>
          <w:rFonts w:ascii="Calibri" w:eastAsia="MS Mincho" w:hAnsi="Calibri" w:cs="Times New Roman"/>
          <w:sz w:val="20"/>
        </w:rPr>
        <w:t>D</w:t>
      </w:r>
      <w:r w:rsidRPr="00B87CD5">
        <w:rPr>
          <w:rFonts w:ascii="Calibri" w:eastAsia="MS Mincho" w:hAnsi="Calibri" w:cs="Times New Roman"/>
          <w:sz w:val="20"/>
        </w:rPr>
        <w:t xml:space="preserve">HS </w:t>
      </w:r>
      <w:r>
        <w:rPr>
          <w:rFonts w:ascii="Calibri" w:eastAsia="MS Mincho" w:hAnsi="Calibri" w:cs="Times New Roman"/>
          <w:sz w:val="20"/>
        </w:rPr>
        <w:t>MBS services</w:t>
      </w:r>
      <w:r w:rsidRPr="00B87CD5">
        <w:rPr>
          <w:rFonts w:ascii="Calibri" w:eastAsia="MS Mincho" w:hAnsi="Calibri" w:cs="Times New Roman"/>
          <w:sz w:val="20"/>
        </w:rPr>
        <w:t xml:space="preserve">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 xml:space="preserve">18 April </w:t>
      </w:r>
      <w:r w:rsidRPr="00B87CD5">
        <w:rPr>
          <w:rFonts w:ascii="Calibri" w:eastAsia="MS Mincho" w:hAnsi="Calibri" w:cs="Times New Roman"/>
          <w:sz w:val="20"/>
        </w:rPr>
        <w:t>201</w:t>
      </w:r>
      <w:r>
        <w:rPr>
          <w:rFonts w:ascii="Calibri" w:eastAsia="MS Mincho" w:hAnsi="Calibri" w:cs="Times New Roman"/>
          <w:sz w:val="20"/>
        </w:rPr>
        <w:t>8)</w:t>
      </w:r>
    </w:p>
    <w:p w:rsidR="00560734" w:rsidRDefault="00432AAD" w:rsidP="00ED06AC">
      <w:pPr>
        <w:rPr>
          <w:rFonts w:ascii="Calibri" w:eastAsia="MS Mincho" w:hAnsi="Calibri" w:cs="Times New Roman"/>
        </w:rPr>
      </w:pPr>
      <w:r>
        <w:rPr>
          <w:rFonts w:ascii="Calibri" w:eastAsia="MS Mincho" w:hAnsi="Calibri" w:cs="Times New Roman"/>
        </w:rPr>
        <w:t xml:space="preserve">The high number of initiations to </w:t>
      </w:r>
      <w:r w:rsidR="00ED06AC" w:rsidRPr="00ED06AC">
        <w:rPr>
          <w:rFonts w:ascii="Calibri" w:eastAsia="MS Mincho" w:hAnsi="Calibri" w:cs="Times New Roman"/>
        </w:rPr>
        <w:t>hemifacial spasm</w:t>
      </w:r>
      <w:r w:rsidR="00ED06AC">
        <w:rPr>
          <w:rFonts w:ascii="Calibri" w:eastAsia="MS Mincho" w:hAnsi="Calibri" w:cs="Times New Roman"/>
        </w:rPr>
        <w:t xml:space="preserve"> and </w:t>
      </w:r>
      <w:r w:rsidR="00560734">
        <w:rPr>
          <w:rFonts w:ascii="Calibri" w:eastAsia="MS Mincho" w:hAnsi="Calibri" w:cs="Times New Roman"/>
        </w:rPr>
        <w:t>s</w:t>
      </w:r>
      <w:r w:rsidR="00ED06AC" w:rsidRPr="00ED06AC">
        <w:rPr>
          <w:rFonts w:ascii="Calibri" w:eastAsia="MS Mincho" w:hAnsi="Calibri" w:cs="Times New Roman"/>
        </w:rPr>
        <w:t>pasmodic torticollis</w:t>
      </w:r>
      <w:r w:rsidR="00560734">
        <w:rPr>
          <w:rFonts w:ascii="Calibri" w:eastAsia="MS Mincho" w:hAnsi="Calibri" w:cs="Times New Roman"/>
        </w:rPr>
        <w:t xml:space="preserve"> in 2003 indicates there was a prevalent pool of patients having these injections prior to </w:t>
      </w:r>
      <w:r w:rsidR="00AE350C">
        <w:rPr>
          <w:rFonts w:ascii="Calibri" w:eastAsia="MS Mincho" w:hAnsi="Calibri" w:cs="Times New Roman"/>
        </w:rPr>
        <w:t xml:space="preserve">the </w:t>
      </w:r>
      <w:r w:rsidR="00560734">
        <w:rPr>
          <w:rFonts w:ascii="Calibri" w:eastAsia="MS Mincho" w:hAnsi="Calibri" w:cs="Times New Roman"/>
        </w:rPr>
        <w:t xml:space="preserve">listing </w:t>
      </w:r>
      <w:r w:rsidR="00E82CE9">
        <w:rPr>
          <w:rFonts w:ascii="Calibri" w:eastAsia="MS Mincho" w:hAnsi="Calibri" w:cs="Times New Roman"/>
        </w:rPr>
        <w:t xml:space="preserve">of this service </w:t>
      </w:r>
      <w:r w:rsidR="00560734">
        <w:rPr>
          <w:rFonts w:ascii="Calibri" w:eastAsia="MS Mincho" w:hAnsi="Calibri" w:cs="Times New Roman"/>
        </w:rPr>
        <w:t xml:space="preserve">on the </w:t>
      </w:r>
      <w:r w:rsidR="00AE350C">
        <w:rPr>
          <w:rFonts w:ascii="Calibri" w:eastAsia="MS Mincho" w:hAnsi="Calibri" w:cs="Times New Roman"/>
        </w:rPr>
        <w:t>M</w:t>
      </w:r>
      <w:r w:rsidR="00560734">
        <w:rPr>
          <w:rFonts w:ascii="Calibri" w:eastAsia="MS Mincho" w:hAnsi="Calibri" w:cs="Times New Roman"/>
        </w:rPr>
        <w:t xml:space="preserve">BS. </w:t>
      </w:r>
    </w:p>
    <w:p w:rsidR="00F07400" w:rsidRDefault="007134D4" w:rsidP="00E554E6">
      <w:pPr>
        <w:spacing w:line="276" w:lineRule="auto"/>
        <w:rPr>
          <w:rFonts w:ascii="Calibri" w:eastAsia="MS Mincho" w:hAnsi="Calibri" w:cs="Times New Roman"/>
        </w:rPr>
      </w:pPr>
      <w:r>
        <w:rPr>
          <w:rFonts w:ascii="Calibri" w:eastAsia="MS Mincho" w:hAnsi="Calibri" w:cs="Times New Roman"/>
          <w:b/>
          <w:i/>
        </w:rPr>
        <w:t>Number of patients treated – PBS data</w:t>
      </w:r>
    </w:p>
    <w:p w:rsidR="00E55AB3" w:rsidRDefault="00E55AB3" w:rsidP="0051534B">
      <w:pPr>
        <w:rPr>
          <w:rFonts w:ascii="Calibri" w:eastAsia="MS Mincho" w:hAnsi="Calibri" w:cs="Times New Roman"/>
        </w:rPr>
      </w:pPr>
      <w:r>
        <w:rPr>
          <w:rFonts w:ascii="Calibri" w:eastAsia="MS Mincho" w:hAnsi="Calibri" w:cs="Times New Roman"/>
        </w:rPr>
        <w:t xml:space="preserve">The number of patients commencing and receiving treatment with PBS subsidised botulinum toxin type A is presented in Table 8. </w:t>
      </w:r>
      <w:r w:rsidR="00BB571A">
        <w:rPr>
          <w:rFonts w:ascii="Calibri" w:eastAsia="MS Mincho" w:hAnsi="Calibri" w:cs="Times New Roman"/>
        </w:rPr>
        <w:t>The</w:t>
      </w:r>
      <w:r>
        <w:rPr>
          <w:rFonts w:ascii="Calibri" w:eastAsia="MS Mincho" w:hAnsi="Calibri" w:cs="Times New Roman"/>
        </w:rPr>
        <w:t xml:space="preserve"> </w:t>
      </w:r>
      <w:r w:rsidR="00A112AC">
        <w:rPr>
          <w:rFonts w:ascii="Calibri" w:eastAsia="MS Mincho" w:hAnsi="Calibri" w:cs="Times New Roman"/>
        </w:rPr>
        <w:t xml:space="preserve">number of new patients </w:t>
      </w:r>
      <w:r w:rsidR="00BB571A">
        <w:rPr>
          <w:rFonts w:ascii="Calibri" w:eastAsia="MS Mincho" w:hAnsi="Calibri" w:cs="Times New Roman"/>
        </w:rPr>
        <w:t xml:space="preserve">commencing treatment </w:t>
      </w:r>
      <w:r w:rsidR="00A112AC">
        <w:rPr>
          <w:rFonts w:ascii="Calibri" w:eastAsia="MS Mincho" w:hAnsi="Calibri" w:cs="Times New Roman"/>
        </w:rPr>
        <w:t xml:space="preserve">is presented for 2017 only. </w:t>
      </w:r>
      <w:r w:rsidR="00BB571A">
        <w:rPr>
          <w:rFonts w:ascii="Calibri" w:eastAsia="MS Mincho" w:hAnsi="Calibri" w:cs="Times New Roman"/>
        </w:rPr>
        <w:t>A</w:t>
      </w:r>
      <w:r>
        <w:rPr>
          <w:rFonts w:ascii="Calibri" w:eastAsia="MS Mincho" w:hAnsi="Calibri" w:cs="Times New Roman"/>
        </w:rPr>
        <w:t xml:space="preserve"> time to resupply analysis showed that the median time to resupply </w:t>
      </w:r>
      <w:r w:rsidR="00A112AC">
        <w:rPr>
          <w:rFonts w:ascii="Calibri" w:eastAsia="MS Mincho" w:hAnsi="Calibri" w:cs="Times New Roman"/>
        </w:rPr>
        <w:t xml:space="preserve">was about 3 months </w:t>
      </w:r>
      <w:r>
        <w:rPr>
          <w:rFonts w:ascii="Calibri" w:eastAsia="MS Mincho" w:hAnsi="Calibri" w:cs="Times New Roman"/>
        </w:rPr>
        <w:t xml:space="preserve">for </w:t>
      </w:r>
      <w:r w:rsidR="00BB571A">
        <w:rPr>
          <w:rFonts w:ascii="Calibri" w:eastAsia="MS Mincho" w:hAnsi="Calibri" w:cs="Times New Roman"/>
        </w:rPr>
        <w:t xml:space="preserve">the </w:t>
      </w:r>
      <w:r>
        <w:rPr>
          <w:rFonts w:ascii="Calibri" w:eastAsia="MS Mincho" w:hAnsi="Calibri" w:cs="Times New Roman"/>
        </w:rPr>
        <w:t>dys</w:t>
      </w:r>
      <w:r w:rsidR="00A112AC">
        <w:rPr>
          <w:rFonts w:ascii="Calibri" w:eastAsia="MS Mincho" w:hAnsi="Calibri" w:cs="Times New Roman"/>
        </w:rPr>
        <w:t>t</w:t>
      </w:r>
      <w:r>
        <w:rPr>
          <w:rFonts w:ascii="Calibri" w:eastAsia="MS Mincho" w:hAnsi="Calibri" w:cs="Times New Roman"/>
        </w:rPr>
        <w:t>oni</w:t>
      </w:r>
      <w:r w:rsidR="00A112AC">
        <w:rPr>
          <w:rFonts w:ascii="Calibri" w:eastAsia="MS Mincho" w:hAnsi="Calibri" w:cs="Times New Roman"/>
        </w:rPr>
        <w:t>a</w:t>
      </w:r>
      <w:r>
        <w:rPr>
          <w:rFonts w:ascii="Calibri" w:eastAsia="MS Mincho" w:hAnsi="Calibri" w:cs="Times New Roman"/>
        </w:rPr>
        <w:t xml:space="preserve"> indications</w:t>
      </w:r>
      <w:r w:rsidR="00A112AC">
        <w:rPr>
          <w:rFonts w:ascii="Calibri" w:eastAsia="MS Mincho" w:hAnsi="Calibri" w:cs="Times New Roman"/>
        </w:rPr>
        <w:t xml:space="preserve"> and 6 to 7 months for spasticity (Appendix B)</w:t>
      </w:r>
      <w:r w:rsidR="00BB571A">
        <w:rPr>
          <w:rFonts w:ascii="Calibri" w:eastAsia="MS Mincho" w:hAnsi="Calibri" w:cs="Times New Roman"/>
        </w:rPr>
        <w:t xml:space="preserve">. As patient level prescription data was not available prior to September 2015 there is an inadequate ‘look back’ period to distinguish new </w:t>
      </w:r>
      <w:r w:rsidR="002431A5">
        <w:rPr>
          <w:rFonts w:ascii="Calibri" w:eastAsia="MS Mincho" w:hAnsi="Calibri" w:cs="Times New Roman"/>
        </w:rPr>
        <w:t xml:space="preserve">from continuing </w:t>
      </w:r>
      <w:r w:rsidR="00BB571A">
        <w:rPr>
          <w:rFonts w:ascii="Calibri" w:eastAsia="MS Mincho" w:hAnsi="Calibri" w:cs="Times New Roman"/>
        </w:rPr>
        <w:t xml:space="preserve">patients in 2016. </w:t>
      </w:r>
      <w:r>
        <w:rPr>
          <w:rFonts w:ascii="Calibri" w:eastAsia="MS Mincho" w:hAnsi="Calibri" w:cs="Times New Roman"/>
        </w:rPr>
        <w:t xml:space="preserve">The prevalent patient counts </w:t>
      </w:r>
      <w:r w:rsidR="00BB571A">
        <w:rPr>
          <w:rFonts w:ascii="Calibri" w:eastAsia="MS Mincho" w:hAnsi="Calibri" w:cs="Times New Roman"/>
        </w:rPr>
        <w:t xml:space="preserve">in Table 8 </w:t>
      </w:r>
      <w:r>
        <w:rPr>
          <w:rFonts w:ascii="Calibri" w:eastAsia="MS Mincho" w:hAnsi="Calibri" w:cs="Times New Roman"/>
        </w:rPr>
        <w:t xml:space="preserve">represent any patient with at least one prescription supplied </w:t>
      </w:r>
      <w:r w:rsidR="00BB571A">
        <w:rPr>
          <w:rFonts w:ascii="Calibri" w:eastAsia="MS Mincho" w:hAnsi="Calibri" w:cs="Times New Roman"/>
        </w:rPr>
        <w:t xml:space="preserve">for </w:t>
      </w:r>
      <w:r w:rsidR="002431A5">
        <w:rPr>
          <w:rFonts w:ascii="Calibri" w:eastAsia="MS Mincho" w:hAnsi="Calibri" w:cs="Times New Roman"/>
        </w:rPr>
        <w:t>the</w:t>
      </w:r>
      <w:r w:rsidR="00BB571A">
        <w:rPr>
          <w:rFonts w:ascii="Calibri" w:eastAsia="MS Mincho" w:hAnsi="Calibri" w:cs="Times New Roman"/>
        </w:rPr>
        <w:t xml:space="preserve"> indication </w:t>
      </w:r>
      <w:r>
        <w:rPr>
          <w:rFonts w:ascii="Calibri" w:eastAsia="MS Mincho" w:hAnsi="Calibri" w:cs="Times New Roman"/>
        </w:rPr>
        <w:t xml:space="preserve">in </w:t>
      </w:r>
      <w:r w:rsidR="002431A5">
        <w:rPr>
          <w:rFonts w:ascii="Calibri" w:eastAsia="MS Mincho" w:hAnsi="Calibri" w:cs="Times New Roman"/>
        </w:rPr>
        <w:t xml:space="preserve">either </w:t>
      </w:r>
      <w:r>
        <w:rPr>
          <w:rFonts w:ascii="Calibri" w:eastAsia="MS Mincho" w:hAnsi="Calibri" w:cs="Times New Roman"/>
        </w:rPr>
        <w:t>2016 or 2017.</w:t>
      </w:r>
      <w:r w:rsidR="00BB571A">
        <w:rPr>
          <w:rFonts w:ascii="Calibri" w:eastAsia="MS Mincho" w:hAnsi="Calibri" w:cs="Times New Roman"/>
        </w:rPr>
        <w:t xml:space="preserve"> </w:t>
      </w:r>
      <w:r w:rsidR="00BB571A" w:rsidRPr="0074607C">
        <w:rPr>
          <w:rFonts w:ascii="Calibri" w:eastAsia="MS Mincho" w:hAnsi="Calibri" w:cs="Times New Roman"/>
        </w:rPr>
        <w:t xml:space="preserve">Patients receiving treatment for more than one indication will be represented multiple times in Table 8. </w:t>
      </w:r>
      <w:r w:rsidR="0074607C">
        <w:rPr>
          <w:rFonts w:ascii="Calibri" w:eastAsia="MS Mincho" w:hAnsi="Calibri" w:cs="Times New Roman"/>
        </w:rPr>
        <w:t xml:space="preserve">Approximately </w:t>
      </w:r>
      <w:r w:rsidR="00406900" w:rsidRPr="0074607C">
        <w:rPr>
          <w:rFonts w:ascii="Calibri" w:eastAsia="MS Mincho" w:hAnsi="Calibri" w:cs="Times New Roman"/>
        </w:rPr>
        <w:t>5</w:t>
      </w:r>
      <w:r w:rsidR="00BB571A" w:rsidRPr="0074607C">
        <w:rPr>
          <w:rFonts w:ascii="Calibri" w:eastAsia="MS Mincho" w:hAnsi="Calibri" w:cs="Times New Roman"/>
        </w:rPr>
        <w:t xml:space="preserve">% of prevalent patients treated in 2017 received treatment under more than one </w:t>
      </w:r>
      <w:r w:rsidR="00406900" w:rsidRPr="0074607C">
        <w:rPr>
          <w:rFonts w:ascii="Calibri" w:eastAsia="MS Mincho" w:hAnsi="Calibri" w:cs="Times New Roman"/>
        </w:rPr>
        <w:t>indication</w:t>
      </w:r>
      <w:r w:rsidR="00BB571A" w:rsidRPr="0074607C">
        <w:rPr>
          <w:rFonts w:ascii="Calibri" w:eastAsia="MS Mincho" w:hAnsi="Calibri" w:cs="Times New Roman"/>
        </w:rPr>
        <w:t xml:space="preserve">, with the majority of cases being </w:t>
      </w:r>
      <w:r w:rsidR="00333010" w:rsidRPr="0074607C">
        <w:rPr>
          <w:rFonts w:ascii="Calibri" w:eastAsia="MS Mincho" w:hAnsi="Calibri" w:cs="Times New Roman"/>
        </w:rPr>
        <w:t>dynamic equinus foot deformity</w:t>
      </w:r>
      <w:r w:rsidR="0074607C">
        <w:rPr>
          <w:rFonts w:ascii="Calibri" w:eastAsia="MS Mincho" w:hAnsi="Calibri" w:cs="Times New Roman"/>
        </w:rPr>
        <w:t xml:space="preserve"> and s</w:t>
      </w:r>
      <w:r w:rsidR="00333010" w:rsidRPr="0074607C">
        <w:rPr>
          <w:rFonts w:ascii="Calibri" w:eastAsia="MS Mincho" w:hAnsi="Calibri" w:cs="Times New Roman"/>
        </w:rPr>
        <w:t xml:space="preserve">pasticity </w:t>
      </w:r>
      <w:r w:rsidR="0074607C">
        <w:rPr>
          <w:rFonts w:ascii="Calibri" w:eastAsia="MS Mincho" w:hAnsi="Calibri" w:cs="Times New Roman"/>
        </w:rPr>
        <w:t xml:space="preserve">of the </w:t>
      </w:r>
      <w:r w:rsidR="00333010" w:rsidRPr="0074607C">
        <w:rPr>
          <w:rFonts w:ascii="Calibri" w:eastAsia="MS Mincho" w:hAnsi="Calibri" w:cs="Times New Roman"/>
        </w:rPr>
        <w:t>upper limb</w:t>
      </w:r>
      <w:r w:rsidR="0074607C">
        <w:rPr>
          <w:rFonts w:ascii="Calibri" w:eastAsia="MS Mincho" w:hAnsi="Calibri" w:cs="Times New Roman"/>
        </w:rPr>
        <w:t xml:space="preserve"> in patients with</w:t>
      </w:r>
      <w:r w:rsidR="00333010" w:rsidRPr="0074607C">
        <w:rPr>
          <w:rFonts w:ascii="Calibri" w:eastAsia="MS Mincho" w:hAnsi="Calibri" w:cs="Times New Roman"/>
        </w:rPr>
        <w:t xml:space="preserve"> cerebral palsy</w:t>
      </w:r>
      <w:r w:rsidR="00BB571A" w:rsidRPr="0074607C">
        <w:rPr>
          <w:rFonts w:ascii="Calibri" w:eastAsia="MS Mincho" w:hAnsi="Calibri" w:cs="Times New Roman"/>
        </w:rPr>
        <w:t xml:space="preserve"> (data not shown).</w:t>
      </w:r>
      <w:r w:rsidR="007A4750">
        <w:rPr>
          <w:rFonts w:ascii="Calibri" w:eastAsia="MS Mincho" w:hAnsi="Calibri" w:cs="Times New Roman"/>
        </w:rPr>
        <w:t xml:space="preserve"> </w:t>
      </w:r>
    </w:p>
    <w:p w:rsidR="00E554E6" w:rsidRDefault="00E554E6">
      <w:pPr>
        <w:spacing w:line="276" w:lineRule="auto"/>
        <w:rPr>
          <w:rFonts w:ascii="Calibri" w:eastAsia="MS Mincho" w:hAnsi="Calibri" w:cs="Times New Roman"/>
          <w:b/>
        </w:rPr>
      </w:pPr>
      <w:r>
        <w:rPr>
          <w:rFonts w:ascii="Calibri" w:eastAsia="MS Mincho" w:hAnsi="Calibri" w:cs="Times New Roman"/>
          <w:b/>
        </w:rPr>
        <w:br w:type="page"/>
      </w:r>
    </w:p>
    <w:p w:rsidR="00BE44EC" w:rsidRPr="00FD044A" w:rsidRDefault="00E15EE0" w:rsidP="00BE44EC">
      <w:pPr>
        <w:spacing w:after="0"/>
        <w:rPr>
          <w:rFonts w:ascii="Calibri" w:eastAsia="MS Mincho" w:hAnsi="Calibri" w:cs="Times New Roman"/>
          <w:b/>
        </w:rPr>
      </w:pPr>
      <w:r>
        <w:rPr>
          <w:rFonts w:ascii="Calibri" w:eastAsia="MS Mincho" w:hAnsi="Calibri" w:cs="Times New Roman"/>
          <w:b/>
        </w:rPr>
        <w:lastRenderedPageBreak/>
        <w:t xml:space="preserve">Table </w:t>
      </w:r>
      <w:r w:rsidR="002431A5">
        <w:rPr>
          <w:rFonts w:ascii="Calibri" w:eastAsia="MS Mincho" w:hAnsi="Calibri" w:cs="Times New Roman"/>
          <w:b/>
        </w:rPr>
        <w:t>8</w:t>
      </w:r>
      <w:r w:rsidR="00BE44EC" w:rsidRPr="00FD044A">
        <w:rPr>
          <w:rFonts w:ascii="Calibri" w:eastAsia="MS Mincho" w:hAnsi="Calibri" w:cs="Times New Roman"/>
          <w:b/>
        </w:rPr>
        <w:t xml:space="preserve">: </w:t>
      </w:r>
      <w:r w:rsidR="00BE44EC">
        <w:rPr>
          <w:rFonts w:ascii="Calibri" w:eastAsia="MS Mincho" w:hAnsi="Calibri" w:cs="Times New Roman"/>
          <w:b/>
        </w:rPr>
        <w:t xml:space="preserve">Incident and prevalent </w:t>
      </w:r>
      <w:r w:rsidR="002431A5">
        <w:rPr>
          <w:rFonts w:ascii="Calibri" w:eastAsia="MS Mincho" w:hAnsi="Calibri" w:cs="Times New Roman"/>
          <w:b/>
        </w:rPr>
        <w:t xml:space="preserve">PBS </w:t>
      </w:r>
      <w:r w:rsidR="00BE44EC">
        <w:rPr>
          <w:rFonts w:ascii="Calibri" w:eastAsia="MS Mincho" w:hAnsi="Calibri" w:cs="Times New Roman"/>
          <w:b/>
        </w:rPr>
        <w:t xml:space="preserve">patient counts </w:t>
      </w:r>
      <w:r w:rsidR="00BE44EC" w:rsidRPr="00FD044A">
        <w:rPr>
          <w:rFonts w:ascii="Calibri" w:eastAsia="MS Mincho" w:hAnsi="Calibri" w:cs="Times New Roman"/>
          <w:b/>
        </w:rPr>
        <w:t>by indication</w:t>
      </w:r>
    </w:p>
    <w:tbl>
      <w:tblPr>
        <w:tblStyle w:val="TableGrid"/>
        <w:tblW w:w="0" w:type="auto"/>
        <w:tblLayout w:type="fixed"/>
        <w:tblLook w:val="04A0" w:firstRow="1" w:lastRow="0" w:firstColumn="1" w:lastColumn="0" w:noHBand="0" w:noVBand="1"/>
        <w:tblCaption w:val="Table 8: Incident and prevalent PBS patient counts by indication"/>
      </w:tblPr>
      <w:tblGrid>
        <w:gridCol w:w="3369"/>
        <w:gridCol w:w="3545"/>
        <w:gridCol w:w="943"/>
        <w:gridCol w:w="944"/>
      </w:tblGrid>
      <w:tr w:rsidR="00BE44EC" w:rsidRPr="00A77C2C" w:rsidTr="0014435E">
        <w:trPr>
          <w:trHeight w:val="300"/>
          <w:tblHeader/>
        </w:trPr>
        <w:tc>
          <w:tcPr>
            <w:tcW w:w="3369" w:type="dxa"/>
            <w:noWrap/>
            <w:vAlign w:val="center"/>
            <w:hideMark/>
          </w:tcPr>
          <w:p w:rsidR="00BE44EC" w:rsidRPr="00A77C2C" w:rsidRDefault="00287DCA" w:rsidP="00BE44EC">
            <w:pPr>
              <w:rPr>
                <w:rFonts w:eastAsia="MS Mincho" w:cs="Times New Roman"/>
                <w:b/>
                <w:bCs/>
                <w:sz w:val="20"/>
                <w:szCs w:val="20"/>
              </w:rPr>
            </w:pPr>
            <w:r w:rsidRPr="00A77C2C">
              <w:rPr>
                <w:rFonts w:eastAsia="MS Mincho" w:cs="Times New Roman"/>
                <w:b/>
                <w:bCs/>
                <w:sz w:val="20"/>
                <w:szCs w:val="20"/>
              </w:rPr>
              <w:t xml:space="preserve">Patient </w:t>
            </w:r>
            <w:r w:rsidR="00C75B61" w:rsidRPr="00A77C2C">
              <w:rPr>
                <w:rFonts w:eastAsia="MS Mincho" w:cs="Times New Roman"/>
                <w:b/>
                <w:bCs/>
                <w:sz w:val="20"/>
                <w:szCs w:val="20"/>
              </w:rPr>
              <w:t>count type</w:t>
            </w:r>
          </w:p>
        </w:tc>
        <w:tc>
          <w:tcPr>
            <w:tcW w:w="3545" w:type="dxa"/>
            <w:noWrap/>
            <w:vAlign w:val="center"/>
            <w:hideMark/>
          </w:tcPr>
          <w:p w:rsidR="00BE44EC" w:rsidRPr="00A77C2C" w:rsidRDefault="002431A5" w:rsidP="00BE44EC">
            <w:pPr>
              <w:rPr>
                <w:rFonts w:eastAsia="MS Mincho" w:cs="Times New Roman"/>
                <w:b/>
                <w:bCs/>
                <w:sz w:val="20"/>
                <w:szCs w:val="20"/>
              </w:rPr>
            </w:pPr>
            <w:r w:rsidRPr="00A77C2C">
              <w:rPr>
                <w:rFonts w:eastAsia="MS Mincho" w:cs="Times New Roman"/>
                <w:b/>
                <w:bCs/>
                <w:sz w:val="20"/>
                <w:szCs w:val="20"/>
              </w:rPr>
              <w:t>I</w:t>
            </w:r>
            <w:r w:rsidR="00BE44EC" w:rsidRPr="00A77C2C">
              <w:rPr>
                <w:rFonts w:eastAsia="MS Mincho" w:cs="Times New Roman"/>
                <w:b/>
                <w:bCs/>
                <w:sz w:val="20"/>
                <w:szCs w:val="20"/>
              </w:rPr>
              <w:t>ndication</w:t>
            </w:r>
          </w:p>
        </w:tc>
        <w:tc>
          <w:tcPr>
            <w:tcW w:w="943" w:type="dxa"/>
            <w:noWrap/>
            <w:vAlign w:val="center"/>
            <w:hideMark/>
          </w:tcPr>
          <w:p w:rsidR="00BE44EC" w:rsidRPr="00A77C2C" w:rsidRDefault="00BE44EC" w:rsidP="00BE44EC">
            <w:pPr>
              <w:jc w:val="center"/>
              <w:rPr>
                <w:rFonts w:eastAsia="MS Mincho" w:cs="Times New Roman"/>
                <w:b/>
                <w:bCs/>
                <w:sz w:val="20"/>
                <w:szCs w:val="20"/>
              </w:rPr>
            </w:pPr>
            <w:r w:rsidRPr="00A77C2C">
              <w:rPr>
                <w:rFonts w:eastAsia="MS Mincho" w:cs="Times New Roman"/>
                <w:b/>
                <w:bCs/>
                <w:sz w:val="20"/>
                <w:szCs w:val="20"/>
              </w:rPr>
              <w:t>2016</w:t>
            </w:r>
          </w:p>
        </w:tc>
        <w:tc>
          <w:tcPr>
            <w:tcW w:w="944" w:type="dxa"/>
            <w:noWrap/>
            <w:vAlign w:val="center"/>
            <w:hideMark/>
          </w:tcPr>
          <w:p w:rsidR="00BE44EC" w:rsidRPr="00A77C2C" w:rsidRDefault="00BE44EC" w:rsidP="00BE44EC">
            <w:pPr>
              <w:jc w:val="center"/>
              <w:rPr>
                <w:rFonts w:eastAsia="MS Mincho" w:cs="Times New Roman"/>
                <w:b/>
                <w:bCs/>
                <w:sz w:val="20"/>
                <w:szCs w:val="20"/>
              </w:rPr>
            </w:pPr>
            <w:r w:rsidRPr="00A77C2C">
              <w:rPr>
                <w:rFonts w:eastAsia="MS Mincho" w:cs="Times New Roman"/>
                <w:b/>
                <w:bCs/>
                <w:sz w:val="20"/>
                <w:szCs w:val="20"/>
              </w:rPr>
              <w:t>2017</w:t>
            </w:r>
          </w:p>
        </w:tc>
      </w:tr>
      <w:tr w:rsidR="00287DCA" w:rsidRPr="00A77C2C" w:rsidTr="00E554E6">
        <w:trPr>
          <w:trHeight w:val="300"/>
        </w:trPr>
        <w:tc>
          <w:tcPr>
            <w:tcW w:w="3369" w:type="dxa"/>
            <w:vMerge w:val="restart"/>
            <w:noWrap/>
            <w:vAlign w:val="center"/>
            <w:hideMark/>
          </w:tcPr>
          <w:p w:rsidR="00287DCA" w:rsidRPr="00A77C2C" w:rsidRDefault="002431A5" w:rsidP="00287DCA">
            <w:pPr>
              <w:rPr>
                <w:rFonts w:eastAsia="MS Mincho" w:cs="Times New Roman"/>
                <w:b/>
                <w:bCs/>
                <w:sz w:val="20"/>
                <w:szCs w:val="20"/>
              </w:rPr>
            </w:pPr>
            <w:r w:rsidRPr="00A77C2C">
              <w:rPr>
                <w:rFonts w:eastAsia="MS Mincho" w:cs="Times New Roman"/>
                <w:b/>
                <w:bCs/>
                <w:sz w:val="20"/>
                <w:szCs w:val="20"/>
              </w:rPr>
              <w:t>I</w:t>
            </w:r>
            <w:r w:rsidR="00287DCA" w:rsidRPr="00A77C2C">
              <w:rPr>
                <w:rFonts w:eastAsia="MS Mincho" w:cs="Times New Roman"/>
                <w:b/>
                <w:bCs/>
                <w:sz w:val="20"/>
                <w:szCs w:val="20"/>
              </w:rPr>
              <w:t>nitiating patients by indication - no script since 1 September 2015</w:t>
            </w:r>
          </w:p>
        </w:tc>
        <w:tc>
          <w:tcPr>
            <w:tcW w:w="3545" w:type="dxa"/>
            <w:noWrap/>
            <w:vAlign w:val="center"/>
            <w:hideMark/>
          </w:tcPr>
          <w:p w:rsidR="00287DCA" w:rsidRPr="00A77C2C" w:rsidRDefault="00287DCA" w:rsidP="00BE44EC">
            <w:pPr>
              <w:rPr>
                <w:rFonts w:eastAsia="MS Mincho" w:cs="Times New Roman"/>
                <w:sz w:val="20"/>
                <w:szCs w:val="20"/>
              </w:rPr>
            </w:pPr>
            <w:r w:rsidRPr="00A77C2C">
              <w:rPr>
                <w:rFonts w:eastAsia="MS Mincho" w:cs="Times New Roman"/>
                <w:sz w:val="20"/>
                <w:szCs w:val="20"/>
              </w:rPr>
              <w:t>Blepharospasm or hemifacial spasm</w:t>
            </w:r>
          </w:p>
        </w:tc>
        <w:tc>
          <w:tcPr>
            <w:tcW w:w="943" w:type="dxa"/>
            <w:noWrap/>
            <w:vAlign w:val="center"/>
            <w:hideMark/>
          </w:tcPr>
          <w:p w:rsidR="00287DCA" w:rsidRPr="00A77C2C" w:rsidRDefault="00287DCA" w:rsidP="00287DCA">
            <w:pPr>
              <w:jc w:val="center"/>
              <w:rPr>
                <w:rFonts w:eastAsia="MS Mincho" w:cs="Times New Roman"/>
                <w:sz w:val="20"/>
                <w:szCs w:val="20"/>
              </w:rPr>
            </w:pPr>
          </w:p>
        </w:tc>
        <w:tc>
          <w:tcPr>
            <w:tcW w:w="944"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1,367</w:t>
            </w:r>
          </w:p>
        </w:tc>
      </w:tr>
      <w:tr w:rsidR="00287DCA" w:rsidRPr="00A77C2C" w:rsidTr="00E554E6">
        <w:trPr>
          <w:trHeight w:val="300"/>
        </w:trPr>
        <w:tc>
          <w:tcPr>
            <w:tcW w:w="3369" w:type="dxa"/>
            <w:vMerge/>
            <w:noWrap/>
            <w:vAlign w:val="center"/>
            <w:hideMark/>
          </w:tcPr>
          <w:p w:rsidR="00287DCA" w:rsidRPr="00A77C2C" w:rsidRDefault="00287DCA" w:rsidP="00BE44EC">
            <w:pPr>
              <w:rPr>
                <w:rFonts w:eastAsia="MS Mincho" w:cs="Times New Roman"/>
                <w:b/>
                <w:bCs/>
                <w:sz w:val="20"/>
                <w:szCs w:val="20"/>
              </w:rPr>
            </w:pPr>
          </w:p>
        </w:tc>
        <w:tc>
          <w:tcPr>
            <w:tcW w:w="3545" w:type="dxa"/>
            <w:noWrap/>
            <w:vAlign w:val="center"/>
            <w:hideMark/>
          </w:tcPr>
          <w:p w:rsidR="00287DCA" w:rsidRPr="00A77C2C" w:rsidRDefault="00287DCA" w:rsidP="00BE44EC">
            <w:pPr>
              <w:rPr>
                <w:rFonts w:eastAsia="MS Mincho" w:cs="Times New Roman"/>
                <w:sz w:val="20"/>
                <w:szCs w:val="20"/>
              </w:rPr>
            </w:pPr>
            <w:r w:rsidRPr="00A77C2C">
              <w:rPr>
                <w:rFonts w:eastAsia="MS Mincho" w:cs="Times New Roman"/>
                <w:sz w:val="20"/>
                <w:szCs w:val="20"/>
              </w:rPr>
              <w:t>Spasmodic torticollis</w:t>
            </w:r>
          </w:p>
        </w:tc>
        <w:tc>
          <w:tcPr>
            <w:tcW w:w="943" w:type="dxa"/>
            <w:noWrap/>
            <w:vAlign w:val="center"/>
            <w:hideMark/>
          </w:tcPr>
          <w:p w:rsidR="00287DCA" w:rsidRPr="00A77C2C" w:rsidRDefault="00287DCA" w:rsidP="00287DCA">
            <w:pPr>
              <w:jc w:val="center"/>
              <w:rPr>
                <w:rFonts w:eastAsia="MS Mincho" w:cs="Times New Roman"/>
                <w:sz w:val="20"/>
                <w:szCs w:val="20"/>
              </w:rPr>
            </w:pPr>
          </w:p>
        </w:tc>
        <w:tc>
          <w:tcPr>
            <w:tcW w:w="944"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1,283</w:t>
            </w:r>
          </w:p>
        </w:tc>
      </w:tr>
      <w:tr w:rsidR="00287DCA" w:rsidRPr="00A77C2C" w:rsidTr="00E554E6">
        <w:trPr>
          <w:trHeight w:val="300"/>
        </w:trPr>
        <w:tc>
          <w:tcPr>
            <w:tcW w:w="3369" w:type="dxa"/>
            <w:vMerge/>
            <w:noWrap/>
            <w:vAlign w:val="center"/>
          </w:tcPr>
          <w:p w:rsidR="00287DCA" w:rsidRPr="00A77C2C" w:rsidRDefault="00287DCA" w:rsidP="00BE44EC">
            <w:pPr>
              <w:rPr>
                <w:rFonts w:eastAsia="MS Mincho" w:cs="Times New Roman"/>
                <w:b/>
                <w:bCs/>
                <w:sz w:val="20"/>
                <w:szCs w:val="20"/>
              </w:rPr>
            </w:pPr>
          </w:p>
        </w:tc>
        <w:tc>
          <w:tcPr>
            <w:tcW w:w="3545" w:type="dxa"/>
            <w:noWrap/>
            <w:vAlign w:val="center"/>
          </w:tcPr>
          <w:p w:rsidR="00287DCA" w:rsidRPr="00A77C2C" w:rsidRDefault="00287DCA" w:rsidP="00417CB5">
            <w:pPr>
              <w:rPr>
                <w:rFonts w:eastAsia="MS Mincho" w:cs="Times New Roman"/>
                <w:sz w:val="20"/>
                <w:szCs w:val="20"/>
              </w:rPr>
            </w:pPr>
            <w:r w:rsidRPr="00A77C2C">
              <w:rPr>
                <w:rFonts w:eastAsia="MS Mincho" w:cs="Times New Roman"/>
                <w:sz w:val="20"/>
                <w:szCs w:val="20"/>
              </w:rPr>
              <w:t>Dynamic equinus foot deformity</w:t>
            </w:r>
          </w:p>
        </w:tc>
        <w:tc>
          <w:tcPr>
            <w:tcW w:w="943" w:type="dxa"/>
            <w:noWrap/>
            <w:vAlign w:val="center"/>
          </w:tcPr>
          <w:p w:rsidR="00287DCA" w:rsidRPr="00A77C2C" w:rsidRDefault="00287DCA" w:rsidP="00287DCA">
            <w:pPr>
              <w:jc w:val="center"/>
              <w:rPr>
                <w:rFonts w:eastAsia="MS Mincho" w:cs="Times New Roman"/>
                <w:sz w:val="20"/>
                <w:szCs w:val="20"/>
              </w:rPr>
            </w:pPr>
          </w:p>
        </w:tc>
        <w:tc>
          <w:tcPr>
            <w:tcW w:w="944" w:type="dxa"/>
            <w:noWrap/>
            <w:vAlign w:val="center"/>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746</w:t>
            </w:r>
          </w:p>
        </w:tc>
      </w:tr>
      <w:tr w:rsidR="00287DCA" w:rsidRPr="00A77C2C" w:rsidTr="00E554E6">
        <w:trPr>
          <w:trHeight w:val="300"/>
        </w:trPr>
        <w:tc>
          <w:tcPr>
            <w:tcW w:w="3369" w:type="dxa"/>
            <w:vMerge/>
            <w:noWrap/>
            <w:vAlign w:val="center"/>
          </w:tcPr>
          <w:p w:rsidR="00287DCA" w:rsidRPr="00A77C2C" w:rsidRDefault="00287DCA" w:rsidP="00BE44EC">
            <w:pPr>
              <w:rPr>
                <w:rFonts w:eastAsia="MS Mincho" w:cs="Times New Roman"/>
                <w:b/>
                <w:bCs/>
                <w:sz w:val="20"/>
                <w:szCs w:val="20"/>
              </w:rPr>
            </w:pPr>
          </w:p>
        </w:tc>
        <w:tc>
          <w:tcPr>
            <w:tcW w:w="3545" w:type="dxa"/>
            <w:noWrap/>
            <w:vAlign w:val="bottom"/>
          </w:tcPr>
          <w:p w:rsidR="00287DCA" w:rsidRPr="00A77C2C" w:rsidRDefault="00287DCA">
            <w:pPr>
              <w:rPr>
                <w:sz w:val="20"/>
                <w:szCs w:val="20"/>
              </w:rPr>
            </w:pPr>
            <w:r w:rsidRPr="00A77C2C">
              <w:rPr>
                <w:sz w:val="20"/>
                <w:szCs w:val="20"/>
              </w:rPr>
              <w:t>Moderate to severe spasticity - upper limb, cerebral palsy</w:t>
            </w:r>
          </w:p>
        </w:tc>
        <w:tc>
          <w:tcPr>
            <w:tcW w:w="943" w:type="dxa"/>
            <w:noWrap/>
            <w:vAlign w:val="center"/>
          </w:tcPr>
          <w:p w:rsidR="00287DCA" w:rsidRPr="00A77C2C" w:rsidRDefault="00287DCA" w:rsidP="00287DCA">
            <w:pPr>
              <w:jc w:val="center"/>
              <w:rPr>
                <w:sz w:val="20"/>
                <w:szCs w:val="20"/>
              </w:rPr>
            </w:pPr>
          </w:p>
        </w:tc>
        <w:tc>
          <w:tcPr>
            <w:tcW w:w="944" w:type="dxa"/>
            <w:noWrap/>
            <w:vAlign w:val="center"/>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455</w:t>
            </w:r>
          </w:p>
        </w:tc>
      </w:tr>
      <w:tr w:rsidR="00287DCA" w:rsidRPr="00A77C2C" w:rsidTr="00E554E6">
        <w:trPr>
          <w:trHeight w:val="300"/>
        </w:trPr>
        <w:tc>
          <w:tcPr>
            <w:tcW w:w="3369" w:type="dxa"/>
            <w:vMerge/>
            <w:noWrap/>
            <w:vAlign w:val="center"/>
          </w:tcPr>
          <w:p w:rsidR="00287DCA" w:rsidRPr="00A77C2C" w:rsidRDefault="00287DCA" w:rsidP="00BE44EC">
            <w:pPr>
              <w:rPr>
                <w:rFonts w:eastAsia="MS Mincho" w:cs="Times New Roman"/>
                <w:b/>
                <w:bCs/>
                <w:sz w:val="20"/>
                <w:szCs w:val="20"/>
              </w:rPr>
            </w:pPr>
          </w:p>
        </w:tc>
        <w:tc>
          <w:tcPr>
            <w:tcW w:w="3545" w:type="dxa"/>
            <w:noWrap/>
            <w:vAlign w:val="bottom"/>
          </w:tcPr>
          <w:p w:rsidR="00287DCA" w:rsidRPr="00A77C2C" w:rsidRDefault="00287DCA">
            <w:pPr>
              <w:rPr>
                <w:sz w:val="20"/>
                <w:szCs w:val="20"/>
              </w:rPr>
            </w:pPr>
            <w:r w:rsidRPr="00A77C2C">
              <w:rPr>
                <w:sz w:val="20"/>
                <w:szCs w:val="20"/>
              </w:rPr>
              <w:t>Moderate to severe spasticity - upper limb, stroke</w:t>
            </w:r>
          </w:p>
        </w:tc>
        <w:tc>
          <w:tcPr>
            <w:tcW w:w="943" w:type="dxa"/>
            <w:noWrap/>
            <w:vAlign w:val="center"/>
          </w:tcPr>
          <w:p w:rsidR="00287DCA" w:rsidRPr="00A77C2C" w:rsidRDefault="00287DCA" w:rsidP="00287DCA">
            <w:pPr>
              <w:jc w:val="center"/>
              <w:rPr>
                <w:sz w:val="20"/>
                <w:szCs w:val="20"/>
              </w:rPr>
            </w:pPr>
          </w:p>
        </w:tc>
        <w:tc>
          <w:tcPr>
            <w:tcW w:w="944" w:type="dxa"/>
            <w:noWrap/>
            <w:vAlign w:val="center"/>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501</w:t>
            </w:r>
          </w:p>
        </w:tc>
      </w:tr>
      <w:tr w:rsidR="00287DCA" w:rsidRPr="00A77C2C" w:rsidTr="00E554E6">
        <w:trPr>
          <w:trHeight w:val="300"/>
        </w:trPr>
        <w:tc>
          <w:tcPr>
            <w:tcW w:w="3369" w:type="dxa"/>
            <w:vMerge/>
            <w:tcBorders>
              <w:bottom w:val="single" w:sz="4" w:space="0" w:color="auto"/>
            </w:tcBorders>
            <w:noWrap/>
            <w:vAlign w:val="center"/>
            <w:hideMark/>
          </w:tcPr>
          <w:p w:rsidR="00287DCA" w:rsidRPr="00A77C2C" w:rsidRDefault="00287DCA" w:rsidP="00BE44EC">
            <w:pPr>
              <w:rPr>
                <w:rFonts w:eastAsia="MS Mincho" w:cs="Times New Roman"/>
                <w:b/>
                <w:bCs/>
                <w:sz w:val="20"/>
                <w:szCs w:val="20"/>
              </w:rPr>
            </w:pPr>
          </w:p>
        </w:tc>
        <w:tc>
          <w:tcPr>
            <w:tcW w:w="3545" w:type="dxa"/>
            <w:tcBorders>
              <w:bottom w:val="single" w:sz="4" w:space="0" w:color="auto"/>
            </w:tcBorders>
            <w:noWrap/>
            <w:vAlign w:val="bottom"/>
            <w:hideMark/>
          </w:tcPr>
          <w:p w:rsidR="00287DCA" w:rsidRPr="00A77C2C" w:rsidRDefault="00287DCA">
            <w:pPr>
              <w:rPr>
                <w:sz w:val="20"/>
                <w:szCs w:val="20"/>
              </w:rPr>
            </w:pPr>
            <w:r w:rsidRPr="00A77C2C">
              <w:rPr>
                <w:sz w:val="20"/>
                <w:szCs w:val="20"/>
              </w:rPr>
              <w:t>Moderate to severe spasticity - upper limb, unknown</w:t>
            </w:r>
          </w:p>
        </w:tc>
        <w:tc>
          <w:tcPr>
            <w:tcW w:w="943" w:type="dxa"/>
            <w:tcBorders>
              <w:bottom w:val="single" w:sz="4" w:space="0" w:color="auto"/>
            </w:tcBorders>
            <w:noWrap/>
            <w:vAlign w:val="center"/>
            <w:hideMark/>
          </w:tcPr>
          <w:p w:rsidR="00287DCA" w:rsidRPr="00A77C2C" w:rsidRDefault="00287DCA" w:rsidP="00287DCA">
            <w:pPr>
              <w:jc w:val="center"/>
              <w:rPr>
                <w:sz w:val="20"/>
                <w:szCs w:val="20"/>
              </w:rPr>
            </w:pPr>
          </w:p>
        </w:tc>
        <w:tc>
          <w:tcPr>
            <w:tcW w:w="944" w:type="dxa"/>
            <w:tcBorders>
              <w:bottom w:val="single" w:sz="4" w:space="0" w:color="auto"/>
            </w:tcBorders>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33</w:t>
            </w:r>
          </w:p>
        </w:tc>
      </w:tr>
      <w:tr w:rsidR="00AF269C" w:rsidRPr="00A77C2C" w:rsidTr="00E554E6">
        <w:trPr>
          <w:trHeight w:val="300"/>
        </w:trPr>
        <w:tc>
          <w:tcPr>
            <w:tcW w:w="3369" w:type="dxa"/>
            <w:shd w:val="pct10" w:color="auto" w:fill="auto"/>
            <w:noWrap/>
            <w:vAlign w:val="center"/>
          </w:tcPr>
          <w:p w:rsidR="00AF269C" w:rsidRPr="00A77C2C" w:rsidRDefault="00AF269C" w:rsidP="00BE44EC">
            <w:pPr>
              <w:rPr>
                <w:rFonts w:eastAsia="MS Mincho" w:cs="Times New Roman"/>
                <w:b/>
                <w:bCs/>
                <w:sz w:val="20"/>
                <w:szCs w:val="20"/>
              </w:rPr>
            </w:pPr>
            <w:r w:rsidRPr="00A77C2C">
              <w:rPr>
                <w:rFonts w:eastAsia="MS Mincho" w:cs="Times New Roman"/>
                <w:b/>
                <w:bCs/>
                <w:sz w:val="20"/>
                <w:szCs w:val="20"/>
              </w:rPr>
              <w:t>Total unique initiating patients</w:t>
            </w:r>
          </w:p>
        </w:tc>
        <w:tc>
          <w:tcPr>
            <w:tcW w:w="3545" w:type="dxa"/>
            <w:shd w:val="pct10" w:color="auto" w:fill="auto"/>
            <w:noWrap/>
            <w:vAlign w:val="center"/>
          </w:tcPr>
          <w:p w:rsidR="00AF269C" w:rsidRPr="00A77C2C" w:rsidRDefault="00AF269C" w:rsidP="00BE44EC">
            <w:pPr>
              <w:rPr>
                <w:rFonts w:eastAsia="MS Mincho" w:cs="Times New Roman"/>
                <w:sz w:val="20"/>
                <w:szCs w:val="20"/>
              </w:rPr>
            </w:pPr>
            <w:r w:rsidRPr="00A77C2C">
              <w:rPr>
                <w:rFonts w:eastAsia="MS Mincho" w:cs="Times New Roman"/>
                <w:sz w:val="20"/>
                <w:szCs w:val="20"/>
              </w:rPr>
              <w:t xml:space="preserve">Any PBS subsidised dystonia or </w:t>
            </w:r>
            <w:r w:rsidR="007B051A" w:rsidRPr="00A77C2C">
              <w:rPr>
                <w:rFonts w:eastAsia="MS Mincho" w:cs="Times New Roman"/>
                <w:sz w:val="20"/>
                <w:szCs w:val="20"/>
              </w:rPr>
              <w:t>spasticity</w:t>
            </w:r>
            <w:r w:rsidRPr="00A77C2C">
              <w:rPr>
                <w:rFonts w:eastAsia="MS Mincho" w:cs="Times New Roman"/>
                <w:sz w:val="20"/>
                <w:szCs w:val="20"/>
              </w:rPr>
              <w:t xml:space="preserve"> indication</w:t>
            </w:r>
          </w:p>
        </w:tc>
        <w:tc>
          <w:tcPr>
            <w:tcW w:w="943" w:type="dxa"/>
            <w:shd w:val="pct10" w:color="auto" w:fill="auto"/>
            <w:noWrap/>
            <w:vAlign w:val="center"/>
          </w:tcPr>
          <w:p w:rsidR="00AF269C" w:rsidRPr="00A77C2C" w:rsidRDefault="00AF269C" w:rsidP="00287DCA">
            <w:pPr>
              <w:jc w:val="center"/>
              <w:rPr>
                <w:rFonts w:eastAsia="MS Mincho" w:cs="Times New Roman"/>
                <w:sz w:val="20"/>
                <w:szCs w:val="20"/>
              </w:rPr>
            </w:pPr>
          </w:p>
        </w:tc>
        <w:tc>
          <w:tcPr>
            <w:tcW w:w="944" w:type="dxa"/>
            <w:shd w:val="pct10" w:color="auto" w:fill="auto"/>
            <w:noWrap/>
            <w:vAlign w:val="center"/>
          </w:tcPr>
          <w:p w:rsidR="00AF269C" w:rsidRPr="00A77C2C" w:rsidRDefault="00406900" w:rsidP="00287DCA">
            <w:pPr>
              <w:jc w:val="center"/>
              <w:rPr>
                <w:rFonts w:eastAsia="MS Mincho" w:cs="Times New Roman"/>
                <w:sz w:val="20"/>
                <w:szCs w:val="20"/>
              </w:rPr>
            </w:pPr>
            <w:r w:rsidRPr="00A77C2C">
              <w:rPr>
                <w:rFonts w:eastAsia="MS Mincho" w:cs="Times New Roman"/>
                <w:sz w:val="20"/>
                <w:szCs w:val="20"/>
              </w:rPr>
              <w:t>3,759</w:t>
            </w:r>
          </w:p>
        </w:tc>
      </w:tr>
      <w:tr w:rsidR="00287DCA" w:rsidRPr="00A77C2C" w:rsidTr="00E554E6">
        <w:trPr>
          <w:trHeight w:val="300"/>
        </w:trPr>
        <w:tc>
          <w:tcPr>
            <w:tcW w:w="3369" w:type="dxa"/>
            <w:vMerge w:val="restart"/>
            <w:noWrap/>
            <w:vAlign w:val="center"/>
            <w:hideMark/>
          </w:tcPr>
          <w:p w:rsidR="00287DCA" w:rsidRPr="00A77C2C" w:rsidRDefault="002431A5" w:rsidP="00BE44EC">
            <w:pPr>
              <w:rPr>
                <w:rFonts w:eastAsia="MS Mincho" w:cs="Times New Roman"/>
                <w:b/>
                <w:bCs/>
                <w:sz w:val="20"/>
                <w:szCs w:val="20"/>
              </w:rPr>
            </w:pPr>
            <w:r w:rsidRPr="00A77C2C">
              <w:rPr>
                <w:rFonts w:eastAsia="MS Mincho" w:cs="Times New Roman"/>
                <w:b/>
                <w:bCs/>
                <w:sz w:val="20"/>
                <w:szCs w:val="20"/>
              </w:rPr>
              <w:t>P</w:t>
            </w:r>
            <w:r w:rsidR="00287DCA" w:rsidRPr="00A77C2C">
              <w:rPr>
                <w:rFonts w:eastAsia="MS Mincho" w:cs="Times New Roman"/>
                <w:b/>
                <w:bCs/>
                <w:sz w:val="20"/>
                <w:szCs w:val="20"/>
              </w:rPr>
              <w:t>revalent patients by indication</w:t>
            </w:r>
          </w:p>
        </w:tc>
        <w:tc>
          <w:tcPr>
            <w:tcW w:w="3545" w:type="dxa"/>
            <w:noWrap/>
            <w:vAlign w:val="center"/>
            <w:hideMark/>
          </w:tcPr>
          <w:p w:rsidR="00287DCA" w:rsidRPr="00A77C2C" w:rsidRDefault="00287DCA" w:rsidP="00BE44EC">
            <w:pPr>
              <w:rPr>
                <w:rFonts w:eastAsia="MS Mincho" w:cs="Times New Roman"/>
                <w:sz w:val="20"/>
                <w:szCs w:val="20"/>
              </w:rPr>
            </w:pPr>
            <w:r w:rsidRPr="00A77C2C">
              <w:rPr>
                <w:rFonts w:eastAsia="MS Mincho" w:cs="Times New Roman"/>
                <w:sz w:val="20"/>
                <w:szCs w:val="20"/>
              </w:rPr>
              <w:t>Blepharospasm or hemifacial spasm</w:t>
            </w:r>
          </w:p>
        </w:tc>
        <w:tc>
          <w:tcPr>
            <w:tcW w:w="943"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5,363</w:t>
            </w:r>
          </w:p>
        </w:tc>
        <w:tc>
          <w:tcPr>
            <w:tcW w:w="944"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5,681</w:t>
            </w:r>
          </w:p>
        </w:tc>
      </w:tr>
      <w:tr w:rsidR="00287DCA" w:rsidRPr="00A77C2C" w:rsidTr="00E554E6">
        <w:trPr>
          <w:trHeight w:val="300"/>
        </w:trPr>
        <w:tc>
          <w:tcPr>
            <w:tcW w:w="3369" w:type="dxa"/>
            <w:vMerge/>
            <w:noWrap/>
            <w:vAlign w:val="center"/>
            <w:hideMark/>
          </w:tcPr>
          <w:p w:rsidR="00287DCA" w:rsidRPr="00A77C2C" w:rsidRDefault="00287DCA" w:rsidP="00BE44EC">
            <w:pPr>
              <w:rPr>
                <w:rFonts w:eastAsia="MS Mincho" w:cs="Times New Roman"/>
                <w:b/>
                <w:bCs/>
                <w:sz w:val="20"/>
                <w:szCs w:val="20"/>
              </w:rPr>
            </w:pPr>
          </w:p>
        </w:tc>
        <w:tc>
          <w:tcPr>
            <w:tcW w:w="3545" w:type="dxa"/>
            <w:noWrap/>
            <w:vAlign w:val="center"/>
            <w:hideMark/>
          </w:tcPr>
          <w:p w:rsidR="00287DCA" w:rsidRPr="00A77C2C" w:rsidRDefault="00287DCA" w:rsidP="00BE44EC">
            <w:pPr>
              <w:rPr>
                <w:rFonts w:eastAsia="MS Mincho" w:cs="Times New Roman"/>
                <w:sz w:val="20"/>
                <w:szCs w:val="20"/>
              </w:rPr>
            </w:pPr>
            <w:r w:rsidRPr="00A77C2C">
              <w:rPr>
                <w:rFonts w:eastAsia="MS Mincho" w:cs="Times New Roman"/>
                <w:sz w:val="20"/>
                <w:szCs w:val="20"/>
              </w:rPr>
              <w:t>Spasmodic torticollis</w:t>
            </w:r>
          </w:p>
        </w:tc>
        <w:tc>
          <w:tcPr>
            <w:tcW w:w="943"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3,665</w:t>
            </w:r>
          </w:p>
        </w:tc>
        <w:tc>
          <w:tcPr>
            <w:tcW w:w="944"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4,185</w:t>
            </w:r>
          </w:p>
        </w:tc>
      </w:tr>
      <w:tr w:rsidR="00287DCA" w:rsidRPr="00A77C2C" w:rsidTr="00E554E6">
        <w:trPr>
          <w:trHeight w:val="300"/>
        </w:trPr>
        <w:tc>
          <w:tcPr>
            <w:tcW w:w="3369" w:type="dxa"/>
            <w:vMerge/>
            <w:noWrap/>
            <w:vAlign w:val="center"/>
            <w:hideMark/>
          </w:tcPr>
          <w:p w:rsidR="00287DCA" w:rsidRPr="00A77C2C" w:rsidRDefault="00287DCA" w:rsidP="00BE44EC">
            <w:pPr>
              <w:rPr>
                <w:rFonts w:eastAsia="MS Mincho" w:cs="Times New Roman"/>
                <w:b/>
                <w:bCs/>
                <w:sz w:val="20"/>
                <w:szCs w:val="20"/>
              </w:rPr>
            </w:pPr>
          </w:p>
        </w:tc>
        <w:tc>
          <w:tcPr>
            <w:tcW w:w="3545" w:type="dxa"/>
            <w:noWrap/>
            <w:vAlign w:val="center"/>
            <w:hideMark/>
          </w:tcPr>
          <w:p w:rsidR="00287DCA" w:rsidRPr="00A77C2C" w:rsidRDefault="00287DCA" w:rsidP="00BE44EC">
            <w:pPr>
              <w:rPr>
                <w:rFonts w:eastAsia="MS Mincho" w:cs="Times New Roman"/>
                <w:sz w:val="20"/>
                <w:szCs w:val="20"/>
              </w:rPr>
            </w:pPr>
            <w:r w:rsidRPr="00A77C2C">
              <w:rPr>
                <w:rFonts w:eastAsia="MS Mincho" w:cs="Times New Roman"/>
                <w:sz w:val="20"/>
                <w:szCs w:val="20"/>
              </w:rPr>
              <w:t>Dynamic equinus foot deformity</w:t>
            </w:r>
          </w:p>
        </w:tc>
        <w:tc>
          <w:tcPr>
            <w:tcW w:w="943"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2,022</w:t>
            </w:r>
          </w:p>
        </w:tc>
        <w:tc>
          <w:tcPr>
            <w:tcW w:w="944" w:type="dxa"/>
            <w:noWrap/>
            <w:vAlign w:val="center"/>
            <w:hideMark/>
          </w:tcPr>
          <w:p w:rsidR="00287DCA" w:rsidRPr="00A77C2C" w:rsidRDefault="00287DCA" w:rsidP="00287DCA">
            <w:pPr>
              <w:jc w:val="center"/>
              <w:rPr>
                <w:rFonts w:eastAsia="MS Mincho" w:cs="Times New Roman"/>
                <w:sz w:val="20"/>
                <w:szCs w:val="20"/>
              </w:rPr>
            </w:pPr>
            <w:r w:rsidRPr="00A77C2C">
              <w:rPr>
                <w:rFonts w:eastAsia="MS Mincho" w:cs="Times New Roman"/>
                <w:sz w:val="20"/>
                <w:szCs w:val="20"/>
              </w:rPr>
              <w:t>2,059</w:t>
            </w:r>
          </w:p>
        </w:tc>
      </w:tr>
      <w:tr w:rsidR="00287DCA" w:rsidRPr="00A77C2C" w:rsidTr="00E554E6">
        <w:trPr>
          <w:trHeight w:val="300"/>
        </w:trPr>
        <w:tc>
          <w:tcPr>
            <w:tcW w:w="3369" w:type="dxa"/>
            <w:vMerge/>
            <w:noWrap/>
            <w:vAlign w:val="center"/>
          </w:tcPr>
          <w:p w:rsidR="00287DCA" w:rsidRPr="00A77C2C" w:rsidRDefault="00287DCA" w:rsidP="00BE44EC">
            <w:pPr>
              <w:rPr>
                <w:rFonts w:eastAsia="MS Mincho" w:cs="Times New Roman"/>
                <w:b/>
                <w:bCs/>
                <w:sz w:val="20"/>
                <w:szCs w:val="20"/>
              </w:rPr>
            </w:pPr>
          </w:p>
        </w:tc>
        <w:tc>
          <w:tcPr>
            <w:tcW w:w="3545" w:type="dxa"/>
            <w:noWrap/>
            <w:vAlign w:val="bottom"/>
          </w:tcPr>
          <w:p w:rsidR="00287DCA" w:rsidRPr="00A77C2C" w:rsidRDefault="00287DCA">
            <w:pPr>
              <w:rPr>
                <w:sz w:val="20"/>
                <w:szCs w:val="20"/>
              </w:rPr>
            </w:pPr>
            <w:r w:rsidRPr="00A77C2C">
              <w:rPr>
                <w:sz w:val="20"/>
                <w:szCs w:val="20"/>
              </w:rPr>
              <w:t>Moderate to severe spasticity - upper limb, cerebral palsy</w:t>
            </w:r>
          </w:p>
        </w:tc>
        <w:tc>
          <w:tcPr>
            <w:tcW w:w="943" w:type="dxa"/>
            <w:noWrap/>
            <w:vAlign w:val="center"/>
          </w:tcPr>
          <w:p w:rsidR="00287DCA" w:rsidRPr="00A77C2C" w:rsidRDefault="00287DCA" w:rsidP="00287DCA">
            <w:pPr>
              <w:jc w:val="center"/>
              <w:rPr>
                <w:sz w:val="20"/>
                <w:szCs w:val="20"/>
              </w:rPr>
            </w:pPr>
            <w:r w:rsidRPr="00A77C2C">
              <w:rPr>
                <w:sz w:val="20"/>
                <w:szCs w:val="20"/>
              </w:rPr>
              <w:t>1,065</w:t>
            </w:r>
          </w:p>
        </w:tc>
        <w:tc>
          <w:tcPr>
            <w:tcW w:w="944" w:type="dxa"/>
            <w:noWrap/>
            <w:vAlign w:val="center"/>
          </w:tcPr>
          <w:p w:rsidR="00287DCA" w:rsidRPr="00A77C2C" w:rsidRDefault="00287DCA" w:rsidP="00287DCA">
            <w:pPr>
              <w:jc w:val="center"/>
              <w:rPr>
                <w:sz w:val="20"/>
                <w:szCs w:val="20"/>
              </w:rPr>
            </w:pPr>
            <w:r w:rsidRPr="00A77C2C">
              <w:rPr>
                <w:sz w:val="20"/>
                <w:szCs w:val="20"/>
              </w:rPr>
              <w:t>1,082</w:t>
            </w:r>
          </w:p>
        </w:tc>
      </w:tr>
      <w:tr w:rsidR="00287DCA" w:rsidRPr="00A77C2C" w:rsidTr="00E554E6">
        <w:trPr>
          <w:trHeight w:val="300"/>
        </w:trPr>
        <w:tc>
          <w:tcPr>
            <w:tcW w:w="3369" w:type="dxa"/>
            <w:vMerge/>
            <w:noWrap/>
            <w:vAlign w:val="center"/>
            <w:hideMark/>
          </w:tcPr>
          <w:p w:rsidR="00287DCA" w:rsidRPr="00A77C2C" w:rsidRDefault="00287DCA" w:rsidP="00BE44EC">
            <w:pPr>
              <w:rPr>
                <w:rFonts w:eastAsia="MS Mincho" w:cs="Times New Roman"/>
                <w:b/>
                <w:bCs/>
                <w:sz w:val="20"/>
                <w:szCs w:val="20"/>
              </w:rPr>
            </w:pPr>
          </w:p>
        </w:tc>
        <w:tc>
          <w:tcPr>
            <w:tcW w:w="3545" w:type="dxa"/>
            <w:noWrap/>
            <w:vAlign w:val="bottom"/>
            <w:hideMark/>
          </w:tcPr>
          <w:p w:rsidR="00287DCA" w:rsidRPr="00A77C2C" w:rsidRDefault="00287DCA">
            <w:pPr>
              <w:rPr>
                <w:sz w:val="20"/>
                <w:szCs w:val="20"/>
              </w:rPr>
            </w:pPr>
            <w:r w:rsidRPr="00A77C2C">
              <w:rPr>
                <w:sz w:val="20"/>
                <w:szCs w:val="20"/>
              </w:rPr>
              <w:t>Moderate to severe spasticity - upper limb, stroke</w:t>
            </w:r>
          </w:p>
        </w:tc>
        <w:tc>
          <w:tcPr>
            <w:tcW w:w="943" w:type="dxa"/>
            <w:noWrap/>
            <w:vAlign w:val="center"/>
            <w:hideMark/>
          </w:tcPr>
          <w:p w:rsidR="00287DCA" w:rsidRPr="00A77C2C" w:rsidRDefault="00287DCA" w:rsidP="00287DCA">
            <w:pPr>
              <w:jc w:val="center"/>
              <w:rPr>
                <w:sz w:val="20"/>
                <w:szCs w:val="20"/>
              </w:rPr>
            </w:pPr>
            <w:r w:rsidRPr="00A77C2C">
              <w:rPr>
                <w:sz w:val="20"/>
                <w:szCs w:val="20"/>
              </w:rPr>
              <w:t>629</w:t>
            </w:r>
          </w:p>
        </w:tc>
        <w:tc>
          <w:tcPr>
            <w:tcW w:w="944" w:type="dxa"/>
            <w:noWrap/>
            <w:vAlign w:val="center"/>
            <w:hideMark/>
          </w:tcPr>
          <w:p w:rsidR="00287DCA" w:rsidRPr="00A77C2C" w:rsidRDefault="00287DCA" w:rsidP="00287DCA">
            <w:pPr>
              <w:jc w:val="center"/>
              <w:rPr>
                <w:sz w:val="20"/>
                <w:szCs w:val="20"/>
              </w:rPr>
            </w:pPr>
            <w:r w:rsidRPr="00A77C2C">
              <w:rPr>
                <w:sz w:val="20"/>
                <w:szCs w:val="20"/>
              </w:rPr>
              <w:t>742</w:t>
            </w:r>
          </w:p>
        </w:tc>
      </w:tr>
      <w:tr w:rsidR="00287DCA" w:rsidRPr="00A77C2C" w:rsidTr="00E554E6">
        <w:trPr>
          <w:trHeight w:val="163"/>
        </w:trPr>
        <w:tc>
          <w:tcPr>
            <w:tcW w:w="3369" w:type="dxa"/>
            <w:vMerge/>
            <w:tcBorders>
              <w:bottom w:val="single" w:sz="4" w:space="0" w:color="auto"/>
            </w:tcBorders>
            <w:noWrap/>
            <w:vAlign w:val="center"/>
            <w:hideMark/>
          </w:tcPr>
          <w:p w:rsidR="00287DCA" w:rsidRPr="00A77C2C" w:rsidRDefault="00287DCA" w:rsidP="00BE44EC">
            <w:pPr>
              <w:rPr>
                <w:rFonts w:eastAsia="MS Mincho" w:cs="Times New Roman"/>
                <w:b/>
                <w:bCs/>
                <w:sz w:val="20"/>
                <w:szCs w:val="20"/>
              </w:rPr>
            </w:pPr>
          </w:p>
        </w:tc>
        <w:tc>
          <w:tcPr>
            <w:tcW w:w="3545" w:type="dxa"/>
            <w:tcBorders>
              <w:bottom w:val="single" w:sz="4" w:space="0" w:color="auto"/>
            </w:tcBorders>
            <w:noWrap/>
            <w:vAlign w:val="bottom"/>
            <w:hideMark/>
          </w:tcPr>
          <w:p w:rsidR="00287DCA" w:rsidRPr="00A77C2C" w:rsidRDefault="00287DCA">
            <w:pPr>
              <w:rPr>
                <w:sz w:val="20"/>
                <w:szCs w:val="20"/>
              </w:rPr>
            </w:pPr>
            <w:r w:rsidRPr="00A77C2C">
              <w:rPr>
                <w:sz w:val="20"/>
                <w:szCs w:val="20"/>
              </w:rPr>
              <w:t>Moderate to severe spasticity - upper limb, unknown</w:t>
            </w:r>
          </w:p>
        </w:tc>
        <w:tc>
          <w:tcPr>
            <w:tcW w:w="943" w:type="dxa"/>
            <w:tcBorders>
              <w:bottom w:val="single" w:sz="4" w:space="0" w:color="auto"/>
            </w:tcBorders>
            <w:noWrap/>
            <w:vAlign w:val="center"/>
            <w:hideMark/>
          </w:tcPr>
          <w:p w:rsidR="00287DCA" w:rsidRPr="00A77C2C" w:rsidRDefault="00287DCA" w:rsidP="00287DCA">
            <w:pPr>
              <w:jc w:val="center"/>
              <w:rPr>
                <w:sz w:val="20"/>
                <w:szCs w:val="20"/>
              </w:rPr>
            </w:pPr>
          </w:p>
        </w:tc>
        <w:tc>
          <w:tcPr>
            <w:tcW w:w="944" w:type="dxa"/>
            <w:tcBorders>
              <w:bottom w:val="single" w:sz="4" w:space="0" w:color="auto"/>
            </w:tcBorders>
            <w:noWrap/>
            <w:vAlign w:val="center"/>
            <w:hideMark/>
          </w:tcPr>
          <w:p w:rsidR="00287DCA" w:rsidRPr="00A77C2C" w:rsidRDefault="00287DCA" w:rsidP="00287DCA">
            <w:pPr>
              <w:jc w:val="center"/>
              <w:rPr>
                <w:sz w:val="20"/>
                <w:szCs w:val="20"/>
              </w:rPr>
            </w:pPr>
            <w:r w:rsidRPr="00A77C2C">
              <w:rPr>
                <w:sz w:val="20"/>
                <w:szCs w:val="20"/>
              </w:rPr>
              <w:t>33</w:t>
            </w:r>
          </w:p>
        </w:tc>
      </w:tr>
      <w:tr w:rsidR="00406900" w:rsidRPr="00A77C2C" w:rsidTr="00406900">
        <w:trPr>
          <w:trHeight w:val="300"/>
        </w:trPr>
        <w:tc>
          <w:tcPr>
            <w:tcW w:w="3369" w:type="dxa"/>
            <w:shd w:val="pct10" w:color="auto" w:fill="auto"/>
            <w:noWrap/>
          </w:tcPr>
          <w:p w:rsidR="00406900" w:rsidRPr="00A77C2C" w:rsidRDefault="00406900" w:rsidP="00AF269C">
            <w:pPr>
              <w:rPr>
                <w:rFonts w:eastAsia="MS Mincho" w:cs="Times New Roman"/>
                <w:b/>
                <w:bCs/>
                <w:sz w:val="20"/>
                <w:szCs w:val="20"/>
              </w:rPr>
            </w:pPr>
            <w:r w:rsidRPr="00A77C2C">
              <w:rPr>
                <w:rFonts w:eastAsia="MS Mincho" w:cs="Times New Roman"/>
                <w:b/>
                <w:bCs/>
                <w:sz w:val="20"/>
                <w:szCs w:val="20"/>
              </w:rPr>
              <w:t>Total unique prevalent patients</w:t>
            </w:r>
          </w:p>
        </w:tc>
        <w:tc>
          <w:tcPr>
            <w:tcW w:w="3545" w:type="dxa"/>
            <w:shd w:val="pct10" w:color="auto" w:fill="auto"/>
            <w:noWrap/>
          </w:tcPr>
          <w:p w:rsidR="00406900" w:rsidRPr="00A77C2C" w:rsidRDefault="00406900" w:rsidP="00D2533D">
            <w:pPr>
              <w:rPr>
                <w:rFonts w:eastAsia="MS Mincho" w:cs="Times New Roman"/>
                <w:sz w:val="20"/>
                <w:szCs w:val="20"/>
              </w:rPr>
            </w:pPr>
            <w:r w:rsidRPr="00A77C2C">
              <w:rPr>
                <w:rFonts w:eastAsia="MS Mincho" w:cs="Times New Roman"/>
                <w:sz w:val="20"/>
                <w:szCs w:val="20"/>
              </w:rPr>
              <w:t xml:space="preserve">Any PBS subsidised dystonia or </w:t>
            </w:r>
            <w:r w:rsidR="007B051A" w:rsidRPr="00A77C2C">
              <w:rPr>
                <w:rFonts w:eastAsia="MS Mincho" w:cs="Times New Roman"/>
                <w:sz w:val="20"/>
                <w:szCs w:val="20"/>
              </w:rPr>
              <w:t>spasticity</w:t>
            </w:r>
            <w:r w:rsidRPr="00A77C2C">
              <w:rPr>
                <w:rFonts w:eastAsia="MS Mincho" w:cs="Times New Roman"/>
                <w:sz w:val="20"/>
                <w:szCs w:val="20"/>
              </w:rPr>
              <w:t xml:space="preserve"> indication</w:t>
            </w:r>
          </w:p>
        </w:tc>
        <w:tc>
          <w:tcPr>
            <w:tcW w:w="943" w:type="dxa"/>
            <w:shd w:val="pct10" w:color="auto" w:fill="auto"/>
            <w:noWrap/>
            <w:vAlign w:val="center"/>
          </w:tcPr>
          <w:p w:rsidR="00406900" w:rsidRPr="00A77C2C" w:rsidRDefault="00406900" w:rsidP="00406900">
            <w:pPr>
              <w:jc w:val="center"/>
              <w:rPr>
                <w:sz w:val="20"/>
                <w:szCs w:val="20"/>
              </w:rPr>
            </w:pPr>
            <w:r w:rsidRPr="00A77C2C">
              <w:rPr>
                <w:sz w:val="20"/>
                <w:szCs w:val="20"/>
              </w:rPr>
              <w:t>12,152</w:t>
            </w:r>
          </w:p>
        </w:tc>
        <w:tc>
          <w:tcPr>
            <w:tcW w:w="944" w:type="dxa"/>
            <w:shd w:val="pct10" w:color="auto" w:fill="auto"/>
            <w:noWrap/>
            <w:vAlign w:val="center"/>
          </w:tcPr>
          <w:p w:rsidR="00406900" w:rsidRPr="00A77C2C" w:rsidRDefault="00406900" w:rsidP="00406900">
            <w:pPr>
              <w:jc w:val="center"/>
              <w:rPr>
                <w:sz w:val="20"/>
                <w:szCs w:val="20"/>
              </w:rPr>
            </w:pPr>
            <w:r w:rsidRPr="00A77C2C">
              <w:rPr>
                <w:sz w:val="20"/>
                <w:szCs w:val="20"/>
              </w:rPr>
              <w:t>13,116</w:t>
            </w:r>
          </w:p>
        </w:tc>
      </w:tr>
    </w:tbl>
    <w:p w:rsidR="00406900" w:rsidRPr="003238E4" w:rsidRDefault="00406900" w:rsidP="003238E4">
      <w:pPr>
        <w:outlineLvl w:val="1"/>
        <w:rPr>
          <w:rFonts w:ascii="Calibri" w:eastAsia="MS Mincho" w:hAnsi="Calibri" w:cs="Times New Roman"/>
          <w:sz w:val="20"/>
          <w:szCs w:val="20"/>
        </w:rPr>
      </w:pPr>
      <w:r w:rsidRPr="003238E4">
        <w:rPr>
          <w:rFonts w:ascii="Calibri" w:eastAsia="MS Mincho" w:hAnsi="Calibri" w:cs="Times New Roman"/>
          <w:sz w:val="20"/>
          <w:szCs w:val="20"/>
        </w:rPr>
        <w:t>Note</w:t>
      </w:r>
      <w:r w:rsidR="003238E4" w:rsidRPr="003238E4">
        <w:rPr>
          <w:rFonts w:ascii="Calibri" w:eastAsia="MS Mincho" w:hAnsi="Calibri" w:cs="Times New Roman"/>
          <w:sz w:val="20"/>
          <w:szCs w:val="20"/>
        </w:rPr>
        <w:t>: the unique patient totals are not the sum of the indication specific patient counts as a patient can be counted in more than one indication</w:t>
      </w:r>
      <w:r w:rsidR="003238E4">
        <w:rPr>
          <w:rFonts w:ascii="Calibri" w:eastAsia="MS Mincho" w:hAnsi="Calibri" w:cs="Times New Roman"/>
          <w:sz w:val="20"/>
          <w:szCs w:val="20"/>
        </w:rPr>
        <w:t>.</w:t>
      </w:r>
      <w:r w:rsidRPr="003238E4">
        <w:rPr>
          <w:rFonts w:ascii="Calibri" w:eastAsia="MS Mincho" w:hAnsi="Calibri" w:cs="Times New Roman"/>
          <w:sz w:val="20"/>
          <w:szCs w:val="20"/>
        </w:rPr>
        <w:t xml:space="preserve"> </w:t>
      </w:r>
    </w:p>
    <w:p w:rsidR="009D4ED6" w:rsidRDefault="002B3968" w:rsidP="005B3596">
      <w:pPr>
        <w:spacing w:before="240"/>
        <w:outlineLvl w:val="1"/>
        <w:rPr>
          <w:rFonts w:ascii="Calibri" w:eastAsia="MS Mincho" w:hAnsi="Calibri" w:cs="Times New Roman"/>
        </w:rPr>
      </w:pPr>
      <w:r>
        <w:rPr>
          <w:rFonts w:ascii="Calibri" w:eastAsia="MS Mincho" w:hAnsi="Calibri" w:cs="Times New Roman"/>
        </w:rPr>
        <w:t xml:space="preserve">The vast majority of patients </w:t>
      </w:r>
      <w:r w:rsidR="005B3596">
        <w:rPr>
          <w:rFonts w:ascii="Calibri" w:eastAsia="MS Mincho" w:hAnsi="Calibri" w:cs="Times New Roman"/>
        </w:rPr>
        <w:t>are in</w:t>
      </w:r>
      <w:r w:rsidR="00A16A7B">
        <w:rPr>
          <w:rFonts w:ascii="Calibri" w:eastAsia="MS Mincho" w:hAnsi="Calibri" w:cs="Times New Roman"/>
        </w:rPr>
        <w:t>i</w:t>
      </w:r>
      <w:r w:rsidR="005B3596">
        <w:rPr>
          <w:rFonts w:ascii="Calibri" w:eastAsia="MS Mincho" w:hAnsi="Calibri" w:cs="Times New Roman"/>
        </w:rPr>
        <w:t xml:space="preserve">tiated on treatment with </w:t>
      </w:r>
      <w:r w:rsidR="0074607C">
        <w:rPr>
          <w:rFonts w:ascii="Calibri" w:eastAsia="MS Mincho" w:hAnsi="Calibri" w:cs="Times New Roman"/>
        </w:rPr>
        <w:t xml:space="preserve">the </w:t>
      </w:r>
      <w:r w:rsidR="005B3596">
        <w:rPr>
          <w:rFonts w:ascii="Calibri" w:eastAsia="MS Mincho" w:hAnsi="Calibri" w:cs="Times New Roman"/>
        </w:rPr>
        <w:t>Bo</w:t>
      </w:r>
      <w:r>
        <w:rPr>
          <w:rFonts w:ascii="Calibri" w:eastAsia="MS Mincho" w:hAnsi="Calibri" w:cs="Times New Roman"/>
        </w:rPr>
        <w:t>tox</w:t>
      </w:r>
      <w:r w:rsidR="0074607C">
        <w:rPr>
          <w:rFonts w:ascii="Calibri" w:eastAsia="MS Mincho" w:hAnsi="Calibri" w:cs="Times New Roman"/>
        </w:rPr>
        <w:t xml:space="preserve"> brand</w:t>
      </w:r>
      <w:r>
        <w:rPr>
          <w:rFonts w:ascii="Calibri" w:eastAsia="MS Mincho" w:hAnsi="Calibri" w:cs="Times New Roman"/>
        </w:rPr>
        <w:t xml:space="preserve"> a</w:t>
      </w:r>
      <w:r w:rsidR="005B3596">
        <w:rPr>
          <w:rFonts w:ascii="Calibri" w:eastAsia="MS Mincho" w:hAnsi="Calibri" w:cs="Times New Roman"/>
        </w:rPr>
        <w:t xml:space="preserve">s </w:t>
      </w:r>
      <w:r w:rsidR="00C474E2">
        <w:rPr>
          <w:rFonts w:ascii="Calibri" w:eastAsia="MS Mincho" w:hAnsi="Calibri" w:cs="Times New Roman"/>
        </w:rPr>
        <w:t xml:space="preserve">shown in Table 9. </w:t>
      </w:r>
      <w:r w:rsidR="005B3596">
        <w:rPr>
          <w:rFonts w:ascii="Calibri" w:eastAsia="MS Mincho" w:hAnsi="Calibri" w:cs="Times New Roman"/>
        </w:rPr>
        <w:t xml:space="preserve">There is some use of Dysport and Xeomin </w:t>
      </w:r>
      <w:r w:rsidR="00A16A7B">
        <w:rPr>
          <w:rFonts w:ascii="Calibri" w:eastAsia="MS Mincho" w:hAnsi="Calibri" w:cs="Times New Roman"/>
        </w:rPr>
        <w:t>for</w:t>
      </w:r>
      <w:r w:rsidR="005B3596">
        <w:rPr>
          <w:rFonts w:ascii="Calibri" w:eastAsia="MS Mincho" w:hAnsi="Calibri" w:cs="Times New Roman"/>
        </w:rPr>
        <w:t xml:space="preserve"> </w:t>
      </w:r>
      <w:r w:rsidR="005B3596" w:rsidRPr="00E22D92">
        <w:rPr>
          <w:rFonts w:ascii="Calibri" w:eastAsia="MS Mincho" w:hAnsi="Calibri" w:cs="Times New Roman"/>
        </w:rPr>
        <w:t>spasmodic torticollis</w:t>
      </w:r>
      <w:r w:rsidR="005B3596">
        <w:rPr>
          <w:rFonts w:ascii="Calibri" w:eastAsia="MS Mincho" w:hAnsi="Calibri" w:cs="Times New Roman"/>
        </w:rPr>
        <w:t xml:space="preserve"> and </w:t>
      </w:r>
      <w:r w:rsidR="005B3596" w:rsidRPr="0038255B">
        <w:rPr>
          <w:rFonts w:ascii="Calibri" w:eastAsia="MS Mincho" w:hAnsi="Calibri" w:cs="Times New Roman"/>
        </w:rPr>
        <w:t xml:space="preserve">moderate to severe spasticity </w:t>
      </w:r>
      <w:r w:rsidR="00A16A7B">
        <w:rPr>
          <w:rFonts w:ascii="Calibri" w:eastAsia="MS Mincho" w:hAnsi="Calibri" w:cs="Times New Roman"/>
        </w:rPr>
        <w:t xml:space="preserve">of the </w:t>
      </w:r>
      <w:r w:rsidR="005B3596" w:rsidRPr="0038255B">
        <w:rPr>
          <w:rFonts w:ascii="Calibri" w:eastAsia="MS Mincho" w:hAnsi="Calibri" w:cs="Times New Roman"/>
        </w:rPr>
        <w:t>upper limb</w:t>
      </w:r>
      <w:r w:rsidR="00A16A7B">
        <w:rPr>
          <w:rFonts w:ascii="Calibri" w:eastAsia="MS Mincho" w:hAnsi="Calibri" w:cs="Times New Roman"/>
        </w:rPr>
        <w:t xml:space="preserve"> due to stroke</w:t>
      </w:r>
      <w:r w:rsidR="00686E99">
        <w:rPr>
          <w:rFonts w:ascii="Calibri" w:eastAsia="MS Mincho" w:hAnsi="Calibri" w:cs="Times New Roman"/>
        </w:rPr>
        <w:t>, and very little use for b</w:t>
      </w:r>
      <w:r w:rsidR="00A16A7B">
        <w:rPr>
          <w:rFonts w:ascii="Calibri" w:eastAsia="MS Mincho" w:hAnsi="Calibri" w:cs="Times New Roman"/>
        </w:rPr>
        <w:t>l</w:t>
      </w:r>
      <w:r w:rsidR="00686E99">
        <w:rPr>
          <w:rFonts w:ascii="Calibri" w:eastAsia="MS Mincho" w:hAnsi="Calibri" w:cs="Times New Roman"/>
        </w:rPr>
        <w:t>e</w:t>
      </w:r>
      <w:r w:rsidR="00A16A7B">
        <w:rPr>
          <w:rFonts w:ascii="Calibri" w:eastAsia="MS Mincho" w:hAnsi="Calibri" w:cs="Times New Roman"/>
        </w:rPr>
        <w:t xml:space="preserve">pharospasm and hemifacial spasm. </w:t>
      </w:r>
      <w:r w:rsidR="00686E99">
        <w:rPr>
          <w:rFonts w:ascii="Calibri" w:eastAsia="MS Mincho" w:hAnsi="Calibri" w:cs="Times New Roman"/>
        </w:rPr>
        <w:t xml:space="preserve">Xeomin is not PBS listed for equinus foot deformity, and neither Xeomin </w:t>
      </w:r>
      <w:r w:rsidR="001B2202">
        <w:rPr>
          <w:rFonts w:ascii="Calibri" w:eastAsia="MS Mincho" w:hAnsi="Calibri" w:cs="Times New Roman"/>
        </w:rPr>
        <w:t>n</w:t>
      </w:r>
      <w:r w:rsidR="00686E99">
        <w:rPr>
          <w:rFonts w:ascii="Calibri" w:eastAsia="MS Mincho" w:hAnsi="Calibri" w:cs="Times New Roman"/>
        </w:rPr>
        <w:t>or Dysport are listed for upper limb</w:t>
      </w:r>
      <w:r w:rsidR="00A16A7B">
        <w:rPr>
          <w:rFonts w:ascii="Calibri" w:eastAsia="MS Mincho" w:hAnsi="Calibri" w:cs="Times New Roman"/>
        </w:rPr>
        <w:t xml:space="preserve"> spasticity in cerebral palsy patients</w:t>
      </w:r>
      <w:r w:rsidR="00686E99">
        <w:rPr>
          <w:rFonts w:ascii="Calibri" w:eastAsia="MS Mincho" w:hAnsi="Calibri" w:cs="Times New Roman"/>
        </w:rPr>
        <w:t>.</w:t>
      </w:r>
    </w:p>
    <w:p w:rsidR="005B3596" w:rsidRDefault="009D4ED6" w:rsidP="005B3596">
      <w:pPr>
        <w:spacing w:before="240"/>
        <w:outlineLvl w:val="1"/>
        <w:rPr>
          <w:rFonts w:ascii="Calibri" w:eastAsia="MS Mincho" w:hAnsi="Calibri" w:cs="Times New Roman"/>
        </w:rPr>
      </w:pPr>
      <w:r>
        <w:rPr>
          <w:rFonts w:ascii="Calibri" w:eastAsia="MS Mincho" w:hAnsi="Calibri" w:cs="Times New Roman"/>
        </w:rPr>
        <w:t>The available PBS data is insufficient to assess the extent</w:t>
      </w:r>
      <w:r w:rsidR="00C84C30">
        <w:rPr>
          <w:rFonts w:ascii="Calibri" w:eastAsia="MS Mincho" w:hAnsi="Calibri" w:cs="Times New Roman"/>
        </w:rPr>
        <w:t xml:space="preserve"> of</w:t>
      </w:r>
      <w:r>
        <w:rPr>
          <w:rFonts w:ascii="Calibri" w:eastAsia="MS Mincho" w:hAnsi="Calibri" w:cs="Times New Roman"/>
        </w:rPr>
        <w:t xml:space="preserve"> switching</w:t>
      </w:r>
      <w:r w:rsidR="00C84C30">
        <w:rPr>
          <w:rFonts w:ascii="Calibri" w:eastAsia="MS Mincho" w:hAnsi="Calibri" w:cs="Times New Roman"/>
        </w:rPr>
        <w:t xml:space="preserve"> (if any)</w:t>
      </w:r>
      <w:r>
        <w:rPr>
          <w:rFonts w:ascii="Calibri" w:eastAsia="MS Mincho" w:hAnsi="Calibri" w:cs="Times New Roman"/>
        </w:rPr>
        <w:t xml:space="preserve"> between the various botulinum </w:t>
      </w:r>
      <w:proofErr w:type="gramStart"/>
      <w:r>
        <w:rPr>
          <w:rFonts w:ascii="Calibri" w:eastAsia="MS Mincho" w:hAnsi="Calibri" w:cs="Times New Roman"/>
        </w:rPr>
        <w:t>toxin</w:t>
      </w:r>
      <w:proofErr w:type="gramEnd"/>
      <w:r>
        <w:rPr>
          <w:rFonts w:ascii="Calibri" w:eastAsia="MS Mincho" w:hAnsi="Calibri" w:cs="Times New Roman"/>
        </w:rPr>
        <w:t> A preparations.</w:t>
      </w:r>
      <w:r w:rsidR="00A16A7B">
        <w:rPr>
          <w:rFonts w:ascii="Calibri" w:eastAsia="MS Mincho" w:hAnsi="Calibri" w:cs="Times New Roman"/>
        </w:rPr>
        <w:t xml:space="preserve"> </w:t>
      </w:r>
    </w:p>
    <w:p w:rsidR="005B3596" w:rsidRPr="00FD044A" w:rsidRDefault="005B3596" w:rsidP="005B3596">
      <w:pPr>
        <w:spacing w:after="0"/>
        <w:rPr>
          <w:rFonts w:ascii="Calibri" w:eastAsia="MS Mincho" w:hAnsi="Calibri" w:cs="Times New Roman"/>
          <w:b/>
        </w:rPr>
      </w:pPr>
      <w:r>
        <w:rPr>
          <w:rFonts w:ascii="Calibri" w:eastAsia="MS Mincho" w:hAnsi="Calibri" w:cs="Times New Roman"/>
          <w:b/>
        </w:rPr>
        <w:t>Table 9</w:t>
      </w:r>
      <w:r w:rsidRPr="00FD044A">
        <w:rPr>
          <w:rFonts w:ascii="Calibri" w:eastAsia="MS Mincho" w:hAnsi="Calibri" w:cs="Times New Roman"/>
          <w:b/>
        </w:rPr>
        <w:t xml:space="preserve">: </w:t>
      </w:r>
      <w:r w:rsidR="00A16A7B">
        <w:rPr>
          <w:rFonts w:ascii="Calibri" w:eastAsia="MS Mincho" w:hAnsi="Calibri" w:cs="Times New Roman"/>
          <w:b/>
        </w:rPr>
        <w:t xml:space="preserve">Percent of </w:t>
      </w:r>
      <w:r>
        <w:rPr>
          <w:rFonts w:ascii="Calibri" w:eastAsia="MS Mincho" w:hAnsi="Calibri" w:cs="Times New Roman"/>
          <w:b/>
        </w:rPr>
        <w:t xml:space="preserve">PBS patient </w:t>
      </w:r>
      <w:r w:rsidR="00A16A7B">
        <w:rPr>
          <w:rFonts w:ascii="Calibri" w:eastAsia="MS Mincho" w:hAnsi="Calibri" w:cs="Times New Roman"/>
          <w:b/>
        </w:rPr>
        <w:t>initiations</w:t>
      </w:r>
      <w:r>
        <w:rPr>
          <w:rFonts w:ascii="Calibri" w:eastAsia="MS Mincho" w:hAnsi="Calibri" w:cs="Times New Roman"/>
          <w:b/>
        </w:rPr>
        <w:t xml:space="preserve"> </w:t>
      </w:r>
      <w:r w:rsidRPr="00FD044A">
        <w:rPr>
          <w:rFonts w:ascii="Calibri" w:eastAsia="MS Mincho" w:hAnsi="Calibri" w:cs="Times New Roman"/>
          <w:b/>
        </w:rPr>
        <w:t>by indication</w:t>
      </w:r>
      <w:r>
        <w:rPr>
          <w:rFonts w:ascii="Calibri" w:eastAsia="MS Mincho" w:hAnsi="Calibri" w:cs="Times New Roman"/>
          <w:b/>
        </w:rPr>
        <w:t xml:space="preserve"> and brand</w:t>
      </w:r>
    </w:p>
    <w:tbl>
      <w:tblPr>
        <w:tblStyle w:val="TableGrid"/>
        <w:tblW w:w="0" w:type="auto"/>
        <w:tblLayout w:type="fixed"/>
        <w:tblLook w:val="04A0" w:firstRow="1" w:lastRow="0" w:firstColumn="1" w:lastColumn="0" w:noHBand="0" w:noVBand="1"/>
        <w:tblCaption w:val="Table 9: Percent of PBS patient initiations by indication and brand"/>
      </w:tblPr>
      <w:tblGrid>
        <w:gridCol w:w="3545"/>
        <w:gridCol w:w="943"/>
        <w:gridCol w:w="944"/>
        <w:gridCol w:w="944"/>
      </w:tblGrid>
      <w:tr w:rsidR="005B3596" w:rsidRPr="00A77C2C" w:rsidTr="0014435E">
        <w:trPr>
          <w:trHeight w:val="300"/>
          <w:tblHeader/>
        </w:trPr>
        <w:tc>
          <w:tcPr>
            <w:tcW w:w="3545" w:type="dxa"/>
            <w:noWrap/>
            <w:vAlign w:val="center"/>
            <w:hideMark/>
          </w:tcPr>
          <w:p w:rsidR="005B3596" w:rsidRPr="00A77C2C" w:rsidRDefault="005B3596" w:rsidP="00D2533D">
            <w:pPr>
              <w:rPr>
                <w:rFonts w:ascii="Calibri" w:eastAsia="MS Mincho" w:hAnsi="Calibri" w:cs="Times New Roman"/>
                <w:b/>
                <w:bCs/>
                <w:sz w:val="20"/>
                <w:szCs w:val="20"/>
              </w:rPr>
            </w:pPr>
            <w:r w:rsidRPr="00A77C2C">
              <w:rPr>
                <w:rFonts w:ascii="Calibri" w:eastAsia="MS Mincho" w:hAnsi="Calibri" w:cs="Times New Roman"/>
                <w:b/>
                <w:bCs/>
                <w:sz w:val="20"/>
                <w:szCs w:val="20"/>
              </w:rPr>
              <w:t>Indication</w:t>
            </w:r>
          </w:p>
        </w:tc>
        <w:tc>
          <w:tcPr>
            <w:tcW w:w="943" w:type="dxa"/>
            <w:noWrap/>
            <w:vAlign w:val="center"/>
            <w:hideMark/>
          </w:tcPr>
          <w:p w:rsidR="005B3596" w:rsidRPr="00A77C2C" w:rsidRDefault="005B3596" w:rsidP="00C84C30">
            <w:pPr>
              <w:rPr>
                <w:rFonts w:ascii="Calibri" w:eastAsia="MS Mincho" w:hAnsi="Calibri" w:cs="Times New Roman"/>
                <w:b/>
                <w:bCs/>
                <w:sz w:val="20"/>
                <w:szCs w:val="20"/>
              </w:rPr>
            </w:pPr>
            <w:r w:rsidRPr="00A77C2C">
              <w:rPr>
                <w:rFonts w:ascii="Calibri" w:eastAsia="MS Mincho" w:hAnsi="Calibri" w:cs="Times New Roman"/>
                <w:b/>
                <w:bCs/>
                <w:sz w:val="20"/>
                <w:szCs w:val="20"/>
              </w:rPr>
              <w:t>Botox</w:t>
            </w:r>
          </w:p>
        </w:tc>
        <w:tc>
          <w:tcPr>
            <w:tcW w:w="944" w:type="dxa"/>
            <w:noWrap/>
            <w:vAlign w:val="center"/>
            <w:hideMark/>
          </w:tcPr>
          <w:p w:rsidR="005B3596" w:rsidRPr="00A77C2C" w:rsidRDefault="005B3596" w:rsidP="00D2533D">
            <w:pPr>
              <w:jc w:val="center"/>
              <w:rPr>
                <w:rFonts w:ascii="Calibri" w:eastAsia="MS Mincho" w:hAnsi="Calibri" w:cs="Times New Roman"/>
                <w:b/>
                <w:bCs/>
                <w:sz w:val="20"/>
                <w:szCs w:val="20"/>
              </w:rPr>
            </w:pPr>
            <w:r w:rsidRPr="00A77C2C">
              <w:rPr>
                <w:rFonts w:ascii="Calibri" w:eastAsia="MS Mincho" w:hAnsi="Calibri" w:cs="Times New Roman"/>
                <w:b/>
                <w:bCs/>
                <w:sz w:val="20"/>
                <w:szCs w:val="20"/>
              </w:rPr>
              <w:t>Dysport</w:t>
            </w:r>
          </w:p>
        </w:tc>
        <w:tc>
          <w:tcPr>
            <w:tcW w:w="944" w:type="dxa"/>
          </w:tcPr>
          <w:p w:rsidR="005B3596" w:rsidRPr="00A77C2C" w:rsidDel="005B3596" w:rsidRDefault="005B3596" w:rsidP="005B3596">
            <w:pPr>
              <w:jc w:val="center"/>
              <w:rPr>
                <w:rFonts w:ascii="Calibri" w:eastAsia="MS Mincho" w:hAnsi="Calibri" w:cs="Times New Roman"/>
                <w:b/>
                <w:bCs/>
                <w:sz w:val="20"/>
                <w:szCs w:val="20"/>
              </w:rPr>
            </w:pPr>
            <w:r w:rsidRPr="00A77C2C">
              <w:rPr>
                <w:rFonts w:ascii="Calibri" w:eastAsia="MS Mincho" w:hAnsi="Calibri" w:cs="Times New Roman"/>
                <w:b/>
                <w:bCs/>
                <w:sz w:val="20"/>
                <w:szCs w:val="20"/>
              </w:rPr>
              <w:t>Xeomin</w:t>
            </w:r>
          </w:p>
        </w:tc>
      </w:tr>
      <w:tr w:rsidR="005B3596" w:rsidRPr="00A77C2C" w:rsidTr="00C84C30">
        <w:trPr>
          <w:trHeight w:val="300"/>
        </w:trPr>
        <w:tc>
          <w:tcPr>
            <w:tcW w:w="3545" w:type="dxa"/>
            <w:noWrap/>
            <w:vAlign w:val="center"/>
            <w:hideMark/>
          </w:tcPr>
          <w:p w:rsidR="005B3596" w:rsidRPr="00A77C2C" w:rsidRDefault="005B3596" w:rsidP="00D2533D">
            <w:pPr>
              <w:rPr>
                <w:rFonts w:ascii="Calibri" w:eastAsia="MS Mincho" w:hAnsi="Calibri" w:cs="Times New Roman"/>
                <w:sz w:val="20"/>
                <w:szCs w:val="20"/>
              </w:rPr>
            </w:pPr>
            <w:r w:rsidRPr="00A77C2C">
              <w:rPr>
                <w:rFonts w:ascii="Calibri" w:eastAsia="MS Mincho" w:hAnsi="Calibri" w:cs="Times New Roman"/>
                <w:sz w:val="20"/>
                <w:szCs w:val="20"/>
              </w:rPr>
              <w:t>Blepharospasm or hemifacial spasm</w:t>
            </w:r>
          </w:p>
        </w:tc>
        <w:tc>
          <w:tcPr>
            <w:tcW w:w="943" w:type="dxa"/>
            <w:noWrap/>
            <w:vAlign w:val="center"/>
            <w:hideMark/>
          </w:tcPr>
          <w:p w:rsidR="005B3596" w:rsidRPr="00A77C2C" w:rsidRDefault="004C7FF7" w:rsidP="00C84C30">
            <w:pPr>
              <w:jc w:val="center"/>
              <w:rPr>
                <w:rFonts w:ascii="Calibri" w:eastAsia="MS Mincho" w:hAnsi="Calibri" w:cs="Times New Roman"/>
                <w:sz w:val="20"/>
                <w:szCs w:val="20"/>
              </w:rPr>
            </w:pPr>
            <w:r w:rsidRPr="00A77C2C">
              <w:rPr>
                <w:rFonts w:ascii="Calibri" w:eastAsia="MS Mincho" w:hAnsi="Calibri" w:cs="Times New Roman"/>
                <w:sz w:val="20"/>
                <w:szCs w:val="20"/>
              </w:rPr>
              <w:t>94.6%</w:t>
            </w:r>
          </w:p>
        </w:tc>
        <w:tc>
          <w:tcPr>
            <w:tcW w:w="944" w:type="dxa"/>
            <w:noWrap/>
            <w:vAlign w:val="center"/>
          </w:tcPr>
          <w:p w:rsidR="005B3596" w:rsidRPr="00A77C2C" w:rsidRDefault="004C7FF7" w:rsidP="00C84C30">
            <w:pPr>
              <w:jc w:val="center"/>
              <w:rPr>
                <w:rFonts w:ascii="Calibri" w:eastAsia="MS Mincho" w:hAnsi="Calibri" w:cs="Times New Roman"/>
                <w:sz w:val="20"/>
                <w:szCs w:val="20"/>
              </w:rPr>
            </w:pPr>
            <w:r w:rsidRPr="00A77C2C">
              <w:rPr>
                <w:rFonts w:ascii="Calibri" w:eastAsia="MS Mincho" w:hAnsi="Calibri" w:cs="Times New Roman"/>
                <w:sz w:val="20"/>
                <w:szCs w:val="20"/>
              </w:rPr>
              <w:t>3.9%</w:t>
            </w:r>
          </w:p>
        </w:tc>
        <w:tc>
          <w:tcPr>
            <w:tcW w:w="944" w:type="dxa"/>
            <w:vAlign w:val="center"/>
          </w:tcPr>
          <w:p w:rsidR="005B3596" w:rsidRPr="00A77C2C" w:rsidDel="005B3596" w:rsidRDefault="004C7FF7" w:rsidP="00C84C30">
            <w:pPr>
              <w:jc w:val="center"/>
              <w:rPr>
                <w:rFonts w:ascii="Calibri" w:eastAsia="MS Mincho" w:hAnsi="Calibri" w:cs="Times New Roman"/>
                <w:bCs/>
                <w:sz w:val="20"/>
                <w:szCs w:val="20"/>
              </w:rPr>
            </w:pPr>
            <w:r w:rsidRPr="00A77C2C">
              <w:rPr>
                <w:rFonts w:ascii="Calibri" w:eastAsia="MS Mincho" w:hAnsi="Calibri" w:cs="Times New Roman"/>
                <w:bCs/>
                <w:sz w:val="20"/>
                <w:szCs w:val="20"/>
              </w:rPr>
              <w:t>1.5%</w:t>
            </w:r>
          </w:p>
        </w:tc>
      </w:tr>
      <w:tr w:rsidR="005B3596" w:rsidRPr="00A77C2C" w:rsidTr="00C84C30">
        <w:trPr>
          <w:trHeight w:val="300"/>
        </w:trPr>
        <w:tc>
          <w:tcPr>
            <w:tcW w:w="3545" w:type="dxa"/>
            <w:noWrap/>
            <w:vAlign w:val="center"/>
            <w:hideMark/>
          </w:tcPr>
          <w:p w:rsidR="005B3596" w:rsidRPr="00A77C2C" w:rsidRDefault="005B3596" w:rsidP="00D2533D">
            <w:pPr>
              <w:rPr>
                <w:rFonts w:ascii="Calibri" w:eastAsia="MS Mincho" w:hAnsi="Calibri" w:cs="Times New Roman"/>
                <w:sz w:val="20"/>
                <w:szCs w:val="20"/>
              </w:rPr>
            </w:pPr>
            <w:r w:rsidRPr="00A77C2C">
              <w:rPr>
                <w:rFonts w:ascii="Calibri" w:eastAsia="MS Mincho" w:hAnsi="Calibri" w:cs="Times New Roman"/>
                <w:sz w:val="20"/>
                <w:szCs w:val="20"/>
              </w:rPr>
              <w:t>Spasmodic torticollis</w:t>
            </w:r>
          </w:p>
        </w:tc>
        <w:tc>
          <w:tcPr>
            <w:tcW w:w="943" w:type="dxa"/>
            <w:noWrap/>
            <w:vAlign w:val="center"/>
            <w:hideMark/>
          </w:tcPr>
          <w:p w:rsidR="005B3596" w:rsidRPr="00A77C2C" w:rsidRDefault="004D2FC6" w:rsidP="00C84C30">
            <w:pPr>
              <w:jc w:val="center"/>
              <w:rPr>
                <w:rFonts w:ascii="Calibri" w:eastAsia="MS Mincho" w:hAnsi="Calibri" w:cs="Times New Roman"/>
                <w:sz w:val="20"/>
                <w:szCs w:val="20"/>
              </w:rPr>
            </w:pPr>
            <w:r w:rsidRPr="00A77C2C">
              <w:rPr>
                <w:rFonts w:ascii="Calibri" w:eastAsia="MS Mincho" w:hAnsi="Calibri" w:cs="Times New Roman"/>
                <w:sz w:val="20"/>
                <w:szCs w:val="20"/>
              </w:rPr>
              <w:t>75.4%</w:t>
            </w:r>
          </w:p>
        </w:tc>
        <w:tc>
          <w:tcPr>
            <w:tcW w:w="944" w:type="dxa"/>
            <w:noWrap/>
            <w:vAlign w:val="center"/>
          </w:tcPr>
          <w:p w:rsidR="005B3596" w:rsidRPr="00A77C2C" w:rsidRDefault="004D2FC6" w:rsidP="00C84C30">
            <w:pPr>
              <w:jc w:val="center"/>
              <w:rPr>
                <w:rFonts w:ascii="Calibri" w:eastAsia="MS Mincho" w:hAnsi="Calibri" w:cs="Times New Roman"/>
                <w:sz w:val="20"/>
                <w:szCs w:val="20"/>
              </w:rPr>
            </w:pPr>
            <w:r w:rsidRPr="00A77C2C">
              <w:rPr>
                <w:rFonts w:ascii="Calibri" w:eastAsia="MS Mincho" w:hAnsi="Calibri" w:cs="Times New Roman"/>
                <w:sz w:val="20"/>
                <w:szCs w:val="20"/>
              </w:rPr>
              <w:t>16.1%</w:t>
            </w:r>
          </w:p>
        </w:tc>
        <w:tc>
          <w:tcPr>
            <w:tcW w:w="944" w:type="dxa"/>
            <w:vAlign w:val="center"/>
          </w:tcPr>
          <w:p w:rsidR="005B3596" w:rsidRPr="00A77C2C" w:rsidDel="005B3596" w:rsidRDefault="004D2FC6" w:rsidP="00C84C30">
            <w:pPr>
              <w:jc w:val="center"/>
              <w:rPr>
                <w:rFonts w:ascii="Calibri" w:eastAsia="MS Mincho" w:hAnsi="Calibri" w:cs="Times New Roman"/>
                <w:bCs/>
                <w:sz w:val="20"/>
                <w:szCs w:val="20"/>
              </w:rPr>
            </w:pPr>
            <w:r w:rsidRPr="00A77C2C">
              <w:rPr>
                <w:rFonts w:ascii="Calibri" w:eastAsia="MS Mincho" w:hAnsi="Calibri" w:cs="Times New Roman"/>
                <w:bCs/>
                <w:sz w:val="20"/>
                <w:szCs w:val="20"/>
              </w:rPr>
              <w:t>8.5%</w:t>
            </w:r>
          </w:p>
        </w:tc>
      </w:tr>
      <w:tr w:rsidR="005B3596" w:rsidRPr="00A77C2C" w:rsidTr="00C84C30">
        <w:trPr>
          <w:trHeight w:val="300"/>
        </w:trPr>
        <w:tc>
          <w:tcPr>
            <w:tcW w:w="3545" w:type="dxa"/>
            <w:noWrap/>
            <w:vAlign w:val="center"/>
          </w:tcPr>
          <w:p w:rsidR="005B3596" w:rsidRPr="00A77C2C" w:rsidRDefault="005B3596" w:rsidP="00D2533D">
            <w:pPr>
              <w:rPr>
                <w:rFonts w:ascii="Calibri" w:eastAsia="MS Mincho" w:hAnsi="Calibri" w:cs="Times New Roman"/>
                <w:sz w:val="20"/>
                <w:szCs w:val="20"/>
              </w:rPr>
            </w:pPr>
            <w:r w:rsidRPr="00A77C2C">
              <w:rPr>
                <w:rFonts w:ascii="Calibri" w:eastAsia="MS Mincho" w:hAnsi="Calibri" w:cs="Times New Roman"/>
                <w:sz w:val="20"/>
                <w:szCs w:val="20"/>
              </w:rPr>
              <w:t>Dynamic equinus foot deformity</w:t>
            </w:r>
          </w:p>
        </w:tc>
        <w:tc>
          <w:tcPr>
            <w:tcW w:w="943" w:type="dxa"/>
            <w:noWrap/>
            <w:vAlign w:val="center"/>
          </w:tcPr>
          <w:p w:rsidR="005B3596" w:rsidRPr="00A77C2C" w:rsidRDefault="004D2FC6" w:rsidP="00C84C30">
            <w:pPr>
              <w:jc w:val="center"/>
              <w:rPr>
                <w:rFonts w:ascii="Calibri" w:eastAsia="MS Mincho" w:hAnsi="Calibri" w:cs="Times New Roman"/>
                <w:sz w:val="20"/>
                <w:szCs w:val="20"/>
              </w:rPr>
            </w:pPr>
            <w:r w:rsidRPr="00A77C2C">
              <w:rPr>
                <w:rFonts w:ascii="Calibri" w:eastAsia="MS Mincho" w:hAnsi="Calibri" w:cs="Times New Roman"/>
                <w:sz w:val="20"/>
                <w:szCs w:val="20"/>
              </w:rPr>
              <w:t>96.1%</w:t>
            </w:r>
          </w:p>
        </w:tc>
        <w:tc>
          <w:tcPr>
            <w:tcW w:w="944" w:type="dxa"/>
            <w:noWrap/>
            <w:vAlign w:val="center"/>
          </w:tcPr>
          <w:p w:rsidR="005B3596" w:rsidRPr="00A77C2C" w:rsidRDefault="004D2FC6" w:rsidP="00C84C30">
            <w:pPr>
              <w:jc w:val="center"/>
              <w:rPr>
                <w:rFonts w:ascii="Calibri" w:eastAsia="MS Mincho" w:hAnsi="Calibri" w:cs="Times New Roman"/>
                <w:sz w:val="20"/>
                <w:szCs w:val="20"/>
              </w:rPr>
            </w:pPr>
            <w:r w:rsidRPr="00A77C2C">
              <w:rPr>
                <w:rFonts w:ascii="Calibri" w:eastAsia="MS Mincho" w:hAnsi="Calibri" w:cs="Times New Roman"/>
                <w:sz w:val="20"/>
                <w:szCs w:val="20"/>
              </w:rPr>
              <w:t>3.9%</w:t>
            </w:r>
          </w:p>
        </w:tc>
        <w:tc>
          <w:tcPr>
            <w:tcW w:w="944" w:type="dxa"/>
            <w:vAlign w:val="center"/>
          </w:tcPr>
          <w:p w:rsidR="005B3596" w:rsidRPr="00A77C2C" w:rsidDel="005B3596" w:rsidRDefault="004D2FC6" w:rsidP="00C84C30">
            <w:pPr>
              <w:jc w:val="center"/>
              <w:rPr>
                <w:rFonts w:ascii="Calibri" w:eastAsia="MS Mincho" w:hAnsi="Calibri" w:cs="Times New Roman"/>
                <w:bCs/>
                <w:sz w:val="20"/>
                <w:szCs w:val="20"/>
              </w:rPr>
            </w:pPr>
            <w:r w:rsidRPr="00A77C2C">
              <w:rPr>
                <w:rFonts w:ascii="Calibri" w:eastAsia="MS Mincho" w:hAnsi="Calibri" w:cs="Times New Roman"/>
                <w:bCs/>
                <w:sz w:val="20"/>
                <w:szCs w:val="20"/>
              </w:rPr>
              <w:t>-</w:t>
            </w:r>
          </w:p>
        </w:tc>
      </w:tr>
      <w:tr w:rsidR="005B3596" w:rsidRPr="00A77C2C" w:rsidTr="00C84C30">
        <w:trPr>
          <w:trHeight w:val="300"/>
        </w:trPr>
        <w:tc>
          <w:tcPr>
            <w:tcW w:w="3545" w:type="dxa"/>
            <w:noWrap/>
            <w:vAlign w:val="bottom"/>
          </w:tcPr>
          <w:p w:rsidR="005B3596" w:rsidRPr="00A77C2C" w:rsidRDefault="005B3596" w:rsidP="00D2533D">
            <w:pPr>
              <w:rPr>
                <w:rFonts w:ascii="Calibri" w:hAnsi="Calibri"/>
                <w:sz w:val="20"/>
                <w:szCs w:val="20"/>
              </w:rPr>
            </w:pPr>
            <w:r w:rsidRPr="00A77C2C">
              <w:rPr>
                <w:rFonts w:ascii="Calibri" w:hAnsi="Calibri"/>
                <w:sz w:val="20"/>
                <w:szCs w:val="20"/>
              </w:rPr>
              <w:t>Moderate to severe spasticity - upper limb, cerebral palsy</w:t>
            </w:r>
          </w:p>
        </w:tc>
        <w:tc>
          <w:tcPr>
            <w:tcW w:w="943" w:type="dxa"/>
            <w:noWrap/>
            <w:vAlign w:val="center"/>
          </w:tcPr>
          <w:p w:rsidR="005B3596" w:rsidRPr="00A77C2C" w:rsidRDefault="004D2FC6" w:rsidP="00C84C30">
            <w:pPr>
              <w:jc w:val="center"/>
              <w:rPr>
                <w:rFonts w:ascii="Calibri" w:hAnsi="Calibri"/>
                <w:sz w:val="20"/>
                <w:szCs w:val="20"/>
              </w:rPr>
            </w:pPr>
            <w:r w:rsidRPr="00A77C2C">
              <w:rPr>
                <w:rFonts w:ascii="Calibri" w:hAnsi="Calibri"/>
                <w:sz w:val="20"/>
                <w:szCs w:val="20"/>
              </w:rPr>
              <w:t>100%</w:t>
            </w:r>
          </w:p>
        </w:tc>
        <w:tc>
          <w:tcPr>
            <w:tcW w:w="944" w:type="dxa"/>
            <w:noWrap/>
            <w:vAlign w:val="center"/>
          </w:tcPr>
          <w:p w:rsidR="005B3596" w:rsidRPr="00A77C2C" w:rsidRDefault="004D2FC6" w:rsidP="00C84C30">
            <w:pPr>
              <w:jc w:val="center"/>
              <w:rPr>
                <w:rFonts w:ascii="Calibri" w:eastAsia="MS Mincho" w:hAnsi="Calibri" w:cs="Times New Roman"/>
                <w:sz w:val="20"/>
                <w:szCs w:val="20"/>
              </w:rPr>
            </w:pPr>
            <w:r w:rsidRPr="00A77C2C">
              <w:rPr>
                <w:rFonts w:ascii="Calibri" w:eastAsia="MS Mincho" w:hAnsi="Calibri" w:cs="Times New Roman"/>
                <w:sz w:val="20"/>
                <w:szCs w:val="20"/>
              </w:rPr>
              <w:t>-</w:t>
            </w:r>
          </w:p>
        </w:tc>
        <w:tc>
          <w:tcPr>
            <w:tcW w:w="944" w:type="dxa"/>
            <w:vAlign w:val="center"/>
          </w:tcPr>
          <w:p w:rsidR="005B3596" w:rsidRPr="00A77C2C" w:rsidDel="005B3596" w:rsidRDefault="004D2FC6" w:rsidP="00C84C30">
            <w:pPr>
              <w:jc w:val="center"/>
              <w:rPr>
                <w:rFonts w:ascii="Calibri" w:eastAsia="MS Mincho" w:hAnsi="Calibri" w:cs="Times New Roman"/>
                <w:bCs/>
                <w:sz w:val="20"/>
                <w:szCs w:val="20"/>
              </w:rPr>
            </w:pPr>
            <w:r w:rsidRPr="00A77C2C">
              <w:rPr>
                <w:rFonts w:ascii="Calibri" w:eastAsia="MS Mincho" w:hAnsi="Calibri" w:cs="Times New Roman"/>
                <w:bCs/>
                <w:sz w:val="20"/>
                <w:szCs w:val="20"/>
              </w:rPr>
              <w:t>-</w:t>
            </w:r>
          </w:p>
        </w:tc>
      </w:tr>
      <w:tr w:rsidR="005B3596" w:rsidRPr="00A77C2C" w:rsidTr="00C84C30">
        <w:trPr>
          <w:trHeight w:val="300"/>
        </w:trPr>
        <w:tc>
          <w:tcPr>
            <w:tcW w:w="3545" w:type="dxa"/>
            <w:noWrap/>
            <w:vAlign w:val="bottom"/>
          </w:tcPr>
          <w:p w:rsidR="005B3596" w:rsidRPr="00A77C2C" w:rsidRDefault="005B3596" w:rsidP="00D2533D">
            <w:pPr>
              <w:rPr>
                <w:rFonts w:ascii="Calibri" w:hAnsi="Calibri"/>
                <w:sz w:val="20"/>
                <w:szCs w:val="20"/>
              </w:rPr>
            </w:pPr>
            <w:r w:rsidRPr="00A77C2C">
              <w:rPr>
                <w:rFonts w:ascii="Calibri" w:hAnsi="Calibri"/>
                <w:sz w:val="20"/>
                <w:szCs w:val="20"/>
              </w:rPr>
              <w:t>Moderate to severe spasticity - upper limb, stroke</w:t>
            </w:r>
          </w:p>
        </w:tc>
        <w:tc>
          <w:tcPr>
            <w:tcW w:w="943" w:type="dxa"/>
            <w:noWrap/>
            <w:vAlign w:val="center"/>
          </w:tcPr>
          <w:p w:rsidR="005B3596" w:rsidRPr="00A77C2C" w:rsidRDefault="004D2FC6" w:rsidP="00C84C30">
            <w:pPr>
              <w:jc w:val="center"/>
              <w:rPr>
                <w:rFonts w:ascii="Calibri" w:hAnsi="Calibri"/>
                <w:sz w:val="20"/>
                <w:szCs w:val="20"/>
              </w:rPr>
            </w:pPr>
            <w:r w:rsidRPr="00A77C2C">
              <w:rPr>
                <w:rFonts w:ascii="Calibri" w:hAnsi="Calibri"/>
                <w:sz w:val="20"/>
                <w:szCs w:val="20"/>
              </w:rPr>
              <w:t>73.5%</w:t>
            </w:r>
          </w:p>
        </w:tc>
        <w:tc>
          <w:tcPr>
            <w:tcW w:w="944" w:type="dxa"/>
            <w:noWrap/>
            <w:vAlign w:val="center"/>
          </w:tcPr>
          <w:p w:rsidR="005B3596" w:rsidRPr="00A77C2C" w:rsidRDefault="004D2FC6" w:rsidP="00C84C30">
            <w:pPr>
              <w:jc w:val="center"/>
              <w:rPr>
                <w:rFonts w:ascii="Calibri" w:eastAsia="MS Mincho" w:hAnsi="Calibri" w:cs="Times New Roman"/>
                <w:sz w:val="20"/>
                <w:szCs w:val="20"/>
              </w:rPr>
            </w:pPr>
            <w:r w:rsidRPr="00A77C2C">
              <w:rPr>
                <w:rFonts w:ascii="Calibri" w:eastAsia="MS Mincho" w:hAnsi="Calibri" w:cs="Times New Roman"/>
                <w:sz w:val="20"/>
                <w:szCs w:val="20"/>
              </w:rPr>
              <w:t>20.4%</w:t>
            </w:r>
          </w:p>
        </w:tc>
        <w:tc>
          <w:tcPr>
            <w:tcW w:w="944" w:type="dxa"/>
            <w:vAlign w:val="center"/>
          </w:tcPr>
          <w:p w:rsidR="005B3596" w:rsidRPr="00A77C2C" w:rsidDel="005B3596" w:rsidRDefault="004D2FC6" w:rsidP="00C84C30">
            <w:pPr>
              <w:jc w:val="center"/>
              <w:rPr>
                <w:rFonts w:ascii="Calibri" w:eastAsia="MS Mincho" w:hAnsi="Calibri" w:cs="Times New Roman"/>
                <w:bCs/>
                <w:sz w:val="20"/>
                <w:szCs w:val="20"/>
              </w:rPr>
            </w:pPr>
            <w:r w:rsidRPr="00A77C2C">
              <w:rPr>
                <w:rFonts w:ascii="Calibri" w:eastAsia="MS Mincho" w:hAnsi="Calibri" w:cs="Times New Roman"/>
                <w:bCs/>
                <w:sz w:val="20"/>
                <w:szCs w:val="20"/>
              </w:rPr>
              <w:t>6.2%</w:t>
            </w:r>
          </w:p>
        </w:tc>
      </w:tr>
    </w:tbl>
    <w:p w:rsidR="00E554E6" w:rsidRDefault="00E554E6">
      <w:pPr>
        <w:spacing w:line="276" w:lineRule="auto"/>
        <w:rPr>
          <w:rFonts w:ascii="Calibri" w:eastAsia="MS Mincho" w:hAnsi="Calibri" w:cs="Times New Roman"/>
          <w:b/>
          <w:i/>
        </w:rPr>
      </w:pPr>
      <w:r>
        <w:rPr>
          <w:rFonts w:ascii="Calibri" w:eastAsia="MS Mincho" w:hAnsi="Calibri" w:cs="Times New Roman"/>
          <w:b/>
          <w:i/>
        </w:rPr>
        <w:br w:type="page"/>
      </w:r>
    </w:p>
    <w:p w:rsidR="00C84C30" w:rsidRDefault="00C84C30" w:rsidP="00C84C30">
      <w:pPr>
        <w:spacing w:before="240"/>
        <w:outlineLvl w:val="1"/>
        <w:rPr>
          <w:rFonts w:ascii="Calibri" w:eastAsia="MS Mincho" w:hAnsi="Calibri" w:cs="Times New Roman"/>
          <w:b/>
          <w:i/>
        </w:rPr>
      </w:pPr>
      <w:r>
        <w:rPr>
          <w:rFonts w:ascii="Calibri" w:eastAsia="MS Mincho" w:hAnsi="Calibri" w:cs="Times New Roman"/>
          <w:b/>
          <w:i/>
        </w:rPr>
        <w:lastRenderedPageBreak/>
        <w:t xml:space="preserve">Length of MBS </w:t>
      </w:r>
      <w:r w:rsidR="007B051A">
        <w:rPr>
          <w:rFonts w:ascii="Calibri" w:eastAsia="MS Mincho" w:hAnsi="Calibri" w:cs="Times New Roman"/>
          <w:b/>
          <w:i/>
        </w:rPr>
        <w:t>treatment</w:t>
      </w:r>
    </w:p>
    <w:p w:rsidR="00C84C30" w:rsidRDefault="00C84C30" w:rsidP="00C84C30">
      <w:pPr>
        <w:spacing w:before="240"/>
        <w:outlineLvl w:val="1"/>
        <w:rPr>
          <w:rFonts w:ascii="Calibri" w:eastAsia="MS Mincho" w:hAnsi="Calibri" w:cs="Times New Roman"/>
        </w:rPr>
      </w:pPr>
      <w:r>
        <w:rPr>
          <w:rFonts w:ascii="Calibri" w:eastAsia="MS Mincho" w:hAnsi="Calibri" w:cs="Times New Roman"/>
        </w:rPr>
        <w:t>The MBS injection services data were used to estimate length of treatment with botulinum toxin, as there was not a long enough history of patient level PBS data to do this analysis.</w:t>
      </w:r>
      <w:r w:rsidR="003238E4">
        <w:rPr>
          <w:rFonts w:ascii="Calibri" w:eastAsia="MS Mincho" w:hAnsi="Calibri" w:cs="Times New Roman"/>
        </w:rPr>
        <w:t xml:space="preserve"> The analysis includes all MBS services data for the injection of botulinum toxin (i</w:t>
      </w:r>
      <w:r w:rsidR="00C474E2">
        <w:rPr>
          <w:rFonts w:ascii="Calibri" w:eastAsia="MS Mincho" w:hAnsi="Calibri" w:cs="Times New Roman"/>
        </w:rPr>
        <w:t>.</w:t>
      </w:r>
      <w:r w:rsidR="003238E4">
        <w:rPr>
          <w:rFonts w:ascii="Calibri" w:eastAsia="MS Mincho" w:hAnsi="Calibri" w:cs="Times New Roman"/>
        </w:rPr>
        <w:t>e. date of service from December 1991 to the end of 2017).</w:t>
      </w:r>
    </w:p>
    <w:p w:rsidR="00C84C30" w:rsidRDefault="00C84C30" w:rsidP="00C84C30">
      <w:pPr>
        <w:spacing w:before="240"/>
        <w:outlineLvl w:val="1"/>
        <w:rPr>
          <w:rFonts w:ascii="Calibri" w:eastAsia="MS Mincho" w:hAnsi="Calibri" w:cs="Times New Roman"/>
          <w:b/>
        </w:rPr>
      </w:pPr>
      <w:r>
        <w:rPr>
          <w:noProof/>
        </w:rPr>
        <w:drawing>
          <wp:inline distT="0" distB="0" distL="0" distR="0" wp14:anchorId="5F000E0D" wp14:editId="20280255">
            <wp:extent cx="5687695" cy="4268884"/>
            <wp:effectExtent l="0" t="0" r="8255" b="0"/>
            <wp:docPr id="2" name="Picture 2" title="Figure 7: Length of MBS treatment with botulinum toxin (including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7695" cy="4268884"/>
                    </a:xfrm>
                    <a:prstGeom prst="rect">
                      <a:avLst/>
                    </a:prstGeom>
                    <a:noFill/>
                    <a:ln>
                      <a:noFill/>
                    </a:ln>
                  </pic:spPr>
                </pic:pic>
              </a:graphicData>
            </a:graphic>
          </wp:inline>
        </w:drawing>
      </w:r>
      <w:r w:rsidRPr="00F47D06">
        <w:rPr>
          <w:rFonts w:ascii="Calibri" w:eastAsia="MS Mincho" w:hAnsi="Calibri" w:cs="Times New Roman"/>
          <w:b/>
        </w:rPr>
        <w:t xml:space="preserve">Figure </w:t>
      </w:r>
      <w:r w:rsidR="003238E4">
        <w:rPr>
          <w:rFonts w:ascii="Calibri" w:eastAsia="MS Mincho" w:hAnsi="Calibri" w:cs="Times New Roman"/>
          <w:b/>
        </w:rPr>
        <w:t>7</w:t>
      </w:r>
      <w:r w:rsidRPr="00F47D06">
        <w:rPr>
          <w:rFonts w:ascii="Calibri" w:eastAsia="MS Mincho" w:hAnsi="Calibri" w:cs="Times New Roman"/>
          <w:b/>
        </w:rPr>
        <w:t>: Length of MBS treatment with botulinum toxin (</w:t>
      </w:r>
      <w:r>
        <w:rPr>
          <w:rFonts w:ascii="Calibri" w:eastAsia="MS Mincho" w:hAnsi="Calibri" w:cs="Times New Roman"/>
          <w:b/>
        </w:rPr>
        <w:t>including</w:t>
      </w:r>
      <w:r w:rsidRPr="00F47D06">
        <w:rPr>
          <w:rFonts w:ascii="Calibri" w:eastAsia="MS Mincho" w:hAnsi="Calibri" w:cs="Times New Roman"/>
          <w:b/>
        </w:rPr>
        <w:t xml:space="preserve"> breaks)</w:t>
      </w:r>
    </w:p>
    <w:p w:rsidR="00C84C30" w:rsidRPr="009D5D4C" w:rsidRDefault="00C84C30" w:rsidP="00C84C30">
      <w:pPr>
        <w:spacing w:before="240" w:after="0"/>
        <w:outlineLvl w:val="1"/>
        <w:rPr>
          <w:rFonts w:ascii="Calibri" w:eastAsia="MS Mincho" w:hAnsi="Calibri" w:cs="Times New Roman"/>
          <w:b/>
        </w:rPr>
      </w:pPr>
      <w:r w:rsidRPr="009D5D4C">
        <w:rPr>
          <w:rFonts w:ascii="Calibri" w:eastAsia="MS Mincho" w:hAnsi="Calibri" w:cs="Times New Roman"/>
          <w:b/>
        </w:rPr>
        <w:t>Table 1</w:t>
      </w:r>
      <w:r w:rsidR="003238E4">
        <w:rPr>
          <w:rFonts w:ascii="Calibri" w:eastAsia="MS Mincho" w:hAnsi="Calibri" w:cs="Times New Roman"/>
          <w:b/>
        </w:rPr>
        <w:t>0</w:t>
      </w:r>
      <w:r w:rsidRPr="009D5D4C">
        <w:rPr>
          <w:rFonts w:ascii="Calibri" w:eastAsia="MS Mincho" w:hAnsi="Calibri" w:cs="Times New Roman"/>
          <w:b/>
        </w:rPr>
        <w:t>: Estimated median length of treatment</w:t>
      </w:r>
      <w:r w:rsidR="0065211B">
        <w:rPr>
          <w:rFonts w:ascii="Calibri" w:eastAsia="MS Mincho" w:hAnsi="Calibri" w:cs="Times New Roman"/>
          <w:b/>
        </w:rPr>
        <w:t xml:space="preserve"> based on MBS services</w:t>
      </w:r>
    </w:p>
    <w:tbl>
      <w:tblPr>
        <w:tblStyle w:val="TableGrid"/>
        <w:tblW w:w="7439" w:type="dxa"/>
        <w:tblLayout w:type="fixed"/>
        <w:tblLook w:val="04A0" w:firstRow="1" w:lastRow="0" w:firstColumn="1" w:lastColumn="0" w:noHBand="0" w:noVBand="1"/>
        <w:tblCaption w:val="Table 10: Estimated median length of treatment based on MBS services"/>
      </w:tblPr>
      <w:tblGrid>
        <w:gridCol w:w="3527"/>
        <w:gridCol w:w="2098"/>
        <w:gridCol w:w="1814"/>
      </w:tblGrid>
      <w:tr w:rsidR="003238E4" w:rsidRPr="00A77C2C" w:rsidTr="0014435E">
        <w:trPr>
          <w:trHeight w:val="624"/>
          <w:tblHeader/>
        </w:trPr>
        <w:tc>
          <w:tcPr>
            <w:tcW w:w="3527" w:type="dxa"/>
            <w:noWrap/>
            <w:hideMark/>
          </w:tcPr>
          <w:p w:rsidR="003238E4" w:rsidRPr="00A77C2C" w:rsidRDefault="003238E4" w:rsidP="003238E4">
            <w:pPr>
              <w:outlineLvl w:val="1"/>
              <w:rPr>
                <w:rFonts w:ascii="Calibri" w:eastAsia="MS Mincho" w:hAnsi="Calibri" w:cs="Times New Roman"/>
                <w:b/>
                <w:bCs/>
                <w:sz w:val="20"/>
                <w:szCs w:val="20"/>
              </w:rPr>
            </w:pPr>
            <w:r w:rsidRPr="00A77C2C">
              <w:rPr>
                <w:rFonts w:ascii="Calibri" w:eastAsia="MS Mincho" w:hAnsi="Calibri" w:cs="Times New Roman"/>
                <w:b/>
                <w:bCs/>
                <w:sz w:val="20"/>
                <w:szCs w:val="20"/>
              </w:rPr>
              <w:t>Indication</w:t>
            </w:r>
          </w:p>
        </w:tc>
        <w:tc>
          <w:tcPr>
            <w:tcW w:w="2098" w:type="dxa"/>
            <w:noWrap/>
            <w:vAlign w:val="center"/>
            <w:hideMark/>
          </w:tcPr>
          <w:p w:rsidR="003238E4" w:rsidRPr="00A77C2C" w:rsidRDefault="003238E4" w:rsidP="003238E4">
            <w:pPr>
              <w:jc w:val="center"/>
              <w:outlineLvl w:val="1"/>
              <w:rPr>
                <w:rFonts w:ascii="Calibri" w:eastAsia="MS Mincho" w:hAnsi="Calibri" w:cs="Times New Roman"/>
                <w:b/>
                <w:bCs/>
                <w:sz w:val="20"/>
                <w:szCs w:val="20"/>
              </w:rPr>
            </w:pPr>
            <w:r w:rsidRPr="00A77C2C">
              <w:rPr>
                <w:rFonts w:ascii="Calibri" w:eastAsia="MS Mincho" w:hAnsi="Calibri" w:cs="Times New Roman"/>
                <w:b/>
                <w:bCs/>
                <w:sz w:val="20"/>
                <w:szCs w:val="20"/>
              </w:rPr>
              <w:t>Length of treatment</w:t>
            </w:r>
            <w:r w:rsidRPr="00A77C2C">
              <w:rPr>
                <w:rFonts w:ascii="Calibri" w:eastAsia="MS Mincho" w:hAnsi="Calibri" w:cs="Times New Roman"/>
                <w:b/>
                <w:bCs/>
                <w:sz w:val="20"/>
                <w:szCs w:val="20"/>
              </w:rPr>
              <w:br/>
              <w:t xml:space="preserve">(including breaks) </w:t>
            </w:r>
            <w:r w:rsidRPr="00A77C2C">
              <w:rPr>
                <w:rFonts w:ascii="Calibri" w:eastAsia="MS Mincho" w:hAnsi="Calibri" w:cs="Times New Roman"/>
                <w:b/>
                <w:bCs/>
                <w:sz w:val="20"/>
                <w:szCs w:val="20"/>
              </w:rPr>
              <w:br/>
              <w:t>(years)</w:t>
            </w:r>
          </w:p>
        </w:tc>
        <w:tc>
          <w:tcPr>
            <w:tcW w:w="1814" w:type="dxa"/>
            <w:vAlign w:val="center"/>
          </w:tcPr>
          <w:p w:rsidR="003238E4" w:rsidRPr="00A77C2C" w:rsidRDefault="003238E4" w:rsidP="003238E4">
            <w:pPr>
              <w:jc w:val="center"/>
              <w:outlineLvl w:val="1"/>
              <w:rPr>
                <w:rFonts w:ascii="Calibri" w:eastAsia="MS Mincho" w:hAnsi="Calibri" w:cs="Times New Roman"/>
                <w:b/>
                <w:bCs/>
                <w:sz w:val="20"/>
                <w:szCs w:val="20"/>
              </w:rPr>
            </w:pPr>
            <w:r w:rsidRPr="00A77C2C">
              <w:rPr>
                <w:rFonts w:ascii="Calibri" w:eastAsia="MS Mincho" w:hAnsi="Calibri" w:cs="Times New Roman"/>
                <w:b/>
                <w:bCs/>
                <w:sz w:val="20"/>
                <w:szCs w:val="20"/>
              </w:rPr>
              <w:t>Patients</w:t>
            </w:r>
          </w:p>
        </w:tc>
      </w:tr>
      <w:tr w:rsidR="003238E4" w:rsidRPr="00A77C2C" w:rsidTr="003238E4">
        <w:trPr>
          <w:trHeight w:val="300"/>
        </w:trPr>
        <w:tc>
          <w:tcPr>
            <w:tcW w:w="3527" w:type="dxa"/>
            <w:noWrap/>
            <w:hideMark/>
          </w:tcPr>
          <w:p w:rsidR="003238E4" w:rsidRPr="00A77C2C" w:rsidRDefault="003238E4" w:rsidP="003238E4">
            <w:pPr>
              <w:outlineLvl w:val="1"/>
              <w:rPr>
                <w:rFonts w:ascii="Calibri" w:eastAsia="MS Mincho" w:hAnsi="Calibri" w:cs="Times New Roman"/>
                <w:sz w:val="20"/>
                <w:szCs w:val="20"/>
              </w:rPr>
            </w:pPr>
            <w:r w:rsidRPr="00A77C2C">
              <w:rPr>
                <w:rFonts w:ascii="Calibri" w:eastAsia="MS Mincho" w:hAnsi="Calibri" w:cs="Times New Roman"/>
                <w:sz w:val="20"/>
                <w:szCs w:val="20"/>
              </w:rPr>
              <w:t>Blepharospasm</w:t>
            </w:r>
          </w:p>
        </w:tc>
        <w:tc>
          <w:tcPr>
            <w:tcW w:w="2098" w:type="dxa"/>
            <w:noWrap/>
            <w:vAlign w:val="center"/>
            <w:hideMark/>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1.8</w:t>
            </w:r>
          </w:p>
        </w:tc>
        <w:tc>
          <w:tcPr>
            <w:tcW w:w="1814" w:type="dxa"/>
            <w:vAlign w:val="center"/>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8,815</w:t>
            </w:r>
          </w:p>
        </w:tc>
      </w:tr>
      <w:tr w:rsidR="003238E4" w:rsidRPr="00A77C2C" w:rsidTr="003238E4">
        <w:trPr>
          <w:trHeight w:val="300"/>
        </w:trPr>
        <w:tc>
          <w:tcPr>
            <w:tcW w:w="3527" w:type="dxa"/>
            <w:noWrap/>
            <w:hideMark/>
          </w:tcPr>
          <w:p w:rsidR="003238E4" w:rsidRPr="00A77C2C" w:rsidRDefault="003238E4" w:rsidP="003238E4">
            <w:pPr>
              <w:outlineLvl w:val="1"/>
              <w:rPr>
                <w:rFonts w:ascii="Calibri" w:eastAsia="MS Mincho" w:hAnsi="Calibri" w:cs="Times New Roman"/>
                <w:sz w:val="20"/>
                <w:szCs w:val="20"/>
              </w:rPr>
            </w:pPr>
            <w:r w:rsidRPr="00A77C2C">
              <w:rPr>
                <w:rFonts w:ascii="Calibri" w:eastAsia="MS Mincho" w:hAnsi="Calibri" w:cs="Times New Roman"/>
                <w:sz w:val="20"/>
                <w:szCs w:val="20"/>
              </w:rPr>
              <w:t>Hemifacial spasm</w:t>
            </w:r>
          </w:p>
        </w:tc>
        <w:tc>
          <w:tcPr>
            <w:tcW w:w="2098" w:type="dxa"/>
            <w:noWrap/>
            <w:vAlign w:val="center"/>
            <w:hideMark/>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3.0</w:t>
            </w:r>
          </w:p>
        </w:tc>
        <w:tc>
          <w:tcPr>
            <w:tcW w:w="1814" w:type="dxa"/>
            <w:vAlign w:val="center"/>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10,493</w:t>
            </w:r>
          </w:p>
        </w:tc>
      </w:tr>
      <w:tr w:rsidR="003238E4" w:rsidRPr="00A77C2C" w:rsidTr="003238E4">
        <w:trPr>
          <w:trHeight w:val="300"/>
        </w:trPr>
        <w:tc>
          <w:tcPr>
            <w:tcW w:w="3527" w:type="dxa"/>
            <w:noWrap/>
            <w:hideMark/>
          </w:tcPr>
          <w:p w:rsidR="003238E4" w:rsidRPr="00A77C2C" w:rsidRDefault="003238E4" w:rsidP="003238E4">
            <w:pPr>
              <w:outlineLvl w:val="1"/>
              <w:rPr>
                <w:rFonts w:ascii="Calibri" w:eastAsia="MS Mincho" w:hAnsi="Calibri" w:cs="Times New Roman"/>
                <w:sz w:val="20"/>
                <w:szCs w:val="20"/>
              </w:rPr>
            </w:pPr>
            <w:r w:rsidRPr="00A77C2C">
              <w:rPr>
                <w:rFonts w:ascii="Calibri" w:eastAsia="MS Mincho" w:hAnsi="Calibri" w:cs="Times New Roman"/>
                <w:sz w:val="20"/>
                <w:szCs w:val="20"/>
              </w:rPr>
              <w:t>Spasmodic torticollis</w:t>
            </w:r>
          </w:p>
        </w:tc>
        <w:tc>
          <w:tcPr>
            <w:tcW w:w="2098" w:type="dxa"/>
            <w:noWrap/>
            <w:vAlign w:val="center"/>
            <w:hideMark/>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3.1</w:t>
            </w:r>
          </w:p>
        </w:tc>
        <w:tc>
          <w:tcPr>
            <w:tcW w:w="1814" w:type="dxa"/>
            <w:vAlign w:val="center"/>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8,761</w:t>
            </w:r>
          </w:p>
        </w:tc>
      </w:tr>
      <w:tr w:rsidR="003238E4" w:rsidRPr="00A77C2C" w:rsidTr="003238E4">
        <w:trPr>
          <w:trHeight w:val="300"/>
        </w:trPr>
        <w:tc>
          <w:tcPr>
            <w:tcW w:w="3527" w:type="dxa"/>
            <w:noWrap/>
            <w:hideMark/>
          </w:tcPr>
          <w:p w:rsidR="003238E4" w:rsidRPr="00A77C2C" w:rsidRDefault="003238E4" w:rsidP="003238E4">
            <w:pPr>
              <w:outlineLvl w:val="1"/>
              <w:rPr>
                <w:rFonts w:ascii="Calibri" w:eastAsia="MS Mincho" w:hAnsi="Calibri" w:cs="Times New Roman"/>
                <w:sz w:val="20"/>
                <w:szCs w:val="20"/>
              </w:rPr>
            </w:pPr>
            <w:r w:rsidRPr="00A77C2C">
              <w:rPr>
                <w:rFonts w:ascii="Calibri" w:eastAsia="MS Mincho" w:hAnsi="Calibri" w:cs="Times New Roman"/>
                <w:sz w:val="20"/>
                <w:szCs w:val="20"/>
              </w:rPr>
              <w:t>Dynamic equinus foot deformity</w:t>
            </w:r>
          </w:p>
        </w:tc>
        <w:tc>
          <w:tcPr>
            <w:tcW w:w="2098" w:type="dxa"/>
            <w:noWrap/>
            <w:vAlign w:val="center"/>
            <w:hideMark/>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4.4</w:t>
            </w:r>
          </w:p>
        </w:tc>
        <w:tc>
          <w:tcPr>
            <w:tcW w:w="1814" w:type="dxa"/>
            <w:vAlign w:val="center"/>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4,394</w:t>
            </w:r>
          </w:p>
        </w:tc>
      </w:tr>
      <w:tr w:rsidR="003238E4" w:rsidRPr="00A77C2C" w:rsidTr="003238E4">
        <w:trPr>
          <w:trHeight w:val="300"/>
        </w:trPr>
        <w:tc>
          <w:tcPr>
            <w:tcW w:w="3527" w:type="dxa"/>
            <w:noWrap/>
            <w:hideMark/>
          </w:tcPr>
          <w:p w:rsidR="003238E4" w:rsidRPr="00A77C2C" w:rsidRDefault="003238E4" w:rsidP="003238E4">
            <w:pPr>
              <w:outlineLvl w:val="1"/>
              <w:rPr>
                <w:rFonts w:ascii="Calibri" w:eastAsia="MS Mincho" w:hAnsi="Calibri" w:cs="Times New Roman"/>
                <w:sz w:val="20"/>
                <w:szCs w:val="20"/>
              </w:rPr>
            </w:pPr>
            <w:r w:rsidRPr="00A77C2C">
              <w:rPr>
                <w:rFonts w:ascii="Calibri" w:eastAsia="MS Mincho" w:hAnsi="Calibri" w:cs="Times New Roman"/>
                <w:sz w:val="20"/>
                <w:szCs w:val="20"/>
              </w:rPr>
              <w:t>Moderate to severe focal spasticity*</w:t>
            </w:r>
          </w:p>
        </w:tc>
        <w:tc>
          <w:tcPr>
            <w:tcW w:w="2098" w:type="dxa"/>
            <w:noWrap/>
            <w:vAlign w:val="center"/>
            <w:hideMark/>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1.0</w:t>
            </w:r>
          </w:p>
        </w:tc>
        <w:tc>
          <w:tcPr>
            <w:tcW w:w="1814" w:type="dxa"/>
            <w:vAlign w:val="center"/>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7,187</w:t>
            </w:r>
          </w:p>
        </w:tc>
      </w:tr>
      <w:tr w:rsidR="003238E4" w:rsidRPr="00A77C2C" w:rsidTr="003238E4">
        <w:trPr>
          <w:trHeight w:val="300"/>
        </w:trPr>
        <w:tc>
          <w:tcPr>
            <w:tcW w:w="3527" w:type="dxa"/>
            <w:noWrap/>
            <w:hideMark/>
          </w:tcPr>
          <w:p w:rsidR="003238E4" w:rsidRPr="00A77C2C" w:rsidRDefault="003238E4" w:rsidP="003238E4">
            <w:pPr>
              <w:outlineLvl w:val="1"/>
              <w:rPr>
                <w:rFonts w:ascii="Calibri" w:eastAsia="MS Mincho" w:hAnsi="Calibri" w:cs="Times New Roman"/>
                <w:sz w:val="20"/>
                <w:szCs w:val="20"/>
              </w:rPr>
            </w:pPr>
            <w:r w:rsidRPr="00A77C2C">
              <w:rPr>
                <w:rFonts w:ascii="Calibri" w:eastAsia="MS Mincho" w:hAnsi="Calibri" w:cs="Times New Roman"/>
                <w:sz w:val="20"/>
                <w:szCs w:val="20"/>
              </w:rPr>
              <w:t>Moderate to severe spasticity - upper limb, cerebral palsy</w:t>
            </w:r>
          </w:p>
        </w:tc>
        <w:tc>
          <w:tcPr>
            <w:tcW w:w="2098" w:type="dxa"/>
            <w:noWrap/>
            <w:vAlign w:val="center"/>
            <w:hideMark/>
          </w:tcPr>
          <w:p w:rsidR="003238E4" w:rsidRPr="00A77C2C" w:rsidRDefault="003B6388" w:rsidP="003238E4">
            <w:pPr>
              <w:jc w:val="center"/>
              <w:outlineLvl w:val="1"/>
              <w:rPr>
                <w:rFonts w:ascii="Calibri" w:eastAsia="MS Mincho" w:hAnsi="Calibri" w:cs="Times New Roman"/>
                <w:sz w:val="20"/>
                <w:szCs w:val="20"/>
              </w:rPr>
            </w:pPr>
            <w:r>
              <w:rPr>
                <w:rFonts w:ascii="Calibri" w:eastAsia="MS Mincho" w:hAnsi="Calibri" w:cs="Times New Roman"/>
                <w:sz w:val="20"/>
                <w:szCs w:val="20"/>
              </w:rPr>
              <w:t>N/A</w:t>
            </w:r>
          </w:p>
        </w:tc>
        <w:tc>
          <w:tcPr>
            <w:tcW w:w="1814" w:type="dxa"/>
            <w:vAlign w:val="center"/>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1,421</w:t>
            </w:r>
          </w:p>
        </w:tc>
      </w:tr>
      <w:tr w:rsidR="003238E4" w:rsidRPr="00A77C2C" w:rsidTr="003238E4">
        <w:trPr>
          <w:trHeight w:val="300"/>
        </w:trPr>
        <w:tc>
          <w:tcPr>
            <w:tcW w:w="3527" w:type="dxa"/>
            <w:noWrap/>
            <w:hideMark/>
          </w:tcPr>
          <w:p w:rsidR="003238E4" w:rsidRPr="00A77C2C" w:rsidRDefault="003238E4" w:rsidP="003238E4">
            <w:pPr>
              <w:outlineLvl w:val="1"/>
              <w:rPr>
                <w:rFonts w:ascii="Calibri" w:eastAsia="MS Mincho" w:hAnsi="Calibri" w:cs="Times New Roman"/>
                <w:sz w:val="20"/>
                <w:szCs w:val="20"/>
              </w:rPr>
            </w:pPr>
            <w:r w:rsidRPr="00A77C2C">
              <w:rPr>
                <w:rFonts w:ascii="Calibri" w:eastAsia="MS Mincho" w:hAnsi="Calibri" w:cs="Times New Roman"/>
                <w:sz w:val="20"/>
                <w:szCs w:val="20"/>
              </w:rPr>
              <w:t>Moderate to severe spasticity - upper limb, stroke</w:t>
            </w:r>
          </w:p>
        </w:tc>
        <w:tc>
          <w:tcPr>
            <w:tcW w:w="2098" w:type="dxa"/>
            <w:noWrap/>
            <w:vAlign w:val="center"/>
            <w:hideMark/>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0.9</w:t>
            </w:r>
          </w:p>
        </w:tc>
        <w:tc>
          <w:tcPr>
            <w:tcW w:w="1814" w:type="dxa"/>
            <w:vAlign w:val="center"/>
          </w:tcPr>
          <w:p w:rsidR="003238E4" w:rsidRPr="00A77C2C" w:rsidRDefault="003238E4" w:rsidP="003238E4">
            <w:pPr>
              <w:jc w:val="center"/>
              <w:outlineLvl w:val="1"/>
              <w:rPr>
                <w:rFonts w:ascii="Calibri" w:eastAsia="MS Mincho" w:hAnsi="Calibri" w:cs="Times New Roman"/>
                <w:sz w:val="20"/>
                <w:szCs w:val="20"/>
              </w:rPr>
            </w:pPr>
            <w:r w:rsidRPr="00A77C2C">
              <w:rPr>
                <w:rFonts w:ascii="Calibri" w:eastAsia="MS Mincho" w:hAnsi="Calibri" w:cs="Times New Roman"/>
                <w:sz w:val="20"/>
                <w:szCs w:val="20"/>
              </w:rPr>
              <w:t>1,973</w:t>
            </w:r>
          </w:p>
        </w:tc>
      </w:tr>
    </w:tbl>
    <w:p w:rsidR="00C84C30" w:rsidRPr="00A77C2C" w:rsidRDefault="003B6388" w:rsidP="00C84C30">
      <w:pPr>
        <w:spacing w:after="0"/>
        <w:outlineLvl w:val="1"/>
        <w:rPr>
          <w:rFonts w:ascii="Calibri" w:eastAsia="MS Mincho" w:hAnsi="Calibri" w:cs="Times New Roman"/>
          <w:sz w:val="20"/>
          <w:szCs w:val="20"/>
        </w:rPr>
      </w:pPr>
      <w:r>
        <w:rPr>
          <w:rFonts w:ascii="Calibri" w:eastAsia="MS Mincho" w:hAnsi="Calibri" w:cs="Times New Roman"/>
          <w:sz w:val="20"/>
          <w:szCs w:val="20"/>
        </w:rPr>
        <w:t>N/A</w:t>
      </w:r>
      <w:r w:rsidR="00C84C30" w:rsidRPr="00A77C2C">
        <w:rPr>
          <w:rFonts w:ascii="Calibri" w:eastAsia="MS Mincho" w:hAnsi="Calibri" w:cs="Times New Roman"/>
          <w:sz w:val="20"/>
          <w:szCs w:val="20"/>
        </w:rPr>
        <w:t xml:space="preserve"> = median value not yet reached</w:t>
      </w:r>
    </w:p>
    <w:p w:rsidR="00C84C30" w:rsidRPr="00A77C2C" w:rsidRDefault="00C84C30" w:rsidP="00C84C30">
      <w:pPr>
        <w:outlineLvl w:val="1"/>
        <w:rPr>
          <w:rFonts w:ascii="Calibri" w:eastAsia="MS Mincho" w:hAnsi="Calibri" w:cs="Times New Roman"/>
          <w:sz w:val="20"/>
          <w:szCs w:val="20"/>
        </w:rPr>
      </w:pPr>
      <w:r w:rsidRPr="00A77C2C">
        <w:rPr>
          <w:rFonts w:ascii="Calibri" w:eastAsia="MS Mincho" w:hAnsi="Calibri" w:cs="Times New Roman"/>
          <w:sz w:val="20"/>
          <w:szCs w:val="20"/>
        </w:rPr>
        <w:t>*</w:t>
      </w:r>
      <w:r w:rsidR="003B6388">
        <w:rPr>
          <w:rFonts w:ascii="Calibri" w:eastAsia="MS Mincho" w:hAnsi="Calibri" w:cs="Times New Roman"/>
          <w:sz w:val="20"/>
          <w:szCs w:val="20"/>
        </w:rPr>
        <w:t xml:space="preserve"> N</w:t>
      </w:r>
      <w:r w:rsidRPr="00A77C2C">
        <w:rPr>
          <w:rFonts w:ascii="Calibri" w:eastAsia="MS Mincho" w:hAnsi="Calibri" w:cs="Times New Roman"/>
          <w:sz w:val="20"/>
          <w:szCs w:val="20"/>
        </w:rPr>
        <w:t>o matching PBS listing</w:t>
      </w:r>
    </w:p>
    <w:p w:rsidR="00C8585B" w:rsidRDefault="00C8585B" w:rsidP="00C8585B">
      <w:pPr>
        <w:spacing w:line="276" w:lineRule="auto"/>
        <w:rPr>
          <w:rFonts w:ascii="Calibri" w:eastAsia="MS Mincho" w:hAnsi="Calibri" w:cs="Times New Roman"/>
        </w:rPr>
      </w:pPr>
      <w:r>
        <w:rPr>
          <w:rFonts w:ascii="Calibri" w:eastAsia="MS Mincho" w:hAnsi="Calibri" w:cs="Times New Roman"/>
        </w:rPr>
        <w:lastRenderedPageBreak/>
        <w:t>A notable feature of Figure 7 is the large proportion of discontinuations after the first MBS service</w:t>
      </w:r>
      <w:r w:rsidRPr="00A02BF3">
        <w:rPr>
          <w:rFonts w:ascii="Calibri" w:eastAsia="MS Mincho" w:hAnsi="Calibri" w:cs="Times New Roman"/>
        </w:rPr>
        <w:t>. Approximately 20% of patients receiving treatment for spasticity of the upper limb or dynamic equinus foot deformity due to cerebral palsy, and 40% of the spasticity of the upper limb post stroke, discontinue after one service.</w:t>
      </w:r>
      <w:r>
        <w:rPr>
          <w:rFonts w:ascii="Calibri" w:eastAsia="MS Mincho" w:hAnsi="Calibri" w:cs="Times New Roman"/>
        </w:rPr>
        <w:t xml:space="preserve"> </w:t>
      </w:r>
    </w:p>
    <w:p w:rsidR="00C84C30" w:rsidRDefault="00C84C30" w:rsidP="00C84C30">
      <w:pPr>
        <w:spacing w:line="276" w:lineRule="auto"/>
        <w:rPr>
          <w:rFonts w:ascii="Calibri" w:eastAsia="MS Mincho" w:hAnsi="Calibri" w:cs="Times New Roman"/>
        </w:rPr>
      </w:pPr>
      <w:r w:rsidRPr="009D5D4C">
        <w:rPr>
          <w:rFonts w:ascii="Calibri" w:eastAsia="MS Mincho" w:hAnsi="Calibri" w:cs="Times New Roman"/>
        </w:rPr>
        <w:t>Figur</w:t>
      </w:r>
      <w:r>
        <w:rPr>
          <w:rFonts w:ascii="Calibri" w:eastAsia="MS Mincho" w:hAnsi="Calibri" w:cs="Times New Roman"/>
        </w:rPr>
        <w:t>es 7 and Table 1</w:t>
      </w:r>
      <w:r w:rsidR="003238E4">
        <w:rPr>
          <w:rFonts w:ascii="Calibri" w:eastAsia="MS Mincho" w:hAnsi="Calibri" w:cs="Times New Roman"/>
        </w:rPr>
        <w:t>0</w:t>
      </w:r>
      <w:r>
        <w:rPr>
          <w:rFonts w:ascii="Calibri" w:eastAsia="MS Mincho" w:hAnsi="Calibri" w:cs="Times New Roman"/>
        </w:rPr>
        <w:t xml:space="preserve"> show that upper limb spasticity in patients with cerebral </w:t>
      </w:r>
      <w:r w:rsidR="007B051A">
        <w:rPr>
          <w:rFonts w:ascii="Calibri" w:eastAsia="MS Mincho" w:hAnsi="Calibri" w:cs="Times New Roman"/>
        </w:rPr>
        <w:t>palsy has</w:t>
      </w:r>
      <w:r>
        <w:rPr>
          <w:rFonts w:ascii="Calibri" w:eastAsia="MS Mincho" w:hAnsi="Calibri" w:cs="Times New Roman"/>
        </w:rPr>
        <w:t xml:space="preserve"> the longest length of treatment (median appears to be &gt; 5 years</w:t>
      </w:r>
      <w:r w:rsidR="00C8585B">
        <w:rPr>
          <w:rFonts w:ascii="Calibri" w:eastAsia="MS Mincho" w:hAnsi="Calibri" w:cs="Times New Roman"/>
        </w:rPr>
        <w:t>)</w:t>
      </w:r>
      <w:r>
        <w:rPr>
          <w:rFonts w:ascii="Calibri" w:eastAsia="MS Mincho" w:hAnsi="Calibri" w:cs="Times New Roman"/>
        </w:rPr>
        <w:t xml:space="preserve">. </w:t>
      </w:r>
      <w:r w:rsidR="007B051A">
        <w:rPr>
          <w:rFonts w:ascii="Calibri" w:eastAsia="MS Mincho" w:hAnsi="Calibri" w:cs="Times New Roman"/>
        </w:rPr>
        <w:t>Spasticity of the upper limb post stroke has the shortest median length of treatment for the injections that have a corresponding PBS listing</w:t>
      </w:r>
      <w:r w:rsidR="00C8585B">
        <w:rPr>
          <w:rFonts w:ascii="Calibri" w:eastAsia="MS Mincho" w:hAnsi="Calibri" w:cs="Times New Roman"/>
        </w:rPr>
        <w:t xml:space="preserve">. This finding </w:t>
      </w:r>
      <w:r w:rsidR="007B051A">
        <w:rPr>
          <w:rFonts w:ascii="Calibri" w:eastAsia="MS Mincho" w:hAnsi="Calibri" w:cs="Times New Roman"/>
        </w:rPr>
        <w:t>is unsurprising given the PBS restriction limits use to four treatments</w:t>
      </w:r>
      <w:r w:rsidR="007B051A" w:rsidRPr="0065211B">
        <w:rPr>
          <w:rFonts w:ascii="Calibri" w:eastAsia="MS Mincho" w:hAnsi="Calibri" w:cs="Times New Roman"/>
        </w:rPr>
        <w:t>.</w:t>
      </w:r>
      <w:r w:rsidR="007B051A">
        <w:rPr>
          <w:rFonts w:ascii="Calibri" w:eastAsia="MS Mincho" w:hAnsi="Calibri" w:cs="Times New Roman"/>
        </w:rPr>
        <w:t xml:space="preserve"> </w:t>
      </w:r>
      <w:r w:rsidR="002E1B28">
        <w:rPr>
          <w:rFonts w:ascii="Calibri" w:eastAsia="MS Mincho" w:hAnsi="Calibri" w:cs="Times New Roman"/>
        </w:rPr>
        <w:t>The number of treatments per patient following stroke is investigated further below.</w:t>
      </w:r>
    </w:p>
    <w:p w:rsidR="002E1B28" w:rsidRPr="00856CD3" w:rsidRDefault="002E1B28" w:rsidP="002E1B28">
      <w:pPr>
        <w:spacing w:before="240"/>
        <w:outlineLvl w:val="1"/>
        <w:rPr>
          <w:rFonts w:ascii="Calibri" w:eastAsia="MS Mincho" w:hAnsi="Calibri" w:cs="Times New Roman"/>
          <w:b/>
          <w:i/>
        </w:rPr>
      </w:pPr>
      <w:r w:rsidRPr="00856CD3">
        <w:rPr>
          <w:rFonts w:ascii="Calibri" w:eastAsia="MS Mincho" w:hAnsi="Calibri" w:cs="Times New Roman"/>
          <w:b/>
          <w:i/>
        </w:rPr>
        <w:t xml:space="preserve">Testing </w:t>
      </w:r>
      <w:r>
        <w:rPr>
          <w:rFonts w:ascii="Calibri" w:eastAsia="MS Mincho" w:hAnsi="Calibri" w:cs="Times New Roman"/>
          <w:b/>
          <w:i/>
        </w:rPr>
        <w:t>the four</w:t>
      </w:r>
      <w:r w:rsidRPr="00856CD3">
        <w:rPr>
          <w:rFonts w:ascii="Calibri" w:eastAsia="MS Mincho" w:hAnsi="Calibri" w:cs="Times New Roman"/>
          <w:b/>
          <w:i/>
        </w:rPr>
        <w:t xml:space="preserve"> treatment limit for stroke patients</w:t>
      </w:r>
      <w:r>
        <w:rPr>
          <w:rFonts w:ascii="Calibri" w:eastAsia="MS Mincho" w:hAnsi="Calibri" w:cs="Times New Roman"/>
          <w:b/>
          <w:i/>
        </w:rPr>
        <w:t xml:space="preserve"> using MBS data</w:t>
      </w:r>
    </w:p>
    <w:p w:rsidR="002E1B28" w:rsidRPr="002B733E" w:rsidRDefault="002E1B28" w:rsidP="002E1B28">
      <w:pPr>
        <w:spacing w:before="240"/>
        <w:outlineLvl w:val="1"/>
        <w:rPr>
          <w:rFonts w:ascii="Calibri" w:eastAsia="MS Mincho" w:hAnsi="Calibri" w:cs="Times New Roman"/>
          <w:b/>
        </w:rPr>
      </w:pPr>
      <w:r w:rsidRPr="00856CD3">
        <w:rPr>
          <w:rFonts w:ascii="Calibri" w:eastAsia="MS Mincho" w:hAnsi="Calibri" w:cs="Times New Roman"/>
        </w:rPr>
        <w:t xml:space="preserve">The </w:t>
      </w:r>
      <w:r>
        <w:rPr>
          <w:rFonts w:ascii="Calibri" w:eastAsia="MS Mincho" w:hAnsi="Calibri" w:cs="Times New Roman"/>
        </w:rPr>
        <w:t>restriction for stroke patients states that “</w:t>
      </w:r>
      <w:r w:rsidRPr="00856CD3">
        <w:rPr>
          <w:rFonts w:ascii="Calibri" w:eastAsia="MS Mincho" w:hAnsi="Calibri" w:cs="Times New Roman"/>
        </w:rPr>
        <w:t>The treatment must not exceed 4 treatment periods (total Botox, Dysport, and Xeomin) per upper limb per lifetime</w:t>
      </w:r>
      <w:r w:rsidR="00C474E2">
        <w:rPr>
          <w:rFonts w:ascii="Calibri" w:eastAsia="MS Mincho" w:hAnsi="Calibri" w:cs="Times New Roman"/>
        </w:rPr>
        <w:t>.</w:t>
      </w:r>
      <w:r>
        <w:rPr>
          <w:rFonts w:ascii="Calibri" w:eastAsia="MS Mincho" w:hAnsi="Calibri" w:cs="Times New Roman"/>
        </w:rPr>
        <w:t xml:space="preserve">” </w:t>
      </w:r>
      <w:r w:rsidR="00526AE4">
        <w:rPr>
          <w:rFonts w:ascii="Calibri" w:eastAsia="MS Mincho" w:hAnsi="Calibri" w:cs="Times New Roman"/>
        </w:rPr>
        <w:t>Figure </w:t>
      </w:r>
      <w:r w:rsidR="00AC574F">
        <w:rPr>
          <w:rFonts w:ascii="Calibri" w:eastAsia="MS Mincho" w:hAnsi="Calibri" w:cs="Times New Roman"/>
        </w:rPr>
        <w:t>8</w:t>
      </w:r>
      <w:r w:rsidR="00526AE4">
        <w:rPr>
          <w:rFonts w:ascii="Calibri" w:eastAsia="MS Mincho" w:hAnsi="Calibri" w:cs="Times New Roman"/>
        </w:rPr>
        <w:t xml:space="preserve"> shows the number of injection services per patient for this indication.</w:t>
      </w:r>
    </w:p>
    <w:p w:rsidR="00526AE4" w:rsidRDefault="002E1B28" w:rsidP="00526AE4">
      <w:pPr>
        <w:spacing w:before="240" w:after="0"/>
        <w:outlineLvl w:val="1"/>
        <w:rPr>
          <w:rFonts w:ascii="Calibri" w:eastAsia="MS Mincho" w:hAnsi="Calibri" w:cs="Times New Roman"/>
          <w:b/>
        </w:rPr>
      </w:pPr>
      <w:r>
        <w:rPr>
          <w:noProof/>
        </w:rPr>
        <w:drawing>
          <wp:inline distT="0" distB="0" distL="0" distR="0" wp14:anchorId="13CE9DCB" wp14:editId="78882ED0">
            <wp:extent cx="5687695" cy="3717055"/>
            <wp:effectExtent l="0" t="0" r="27305" b="17145"/>
            <wp:docPr id="42" name="Chart 42" title="Figure 8: MBS services per patient for “Moderate to severe spasticity - upper limb, stroke”"/>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F47D06">
        <w:rPr>
          <w:rFonts w:ascii="Calibri" w:eastAsia="MS Mincho" w:hAnsi="Calibri" w:cs="Times New Roman"/>
          <w:b/>
        </w:rPr>
        <w:t xml:space="preserve">Figure </w:t>
      </w:r>
      <w:r w:rsidR="00AC574F">
        <w:rPr>
          <w:rFonts w:ascii="Calibri" w:eastAsia="MS Mincho" w:hAnsi="Calibri" w:cs="Times New Roman"/>
          <w:b/>
        </w:rPr>
        <w:t>8</w:t>
      </w:r>
      <w:r w:rsidRPr="00F47D06">
        <w:rPr>
          <w:rFonts w:ascii="Calibri" w:eastAsia="MS Mincho" w:hAnsi="Calibri" w:cs="Times New Roman"/>
          <w:b/>
        </w:rPr>
        <w:t xml:space="preserve">: </w:t>
      </w:r>
      <w:r>
        <w:rPr>
          <w:rFonts w:ascii="Calibri" w:eastAsia="MS Mincho" w:hAnsi="Calibri" w:cs="Times New Roman"/>
          <w:b/>
        </w:rPr>
        <w:t>MBS services per patient for “</w:t>
      </w:r>
      <w:r w:rsidRPr="002310AD">
        <w:rPr>
          <w:rFonts w:ascii="Calibri" w:eastAsia="MS Mincho" w:hAnsi="Calibri" w:cs="Times New Roman"/>
          <w:b/>
        </w:rPr>
        <w:t>Moderate to severe spasticity - upper limb, stroke</w:t>
      </w:r>
      <w:r>
        <w:rPr>
          <w:rFonts w:ascii="Calibri" w:eastAsia="MS Mincho" w:hAnsi="Calibri" w:cs="Times New Roman"/>
          <w:b/>
        </w:rPr>
        <w:t>”</w:t>
      </w:r>
    </w:p>
    <w:p w:rsidR="002E1B28" w:rsidRDefault="007B051A" w:rsidP="00526AE4">
      <w:pPr>
        <w:outlineLvl w:val="1"/>
        <w:rPr>
          <w:rFonts w:ascii="Calibri" w:eastAsia="MS Mincho" w:hAnsi="Calibri" w:cs="Times New Roman"/>
          <w:b/>
        </w:rPr>
      </w:pPr>
      <w:r w:rsidRPr="007B55C9">
        <w:rPr>
          <w:rFonts w:ascii="Calibri" w:eastAsia="MS Mincho" w:hAnsi="Calibri" w:cs="Times New Roman"/>
          <w:sz w:val="20"/>
        </w:rPr>
        <w:t xml:space="preserve">Note: for patients with at least 2 years </w:t>
      </w:r>
      <w:r>
        <w:rPr>
          <w:rFonts w:ascii="Calibri" w:eastAsia="MS Mincho" w:hAnsi="Calibri" w:cs="Times New Roman"/>
          <w:sz w:val="20"/>
        </w:rPr>
        <w:t>follow</w:t>
      </w:r>
      <w:r w:rsidR="003B6388">
        <w:rPr>
          <w:rFonts w:ascii="Calibri" w:eastAsia="MS Mincho" w:hAnsi="Calibri" w:cs="Times New Roman"/>
          <w:sz w:val="20"/>
        </w:rPr>
        <w:t>-</w:t>
      </w:r>
      <w:r>
        <w:rPr>
          <w:rFonts w:ascii="Calibri" w:eastAsia="MS Mincho" w:hAnsi="Calibri" w:cs="Times New Roman"/>
          <w:sz w:val="20"/>
        </w:rPr>
        <w:t>up since initiation of treatment for this indication (i</w:t>
      </w:r>
      <w:r w:rsidR="00C474E2">
        <w:rPr>
          <w:rFonts w:ascii="Calibri" w:eastAsia="MS Mincho" w:hAnsi="Calibri" w:cs="Times New Roman"/>
          <w:sz w:val="20"/>
        </w:rPr>
        <w:t>.</w:t>
      </w:r>
      <w:r>
        <w:rPr>
          <w:rFonts w:ascii="Calibri" w:eastAsia="MS Mincho" w:hAnsi="Calibri" w:cs="Times New Roman"/>
          <w:sz w:val="20"/>
        </w:rPr>
        <w:t>e. initiators from 1 November 2005 (date of listing) to the end of 2015 and with follow</w:t>
      </w:r>
      <w:r w:rsidR="003B6388">
        <w:rPr>
          <w:rFonts w:ascii="Calibri" w:eastAsia="MS Mincho" w:hAnsi="Calibri" w:cs="Times New Roman"/>
          <w:sz w:val="20"/>
        </w:rPr>
        <w:t>-</w:t>
      </w:r>
      <w:r>
        <w:rPr>
          <w:rFonts w:ascii="Calibri" w:eastAsia="MS Mincho" w:hAnsi="Calibri" w:cs="Times New Roman"/>
          <w:sz w:val="20"/>
        </w:rPr>
        <w:t>up to the end of 2017)</w:t>
      </w:r>
    </w:p>
    <w:p w:rsidR="002E1B28" w:rsidRDefault="00281D6D" w:rsidP="002E1B28">
      <w:pPr>
        <w:spacing w:before="240"/>
        <w:outlineLvl w:val="1"/>
        <w:rPr>
          <w:rFonts w:ascii="Calibri" w:eastAsia="MS Mincho" w:hAnsi="Calibri" w:cs="Times New Roman"/>
        </w:rPr>
      </w:pPr>
      <w:r>
        <w:rPr>
          <w:rFonts w:ascii="Calibri" w:eastAsia="MS Mincho" w:hAnsi="Calibri" w:cs="Times New Roman"/>
        </w:rPr>
        <w:t xml:space="preserve">More than half of patients have only one or two injections. </w:t>
      </w:r>
      <w:r w:rsidR="002E1B28">
        <w:rPr>
          <w:rFonts w:ascii="Calibri" w:eastAsia="MS Mincho" w:hAnsi="Calibri" w:cs="Times New Roman"/>
        </w:rPr>
        <w:t xml:space="preserve">The number of services per patient fell substantially after 4 services and fell again after 8 services. This is consistent with the restriction. Many stroke patients will have a unilateral injury and so only be </w:t>
      </w:r>
      <w:r w:rsidR="002E1B28">
        <w:rPr>
          <w:rFonts w:ascii="Calibri" w:eastAsia="MS Mincho" w:hAnsi="Calibri" w:cs="Times New Roman"/>
        </w:rPr>
        <w:lastRenderedPageBreak/>
        <w:t xml:space="preserve">eligible for 4 treatments. A few will have bilateral injury and so be eligible for 8 treatments. It is possible that the injections for greater than eight treatments were not </w:t>
      </w:r>
      <w:r w:rsidR="00526AE4">
        <w:rPr>
          <w:rFonts w:ascii="Calibri" w:eastAsia="MS Mincho" w:hAnsi="Calibri" w:cs="Times New Roman"/>
        </w:rPr>
        <w:t>provided using</w:t>
      </w:r>
      <w:r w:rsidR="002E1B28">
        <w:rPr>
          <w:rFonts w:ascii="Calibri" w:eastAsia="MS Mincho" w:hAnsi="Calibri" w:cs="Times New Roman"/>
        </w:rPr>
        <w:t xml:space="preserve"> PBS subsidised botulinum toxin. The </w:t>
      </w:r>
      <w:r w:rsidR="007B051A">
        <w:rPr>
          <w:rFonts w:ascii="Calibri" w:eastAsia="MS Mincho" w:hAnsi="Calibri" w:cs="Times New Roman"/>
        </w:rPr>
        <w:t>availability</w:t>
      </w:r>
      <w:r w:rsidR="002E1B28">
        <w:rPr>
          <w:rFonts w:ascii="Calibri" w:eastAsia="MS Mincho" w:hAnsi="Calibri" w:cs="Times New Roman"/>
        </w:rPr>
        <w:t xml:space="preserve"> of patient level PBS prescription data from September 2013 will mean that compliance with the 4 limit injection per limb per lifetime can be monitored in any future reviews.</w:t>
      </w:r>
    </w:p>
    <w:p w:rsidR="00E22D92" w:rsidRPr="003667CC" w:rsidRDefault="00673911" w:rsidP="00E22D92">
      <w:pPr>
        <w:spacing w:before="240"/>
        <w:outlineLvl w:val="1"/>
        <w:rPr>
          <w:rFonts w:ascii="Calibri" w:eastAsia="MS Mincho" w:hAnsi="Calibri" w:cs="Times New Roman"/>
          <w:b/>
          <w:i/>
        </w:rPr>
      </w:pPr>
      <w:r>
        <w:rPr>
          <w:rFonts w:ascii="Calibri" w:eastAsia="MS Mincho" w:hAnsi="Calibri" w:cs="Times New Roman"/>
          <w:b/>
          <w:i/>
        </w:rPr>
        <w:t>P</w:t>
      </w:r>
      <w:r w:rsidR="007C180E" w:rsidRPr="003667CC">
        <w:rPr>
          <w:rFonts w:ascii="Calibri" w:eastAsia="MS Mincho" w:hAnsi="Calibri" w:cs="Times New Roman"/>
          <w:b/>
          <w:i/>
        </w:rPr>
        <w:t xml:space="preserve">atient </w:t>
      </w:r>
      <w:r w:rsidR="00902C53" w:rsidRPr="003667CC">
        <w:rPr>
          <w:rFonts w:ascii="Calibri" w:eastAsia="MS Mincho" w:hAnsi="Calibri" w:cs="Times New Roman"/>
          <w:b/>
          <w:i/>
        </w:rPr>
        <w:t>demographics</w:t>
      </w:r>
    </w:p>
    <w:p w:rsidR="00FD3719" w:rsidRPr="00734C23" w:rsidRDefault="00183ABD" w:rsidP="00071959">
      <w:pPr>
        <w:spacing w:before="240"/>
        <w:outlineLvl w:val="1"/>
        <w:rPr>
          <w:rFonts w:ascii="Calibri" w:eastAsia="MS Mincho" w:hAnsi="Calibri" w:cs="Times New Roman"/>
          <w:b/>
        </w:rPr>
      </w:pPr>
      <w:r>
        <w:rPr>
          <w:noProof/>
        </w:rPr>
        <w:drawing>
          <wp:inline distT="0" distB="0" distL="0" distR="0" wp14:anchorId="06224BB4" wp14:editId="10020140">
            <wp:extent cx="5687695" cy="3716447"/>
            <wp:effectExtent l="0" t="0" r="27305" b="17780"/>
            <wp:docPr id="6" name="Chart 6" title="Figure 9: Number of prevalent patients in 2017, by indication, age and gend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071959" w:rsidRPr="00B87CD5">
        <w:rPr>
          <w:rFonts w:ascii="Calibri" w:eastAsia="MS Mincho" w:hAnsi="Calibri" w:cs="Times New Roman"/>
          <w:b/>
        </w:rPr>
        <w:t xml:space="preserve">Figure </w:t>
      </w:r>
      <w:r w:rsidR="00AC574F">
        <w:rPr>
          <w:rFonts w:ascii="Calibri" w:eastAsia="MS Mincho" w:hAnsi="Calibri" w:cs="Times New Roman"/>
          <w:b/>
        </w:rPr>
        <w:t>9</w:t>
      </w:r>
      <w:r w:rsidR="00071959" w:rsidRPr="00B87CD5">
        <w:rPr>
          <w:rFonts w:ascii="Calibri" w:eastAsia="MS Mincho" w:hAnsi="Calibri" w:cs="Times New Roman"/>
          <w:b/>
        </w:rPr>
        <w:t xml:space="preserve">: </w:t>
      </w:r>
      <w:r w:rsidR="00071959">
        <w:rPr>
          <w:rFonts w:ascii="Calibri" w:eastAsia="MS Mincho" w:hAnsi="Calibri" w:cs="Times New Roman"/>
          <w:b/>
        </w:rPr>
        <w:t>Number of prevalent patients in 2017, by indication, age and gender*</w:t>
      </w:r>
      <w:r w:rsidR="00071959">
        <w:rPr>
          <w:rFonts w:ascii="Calibri" w:eastAsia="MS Mincho" w:hAnsi="Calibri" w:cs="Times New Roman"/>
          <w:b/>
        </w:rPr>
        <w:br/>
      </w:r>
      <w:r w:rsidR="00FD3719">
        <w:rPr>
          <w:rFonts w:ascii="Calibri" w:eastAsia="MS Mincho" w:hAnsi="Calibri" w:cs="Times New Roman"/>
          <w:sz w:val="20"/>
        </w:rPr>
        <w:t>*</w:t>
      </w:r>
      <w:r w:rsidR="00071959" w:rsidRPr="00071959">
        <w:rPr>
          <w:rFonts w:ascii="Calibri" w:eastAsia="MS Mincho" w:hAnsi="Calibri" w:cs="Times New Roman"/>
          <w:sz w:val="20"/>
        </w:rPr>
        <w:t xml:space="preserve"> age and gender are those recorded on </w:t>
      </w:r>
      <w:r w:rsidR="003D5491">
        <w:rPr>
          <w:rFonts w:ascii="Calibri" w:eastAsia="MS Mincho" w:hAnsi="Calibri" w:cs="Times New Roman"/>
          <w:sz w:val="20"/>
        </w:rPr>
        <w:t xml:space="preserve">a patient’s </w:t>
      </w:r>
      <w:r w:rsidR="00071959" w:rsidRPr="00071959">
        <w:rPr>
          <w:rFonts w:ascii="Calibri" w:eastAsia="MS Mincho" w:hAnsi="Calibri" w:cs="Times New Roman"/>
          <w:sz w:val="20"/>
        </w:rPr>
        <w:t>first script in 2017</w:t>
      </w:r>
      <w:r w:rsidR="003D5491">
        <w:rPr>
          <w:rFonts w:ascii="Calibri" w:eastAsia="MS Mincho" w:hAnsi="Calibri" w:cs="Times New Roman"/>
          <w:sz w:val="20"/>
        </w:rPr>
        <w:t xml:space="preserve"> for the specific indication</w:t>
      </w:r>
      <w:r w:rsidR="00071959" w:rsidRPr="00071959">
        <w:rPr>
          <w:rFonts w:ascii="Calibri" w:eastAsia="MS Mincho" w:hAnsi="Calibri" w:cs="Times New Roman"/>
          <w:sz w:val="20"/>
        </w:rPr>
        <w:t xml:space="preserve">. A patient </w:t>
      </w:r>
      <w:r w:rsidR="00ED27F3">
        <w:rPr>
          <w:rFonts w:ascii="Calibri" w:eastAsia="MS Mincho" w:hAnsi="Calibri" w:cs="Times New Roman"/>
          <w:sz w:val="20"/>
        </w:rPr>
        <w:t>may</w:t>
      </w:r>
      <w:r w:rsidR="00ED27F3" w:rsidRPr="00071959">
        <w:rPr>
          <w:rFonts w:ascii="Calibri" w:eastAsia="MS Mincho" w:hAnsi="Calibri" w:cs="Times New Roman"/>
          <w:sz w:val="20"/>
        </w:rPr>
        <w:t xml:space="preserve"> </w:t>
      </w:r>
      <w:r w:rsidR="00071959" w:rsidRPr="00071959">
        <w:rPr>
          <w:rFonts w:ascii="Calibri" w:eastAsia="MS Mincho" w:hAnsi="Calibri" w:cs="Times New Roman"/>
          <w:sz w:val="20"/>
        </w:rPr>
        <w:t xml:space="preserve">be </w:t>
      </w:r>
      <w:r w:rsidR="00ED27F3">
        <w:rPr>
          <w:rFonts w:ascii="Calibri" w:eastAsia="MS Mincho" w:hAnsi="Calibri" w:cs="Times New Roman"/>
          <w:sz w:val="20"/>
        </w:rPr>
        <w:t xml:space="preserve">represented in </w:t>
      </w:r>
      <w:r w:rsidR="00071959" w:rsidRPr="00071959">
        <w:rPr>
          <w:rFonts w:ascii="Calibri" w:eastAsia="MS Mincho" w:hAnsi="Calibri" w:cs="Times New Roman"/>
          <w:sz w:val="20"/>
        </w:rPr>
        <w:t>more than one indication in the period.</w:t>
      </w:r>
      <w:r>
        <w:rPr>
          <w:rFonts w:ascii="Calibri" w:eastAsia="MS Mincho" w:hAnsi="Calibri" w:cs="Times New Roman"/>
          <w:sz w:val="20"/>
        </w:rPr>
        <w:br/>
      </w:r>
      <w:r w:rsidRPr="001D72A5">
        <w:rPr>
          <w:rStyle w:val="FigurecaptionChar"/>
        </w:rPr>
        <w:t xml:space="preserve">Note: Where the number of </w:t>
      </w:r>
      <w:r>
        <w:rPr>
          <w:rStyle w:val="FigurecaptionChar"/>
        </w:rPr>
        <w:t xml:space="preserve">patients </w:t>
      </w:r>
      <w:r w:rsidRPr="001D72A5">
        <w:rPr>
          <w:rStyle w:val="FigurecaptionChar"/>
        </w:rPr>
        <w:t>was between 1 and 5 (inclusive), the data point has been set to 5 to protect confidentiality</w:t>
      </w:r>
      <w:r>
        <w:rPr>
          <w:rStyle w:val="FigurecaptionChar"/>
        </w:rPr>
        <w:t>.</w:t>
      </w:r>
    </w:p>
    <w:p w:rsidR="00FD3719" w:rsidRDefault="00FD3719" w:rsidP="00071959">
      <w:pPr>
        <w:spacing w:before="240"/>
        <w:outlineLvl w:val="1"/>
        <w:rPr>
          <w:rFonts w:ascii="Calibri" w:eastAsia="MS Mincho" w:hAnsi="Calibri" w:cs="Times New Roman"/>
        </w:rPr>
      </w:pPr>
      <w:r>
        <w:rPr>
          <w:rFonts w:ascii="Calibri" w:eastAsia="MS Mincho" w:hAnsi="Calibri" w:cs="Times New Roman"/>
        </w:rPr>
        <w:t xml:space="preserve">Figure </w:t>
      </w:r>
      <w:r w:rsidR="00AC574F">
        <w:rPr>
          <w:rFonts w:ascii="Calibri" w:eastAsia="MS Mincho" w:hAnsi="Calibri" w:cs="Times New Roman"/>
        </w:rPr>
        <w:t>9</w:t>
      </w:r>
      <w:r w:rsidR="006B1D70">
        <w:rPr>
          <w:rFonts w:ascii="Calibri" w:eastAsia="MS Mincho" w:hAnsi="Calibri" w:cs="Times New Roman"/>
        </w:rPr>
        <w:t xml:space="preserve"> </w:t>
      </w:r>
      <w:r>
        <w:rPr>
          <w:rFonts w:ascii="Calibri" w:eastAsia="MS Mincho" w:hAnsi="Calibri" w:cs="Times New Roman"/>
        </w:rPr>
        <w:t xml:space="preserve">shows that treatment of the </w:t>
      </w:r>
      <w:r w:rsidR="00F76A1F">
        <w:rPr>
          <w:rFonts w:ascii="Calibri" w:eastAsia="MS Mincho" w:hAnsi="Calibri" w:cs="Times New Roman"/>
        </w:rPr>
        <w:t xml:space="preserve">cerebral palsy spasticity </w:t>
      </w:r>
      <w:r>
        <w:rPr>
          <w:rFonts w:ascii="Calibri" w:eastAsia="MS Mincho" w:hAnsi="Calibri" w:cs="Times New Roman"/>
        </w:rPr>
        <w:t xml:space="preserve">indications </w:t>
      </w:r>
      <w:r w:rsidR="00EB3C54">
        <w:rPr>
          <w:rFonts w:ascii="Calibri" w:eastAsia="MS Mincho" w:hAnsi="Calibri" w:cs="Times New Roman"/>
        </w:rPr>
        <w:t xml:space="preserve">occurred </w:t>
      </w:r>
      <w:r w:rsidR="00067C9A">
        <w:rPr>
          <w:rFonts w:ascii="Calibri" w:eastAsia="MS Mincho" w:hAnsi="Calibri" w:cs="Times New Roman"/>
        </w:rPr>
        <w:t>mainly</w:t>
      </w:r>
      <w:r w:rsidR="00EB3C54">
        <w:rPr>
          <w:rFonts w:ascii="Calibri" w:eastAsia="MS Mincho" w:hAnsi="Calibri" w:cs="Times New Roman"/>
        </w:rPr>
        <w:t xml:space="preserve"> </w:t>
      </w:r>
      <w:r>
        <w:rPr>
          <w:rFonts w:ascii="Calibri" w:eastAsia="MS Mincho" w:hAnsi="Calibri" w:cs="Times New Roman"/>
        </w:rPr>
        <w:t>in young patients (most commonly in the 5-9 years age group)</w:t>
      </w:r>
      <w:r w:rsidR="007141BA">
        <w:rPr>
          <w:rFonts w:ascii="Calibri" w:eastAsia="MS Mincho" w:hAnsi="Calibri" w:cs="Times New Roman"/>
        </w:rPr>
        <w:t>. T</w:t>
      </w:r>
      <w:r>
        <w:rPr>
          <w:rFonts w:ascii="Calibri" w:eastAsia="MS Mincho" w:hAnsi="Calibri" w:cs="Times New Roman"/>
        </w:rPr>
        <w:t xml:space="preserve">reatment of </w:t>
      </w:r>
      <w:r w:rsidR="007141BA">
        <w:rPr>
          <w:rFonts w:ascii="Calibri" w:eastAsia="MS Mincho" w:hAnsi="Calibri" w:cs="Times New Roman"/>
        </w:rPr>
        <w:t>blepharospasm</w:t>
      </w:r>
      <w:r w:rsidR="003B6F7B">
        <w:rPr>
          <w:rFonts w:ascii="Calibri" w:eastAsia="MS Mincho" w:hAnsi="Calibri" w:cs="Times New Roman"/>
        </w:rPr>
        <w:t xml:space="preserve">, </w:t>
      </w:r>
      <w:r w:rsidR="007141BA">
        <w:rPr>
          <w:rFonts w:ascii="Calibri" w:eastAsia="MS Mincho" w:hAnsi="Calibri" w:cs="Times New Roman"/>
        </w:rPr>
        <w:t xml:space="preserve">hemifacial spasm </w:t>
      </w:r>
      <w:r w:rsidR="003B6F7B">
        <w:rPr>
          <w:rFonts w:ascii="Calibri" w:eastAsia="MS Mincho" w:hAnsi="Calibri" w:cs="Times New Roman"/>
        </w:rPr>
        <w:t xml:space="preserve">and spasmodic torticollis </w:t>
      </w:r>
      <w:r w:rsidR="007141BA">
        <w:rPr>
          <w:rFonts w:ascii="Calibri" w:eastAsia="MS Mincho" w:hAnsi="Calibri" w:cs="Times New Roman"/>
        </w:rPr>
        <w:t>is most common in the 50-75 age range</w:t>
      </w:r>
      <w:r>
        <w:rPr>
          <w:rFonts w:ascii="Calibri" w:eastAsia="MS Mincho" w:hAnsi="Calibri" w:cs="Times New Roman"/>
        </w:rPr>
        <w:t>.</w:t>
      </w:r>
      <w:r w:rsidR="00734C23">
        <w:rPr>
          <w:rFonts w:ascii="Calibri" w:eastAsia="MS Mincho" w:hAnsi="Calibri" w:cs="Times New Roman"/>
        </w:rPr>
        <w:t xml:space="preserve"> </w:t>
      </w:r>
      <w:r w:rsidR="007B051A">
        <w:rPr>
          <w:rFonts w:ascii="Calibri" w:eastAsia="MS Mincho" w:hAnsi="Calibri" w:cs="Times New Roman"/>
        </w:rPr>
        <w:t>The treatment</w:t>
      </w:r>
      <w:r w:rsidR="00674DF3">
        <w:rPr>
          <w:rFonts w:ascii="Calibri" w:eastAsia="MS Mincho" w:hAnsi="Calibri" w:cs="Times New Roman"/>
        </w:rPr>
        <w:t xml:space="preserve"> of spa</w:t>
      </w:r>
      <w:r w:rsidR="00F76A1F">
        <w:rPr>
          <w:rFonts w:ascii="Calibri" w:eastAsia="MS Mincho" w:hAnsi="Calibri" w:cs="Times New Roman"/>
        </w:rPr>
        <w:t xml:space="preserve">sticity of the upper limb following stroke </w:t>
      </w:r>
      <w:r w:rsidR="00674DF3">
        <w:rPr>
          <w:rFonts w:ascii="Calibri" w:eastAsia="MS Mincho" w:hAnsi="Calibri" w:cs="Times New Roman"/>
        </w:rPr>
        <w:t>is</w:t>
      </w:r>
      <w:r w:rsidR="00734C23">
        <w:rPr>
          <w:rFonts w:ascii="Calibri" w:eastAsia="MS Mincho" w:hAnsi="Calibri" w:cs="Times New Roman"/>
        </w:rPr>
        <w:t xml:space="preserve"> mainly </w:t>
      </w:r>
      <w:r w:rsidR="00674DF3">
        <w:rPr>
          <w:rFonts w:ascii="Calibri" w:eastAsia="MS Mincho" w:hAnsi="Calibri" w:cs="Times New Roman"/>
        </w:rPr>
        <w:t xml:space="preserve">in older </w:t>
      </w:r>
      <w:r w:rsidR="00734C23">
        <w:rPr>
          <w:rFonts w:ascii="Calibri" w:eastAsia="MS Mincho" w:hAnsi="Calibri" w:cs="Times New Roman"/>
        </w:rPr>
        <w:t>patients</w:t>
      </w:r>
      <w:r w:rsidR="00674DF3">
        <w:rPr>
          <w:rFonts w:ascii="Calibri" w:eastAsia="MS Mincho" w:hAnsi="Calibri" w:cs="Times New Roman"/>
        </w:rPr>
        <w:t xml:space="preserve"> however there are small numbers of patients in all age brackets from 20 to 100 years.</w:t>
      </w:r>
    </w:p>
    <w:p w:rsidR="00F31D39" w:rsidRDefault="00C60F7C" w:rsidP="00071959">
      <w:pPr>
        <w:spacing w:before="240"/>
        <w:outlineLvl w:val="1"/>
        <w:rPr>
          <w:rFonts w:ascii="Calibri" w:eastAsia="MS Mincho" w:hAnsi="Calibri" w:cs="Times New Roman"/>
        </w:rPr>
      </w:pPr>
      <w:r>
        <w:rPr>
          <w:rFonts w:ascii="Calibri" w:eastAsia="MS Mincho" w:hAnsi="Calibri" w:cs="Times New Roman"/>
        </w:rPr>
        <w:t xml:space="preserve">Spasticity </w:t>
      </w:r>
      <w:r w:rsidR="00AC574F">
        <w:rPr>
          <w:rFonts w:ascii="Calibri" w:eastAsia="MS Mincho" w:hAnsi="Calibri" w:cs="Times New Roman"/>
        </w:rPr>
        <w:t>is</w:t>
      </w:r>
      <w:r>
        <w:rPr>
          <w:rFonts w:ascii="Calibri" w:eastAsia="MS Mincho" w:hAnsi="Calibri" w:cs="Times New Roman"/>
        </w:rPr>
        <w:t xml:space="preserve"> more common in males than females </w:t>
      </w:r>
      <w:r w:rsidR="00156057">
        <w:rPr>
          <w:rFonts w:ascii="Calibri" w:eastAsia="MS Mincho" w:hAnsi="Calibri" w:cs="Times New Roman"/>
        </w:rPr>
        <w:t>c</w:t>
      </w:r>
      <w:r w:rsidR="007B051A">
        <w:rPr>
          <w:rFonts w:ascii="Calibri" w:eastAsia="MS Mincho" w:hAnsi="Calibri" w:cs="Times New Roman"/>
        </w:rPr>
        <w:t>onsistent</w:t>
      </w:r>
      <w:r w:rsidR="00674DF3">
        <w:rPr>
          <w:rFonts w:ascii="Calibri" w:eastAsia="MS Mincho" w:hAnsi="Calibri" w:cs="Times New Roman"/>
        </w:rPr>
        <w:t xml:space="preserve"> with cerebral palsy and stroke affecting more men than </w:t>
      </w:r>
      <w:proofErr w:type="gramStart"/>
      <w:r w:rsidR="00674DF3">
        <w:rPr>
          <w:rFonts w:ascii="Calibri" w:eastAsia="MS Mincho" w:hAnsi="Calibri" w:cs="Times New Roman"/>
        </w:rPr>
        <w:t>women.</w:t>
      </w:r>
      <w:r w:rsidR="0046087F">
        <w:rPr>
          <w:rStyle w:val="FootnoteReference"/>
          <w:rFonts w:ascii="Calibri" w:eastAsia="MS Mincho" w:hAnsi="Calibri" w:cs="Times New Roman"/>
        </w:rPr>
        <w:footnoteReference w:id="8"/>
      </w:r>
      <w:r w:rsidR="00AC574F" w:rsidRPr="00AC574F">
        <w:rPr>
          <w:rFonts w:ascii="Calibri" w:eastAsia="MS Mincho" w:hAnsi="Calibri" w:cs="Times New Roman"/>
          <w:vertAlign w:val="superscript"/>
        </w:rPr>
        <w:t>,</w:t>
      </w:r>
      <w:proofErr w:type="gramEnd"/>
      <w:r w:rsidR="00AF142C">
        <w:rPr>
          <w:rStyle w:val="FootnoteReference"/>
          <w:rFonts w:ascii="Calibri" w:eastAsia="MS Mincho" w:hAnsi="Calibri" w:cs="Times New Roman"/>
        </w:rPr>
        <w:footnoteReference w:id="9"/>
      </w:r>
      <w:r w:rsidR="00F31D39">
        <w:rPr>
          <w:rFonts w:ascii="Calibri" w:eastAsia="MS Mincho" w:hAnsi="Calibri" w:cs="Times New Roman"/>
        </w:rPr>
        <w:t xml:space="preserve"> The situation is reversed for dystonia with more women experiencing</w:t>
      </w:r>
      <w:r w:rsidR="00AC574F">
        <w:rPr>
          <w:rFonts w:ascii="Calibri" w:eastAsia="MS Mincho" w:hAnsi="Calibri" w:cs="Times New Roman"/>
        </w:rPr>
        <w:t>,</w:t>
      </w:r>
      <w:r w:rsidR="00CB5E1B">
        <w:rPr>
          <w:rFonts w:ascii="Calibri" w:eastAsia="MS Mincho" w:hAnsi="Calibri" w:cs="Times New Roman"/>
        </w:rPr>
        <w:t xml:space="preserve"> </w:t>
      </w:r>
      <w:r w:rsidR="00F31D39">
        <w:rPr>
          <w:rFonts w:ascii="Calibri" w:eastAsia="MS Mincho" w:hAnsi="Calibri" w:cs="Times New Roman"/>
        </w:rPr>
        <w:t>and being treated for</w:t>
      </w:r>
      <w:r w:rsidR="00AC574F">
        <w:rPr>
          <w:rFonts w:ascii="Calibri" w:eastAsia="MS Mincho" w:hAnsi="Calibri" w:cs="Times New Roman"/>
        </w:rPr>
        <w:t>,</w:t>
      </w:r>
      <w:r w:rsidR="00F31D39">
        <w:rPr>
          <w:rFonts w:ascii="Calibri" w:eastAsia="MS Mincho" w:hAnsi="Calibri" w:cs="Times New Roman"/>
        </w:rPr>
        <w:t xml:space="preserve"> these conditions.</w:t>
      </w:r>
      <w:r w:rsidR="00246AEA">
        <w:rPr>
          <w:rStyle w:val="FootnoteReference"/>
          <w:rFonts w:ascii="Calibri" w:eastAsia="MS Mincho" w:hAnsi="Calibri" w:cs="Times New Roman"/>
        </w:rPr>
        <w:footnoteReference w:id="10"/>
      </w:r>
      <w:r w:rsidR="00F31D39">
        <w:rPr>
          <w:rFonts w:ascii="Calibri" w:eastAsia="MS Mincho" w:hAnsi="Calibri" w:cs="Times New Roman"/>
        </w:rPr>
        <w:t xml:space="preserve"> </w:t>
      </w:r>
    </w:p>
    <w:p w:rsidR="007D506D" w:rsidRDefault="00586133" w:rsidP="00071959">
      <w:pPr>
        <w:spacing w:before="240"/>
        <w:outlineLvl w:val="1"/>
        <w:rPr>
          <w:rFonts w:ascii="Calibri" w:eastAsia="MS Mincho" w:hAnsi="Calibri" w:cs="Times New Roman"/>
        </w:rPr>
      </w:pPr>
      <w:r>
        <w:rPr>
          <w:rFonts w:ascii="Calibri" w:eastAsia="MS Mincho" w:hAnsi="Calibri" w:cs="Times New Roman"/>
        </w:rPr>
        <w:lastRenderedPageBreak/>
        <w:t xml:space="preserve">The </w:t>
      </w:r>
      <w:r w:rsidR="00F31D39">
        <w:rPr>
          <w:rFonts w:ascii="Calibri" w:eastAsia="MS Mincho" w:hAnsi="Calibri" w:cs="Times New Roman"/>
        </w:rPr>
        <w:t xml:space="preserve">PBS </w:t>
      </w:r>
      <w:r>
        <w:rPr>
          <w:rFonts w:ascii="Calibri" w:eastAsia="MS Mincho" w:hAnsi="Calibri" w:cs="Times New Roman"/>
        </w:rPr>
        <w:t>restriction</w:t>
      </w:r>
      <w:r w:rsidR="00F31D39">
        <w:rPr>
          <w:rFonts w:ascii="Calibri" w:eastAsia="MS Mincho" w:hAnsi="Calibri" w:cs="Times New Roman"/>
        </w:rPr>
        <w:t xml:space="preserve">s for </w:t>
      </w:r>
      <w:r w:rsidR="00F31D39">
        <w:t>d</w:t>
      </w:r>
      <w:r w:rsidR="00F31D39" w:rsidRPr="00917FFC">
        <w:t>ynamic equinus foot deformity</w:t>
      </w:r>
      <w:r w:rsidR="00F31D39">
        <w:t xml:space="preserve"> and upper limb spasticity in patients with cerebral palsy</w:t>
      </w:r>
      <w:r>
        <w:rPr>
          <w:rFonts w:ascii="Calibri" w:eastAsia="MS Mincho" w:hAnsi="Calibri" w:cs="Times New Roman"/>
        </w:rPr>
        <w:t xml:space="preserve"> </w:t>
      </w:r>
      <w:r w:rsidR="00F31D39">
        <w:rPr>
          <w:rFonts w:ascii="Calibri" w:eastAsia="MS Mincho" w:hAnsi="Calibri" w:cs="Times New Roman"/>
        </w:rPr>
        <w:t>require</w:t>
      </w:r>
      <w:r>
        <w:rPr>
          <w:rFonts w:ascii="Calibri" w:eastAsia="MS Mincho" w:hAnsi="Calibri" w:cs="Times New Roman"/>
        </w:rPr>
        <w:t xml:space="preserve"> that </w:t>
      </w:r>
      <w:r w:rsidR="00EB1218">
        <w:rPr>
          <w:rFonts w:ascii="Calibri" w:eastAsia="MS Mincho" w:hAnsi="Calibri" w:cs="Times New Roman"/>
        </w:rPr>
        <w:t>patients must initiate treatment between the ages of 2 and 17.</w:t>
      </w:r>
      <w:r w:rsidR="00472C63">
        <w:rPr>
          <w:rFonts w:ascii="Calibri" w:eastAsia="MS Mincho" w:hAnsi="Calibri" w:cs="Times New Roman"/>
        </w:rPr>
        <w:t xml:space="preserve"> </w:t>
      </w:r>
      <w:r w:rsidR="005E1FE1">
        <w:rPr>
          <w:rFonts w:ascii="Calibri" w:eastAsia="MS Mincho" w:hAnsi="Calibri" w:cs="Times New Roman"/>
        </w:rPr>
        <w:t xml:space="preserve">Table </w:t>
      </w:r>
      <w:r w:rsidR="00701F15">
        <w:rPr>
          <w:rFonts w:ascii="Calibri" w:eastAsia="MS Mincho" w:hAnsi="Calibri" w:cs="Times New Roman"/>
        </w:rPr>
        <w:t>1</w:t>
      </w:r>
      <w:r w:rsidR="00A412AE">
        <w:rPr>
          <w:rFonts w:ascii="Calibri" w:eastAsia="MS Mincho" w:hAnsi="Calibri" w:cs="Times New Roman"/>
        </w:rPr>
        <w:t>1</w:t>
      </w:r>
      <w:r w:rsidR="00701F15">
        <w:rPr>
          <w:rFonts w:ascii="Calibri" w:eastAsia="MS Mincho" w:hAnsi="Calibri" w:cs="Times New Roman"/>
        </w:rPr>
        <w:t xml:space="preserve"> </w:t>
      </w:r>
      <w:r w:rsidR="00B03A19">
        <w:rPr>
          <w:rFonts w:ascii="Calibri" w:eastAsia="MS Mincho" w:hAnsi="Calibri" w:cs="Times New Roman"/>
        </w:rPr>
        <w:t xml:space="preserve">shows </w:t>
      </w:r>
      <w:r w:rsidR="00472C63">
        <w:rPr>
          <w:rFonts w:ascii="Calibri" w:eastAsia="MS Mincho" w:hAnsi="Calibri" w:cs="Times New Roman"/>
        </w:rPr>
        <w:t xml:space="preserve">the number of patients initiating </w:t>
      </w:r>
      <w:r w:rsidR="00210797">
        <w:rPr>
          <w:rFonts w:ascii="Calibri" w:eastAsia="MS Mincho" w:hAnsi="Calibri" w:cs="Times New Roman"/>
        </w:rPr>
        <w:t>b</w:t>
      </w:r>
      <w:r w:rsidR="00B03A19" w:rsidRPr="007D506D">
        <w:rPr>
          <w:rFonts w:ascii="Calibri" w:eastAsia="MS Mincho" w:hAnsi="Calibri" w:cs="Times New Roman"/>
        </w:rPr>
        <w:t>otulinu</w:t>
      </w:r>
      <w:r w:rsidR="00210797">
        <w:rPr>
          <w:rFonts w:ascii="Calibri" w:eastAsia="MS Mincho" w:hAnsi="Calibri" w:cs="Times New Roman"/>
        </w:rPr>
        <w:t>m toxin t</w:t>
      </w:r>
      <w:r w:rsidR="00B03A19" w:rsidRPr="007D506D">
        <w:rPr>
          <w:rFonts w:ascii="Calibri" w:eastAsia="MS Mincho" w:hAnsi="Calibri" w:cs="Times New Roman"/>
        </w:rPr>
        <w:t xml:space="preserve">ype </w:t>
      </w:r>
      <w:proofErr w:type="gramStart"/>
      <w:r w:rsidR="00B03A19" w:rsidRPr="007D506D">
        <w:rPr>
          <w:rFonts w:ascii="Calibri" w:eastAsia="MS Mincho" w:hAnsi="Calibri" w:cs="Times New Roman"/>
        </w:rPr>
        <w:t>A</w:t>
      </w:r>
      <w:proofErr w:type="gramEnd"/>
      <w:r w:rsidR="00B03A19">
        <w:rPr>
          <w:rFonts w:ascii="Calibri" w:eastAsia="MS Mincho" w:hAnsi="Calibri" w:cs="Times New Roman"/>
        </w:rPr>
        <w:t xml:space="preserve"> treatment </w:t>
      </w:r>
      <w:r w:rsidR="009D3872">
        <w:rPr>
          <w:rFonts w:ascii="Calibri" w:eastAsia="MS Mincho" w:hAnsi="Calibri" w:cs="Times New Roman"/>
        </w:rPr>
        <w:t xml:space="preserve">for these indications </w:t>
      </w:r>
      <w:r w:rsidR="00B03A19">
        <w:rPr>
          <w:rFonts w:ascii="Calibri" w:eastAsia="MS Mincho" w:hAnsi="Calibri" w:cs="Times New Roman"/>
        </w:rPr>
        <w:t>in 2017. Initiation was defined as no prior prescription since 1 September 2015 (i</w:t>
      </w:r>
      <w:r w:rsidR="00C474E2">
        <w:rPr>
          <w:rFonts w:ascii="Calibri" w:eastAsia="MS Mincho" w:hAnsi="Calibri" w:cs="Times New Roman"/>
        </w:rPr>
        <w:t>.</w:t>
      </w:r>
      <w:r w:rsidR="00B03A19">
        <w:rPr>
          <w:rFonts w:ascii="Calibri" w:eastAsia="MS Mincho" w:hAnsi="Calibri" w:cs="Times New Roman"/>
        </w:rPr>
        <w:t xml:space="preserve">e. at least 16 months). </w:t>
      </w:r>
    </w:p>
    <w:p w:rsidR="00982E11" w:rsidRDefault="00CB5E1B" w:rsidP="00071959">
      <w:pPr>
        <w:spacing w:before="240"/>
        <w:outlineLvl w:val="1"/>
        <w:rPr>
          <w:rFonts w:ascii="Calibri" w:eastAsia="MS Mincho" w:hAnsi="Calibri" w:cs="Times New Roman"/>
        </w:rPr>
      </w:pPr>
      <w:r>
        <w:rPr>
          <w:rFonts w:ascii="Calibri" w:eastAsia="MS Mincho" w:hAnsi="Calibri" w:cs="Times New Roman"/>
        </w:rPr>
        <w:t>T</w:t>
      </w:r>
      <w:r w:rsidR="005E1FE1">
        <w:rPr>
          <w:rFonts w:ascii="Calibri" w:eastAsia="MS Mincho" w:hAnsi="Calibri" w:cs="Times New Roman"/>
        </w:rPr>
        <w:t xml:space="preserve">he vast majority of patients commence treatment before 18 years of age. There are a small number of patients that </w:t>
      </w:r>
      <w:r w:rsidR="00586133">
        <w:rPr>
          <w:rFonts w:ascii="Calibri" w:eastAsia="MS Mincho" w:hAnsi="Calibri" w:cs="Times New Roman"/>
        </w:rPr>
        <w:t xml:space="preserve">appear to initiate treatment after </w:t>
      </w:r>
      <w:r w:rsidR="00EB1218">
        <w:rPr>
          <w:rFonts w:ascii="Calibri" w:eastAsia="MS Mincho" w:hAnsi="Calibri" w:cs="Times New Roman"/>
        </w:rPr>
        <w:t>having turned 18</w:t>
      </w:r>
      <w:r w:rsidR="005E1FE1">
        <w:rPr>
          <w:rFonts w:ascii="Calibri" w:eastAsia="MS Mincho" w:hAnsi="Calibri" w:cs="Times New Roman"/>
        </w:rPr>
        <w:t>, however these patients may have had botulinum toxin prio</w:t>
      </w:r>
      <w:r w:rsidR="00E64994">
        <w:rPr>
          <w:rFonts w:ascii="Calibri" w:eastAsia="MS Mincho" w:hAnsi="Calibri" w:cs="Times New Roman"/>
        </w:rPr>
        <w:t>r</w:t>
      </w:r>
      <w:r w:rsidR="005E1FE1">
        <w:rPr>
          <w:rFonts w:ascii="Calibri" w:eastAsia="MS Mincho" w:hAnsi="Calibri" w:cs="Times New Roman"/>
        </w:rPr>
        <w:t xml:space="preserve"> to the available lookbac</w:t>
      </w:r>
      <w:r w:rsidR="00E64994">
        <w:rPr>
          <w:rFonts w:ascii="Calibri" w:eastAsia="MS Mincho" w:hAnsi="Calibri" w:cs="Times New Roman"/>
        </w:rPr>
        <w:t>k</w:t>
      </w:r>
      <w:r w:rsidR="005E1FE1">
        <w:rPr>
          <w:rFonts w:ascii="Calibri" w:eastAsia="MS Mincho" w:hAnsi="Calibri" w:cs="Times New Roman"/>
        </w:rPr>
        <w:t xml:space="preserve"> period in the PBS data</w:t>
      </w:r>
      <w:r w:rsidR="00156057">
        <w:rPr>
          <w:rFonts w:ascii="Calibri" w:eastAsia="MS Mincho" w:hAnsi="Calibri" w:cs="Times New Roman"/>
        </w:rPr>
        <w:t xml:space="preserve"> or may have had non-PBS botulinum toxin</w:t>
      </w:r>
      <w:r w:rsidR="00EB1218">
        <w:rPr>
          <w:rFonts w:ascii="Calibri" w:eastAsia="MS Mincho" w:hAnsi="Calibri" w:cs="Times New Roman"/>
        </w:rPr>
        <w:t>.</w:t>
      </w:r>
      <w:r w:rsidR="005E1FE1">
        <w:rPr>
          <w:rFonts w:ascii="Calibri" w:eastAsia="MS Mincho" w:hAnsi="Calibri" w:cs="Times New Roman"/>
        </w:rPr>
        <w:t xml:space="preserve"> </w:t>
      </w:r>
    </w:p>
    <w:p w:rsidR="00B952BB" w:rsidRPr="00FD044A" w:rsidRDefault="00A412AE" w:rsidP="00B952BB">
      <w:pPr>
        <w:spacing w:after="0"/>
        <w:rPr>
          <w:rFonts w:ascii="Calibri" w:eastAsia="MS Mincho" w:hAnsi="Calibri" w:cs="Times New Roman"/>
          <w:b/>
        </w:rPr>
      </w:pPr>
      <w:r>
        <w:rPr>
          <w:rFonts w:ascii="Calibri" w:eastAsia="MS Mincho" w:hAnsi="Calibri" w:cs="Times New Roman"/>
          <w:b/>
        </w:rPr>
        <w:t>Table 11</w:t>
      </w:r>
      <w:r w:rsidR="00B952BB" w:rsidRPr="00FD044A">
        <w:rPr>
          <w:rFonts w:ascii="Calibri" w:eastAsia="MS Mincho" w:hAnsi="Calibri" w:cs="Times New Roman"/>
          <w:b/>
        </w:rPr>
        <w:t xml:space="preserve">: </w:t>
      </w:r>
      <w:r w:rsidR="00B952BB" w:rsidRPr="00B952BB">
        <w:rPr>
          <w:rFonts w:ascii="Calibri" w:eastAsia="MS Mincho" w:hAnsi="Calibri" w:cs="Times New Roman"/>
          <w:b/>
        </w:rPr>
        <w:t xml:space="preserve">Cerebral palsy patient </w:t>
      </w:r>
      <w:r w:rsidR="00B952BB">
        <w:rPr>
          <w:rFonts w:ascii="Calibri" w:eastAsia="MS Mincho" w:hAnsi="Calibri" w:cs="Times New Roman"/>
          <w:b/>
        </w:rPr>
        <w:t xml:space="preserve">initiations by indication </w:t>
      </w:r>
      <w:r w:rsidR="00B952BB" w:rsidRPr="00B952BB">
        <w:rPr>
          <w:rFonts w:ascii="Calibri" w:eastAsia="MS Mincho" w:hAnsi="Calibri" w:cs="Times New Roman"/>
          <w:b/>
        </w:rPr>
        <w:t>in 2017</w:t>
      </w:r>
    </w:p>
    <w:tbl>
      <w:tblPr>
        <w:tblStyle w:val="TableGrid"/>
        <w:tblW w:w="0" w:type="auto"/>
        <w:tblLook w:val="04A0" w:firstRow="1" w:lastRow="0" w:firstColumn="1" w:lastColumn="0" w:noHBand="0" w:noVBand="1"/>
        <w:tblCaption w:val="Table 11: Cerebral palsy patient initiations by indication in 2017"/>
      </w:tblPr>
      <w:tblGrid>
        <w:gridCol w:w="4309"/>
        <w:gridCol w:w="1262"/>
        <w:gridCol w:w="998"/>
        <w:gridCol w:w="640"/>
      </w:tblGrid>
      <w:tr w:rsidR="00A412AE" w:rsidRPr="00B952BB" w:rsidTr="0014435E">
        <w:trPr>
          <w:trHeight w:val="300"/>
          <w:tblHeader/>
        </w:trPr>
        <w:tc>
          <w:tcPr>
            <w:tcW w:w="4309" w:type="dxa"/>
            <w:noWrap/>
            <w:vAlign w:val="center"/>
          </w:tcPr>
          <w:p w:rsidR="00A412AE" w:rsidRPr="00B952BB" w:rsidRDefault="00A412AE" w:rsidP="00B952BB">
            <w:pPr>
              <w:outlineLvl w:val="1"/>
              <w:rPr>
                <w:rFonts w:ascii="Calibri" w:eastAsia="MS Mincho" w:hAnsi="Calibri" w:cs="Times New Roman"/>
                <w:b/>
                <w:bCs/>
                <w:sz w:val="20"/>
                <w:szCs w:val="20"/>
              </w:rPr>
            </w:pPr>
          </w:p>
        </w:tc>
        <w:tc>
          <w:tcPr>
            <w:tcW w:w="0" w:type="auto"/>
            <w:gridSpan w:val="3"/>
            <w:noWrap/>
            <w:vAlign w:val="center"/>
          </w:tcPr>
          <w:p w:rsidR="00A412AE" w:rsidRPr="00B952BB" w:rsidRDefault="00A412AE" w:rsidP="00B952BB">
            <w:pPr>
              <w:jc w:val="center"/>
              <w:outlineLvl w:val="1"/>
              <w:rPr>
                <w:rFonts w:ascii="Calibri" w:eastAsia="MS Mincho" w:hAnsi="Calibri" w:cs="Times New Roman"/>
                <w:b/>
                <w:sz w:val="20"/>
                <w:szCs w:val="20"/>
              </w:rPr>
            </w:pPr>
            <w:r w:rsidRPr="00B952BB">
              <w:rPr>
                <w:rFonts w:ascii="Calibri" w:eastAsia="MS Mincho" w:hAnsi="Calibri" w:cs="Times New Roman"/>
                <w:b/>
                <w:sz w:val="20"/>
                <w:szCs w:val="20"/>
              </w:rPr>
              <w:t>Age at initiation</w:t>
            </w:r>
          </w:p>
        </w:tc>
      </w:tr>
      <w:tr w:rsidR="00A412AE" w:rsidRPr="00B952BB" w:rsidTr="00B952BB">
        <w:trPr>
          <w:trHeight w:val="300"/>
        </w:trPr>
        <w:tc>
          <w:tcPr>
            <w:tcW w:w="4309" w:type="dxa"/>
            <w:noWrap/>
            <w:vAlign w:val="center"/>
            <w:hideMark/>
          </w:tcPr>
          <w:p w:rsidR="00A412AE" w:rsidRPr="00B952BB" w:rsidRDefault="00A412AE" w:rsidP="00B952BB">
            <w:pPr>
              <w:outlineLvl w:val="1"/>
              <w:rPr>
                <w:rFonts w:ascii="Calibri" w:eastAsia="MS Mincho" w:hAnsi="Calibri" w:cs="Times New Roman"/>
                <w:b/>
                <w:bCs/>
                <w:sz w:val="20"/>
                <w:szCs w:val="20"/>
              </w:rPr>
            </w:pPr>
          </w:p>
        </w:tc>
        <w:tc>
          <w:tcPr>
            <w:tcW w:w="0" w:type="auto"/>
            <w:noWrap/>
            <w:vAlign w:val="center"/>
            <w:hideMark/>
          </w:tcPr>
          <w:p w:rsidR="00A412AE" w:rsidRPr="00B952BB" w:rsidRDefault="00A412AE" w:rsidP="00B952BB">
            <w:pPr>
              <w:jc w:val="center"/>
              <w:outlineLvl w:val="1"/>
              <w:rPr>
                <w:rFonts w:ascii="Calibri" w:eastAsia="MS Mincho" w:hAnsi="Calibri" w:cs="Times New Roman"/>
                <w:sz w:val="20"/>
                <w:szCs w:val="20"/>
              </w:rPr>
            </w:pPr>
            <w:r>
              <w:rPr>
                <w:rFonts w:ascii="Calibri" w:eastAsia="MS Mincho" w:hAnsi="Calibri" w:cs="Times New Roman"/>
                <w:sz w:val="20"/>
                <w:szCs w:val="20"/>
              </w:rPr>
              <w:t>0</w:t>
            </w:r>
            <w:r w:rsidRPr="00B952BB">
              <w:rPr>
                <w:rFonts w:ascii="Calibri" w:eastAsia="MS Mincho" w:hAnsi="Calibri" w:cs="Times New Roman"/>
                <w:sz w:val="20"/>
                <w:szCs w:val="20"/>
              </w:rPr>
              <w:t xml:space="preserve"> to 17 years</w:t>
            </w:r>
          </w:p>
        </w:tc>
        <w:tc>
          <w:tcPr>
            <w:tcW w:w="0" w:type="auto"/>
            <w:noWrap/>
            <w:vAlign w:val="center"/>
            <w:hideMark/>
          </w:tcPr>
          <w:p w:rsidR="00A412AE" w:rsidRPr="00B952BB" w:rsidRDefault="00A412AE" w:rsidP="00B952BB">
            <w:pPr>
              <w:jc w:val="center"/>
              <w:outlineLvl w:val="1"/>
              <w:rPr>
                <w:rFonts w:ascii="Calibri" w:eastAsia="MS Mincho" w:hAnsi="Calibri" w:cs="Times New Roman"/>
                <w:sz w:val="20"/>
                <w:szCs w:val="20"/>
              </w:rPr>
            </w:pPr>
            <w:r w:rsidRPr="00B952BB">
              <w:rPr>
                <w:rFonts w:ascii="Calibri" w:eastAsia="MS Mincho" w:hAnsi="Calibri" w:cs="Times New Roman"/>
                <w:sz w:val="20"/>
                <w:szCs w:val="20"/>
              </w:rPr>
              <w:t>18+ years</w:t>
            </w:r>
          </w:p>
        </w:tc>
        <w:tc>
          <w:tcPr>
            <w:tcW w:w="0" w:type="auto"/>
            <w:noWrap/>
            <w:vAlign w:val="center"/>
            <w:hideMark/>
          </w:tcPr>
          <w:p w:rsidR="00A412AE" w:rsidRPr="00B952BB" w:rsidRDefault="00A412AE" w:rsidP="00B952BB">
            <w:pPr>
              <w:jc w:val="center"/>
              <w:outlineLvl w:val="1"/>
              <w:rPr>
                <w:rFonts w:ascii="Calibri" w:eastAsia="MS Mincho" w:hAnsi="Calibri" w:cs="Times New Roman"/>
                <w:b/>
                <w:bCs/>
                <w:sz w:val="20"/>
                <w:szCs w:val="20"/>
              </w:rPr>
            </w:pPr>
            <w:r w:rsidRPr="00B952BB">
              <w:rPr>
                <w:rFonts w:ascii="Calibri" w:eastAsia="MS Mincho" w:hAnsi="Calibri" w:cs="Times New Roman"/>
                <w:b/>
                <w:bCs/>
                <w:sz w:val="20"/>
                <w:szCs w:val="20"/>
              </w:rPr>
              <w:t>Total</w:t>
            </w:r>
          </w:p>
        </w:tc>
      </w:tr>
      <w:tr w:rsidR="00A412AE" w:rsidRPr="00B952BB" w:rsidTr="00B952BB">
        <w:trPr>
          <w:trHeight w:val="300"/>
        </w:trPr>
        <w:tc>
          <w:tcPr>
            <w:tcW w:w="4309" w:type="dxa"/>
            <w:noWrap/>
            <w:vAlign w:val="center"/>
            <w:hideMark/>
          </w:tcPr>
          <w:p w:rsidR="00A412AE" w:rsidRPr="00B952BB" w:rsidRDefault="00A412AE" w:rsidP="00B952BB">
            <w:pPr>
              <w:outlineLvl w:val="1"/>
              <w:rPr>
                <w:rFonts w:ascii="Calibri" w:eastAsia="MS Mincho" w:hAnsi="Calibri" w:cs="Times New Roman"/>
                <w:bCs/>
                <w:sz w:val="20"/>
                <w:szCs w:val="20"/>
              </w:rPr>
            </w:pPr>
            <w:r w:rsidRPr="00B952BB">
              <w:rPr>
                <w:rFonts w:ascii="Calibri" w:eastAsia="MS Mincho" w:hAnsi="Calibri" w:cs="Times New Roman"/>
                <w:bCs/>
                <w:sz w:val="20"/>
                <w:szCs w:val="20"/>
              </w:rPr>
              <w:t>Dynamic equinus foot deformity</w:t>
            </w:r>
          </w:p>
        </w:tc>
        <w:tc>
          <w:tcPr>
            <w:tcW w:w="0" w:type="auto"/>
            <w:noWrap/>
            <w:vAlign w:val="center"/>
            <w:hideMark/>
          </w:tcPr>
          <w:p w:rsidR="00A412AE" w:rsidRPr="00B952BB" w:rsidRDefault="00A412AE" w:rsidP="00A412AE">
            <w:pPr>
              <w:jc w:val="center"/>
              <w:outlineLvl w:val="1"/>
              <w:rPr>
                <w:rFonts w:ascii="Calibri" w:eastAsia="MS Mincho" w:hAnsi="Calibri" w:cs="Times New Roman"/>
                <w:sz w:val="20"/>
                <w:szCs w:val="20"/>
              </w:rPr>
            </w:pPr>
            <w:r w:rsidRPr="00B952BB">
              <w:rPr>
                <w:rFonts w:ascii="Calibri" w:eastAsia="MS Mincho" w:hAnsi="Calibri" w:cs="Times New Roman"/>
                <w:sz w:val="20"/>
                <w:szCs w:val="20"/>
              </w:rPr>
              <w:t>6</w:t>
            </w:r>
            <w:r>
              <w:rPr>
                <w:rFonts w:ascii="Calibri" w:eastAsia="MS Mincho" w:hAnsi="Calibri" w:cs="Times New Roman"/>
                <w:sz w:val="20"/>
                <w:szCs w:val="20"/>
              </w:rPr>
              <w:t>84</w:t>
            </w:r>
          </w:p>
        </w:tc>
        <w:tc>
          <w:tcPr>
            <w:tcW w:w="0" w:type="auto"/>
            <w:noWrap/>
            <w:vAlign w:val="center"/>
            <w:hideMark/>
          </w:tcPr>
          <w:p w:rsidR="00A412AE" w:rsidRPr="00B952BB" w:rsidRDefault="00A412AE" w:rsidP="00B952BB">
            <w:pPr>
              <w:jc w:val="center"/>
              <w:outlineLvl w:val="1"/>
              <w:rPr>
                <w:rFonts w:ascii="Calibri" w:eastAsia="MS Mincho" w:hAnsi="Calibri" w:cs="Times New Roman"/>
                <w:sz w:val="20"/>
                <w:szCs w:val="20"/>
              </w:rPr>
            </w:pPr>
            <w:r w:rsidRPr="00B952BB">
              <w:rPr>
                <w:rFonts w:ascii="Calibri" w:eastAsia="MS Mincho" w:hAnsi="Calibri" w:cs="Times New Roman"/>
                <w:sz w:val="20"/>
                <w:szCs w:val="20"/>
              </w:rPr>
              <w:t>61</w:t>
            </w:r>
          </w:p>
        </w:tc>
        <w:tc>
          <w:tcPr>
            <w:tcW w:w="0" w:type="auto"/>
            <w:noWrap/>
            <w:vAlign w:val="center"/>
            <w:hideMark/>
          </w:tcPr>
          <w:p w:rsidR="00A412AE" w:rsidRPr="00B952BB" w:rsidRDefault="00A412AE" w:rsidP="00B952BB">
            <w:pPr>
              <w:jc w:val="center"/>
              <w:outlineLvl w:val="1"/>
              <w:rPr>
                <w:rFonts w:ascii="Calibri" w:eastAsia="MS Mincho" w:hAnsi="Calibri" w:cs="Times New Roman"/>
                <w:b/>
                <w:bCs/>
                <w:sz w:val="20"/>
                <w:szCs w:val="20"/>
              </w:rPr>
            </w:pPr>
            <w:r w:rsidRPr="00B952BB">
              <w:rPr>
                <w:rFonts w:ascii="Calibri" w:eastAsia="MS Mincho" w:hAnsi="Calibri" w:cs="Times New Roman"/>
                <w:b/>
                <w:bCs/>
                <w:sz w:val="20"/>
                <w:szCs w:val="20"/>
              </w:rPr>
              <w:t>745</w:t>
            </w:r>
          </w:p>
        </w:tc>
      </w:tr>
      <w:tr w:rsidR="00A412AE" w:rsidRPr="00B952BB" w:rsidTr="00B952BB">
        <w:trPr>
          <w:trHeight w:val="300"/>
        </w:trPr>
        <w:tc>
          <w:tcPr>
            <w:tcW w:w="4309" w:type="dxa"/>
            <w:noWrap/>
            <w:vAlign w:val="center"/>
            <w:hideMark/>
          </w:tcPr>
          <w:p w:rsidR="00A412AE" w:rsidRPr="00B952BB" w:rsidRDefault="00A412AE" w:rsidP="00B952BB">
            <w:pPr>
              <w:outlineLvl w:val="1"/>
              <w:rPr>
                <w:rFonts w:ascii="Calibri" w:eastAsia="MS Mincho" w:hAnsi="Calibri" w:cs="Times New Roman"/>
                <w:bCs/>
                <w:sz w:val="20"/>
                <w:szCs w:val="20"/>
              </w:rPr>
            </w:pPr>
            <w:r w:rsidRPr="00B952BB">
              <w:rPr>
                <w:rFonts w:ascii="Calibri" w:eastAsia="MS Mincho" w:hAnsi="Calibri" w:cs="Times New Roman"/>
                <w:bCs/>
                <w:sz w:val="20"/>
                <w:szCs w:val="20"/>
              </w:rPr>
              <w:t>Moderate to severe spasticity - upper limb</w:t>
            </w:r>
          </w:p>
        </w:tc>
        <w:tc>
          <w:tcPr>
            <w:tcW w:w="0" w:type="auto"/>
            <w:noWrap/>
            <w:vAlign w:val="center"/>
            <w:hideMark/>
          </w:tcPr>
          <w:p w:rsidR="00A412AE" w:rsidRPr="00B952BB" w:rsidRDefault="00A412AE" w:rsidP="00A412AE">
            <w:pPr>
              <w:jc w:val="center"/>
              <w:outlineLvl w:val="1"/>
              <w:rPr>
                <w:rFonts w:ascii="Calibri" w:eastAsia="MS Mincho" w:hAnsi="Calibri" w:cs="Times New Roman"/>
                <w:sz w:val="20"/>
                <w:szCs w:val="20"/>
              </w:rPr>
            </w:pPr>
            <w:r w:rsidRPr="00B952BB">
              <w:rPr>
                <w:rFonts w:ascii="Calibri" w:eastAsia="MS Mincho" w:hAnsi="Calibri" w:cs="Times New Roman"/>
                <w:sz w:val="20"/>
                <w:szCs w:val="20"/>
              </w:rPr>
              <w:t>3</w:t>
            </w:r>
            <w:r>
              <w:rPr>
                <w:rFonts w:ascii="Calibri" w:eastAsia="MS Mincho" w:hAnsi="Calibri" w:cs="Times New Roman"/>
                <w:sz w:val="20"/>
                <w:szCs w:val="20"/>
              </w:rPr>
              <w:t>60</w:t>
            </w:r>
          </w:p>
        </w:tc>
        <w:tc>
          <w:tcPr>
            <w:tcW w:w="0" w:type="auto"/>
            <w:noWrap/>
            <w:vAlign w:val="center"/>
            <w:hideMark/>
          </w:tcPr>
          <w:p w:rsidR="00A412AE" w:rsidRPr="00B952BB" w:rsidRDefault="00A412AE" w:rsidP="00B952BB">
            <w:pPr>
              <w:jc w:val="center"/>
              <w:outlineLvl w:val="1"/>
              <w:rPr>
                <w:rFonts w:ascii="Calibri" w:eastAsia="MS Mincho" w:hAnsi="Calibri" w:cs="Times New Roman"/>
                <w:sz w:val="20"/>
                <w:szCs w:val="20"/>
              </w:rPr>
            </w:pPr>
            <w:r w:rsidRPr="00B952BB">
              <w:rPr>
                <w:rFonts w:ascii="Calibri" w:eastAsia="MS Mincho" w:hAnsi="Calibri" w:cs="Times New Roman"/>
                <w:sz w:val="20"/>
                <w:szCs w:val="20"/>
              </w:rPr>
              <w:t>95</w:t>
            </w:r>
          </w:p>
        </w:tc>
        <w:tc>
          <w:tcPr>
            <w:tcW w:w="0" w:type="auto"/>
            <w:noWrap/>
            <w:vAlign w:val="center"/>
            <w:hideMark/>
          </w:tcPr>
          <w:p w:rsidR="00A412AE" w:rsidRPr="00B952BB" w:rsidRDefault="00A412AE" w:rsidP="00B952BB">
            <w:pPr>
              <w:jc w:val="center"/>
              <w:outlineLvl w:val="1"/>
              <w:rPr>
                <w:rFonts w:ascii="Calibri" w:eastAsia="MS Mincho" w:hAnsi="Calibri" w:cs="Times New Roman"/>
                <w:b/>
                <w:bCs/>
                <w:sz w:val="20"/>
                <w:szCs w:val="20"/>
              </w:rPr>
            </w:pPr>
            <w:r w:rsidRPr="00B952BB">
              <w:rPr>
                <w:rFonts w:ascii="Calibri" w:eastAsia="MS Mincho" w:hAnsi="Calibri" w:cs="Times New Roman"/>
                <w:b/>
                <w:bCs/>
                <w:sz w:val="20"/>
                <w:szCs w:val="20"/>
              </w:rPr>
              <w:t>455</w:t>
            </w:r>
          </w:p>
        </w:tc>
      </w:tr>
    </w:tbl>
    <w:p w:rsidR="00B952BB" w:rsidRDefault="00B952BB" w:rsidP="00EA5934">
      <w:pPr>
        <w:spacing w:after="0"/>
        <w:outlineLvl w:val="1"/>
        <w:rPr>
          <w:rFonts w:ascii="Calibri" w:eastAsia="MS Mincho" w:hAnsi="Calibri" w:cs="Times New Roman"/>
          <w:sz w:val="20"/>
        </w:rPr>
      </w:pPr>
      <w:r w:rsidRPr="00B952BB">
        <w:rPr>
          <w:rFonts w:ascii="Calibri" w:eastAsia="MS Mincho" w:hAnsi="Calibri" w:cs="Times New Roman"/>
          <w:sz w:val="20"/>
        </w:rPr>
        <w:t xml:space="preserve">Note: A patient can </w:t>
      </w:r>
      <w:r w:rsidR="00C75B61" w:rsidRPr="00B952BB">
        <w:rPr>
          <w:rFonts w:ascii="Calibri" w:eastAsia="MS Mincho" w:hAnsi="Calibri" w:cs="Times New Roman"/>
          <w:sz w:val="20"/>
        </w:rPr>
        <w:t>initiate</w:t>
      </w:r>
      <w:r w:rsidRPr="00B952BB">
        <w:rPr>
          <w:rFonts w:ascii="Calibri" w:eastAsia="MS Mincho" w:hAnsi="Calibri" w:cs="Times New Roman"/>
          <w:sz w:val="20"/>
        </w:rPr>
        <w:t xml:space="preserve"> more than one indication</w:t>
      </w:r>
    </w:p>
    <w:p w:rsidR="00A412AE" w:rsidRDefault="00A412AE" w:rsidP="00A412AE">
      <w:pPr>
        <w:spacing w:after="0" w:line="276" w:lineRule="auto"/>
        <w:rPr>
          <w:rFonts w:ascii="Calibri" w:eastAsia="MS Mincho" w:hAnsi="Calibri" w:cs="Times New Roman"/>
          <w:b/>
        </w:rPr>
      </w:pPr>
    </w:p>
    <w:p w:rsidR="00902C53" w:rsidRDefault="007F0A9E" w:rsidP="00E22D92">
      <w:pPr>
        <w:spacing w:before="240"/>
        <w:outlineLvl w:val="1"/>
        <w:rPr>
          <w:rFonts w:ascii="Calibri" w:eastAsia="MS Mincho" w:hAnsi="Calibri" w:cs="Times New Roman"/>
          <w:sz w:val="20"/>
        </w:rPr>
      </w:pPr>
      <w:r w:rsidRPr="007F0A9E">
        <w:rPr>
          <w:noProof/>
          <w:sz w:val="20"/>
        </w:rPr>
        <w:drawing>
          <wp:inline distT="0" distB="0" distL="0" distR="0" wp14:anchorId="63E944A5" wp14:editId="06FB69CE">
            <wp:extent cx="5687695" cy="3706117"/>
            <wp:effectExtent l="0" t="0" r="27305" b="27940"/>
            <wp:docPr id="44" name="Chart 44" title="Figure 10: Prevalent patients per 1000 population (age standardised, ABS direct method) in 2017, by indication and patient state*"/>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FD3719" w:rsidRPr="00B87CD5">
        <w:rPr>
          <w:rFonts w:ascii="Calibri" w:eastAsia="MS Mincho" w:hAnsi="Calibri" w:cs="Times New Roman"/>
          <w:b/>
        </w:rPr>
        <w:t xml:space="preserve">Figure </w:t>
      </w:r>
      <w:r w:rsidR="00156057">
        <w:rPr>
          <w:rFonts w:ascii="Calibri" w:eastAsia="MS Mincho" w:hAnsi="Calibri" w:cs="Times New Roman"/>
          <w:b/>
        </w:rPr>
        <w:t>10</w:t>
      </w:r>
      <w:r w:rsidR="00FD3719" w:rsidRPr="00B87CD5">
        <w:rPr>
          <w:rFonts w:ascii="Calibri" w:eastAsia="MS Mincho" w:hAnsi="Calibri" w:cs="Times New Roman"/>
          <w:b/>
        </w:rPr>
        <w:t xml:space="preserve">: </w:t>
      </w:r>
      <w:r w:rsidR="00902C53">
        <w:rPr>
          <w:rFonts w:ascii="Calibri" w:eastAsia="MS Mincho" w:hAnsi="Calibri" w:cs="Times New Roman"/>
          <w:b/>
        </w:rPr>
        <w:t>P</w:t>
      </w:r>
      <w:r w:rsidR="00FD3719">
        <w:rPr>
          <w:rFonts w:ascii="Calibri" w:eastAsia="MS Mincho" w:hAnsi="Calibri" w:cs="Times New Roman"/>
          <w:b/>
        </w:rPr>
        <w:t xml:space="preserve">revalent patients </w:t>
      </w:r>
      <w:r w:rsidR="00902C53">
        <w:rPr>
          <w:rFonts w:ascii="Calibri" w:eastAsia="MS Mincho" w:hAnsi="Calibri" w:cs="Times New Roman"/>
          <w:b/>
        </w:rPr>
        <w:t xml:space="preserve">per 1000 population </w:t>
      </w:r>
      <w:r>
        <w:rPr>
          <w:rFonts w:ascii="Calibri" w:eastAsia="MS Mincho" w:hAnsi="Calibri" w:cs="Times New Roman"/>
          <w:b/>
        </w:rPr>
        <w:t xml:space="preserve">(age standardised, ABS direct method) </w:t>
      </w:r>
      <w:r w:rsidR="00FD3719">
        <w:rPr>
          <w:rFonts w:ascii="Calibri" w:eastAsia="MS Mincho" w:hAnsi="Calibri" w:cs="Times New Roman"/>
          <w:b/>
        </w:rPr>
        <w:t>in 2017, by indication and patient state*</w:t>
      </w:r>
      <w:r w:rsidR="00FD3719">
        <w:rPr>
          <w:rFonts w:ascii="Calibri" w:eastAsia="MS Mincho" w:hAnsi="Calibri" w:cs="Times New Roman"/>
          <w:b/>
        </w:rPr>
        <w:br/>
      </w:r>
      <w:r w:rsidR="00FD3719">
        <w:rPr>
          <w:rFonts w:ascii="Calibri" w:eastAsia="MS Mincho" w:hAnsi="Calibri" w:cs="Times New Roman"/>
          <w:sz w:val="20"/>
        </w:rPr>
        <w:t xml:space="preserve">* patient state is that </w:t>
      </w:r>
      <w:r w:rsidR="00FD3719" w:rsidRPr="00071959">
        <w:rPr>
          <w:rFonts w:ascii="Calibri" w:eastAsia="MS Mincho" w:hAnsi="Calibri" w:cs="Times New Roman"/>
          <w:sz w:val="20"/>
        </w:rPr>
        <w:t xml:space="preserve">recorded on </w:t>
      </w:r>
      <w:r w:rsidR="00FD3719">
        <w:rPr>
          <w:rFonts w:ascii="Calibri" w:eastAsia="MS Mincho" w:hAnsi="Calibri" w:cs="Times New Roman"/>
          <w:sz w:val="20"/>
        </w:rPr>
        <w:t xml:space="preserve">a patient’s </w:t>
      </w:r>
      <w:r w:rsidR="00FD3719" w:rsidRPr="00071959">
        <w:rPr>
          <w:rFonts w:ascii="Calibri" w:eastAsia="MS Mincho" w:hAnsi="Calibri" w:cs="Times New Roman"/>
          <w:sz w:val="20"/>
        </w:rPr>
        <w:t>first script in 2017</w:t>
      </w:r>
      <w:r w:rsidR="00FD3719">
        <w:rPr>
          <w:rFonts w:ascii="Calibri" w:eastAsia="MS Mincho" w:hAnsi="Calibri" w:cs="Times New Roman"/>
          <w:sz w:val="20"/>
        </w:rPr>
        <w:t xml:space="preserve"> for the specific indication</w:t>
      </w:r>
      <w:r w:rsidR="00FD3719" w:rsidRPr="00071959">
        <w:rPr>
          <w:rFonts w:ascii="Calibri" w:eastAsia="MS Mincho" w:hAnsi="Calibri" w:cs="Times New Roman"/>
          <w:sz w:val="20"/>
        </w:rPr>
        <w:t xml:space="preserve">. A patient can be </w:t>
      </w:r>
      <w:r w:rsidR="00B63605">
        <w:rPr>
          <w:rFonts w:ascii="Calibri" w:eastAsia="MS Mincho" w:hAnsi="Calibri" w:cs="Times New Roman"/>
          <w:sz w:val="20"/>
        </w:rPr>
        <w:t>represented in</w:t>
      </w:r>
      <w:r w:rsidR="00FD3719" w:rsidRPr="00071959">
        <w:rPr>
          <w:rFonts w:ascii="Calibri" w:eastAsia="MS Mincho" w:hAnsi="Calibri" w:cs="Times New Roman"/>
          <w:sz w:val="20"/>
        </w:rPr>
        <w:t xml:space="preserve"> more th</w:t>
      </w:r>
      <w:r w:rsidR="00902C53">
        <w:rPr>
          <w:rFonts w:ascii="Calibri" w:eastAsia="MS Mincho" w:hAnsi="Calibri" w:cs="Times New Roman"/>
          <w:sz w:val="20"/>
        </w:rPr>
        <w:t>an one indication in the period.</w:t>
      </w:r>
      <w:r w:rsidR="00902C53">
        <w:rPr>
          <w:rFonts w:ascii="Calibri" w:eastAsia="MS Mincho" w:hAnsi="Calibri" w:cs="Times New Roman"/>
          <w:sz w:val="20"/>
        </w:rPr>
        <w:br/>
      </w:r>
      <w:r w:rsidR="00902C53">
        <w:rPr>
          <w:rFonts w:ascii="Calibri" w:eastAsia="MS Mincho" w:hAnsi="Calibri" w:cs="Times New Roman"/>
          <w:sz w:val="20"/>
        </w:rPr>
        <w:lastRenderedPageBreak/>
        <w:t xml:space="preserve">Note: population data sourced from ABS, </w:t>
      </w:r>
      <w:r w:rsidR="00902C53" w:rsidRPr="00902C53">
        <w:rPr>
          <w:rFonts w:ascii="Calibri" w:eastAsia="MS Mincho" w:hAnsi="Calibri" w:cs="Times New Roman"/>
          <w:sz w:val="20"/>
        </w:rPr>
        <w:t>3101</w:t>
      </w:r>
      <w:r w:rsidR="00902C53">
        <w:rPr>
          <w:rFonts w:ascii="Calibri" w:eastAsia="MS Mincho" w:hAnsi="Calibri" w:cs="Times New Roman"/>
          <w:sz w:val="20"/>
        </w:rPr>
        <w:t xml:space="preserve">.0, </w:t>
      </w:r>
      <w:r w:rsidR="00902C53" w:rsidRPr="00902C53">
        <w:rPr>
          <w:rFonts w:ascii="Calibri" w:eastAsia="MS Mincho" w:hAnsi="Calibri" w:cs="Times New Roman"/>
          <w:sz w:val="20"/>
        </w:rPr>
        <w:t>Australian Demographic Statistics, Jun 2017</w:t>
      </w:r>
      <w:r w:rsidR="00902C53">
        <w:rPr>
          <w:rFonts w:ascii="Calibri" w:eastAsia="MS Mincho" w:hAnsi="Calibri" w:cs="Times New Roman"/>
          <w:sz w:val="20"/>
        </w:rPr>
        <w:t xml:space="preserve">, Table 8, </w:t>
      </w:r>
      <w:proofErr w:type="gramStart"/>
      <w:r w:rsidR="00902C53" w:rsidRPr="00902C53">
        <w:rPr>
          <w:rFonts w:ascii="Calibri" w:eastAsia="MS Mincho" w:hAnsi="Calibri" w:cs="Times New Roman"/>
          <w:sz w:val="20"/>
        </w:rPr>
        <w:t>Estimated</w:t>
      </w:r>
      <w:proofErr w:type="gramEnd"/>
      <w:r w:rsidR="00902C53" w:rsidRPr="00902C53">
        <w:rPr>
          <w:rFonts w:ascii="Calibri" w:eastAsia="MS Mincho" w:hAnsi="Calibri" w:cs="Times New Roman"/>
          <w:sz w:val="20"/>
        </w:rPr>
        <w:t xml:space="preserve"> resident population, by age and sex</w:t>
      </w:r>
      <w:r w:rsidR="00902C53">
        <w:rPr>
          <w:rFonts w:ascii="Calibri" w:eastAsia="MS Mincho" w:hAnsi="Calibri" w:cs="Times New Roman"/>
          <w:sz w:val="20"/>
        </w:rPr>
        <w:t xml:space="preserve"> </w:t>
      </w:r>
      <w:r w:rsidR="00902C53" w:rsidRPr="00902C53">
        <w:rPr>
          <w:rFonts w:ascii="Calibri" w:eastAsia="MS Mincho" w:hAnsi="Calibri" w:cs="Times New Roman"/>
          <w:sz w:val="20"/>
        </w:rPr>
        <w:t>at 30 June 2017</w:t>
      </w:r>
      <w:r w:rsidR="00902C53">
        <w:rPr>
          <w:rFonts w:ascii="Calibri" w:eastAsia="MS Mincho" w:hAnsi="Calibri" w:cs="Times New Roman"/>
          <w:sz w:val="20"/>
        </w:rPr>
        <w:t>.</w:t>
      </w:r>
    </w:p>
    <w:p w:rsidR="0024043E" w:rsidRDefault="00902C53" w:rsidP="00E22D92">
      <w:pPr>
        <w:spacing w:before="240"/>
        <w:outlineLvl w:val="1"/>
        <w:rPr>
          <w:rFonts w:ascii="Calibri" w:eastAsia="MS Mincho" w:hAnsi="Calibri" w:cs="Times New Roman"/>
        </w:rPr>
      </w:pPr>
      <w:r>
        <w:rPr>
          <w:rFonts w:ascii="Calibri" w:eastAsia="MS Mincho" w:hAnsi="Calibri" w:cs="Times New Roman"/>
        </w:rPr>
        <w:t xml:space="preserve">Figure </w:t>
      </w:r>
      <w:r w:rsidR="00156057">
        <w:rPr>
          <w:rFonts w:ascii="Calibri" w:eastAsia="MS Mincho" w:hAnsi="Calibri" w:cs="Times New Roman"/>
        </w:rPr>
        <w:t>10</w:t>
      </w:r>
      <w:r>
        <w:rPr>
          <w:rFonts w:ascii="Calibri" w:eastAsia="MS Mincho" w:hAnsi="Calibri" w:cs="Times New Roman"/>
        </w:rPr>
        <w:t xml:space="preserve"> shows that there is some variation in treatment </w:t>
      </w:r>
      <w:r w:rsidR="001F26CE">
        <w:rPr>
          <w:rFonts w:ascii="Calibri" w:eastAsia="MS Mincho" w:hAnsi="Calibri" w:cs="Times New Roman"/>
        </w:rPr>
        <w:t xml:space="preserve">rate </w:t>
      </w:r>
      <w:r>
        <w:rPr>
          <w:rFonts w:ascii="Calibri" w:eastAsia="MS Mincho" w:hAnsi="Calibri" w:cs="Times New Roman"/>
        </w:rPr>
        <w:t xml:space="preserve">by patient </w:t>
      </w:r>
      <w:proofErr w:type="gramStart"/>
      <w:r>
        <w:rPr>
          <w:rFonts w:ascii="Calibri" w:eastAsia="MS Mincho" w:hAnsi="Calibri" w:cs="Times New Roman"/>
        </w:rPr>
        <w:t>state</w:t>
      </w:r>
      <w:r w:rsidR="00B63605">
        <w:rPr>
          <w:rFonts w:ascii="Calibri" w:eastAsia="MS Mincho" w:hAnsi="Calibri" w:cs="Times New Roman"/>
        </w:rPr>
        <w:t>,</w:t>
      </w:r>
      <w:proofErr w:type="gramEnd"/>
      <w:r w:rsidR="00B63605">
        <w:rPr>
          <w:rFonts w:ascii="Calibri" w:eastAsia="MS Mincho" w:hAnsi="Calibri" w:cs="Times New Roman"/>
        </w:rPr>
        <w:t xml:space="preserve"> however the degree of variation is not as pronounced as noted in a previous DUSC review for the treatment of chronic migraine.</w:t>
      </w:r>
      <w:r w:rsidR="00B63605">
        <w:rPr>
          <w:rStyle w:val="FootnoteReference"/>
          <w:rFonts w:ascii="Calibri" w:eastAsia="MS Mincho" w:hAnsi="Calibri" w:cs="Times New Roman"/>
        </w:rPr>
        <w:footnoteReference w:id="11"/>
      </w:r>
      <w:r>
        <w:rPr>
          <w:rFonts w:ascii="Calibri" w:eastAsia="MS Mincho" w:hAnsi="Calibri" w:cs="Times New Roman"/>
        </w:rPr>
        <w:t xml:space="preserve"> </w:t>
      </w:r>
      <w:r w:rsidR="001F26CE">
        <w:rPr>
          <w:rFonts w:ascii="Calibri" w:eastAsia="MS Mincho" w:hAnsi="Calibri" w:cs="Times New Roman"/>
        </w:rPr>
        <w:t>The treatment rate</w:t>
      </w:r>
      <w:r w:rsidR="006A0FDC">
        <w:rPr>
          <w:rFonts w:ascii="Calibri" w:eastAsia="MS Mincho" w:hAnsi="Calibri" w:cs="Times New Roman"/>
        </w:rPr>
        <w:t>(s)</w:t>
      </w:r>
      <w:r w:rsidR="001F26CE">
        <w:rPr>
          <w:rFonts w:ascii="Calibri" w:eastAsia="MS Mincho" w:hAnsi="Calibri" w:cs="Times New Roman"/>
        </w:rPr>
        <w:t xml:space="preserve"> of</w:t>
      </w:r>
      <w:r w:rsidR="0024043E">
        <w:rPr>
          <w:rFonts w:ascii="Calibri" w:eastAsia="MS Mincho" w:hAnsi="Calibri" w:cs="Times New Roman"/>
        </w:rPr>
        <w:t>;</w:t>
      </w:r>
    </w:p>
    <w:p w:rsidR="0024043E" w:rsidRDefault="0024043E" w:rsidP="0024043E">
      <w:pPr>
        <w:pStyle w:val="ListParagraph"/>
        <w:numPr>
          <w:ilvl w:val="0"/>
          <w:numId w:val="1"/>
        </w:numPr>
        <w:spacing w:before="240"/>
        <w:outlineLvl w:val="1"/>
        <w:rPr>
          <w:rFonts w:ascii="Calibri" w:eastAsia="MS Mincho" w:hAnsi="Calibri" w:cs="Times New Roman"/>
        </w:rPr>
      </w:pPr>
      <w:r>
        <w:rPr>
          <w:rFonts w:ascii="Calibri" w:eastAsia="MS Mincho" w:hAnsi="Calibri" w:cs="Times New Roman"/>
        </w:rPr>
        <w:t xml:space="preserve">dystonia indications </w:t>
      </w:r>
      <w:r w:rsidR="006A0FDC">
        <w:rPr>
          <w:rFonts w:ascii="Calibri" w:eastAsia="MS Mincho" w:hAnsi="Calibri" w:cs="Times New Roman"/>
        </w:rPr>
        <w:t xml:space="preserve">were </w:t>
      </w:r>
      <w:r>
        <w:rPr>
          <w:rFonts w:ascii="Calibri" w:eastAsia="MS Mincho" w:hAnsi="Calibri" w:cs="Times New Roman"/>
        </w:rPr>
        <w:t>low in the NT compared to other states;</w:t>
      </w:r>
    </w:p>
    <w:p w:rsidR="0024043E" w:rsidRDefault="001F26CE" w:rsidP="0024043E">
      <w:pPr>
        <w:pStyle w:val="ListParagraph"/>
        <w:numPr>
          <w:ilvl w:val="0"/>
          <w:numId w:val="1"/>
        </w:numPr>
        <w:spacing w:before="240"/>
        <w:outlineLvl w:val="1"/>
        <w:rPr>
          <w:rFonts w:ascii="Calibri" w:eastAsia="MS Mincho" w:hAnsi="Calibri" w:cs="Times New Roman"/>
        </w:rPr>
      </w:pPr>
      <w:r w:rsidRPr="0024043E">
        <w:rPr>
          <w:rFonts w:ascii="Calibri" w:eastAsia="MS Mincho" w:hAnsi="Calibri" w:cs="Times New Roman"/>
        </w:rPr>
        <w:t xml:space="preserve">spasmodic torticollis </w:t>
      </w:r>
      <w:r w:rsidR="006A0FDC">
        <w:rPr>
          <w:rFonts w:ascii="Calibri" w:eastAsia="MS Mincho" w:hAnsi="Calibri" w:cs="Times New Roman"/>
        </w:rPr>
        <w:t xml:space="preserve">was </w:t>
      </w:r>
      <w:r w:rsidR="0024043E">
        <w:rPr>
          <w:rFonts w:ascii="Calibri" w:eastAsia="MS Mincho" w:hAnsi="Calibri" w:cs="Times New Roman"/>
        </w:rPr>
        <w:t>also relatively low in WA;</w:t>
      </w:r>
    </w:p>
    <w:p w:rsidR="0024043E" w:rsidRDefault="001F26CE" w:rsidP="0024043E">
      <w:pPr>
        <w:pStyle w:val="ListParagraph"/>
        <w:numPr>
          <w:ilvl w:val="0"/>
          <w:numId w:val="1"/>
        </w:numPr>
        <w:spacing w:before="240"/>
        <w:outlineLvl w:val="1"/>
        <w:rPr>
          <w:rFonts w:ascii="Calibri" w:eastAsia="MS Mincho" w:hAnsi="Calibri" w:cs="Times New Roman"/>
        </w:rPr>
      </w:pPr>
      <w:r w:rsidRPr="0024043E">
        <w:rPr>
          <w:rFonts w:ascii="Calibri" w:eastAsia="MS Mincho" w:hAnsi="Calibri" w:cs="Times New Roman"/>
        </w:rPr>
        <w:t xml:space="preserve">dynamic equinus foot deformity </w:t>
      </w:r>
      <w:r w:rsidR="0024043E">
        <w:rPr>
          <w:rFonts w:ascii="Calibri" w:eastAsia="MS Mincho" w:hAnsi="Calibri" w:cs="Times New Roman"/>
        </w:rPr>
        <w:t>was relatively high in WA;</w:t>
      </w:r>
    </w:p>
    <w:p w:rsidR="00902C53" w:rsidRDefault="001F26CE" w:rsidP="0024043E">
      <w:pPr>
        <w:pStyle w:val="ListParagraph"/>
        <w:numPr>
          <w:ilvl w:val="0"/>
          <w:numId w:val="1"/>
        </w:numPr>
        <w:spacing w:before="240"/>
        <w:outlineLvl w:val="1"/>
        <w:rPr>
          <w:rFonts w:ascii="Calibri" w:eastAsia="MS Mincho" w:hAnsi="Calibri" w:cs="Times New Roman"/>
        </w:rPr>
      </w:pPr>
      <w:r w:rsidRPr="0024043E">
        <w:rPr>
          <w:rFonts w:ascii="Calibri" w:eastAsia="MS Mincho" w:hAnsi="Calibri" w:cs="Times New Roman"/>
        </w:rPr>
        <w:t>moderate to severe spasticity - upper limb</w:t>
      </w:r>
      <w:r w:rsidR="0024043E">
        <w:rPr>
          <w:rFonts w:ascii="Calibri" w:eastAsia="MS Mincho" w:hAnsi="Calibri" w:cs="Times New Roman"/>
        </w:rPr>
        <w:t>, cerebral palsy</w:t>
      </w:r>
      <w:r w:rsidRPr="0024043E">
        <w:rPr>
          <w:rFonts w:ascii="Calibri" w:eastAsia="MS Mincho" w:hAnsi="Calibri" w:cs="Times New Roman"/>
        </w:rPr>
        <w:t xml:space="preserve"> </w:t>
      </w:r>
      <w:r w:rsidR="0024043E">
        <w:rPr>
          <w:rFonts w:ascii="Calibri" w:eastAsia="MS Mincho" w:hAnsi="Calibri" w:cs="Times New Roman"/>
        </w:rPr>
        <w:t>wa</w:t>
      </w:r>
      <w:r w:rsidRPr="0024043E">
        <w:rPr>
          <w:rFonts w:ascii="Calibri" w:eastAsia="MS Mincho" w:hAnsi="Calibri" w:cs="Times New Roman"/>
        </w:rPr>
        <w:t xml:space="preserve">s relatively high in </w:t>
      </w:r>
      <w:r w:rsidR="0024043E">
        <w:rPr>
          <w:rFonts w:ascii="Calibri" w:eastAsia="MS Mincho" w:hAnsi="Calibri" w:cs="Times New Roman"/>
        </w:rPr>
        <w:t>Tasmania; and</w:t>
      </w:r>
    </w:p>
    <w:p w:rsidR="0024043E" w:rsidRPr="0024043E" w:rsidRDefault="0024043E" w:rsidP="0024043E">
      <w:pPr>
        <w:pStyle w:val="ListParagraph"/>
        <w:numPr>
          <w:ilvl w:val="0"/>
          <w:numId w:val="1"/>
        </w:numPr>
        <w:spacing w:before="240"/>
        <w:outlineLvl w:val="1"/>
        <w:rPr>
          <w:rFonts w:ascii="Calibri" w:eastAsia="MS Mincho" w:hAnsi="Calibri" w:cs="Times New Roman"/>
        </w:rPr>
      </w:pPr>
      <w:r w:rsidRPr="0024043E">
        <w:rPr>
          <w:rFonts w:ascii="Calibri" w:eastAsia="MS Mincho" w:hAnsi="Calibri" w:cs="Times New Roman"/>
        </w:rPr>
        <w:t>moderate to severe spasticity - upper limb</w:t>
      </w:r>
      <w:r>
        <w:rPr>
          <w:rFonts w:ascii="Calibri" w:eastAsia="MS Mincho" w:hAnsi="Calibri" w:cs="Times New Roman"/>
        </w:rPr>
        <w:t>, stroke</w:t>
      </w:r>
      <w:r w:rsidRPr="0024043E">
        <w:rPr>
          <w:rFonts w:ascii="Calibri" w:eastAsia="MS Mincho" w:hAnsi="Calibri" w:cs="Times New Roman"/>
        </w:rPr>
        <w:t xml:space="preserve"> </w:t>
      </w:r>
      <w:r>
        <w:rPr>
          <w:rFonts w:ascii="Calibri" w:eastAsia="MS Mincho" w:hAnsi="Calibri" w:cs="Times New Roman"/>
        </w:rPr>
        <w:t>wa</w:t>
      </w:r>
      <w:r w:rsidRPr="0024043E">
        <w:rPr>
          <w:rFonts w:ascii="Calibri" w:eastAsia="MS Mincho" w:hAnsi="Calibri" w:cs="Times New Roman"/>
        </w:rPr>
        <w:t xml:space="preserve">s relatively high in </w:t>
      </w:r>
      <w:r>
        <w:rPr>
          <w:rFonts w:ascii="Calibri" w:eastAsia="MS Mincho" w:hAnsi="Calibri" w:cs="Times New Roman"/>
        </w:rPr>
        <w:t>SA</w:t>
      </w:r>
    </w:p>
    <w:p w:rsidR="00E0692E" w:rsidRPr="0024043E" w:rsidRDefault="0024043E" w:rsidP="0024043E">
      <w:pPr>
        <w:rPr>
          <w:rFonts w:ascii="Calibri" w:eastAsia="MS Mincho" w:hAnsi="Calibri" w:cs="Times New Roman"/>
        </w:rPr>
      </w:pPr>
      <w:r>
        <w:rPr>
          <w:rFonts w:ascii="Calibri" w:eastAsia="MS Mincho" w:hAnsi="Calibri" w:cs="Times New Roman"/>
        </w:rPr>
        <w:t>The</w:t>
      </w:r>
      <w:r w:rsidR="007F0A9E">
        <w:rPr>
          <w:rFonts w:ascii="Calibri" w:eastAsia="MS Mincho" w:hAnsi="Calibri" w:cs="Times New Roman"/>
        </w:rPr>
        <w:t xml:space="preserve"> age standardisation process has </w:t>
      </w:r>
      <w:r w:rsidR="007B051A">
        <w:rPr>
          <w:rFonts w:ascii="Calibri" w:eastAsia="MS Mincho" w:hAnsi="Calibri" w:cs="Times New Roman"/>
        </w:rPr>
        <w:t>removed</w:t>
      </w:r>
      <w:r w:rsidR="007F0A9E">
        <w:rPr>
          <w:rFonts w:ascii="Calibri" w:eastAsia="MS Mincho" w:hAnsi="Calibri" w:cs="Times New Roman"/>
        </w:rPr>
        <w:t xml:space="preserve"> any variation due to the different age distribution in each state.</w:t>
      </w:r>
    </w:p>
    <w:p w:rsidR="00E0692E" w:rsidRDefault="00E0692E" w:rsidP="00E0692E">
      <w:pPr>
        <w:spacing w:before="240"/>
        <w:outlineLvl w:val="1"/>
        <w:rPr>
          <w:rFonts w:ascii="Calibri" w:eastAsia="MS Mincho" w:hAnsi="Calibri" w:cs="Times New Roman"/>
          <w:b/>
          <w:i/>
        </w:rPr>
      </w:pPr>
      <w:r w:rsidRPr="003667CC">
        <w:rPr>
          <w:rFonts w:ascii="Calibri" w:eastAsia="MS Mincho" w:hAnsi="Calibri" w:cs="Times New Roman"/>
          <w:b/>
          <w:i/>
        </w:rPr>
        <w:t>Prescriptions by prescriber specialty</w:t>
      </w:r>
    </w:p>
    <w:p w:rsidR="00EA3CA4" w:rsidRDefault="00A412AE" w:rsidP="00EA3CA4">
      <w:pPr>
        <w:rPr>
          <w:rFonts w:ascii="Calibri" w:eastAsia="MS Mincho" w:hAnsi="Calibri" w:cs="Times New Roman"/>
        </w:rPr>
      </w:pPr>
      <w:r>
        <w:rPr>
          <w:rFonts w:ascii="Calibri" w:eastAsia="MS Mincho" w:hAnsi="Calibri" w:cs="Times New Roman"/>
        </w:rPr>
        <w:t xml:space="preserve">The prescriber specialty is derived by the </w:t>
      </w:r>
      <w:r w:rsidRPr="0053545D">
        <w:rPr>
          <w:rFonts w:ascii="Calibri" w:eastAsia="MS Mincho" w:hAnsi="Calibri" w:cs="Times New Roman"/>
        </w:rPr>
        <w:t>Department of Health using a</w:t>
      </w:r>
      <w:r>
        <w:rPr>
          <w:rFonts w:ascii="Calibri" w:eastAsia="MS Mincho" w:hAnsi="Calibri" w:cs="Times New Roman"/>
        </w:rPr>
        <w:t xml:space="preserve"> combination of the prescriber’s registered qualifications and their MBS services claiming in the previous quarter</w:t>
      </w:r>
      <w:r w:rsidR="002B554D">
        <w:rPr>
          <w:rFonts w:ascii="Calibri" w:eastAsia="MS Mincho" w:hAnsi="Calibri" w:cs="Times New Roman"/>
        </w:rPr>
        <w:t>.</w:t>
      </w:r>
    </w:p>
    <w:p w:rsidR="00E0692E" w:rsidRDefault="00EA3CA4" w:rsidP="00EA3CA4">
      <w:pPr>
        <w:rPr>
          <w:rFonts w:ascii="Calibri" w:eastAsia="MS Mincho" w:hAnsi="Calibri" w:cs="Times New Roman"/>
          <w:b/>
        </w:rPr>
      </w:pPr>
      <w:r>
        <w:rPr>
          <w:noProof/>
        </w:rPr>
        <w:drawing>
          <wp:inline distT="0" distB="0" distL="0" distR="0" wp14:anchorId="24A68B0F" wp14:editId="24317586">
            <wp:extent cx="5943600" cy="3883660"/>
            <wp:effectExtent l="0" t="0" r="19050" b="21590"/>
            <wp:docPr id="8" name="Chart 8" title="Figure 11: Prescriptions supplied in 2017 by indication and prescriber specialty"/>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E0692E" w:rsidRPr="00B87CD5">
        <w:rPr>
          <w:rFonts w:ascii="Calibri" w:eastAsia="MS Mincho" w:hAnsi="Calibri" w:cs="Times New Roman"/>
          <w:b/>
        </w:rPr>
        <w:t xml:space="preserve">Figure </w:t>
      </w:r>
      <w:r w:rsidR="002B554D">
        <w:rPr>
          <w:rFonts w:ascii="Calibri" w:eastAsia="MS Mincho" w:hAnsi="Calibri" w:cs="Times New Roman"/>
          <w:b/>
        </w:rPr>
        <w:t>1</w:t>
      </w:r>
      <w:r w:rsidR="00156057">
        <w:rPr>
          <w:rFonts w:ascii="Calibri" w:eastAsia="MS Mincho" w:hAnsi="Calibri" w:cs="Times New Roman"/>
          <w:b/>
        </w:rPr>
        <w:t>1</w:t>
      </w:r>
      <w:r w:rsidR="00E0692E" w:rsidRPr="00B87CD5">
        <w:rPr>
          <w:rFonts w:ascii="Calibri" w:eastAsia="MS Mincho" w:hAnsi="Calibri" w:cs="Times New Roman"/>
          <w:b/>
        </w:rPr>
        <w:t xml:space="preserve">: </w:t>
      </w:r>
      <w:r w:rsidR="00E0692E" w:rsidRPr="00E0692E">
        <w:rPr>
          <w:rFonts w:ascii="Calibri" w:eastAsia="MS Mincho" w:hAnsi="Calibri" w:cs="Times New Roman"/>
          <w:b/>
        </w:rPr>
        <w:t xml:space="preserve">Prescriptions </w:t>
      </w:r>
      <w:r w:rsidR="00E0692E">
        <w:rPr>
          <w:rFonts w:ascii="Calibri" w:eastAsia="MS Mincho" w:hAnsi="Calibri" w:cs="Times New Roman"/>
          <w:b/>
        </w:rPr>
        <w:t xml:space="preserve">supplied in 2017 </w:t>
      </w:r>
      <w:r w:rsidR="00E0692E" w:rsidRPr="00E0692E">
        <w:rPr>
          <w:rFonts w:ascii="Calibri" w:eastAsia="MS Mincho" w:hAnsi="Calibri" w:cs="Times New Roman"/>
          <w:b/>
        </w:rPr>
        <w:t xml:space="preserve">by </w:t>
      </w:r>
      <w:r w:rsidR="00E0692E">
        <w:rPr>
          <w:rFonts w:ascii="Calibri" w:eastAsia="MS Mincho" w:hAnsi="Calibri" w:cs="Times New Roman"/>
          <w:b/>
        </w:rPr>
        <w:t xml:space="preserve">indication and </w:t>
      </w:r>
      <w:r w:rsidR="00E0692E" w:rsidRPr="00E0692E">
        <w:rPr>
          <w:rFonts w:ascii="Calibri" w:eastAsia="MS Mincho" w:hAnsi="Calibri" w:cs="Times New Roman"/>
          <w:b/>
        </w:rPr>
        <w:t>prescriber specialty</w:t>
      </w:r>
      <w:r w:rsidR="000E013C">
        <w:rPr>
          <w:rFonts w:ascii="Calibri" w:eastAsia="MS Mincho" w:hAnsi="Calibri" w:cs="Times New Roman"/>
          <w:b/>
        </w:rPr>
        <w:br/>
      </w:r>
      <w:r w:rsidR="000E013C" w:rsidRPr="001D72A5">
        <w:rPr>
          <w:rStyle w:val="FigurecaptionChar"/>
        </w:rPr>
        <w:lastRenderedPageBreak/>
        <w:t xml:space="preserve">Note: Where the number of </w:t>
      </w:r>
      <w:r w:rsidR="000E013C">
        <w:rPr>
          <w:rStyle w:val="FigurecaptionChar"/>
        </w:rPr>
        <w:t xml:space="preserve">prescriptions </w:t>
      </w:r>
      <w:r w:rsidR="000E013C" w:rsidRPr="001D72A5">
        <w:rPr>
          <w:rStyle w:val="FigurecaptionChar"/>
        </w:rPr>
        <w:t>was between 1 and 5 (inclusive), the data point has been set to 5 to protect confidentiality</w:t>
      </w:r>
      <w:r w:rsidR="000E013C">
        <w:rPr>
          <w:rStyle w:val="FigurecaptionChar"/>
        </w:rPr>
        <w:t>.</w:t>
      </w:r>
    </w:p>
    <w:p w:rsidR="00E0692E" w:rsidRPr="00463665" w:rsidRDefault="00463665" w:rsidP="00A77C2C">
      <w:pPr>
        <w:rPr>
          <w:rFonts w:ascii="Calibri" w:eastAsia="MS Mincho" w:hAnsi="Calibri" w:cs="Times New Roman"/>
        </w:rPr>
      </w:pPr>
      <w:r>
        <w:rPr>
          <w:rFonts w:ascii="Calibri" w:eastAsia="MS Mincho" w:hAnsi="Calibri" w:cs="Times New Roman"/>
        </w:rPr>
        <w:t xml:space="preserve">Figure </w:t>
      </w:r>
      <w:r w:rsidR="002B554D">
        <w:rPr>
          <w:rFonts w:ascii="Calibri" w:eastAsia="MS Mincho" w:hAnsi="Calibri" w:cs="Times New Roman"/>
        </w:rPr>
        <w:t>1</w:t>
      </w:r>
      <w:r w:rsidR="00156057">
        <w:rPr>
          <w:rFonts w:ascii="Calibri" w:eastAsia="MS Mincho" w:hAnsi="Calibri" w:cs="Times New Roman"/>
        </w:rPr>
        <w:t>1</w:t>
      </w:r>
      <w:r w:rsidR="00CB27CF">
        <w:rPr>
          <w:rFonts w:ascii="Calibri" w:eastAsia="MS Mincho" w:hAnsi="Calibri" w:cs="Times New Roman"/>
        </w:rPr>
        <w:t xml:space="preserve"> </w:t>
      </w:r>
      <w:r>
        <w:rPr>
          <w:rFonts w:ascii="Calibri" w:eastAsia="MS Mincho" w:hAnsi="Calibri" w:cs="Times New Roman"/>
        </w:rPr>
        <w:t xml:space="preserve">shows that most prescriptions for the </w:t>
      </w:r>
      <w:r w:rsidR="00E30F4E">
        <w:rPr>
          <w:rFonts w:ascii="Calibri" w:eastAsia="MS Mincho" w:hAnsi="Calibri" w:cs="Times New Roman"/>
        </w:rPr>
        <w:t>dystonia</w:t>
      </w:r>
      <w:r>
        <w:rPr>
          <w:rFonts w:ascii="Calibri" w:eastAsia="MS Mincho" w:hAnsi="Calibri" w:cs="Times New Roman"/>
        </w:rPr>
        <w:t xml:space="preserve"> indications </w:t>
      </w:r>
      <w:r w:rsidR="00C93DB1">
        <w:rPr>
          <w:rFonts w:ascii="Calibri" w:eastAsia="MS Mincho" w:hAnsi="Calibri" w:cs="Times New Roman"/>
        </w:rPr>
        <w:t>were</w:t>
      </w:r>
      <w:r>
        <w:rPr>
          <w:rFonts w:ascii="Calibri" w:eastAsia="MS Mincho" w:hAnsi="Calibri" w:cs="Times New Roman"/>
        </w:rPr>
        <w:t xml:space="preserve"> written by neurologists. The b</w:t>
      </w:r>
      <w:r w:rsidRPr="00463665">
        <w:rPr>
          <w:rFonts w:ascii="Calibri" w:eastAsia="MS Mincho" w:hAnsi="Calibri" w:cs="Times New Roman"/>
        </w:rPr>
        <w:t>lepharospasm or hemifacial spasm</w:t>
      </w:r>
      <w:r>
        <w:rPr>
          <w:rFonts w:ascii="Calibri" w:eastAsia="MS Mincho" w:hAnsi="Calibri" w:cs="Times New Roman"/>
        </w:rPr>
        <w:t xml:space="preserve"> indication also has a large portion of prescriptions written </w:t>
      </w:r>
      <w:r w:rsidR="00C85862">
        <w:rPr>
          <w:rFonts w:ascii="Calibri" w:eastAsia="MS Mincho" w:hAnsi="Calibri" w:cs="Times New Roman"/>
        </w:rPr>
        <w:t xml:space="preserve">by </w:t>
      </w:r>
      <w:r w:rsidR="00FC7EBB">
        <w:rPr>
          <w:rFonts w:ascii="Calibri" w:eastAsia="MS Mincho" w:hAnsi="Calibri" w:cs="Times New Roman"/>
        </w:rPr>
        <w:t>ophthalmologists</w:t>
      </w:r>
      <w:r w:rsidR="00C85862">
        <w:rPr>
          <w:rFonts w:ascii="Calibri" w:eastAsia="MS Mincho" w:hAnsi="Calibri" w:cs="Times New Roman"/>
        </w:rPr>
        <w:t>.</w:t>
      </w:r>
      <w:r w:rsidR="005012F6">
        <w:rPr>
          <w:rFonts w:ascii="Calibri" w:eastAsia="MS Mincho" w:hAnsi="Calibri" w:cs="Times New Roman"/>
        </w:rPr>
        <w:t xml:space="preserve"> Prescriptions for d</w:t>
      </w:r>
      <w:r w:rsidR="005012F6" w:rsidRPr="005012F6">
        <w:rPr>
          <w:rFonts w:ascii="Calibri" w:eastAsia="MS Mincho" w:hAnsi="Calibri" w:cs="Times New Roman"/>
        </w:rPr>
        <w:t>ynamic equinus foot deformity</w:t>
      </w:r>
      <w:r w:rsidR="005012F6">
        <w:rPr>
          <w:rFonts w:ascii="Calibri" w:eastAsia="MS Mincho" w:hAnsi="Calibri" w:cs="Times New Roman"/>
        </w:rPr>
        <w:t xml:space="preserve"> and m</w:t>
      </w:r>
      <w:r w:rsidR="005012F6" w:rsidRPr="005012F6">
        <w:rPr>
          <w:rFonts w:ascii="Calibri" w:eastAsia="MS Mincho" w:hAnsi="Calibri" w:cs="Times New Roman"/>
        </w:rPr>
        <w:t>oderate to severe spasticity</w:t>
      </w:r>
      <w:r w:rsidR="00156057">
        <w:rPr>
          <w:rFonts w:ascii="Calibri" w:eastAsia="MS Mincho" w:hAnsi="Calibri" w:cs="Times New Roman"/>
        </w:rPr>
        <w:t xml:space="preserve"> of the </w:t>
      </w:r>
      <w:r w:rsidR="005012F6" w:rsidRPr="005012F6">
        <w:rPr>
          <w:rFonts w:ascii="Calibri" w:eastAsia="MS Mincho" w:hAnsi="Calibri" w:cs="Times New Roman"/>
        </w:rPr>
        <w:t>upper limb</w:t>
      </w:r>
      <w:r w:rsidR="00156057">
        <w:rPr>
          <w:rFonts w:ascii="Calibri" w:eastAsia="MS Mincho" w:hAnsi="Calibri" w:cs="Times New Roman"/>
        </w:rPr>
        <w:t xml:space="preserve"> in</w:t>
      </w:r>
      <w:r w:rsidR="00E30F4E">
        <w:rPr>
          <w:rFonts w:ascii="Calibri" w:eastAsia="MS Mincho" w:hAnsi="Calibri" w:cs="Times New Roman"/>
        </w:rPr>
        <w:t xml:space="preserve"> cerebral palsy</w:t>
      </w:r>
      <w:r w:rsidR="005012F6">
        <w:rPr>
          <w:rFonts w:ascii="Calibri" w:eastAsia="MS Mincho" w:hAnsi="Calibri" w:cs="Times New Roman"/>
        </w:rPr>
        <w:t xml:space="preserve"> were most commonly written by p</w:t>
      </w:r>
      <w:r w:rsidR="005012F6" w:rsidRPr="005012F6">
        <w:rPr>
          <w:rFonts w:ascii="Calibri" w:eastAsia="MS Mincho" w:hAnsi="Calibri" w:cs="Times New Roman"/>
        </w:rPr>
        <w:t xml:space="preserve">aediatric </w:t>
      </w:r>
      <w:r w:rsidR="005012F6">
        <w:rPr>
          <w:rFonts w:ascii="Calibri" w:eastAsia="MS Mincho" w:hAnsi="Calibri" w:cs="Times New Roman"/>
        </w:rPr>
        <w:t>m</w:t>
      </w:r>
      <w:r w:rsidR="005012F6" w:rsidRPr="005012F6">
        <w:rPr>
          <w:rFonts w:ascii="Calibri" w:eastAsia="MS Mincho" w:hAnsi="Calibri" w:cs="Times New Roman"/>
        </w:rPr>
        <w:t>edicine</w:t>
      </w:r>
      <w:r w:rsidR="005012F6">
        <w:rPr>
          <w:rFonts w:ascii="Calibri" w:eastAsia="MS Mincho" w:hAnsi="Calibri" w:cs="Times New Roman"/>
        </w:rPr>
        <w:t xml:space="preserve"> and r</w:t>
      </w:r>
      <w:r w:rsidR="005012F6" w:rsidRPr="005012F6">
        <w:rPr>
          <w:rFonts w:ascii="Calibri" w:eastAsia="MS Mincho" w:hAnsi="Calibri" w:cs="Times New Roman"/>
        </w:rPr>
        <w:t xml:space="preserve">ehabilitation </w:t>
      </w:r>
      <w:r w:rsidR="005012F6">
        <w:rPr>
          <w:rFonts w:ascii="Calibri" w:eastAsia="MS Mincho" w:hAnsi="Calibri" w:cs="Times New Roman"/>
        </w:rPr>
        <w:t>m</w:t>
      </w:r>
      <w:r w:rsidR="005012F6" w:rsidRPr="005012F6">
        <w:rPr>
          <w:rFonts w:ascii="Calibri" w:eastAsia="MS Mincho" w:hAnsi="Calibri" w:cs="Times New Roman"/>
        </w:rPr>
        <w:t>edicine</w:t>
      </w:r>
      <w:r w:rsidR="005012F6">
        <w:rPr>
          <w:rFonts w:ascii="Calibri" w:eastAsia="MS Mincho" w:hAnsi="Calibri" w:cs="Times New Roman"/>
        </w:rPr>
        <w:t xml:space="preserve"> specialists respectively.</w:t>
      </w:r>
      <w:r w:rsidR="00E30F4E">
        <w:rPr>
          <w:rFonts w:ascii="Calibri" w:eastAsia="MS Mincho" w:hAnsi="Calibri" w:cs="Times New Roman"/>
        </w:rPr>
        <w:t xml:space="preserve"> Prescriptions for </w:t>
      </w:r>
      <w:r w:rsidR="00E30F4E" w:rsidRPr="005012F6">
        <w:rPr>
          <w:rFonts w:ascii="Calibri" w:eastAsia="MS Mincho" w:hAnsi="Calibri" w:cs="Times New Roman"/>
        </w:rPr>
        <w:t xml:space="preserve">spasticity </w:t>
      </w:r>
      <w:r w:rsidR="00156057">
        <w:rPr>
          <w:rFonts w:ascii="Calibri" w:eastAsia="MS Mincho" w:hAnsi="Calibri" w:cs="Times New Roman"/>
        </w:rPr>
        <w:t xml:space="preserve">of the </w:t>
      </w:r>
      <w:r w:rsidR="00E30F4E" w:rsidRPr="005012F6">
        <w:rPr>
          <w:rFonts w:ascii="Calibri" w:eastAsia="MS Mincho" w:hAnsi="Calibri" w:cs="Times New Roman"/>
        </w:rPr>
        <w:t>upper limb</w:t>
      </w:r>
      <w:r w:rsidR="00156057">
        <w:rPr>
          <w:rFonts w:ascii="Calibri" w:eastAsia="MS Mincho" w:hAnsi="Calibri" w:cs="Times New Roman"/>
        </w:rPr>
        <w:t xml:space="preserve"> following</w:t>
      </w:r>
      <w:r w:rsidR="00E30F4E">
        <w:rPr>
          <w:rFonts w:ascii="Calibri" w:eastAsia="MS Mincho" w:hAnsi="Calibri" w:cs="Times New Roman"/>
        </w:rPr>
        <w:t xml:space="preserve"> stroke were most commonly </w:t>
      </w:r>
      <w:r w:rsidR="007B051A">
        <w:rPr>
          <w:rFonts w:ascii="Calibri" w:eastAsia="MS Mincho" w:hAnsi="Calibri" w:cs="Times New Roman"/>
        </w:rPr>
        <w:t>written by</w:t>
      </w:r>
      <w:r w:rsidR="00E30F4E">
        <w:rPr>
          <w:rFonts w:ascii="Calibri" w:eastAsia="MS Mincho" w:hAnsi="Calibri" w:cs="Times New Roman"/>
        </w:rPr>
        <w:t xml:space="preserve"> rehabilitation specialists.</w:t>
      </w:r>
    </w:p>
    <w:p w:rsidR="00E0692E" w:rsidRPr="00361732" w:rsidRDefault="00361732" w:rsidP="00A77C2C">
      <w:pPr>
        <w:rPr>
          <w:rFonts w:ascii="Calibri" w:eastAsia="MS Mincho" w:hAnsi="Calibri" w:cs="Times New Roman"/>
          <w:szCs w:val="28"/>
        </w:rPr>
      </w:pPr>
      <w:r>
        <w:rPr>
          <w:rFonts w:ascii="Calibri" w:eastAsia="MS Mincho" w:hAnsi="Calibri" w:cs="Times New Roman"/>
          <w:szCs w:val="28"/>
        </w:rPr>
        <w:t xml:space="preserve">The specialties shown in Figure </w:t>
      </w:r>
      <w:r w:rsidR="00CB27CF">
        <w:rPr>
          <w:rFonts w:ascii="Calibri" w:eastAsia="MS Mincho" w:hAnsi="Calibri" w:cs="Times New Roman"/>
          <w:szCs w:val="28"/>
        </w:rPr>
        <w:t>1</w:t>
      </w:r>
      <w:r w:rsidR="00156057">
        <w:rPr>
          <w:rFonts w:ascii="Calibri" w:eastAsia="MS Mincho" w:hAnsi="Calibri" w:cs="Times New Roman"/>
          <w:szCs w:val="28"/>
        </w:rPr>
        <w:t>1</w:t>
      </w:r>
      <w:r>
        <w:rPr>
          <w:rFonts w:ascii="Calibri" w:eastAsia="MS Mincho" w:hAnsi="Calibri" w:cs="Times New Roman"/>
          <w:szCs w:val="28"/>
        </w:rPr>
        <w:t xml:space="preserve"> are broadly consistent with the restriction specialties shown in Table </w:t>
      </w:r>
      <w:r w:rsidR="00CB27CF">
        <w:rPr>
          <w:rFonts w:ascii="Calibri" w:eastAsia="MS Mincho" w:hAnsi="Calibri" w:cs="Times New Roman"/>
          <w:szCs w:val="28"/>
        </w:rPr>
        <w:t>4</w:t>
      </w:r>
      <w:r>
        <w:rPr>
          <w:rFonts w:ascii="Calibri" w:eastAsia="MS Mincho" w:hAnsi="Calibri" w:cs="Times New Roman"/>
          <w:szCs w:val="28"/>
        </w:rPr>
        <w:t xml:space="preserve">. The specialties in Figure </w:t>
      </w:r>
      <w:r w:rsidR="00CB27CF">
        <w:rPr>
          <w:rFonts w:ascii="Calibri" w:eastAsia="MS Mincho" w:hAnsi="Calibri" w:cs="Times New Roman"/>
          <w:szCs w:val="28"/>
        </w:rPr>
        <w:t>1</w:t>
      </w:r>
      <w:r w:rsidR="00156057">
        <w:rPr>
          <w:rFonts w:ascii="Calibri" w:eastAsia="MS Mincho" w:hAnsi="Calibri" w:cs="Times New Roman"/>
          <w:szCs w:val="28"/>
        </w:rPr>
        <w:t>1</w:t>
      </w:r>
      <w:r w:rsidR="00CB27CF">
        <w:rPr>
          <w:rFonts w:ascii="Calibri" w:eastAsia="MS Mincho" w:hAnsi="Calibri" w:cs="Times New Roman"/>
          <w:szCs w:val="28"/>
        </w:rPr>
        <w:t xml:space="preserve"> </w:t>
      </w:r>
      <w:r>
        <w:rPr>
          <w:rFonts w:ascii="Calibri" w:eastAsia="MS Mincho" w:hAnsi="Calibri" w:cs="Times New Roman"/>
          <w:szCs w:val="28"/>
        </w:rPr>
        <w:t>that are not mentioned in the restrictions are GPs an</w:t>
      </w:r>
      <w:r w:rsidR="00156057">
        <w:rPr>
          <w:rFonts w:ascii="Calibri" w:eastAsia="MS Mincho" w:hAnsi="Calibri" w:cs="Times New Roman"/>
          <w:szCs w:val="28"/>
        </w:rPr>
        <w:t xml:space="preserve">d Internal Medicine </w:t>
      </w:r>
      <w:r w:rsidR="003B6388">
        <w:rPr>
          <w:rFonts w:ascii="Calibri" w:eastAsia="MS Mincho" w:hAnsi="Calibri" w:cs="Times New Roman"/>
          <w:szCs w:val="28"/>
        </w:rPr>
        <w:t>specialists;</w:t>
      </w:r>
      <w:r w:rsidR="00156057">
        <w:rPr>
          <w:rFonts w:ascii="Calibri" w:eastAsia="MS Mincho" w:hAnsi="Calibri" w:cs="Times New Roman"/>
          <w:szCs w:val="28"/>
        </w:rPr>
        <w:t xml:space="preserve"> however this may reflect the assignment of specialty in the data rather than indicate prescribing outside of the PBS criteria.</w:t>
      </w:r>
    </w:p>
    <w:p w:rsidR="00E30F4E" w:rsidRPr="003667CC" w:rsidRDefault="00E30F4E" w:rsidP="00E30F4E">
      <w:pPr>
        <w:spacing w:before="240"/>
        <w:outlineLvl w:val="1"/>
        <w:rPr>
          <w:rFonts w:ascii="Calibri" w:eastAsia="MS Mincho" w:hAnsi="Calibri" w:cs="Times New Roman"/>
          <w:b/>
          <w:i/>
        </w:rPr>
      </w:pPr>
      <w:r w:rsidRPr="003667CC">
        <w:rPr>
          <w:rFonts w:ascii="Calibri" w:eastAsia="MS Mincho" w:hAnsi="Calibri" w:cs="Times New Roman"/>
          <w:b/>
          <w:i/>
        </w:rPr>
        <w:t>Number of prescribers by prescriber specialty</w:t>
      </w:r>
    </w:p>
    <w:p w:rsidR="003667CC" w:rsidRPr="00FD044A" w:rsidRDefault="00E15EE0" w:rsidP="003667CC">
      <w:pPr>
        <w:spacing w:after="0"/>
        <w:rPr>
          <w:rFonts w:ascii="Calibri" w:eastAsia="MS Mincho" w:hAnsi="Calibri" w:cs="Times New Roman"/>
          <w:b/>
        </w:rPr>
      </w:pPr>
      <w:r>
        <w:rPr>
          <w:rFonts w:ascii="Calibri" w:eastAsia="MS Mincho" w:hAnsi="Calibri" w:cs="Times New Roman"/>
          <w:b/>
        </w:rPr>
        <w:t xml:space="preserve">Table </w:t>
      </w:r>
      <w:r w:rsidR="002B554D">
        <w:rPr>
          <w:rFonts w:ascii="Calibri" w:eastAsia="MS Mincho" w:hAnsi="Calibri" w:cs="Times New Roman"/>
          <w:b/>
        </w:rPr>
        <w:t>12</w:t>
      </w:r>
      <w:r w:rsidR="003667CC" w:rsidRPr="00FD044A">
        <w:rPr>
          <w:rFonts w:ascii="Calibri" w:eastAsia="MS Mincho" w:hAnsi="Calibri" w:cs="Times New Roman"/>
          <w:b/>
        </w:rPr>
        <w:t xml:space="preserve">: </w:t>
      </w:r>
      <w:r w:rsidR="003667CC">
        <w:rPr>
          <w:rFonts w:ascii="Calibri" w:eastAsia="MS Mincho" w:hAnsi="Calibri" w:cs="Times New Roman"/>
          <w:b/>
        </w:rPr>
        <w:t xml:space="preserve">Number of prescribers of </w:t>
      </w:r>
      <w:r w:rsidR="003667CC" w:rsidRPr="003667CC">
        <w:rPr>
          <w:rFonts w:ascii="Calibri" w:eastAsia="MS Mincho" w:hAnsi="Calibri" w:cs="Times New Roman"/>
          <w:b/>
        </w:rPr>
        <w:t>botulinum toxin</w:t>
      </w:r>
      <w:r w:rsidR="003667CC">
        <w:rPr>
          <w:rFonts w:ascii="Calibri" w:eastAsia="MS Mincho" w:hAnsi="Calibri" w:cs="Times New Roman"/>
          <w:b/>
        </w:rPr>
        <w:t xml:space="preserve"> for spasticity and dystonia indications</w:t>
      </w:r>
      <w:r w:rsidR="00CB27CF">
        <w:rPr>
          <w:rFonts w:ascii="Calibri" w:eastAsia="MS Mincho" w:hAnsi="Calibri" w:cs="Times New Roman"/>
          <w:b/>
        </w:rPr>
        <w:t xml:space="preserve"> by </w:t>
      </w:r>
      <w:r w:rsidR="00CB27CF" w:rsidRPr="003667CC">
        <w:rPr>
          <w:rFonts w:ascii="Calibri" w:eastAsia="MS Mincho" w:hAnsi="Calibri" w:cs="Times New Roman"/>
          <w:b/>
        </w:rPr>
        <w:t>specialty</w:t>
      </w:r>
    </w:p>
    <w:tbl>
      <w:tblPr>
        <w:tblW w:w="71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3140"/>
        <w:gridCol w:w="663"/>
      </w:tblGrid>
      <w:tr w:rsidR="003667CC" w:rsidRPr="003667CC" w:rsidTr="00A77C2C">
        <w:trPr>
          <w:trHeight w:val="300"/>
        </w:trPr>
        <w:tc>
          <w:tcPr>
            <w:tcW w:w="3340" w:type="dxa"/>
            <w:shd w:val="clear" w:color="auto" w:fill="BFBFBF" w:themeFill="background1" w:themeFillShade="BF"/>
            <w:noWrap/>
            <w:vAlign w:val="bottom"/>
            <w:hideMark/>
          </w:tcPr>
          <w:p w:rsidR="003667CC" w:rsidRPr="003667CC" w:rsidRDefault="003667CC" w:rsidP="003667CC">
            <w:pPr>
              <w:spacing w:after="0"/>
              <w:rPr>
                <w:rFonts w:ascii="Calibri" w:eastAsia="Times New Roman" w:hAnsi="Calibri" w:cs="Times New Roman"/>
                <w:b/>
                <w:bCs/>
                <w:color w:val="000000"/>
                <w:sz w:val="20"/>
                <w:szCs w:val="22"/>
              </w:rPr>
            </w:pPr>
            <w:r w:rsidRPr="003667CC">
              <w:rPr>
                <w:rFonts w:ascii="Calibri" w:eastAsia="Times New Roman" w:hAnsi="Calibri" w:cs="Times New Roman"/>
                <w:b/>
                <w:bCs/>
                <w:color w:val="000000"/>
                <w:sz w:val="20"/>
                <w:szCs w:val="22"/>
              </w:rPr>
              <w:t>Prescriber specialty</w:t>
            </w:r>
          </w:p>
        </w:tc>
        <w:tc>
          <w:tcPr>
            <w:tcW w:w="3140" w:type="dxa"/>
            <w:shd w:val="clear" w:color="auto" w:fill="BFBFBF" w:themeFill="background1" w:themeFillShade="BF"/>
            <w:noWrap/>
            <w:vAlign w:val="bottom"/>
            <w:hideMark/>
          </w:tcPr>
          <w:p w:rsidR="003667CC" w:rsidRPr="003667CC" w:rsidRDefault="003667CC" w:rsidP="003667CC">
            <w:pPr>
              <w:spacing w:after="0"/>
              <w:jc w:val="right"/>
              <w:rPr>
                <w:rFonts w:ascii="Calibri" w:eastAsia="Times New Roman" w:hAnsi="Calibri" w:cs="Times New Roman"/>
                <w:b/>
                <w:bCs/>
                <w:color w:val="000000"/>
                <w:sz w:val="20"/>
                <w:szCs w:val="22"/>
              </w:rPr>
            </w:pPr>
            <w:r w:rsidRPr="003667CC">
              <w:rPr>
                <w:rFonts w:ascii="Calibri" w:eastAsia="Times New Roman" w:hAnsi="Calibri" w:cs="Times New Roman"/>
                <w:b/>
                <w:bCs/>
                <w:color w:val="000000"/>
                <w:sz w:val="20"/>
                <w:szCs w:val="22"/>
              </w:rPr>
              <w:t>2016</w:t>
            </w:r>
          </w:p>
        </w:tc>
        <w:tc>
          <w:tcPr>
            <w:tcW w:w="663" w:type="dxa"/>
            <w:shd w:val="clear" w:color="auto" w:fill="BFBFBF" w:themeFill="background1" w:themeFillShade="BF"/>
            <w:noWrap/>
            <w:vAlign w:val="bottom"/>
            <w:hideMark/>
          </w:tcPr>
          <w:p w:rsidR="003667CC" w:rsidRPr="003667CC" w:rsidRDefault="003667CC" w:rsidP="003667CC">
            <w:pPr>
              <w:spacing w:after="0"/>
              <w:jc w:val="right"/>
              <w:rPr>
                <w:rFonts w:ascii="Calibri" w:eastAsia="Times New Roman" w:hAnsi="Calibri" w:cs="Times New Roman"/>
                <w:b/>
                <w:bCs/>
                <w:color w:val="000000"/>
                <w:sz w:val="20"/>
                <w:szCs w:val="22"/>
              </w:rPr>
            </w:pPr>
            <w:r w:rsidRPr="003667CC">
              <w:rPr>
                <w:rFonts w:ascii="Calibri" w:eastAsia="Times New Roman" w:hAnsi="Calibri" w:cs="Times New Roman"/>
                <w:b/>
                <w:bCs/>
                <w:color w:val="000000"/>
                <w:sz w:val="20"/>
                <w:szCs w:val="22"/>
              </w:rPr>
              <w:t>2017</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Ophthalmology</w:t>
            </w:r>
          </w:p>
        </w:tc>
        <w:tc>
          <w:tcPr>
            <w:tcW w:w="3140"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176</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190</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GP</w:t>
            </w:r>
          </w:p>
        </w:tc>
        <w:tc>
          <w:tcPr>
            <w:tcW w:w="3140"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146</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188</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Neurology</w:t>
            </w:r>
          </w:p>
        </w:tc>
        <w:tc>
          <w:tcPr>
            <w:tcW w:w="3140"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151</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168</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Rehabilitation Medicine</w:t>
            </w:r>
          </w:p>
        </w:tc>
        <w:tc>
          <w:tcPr>
            <w:tcW w:w="3140"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92</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100</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Other</w:t>
            </w:r>
          </w:p>
        </w:tc>
        <w:tc>
          <w:tcPr>
            <w:tcW w:w="3140"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49</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87</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Paediatric Medicine</w:t>
            </w:r>
          </w:p>
        </w:tc>
        <w:tc>
          <w:tcPr>
            <w:tcW w:w="3140"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35</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36</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Orthopaedic Surgery</w:t>
            </w:r>
          </w:p>
        </w:tc>
        <w:tc>
          <w:tcPr>
            <w:tcW w:w="3140"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10</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9</w:t>
            </w:r>
          </w:p>
        </w:tc>
      </w:tr>
      <w:tr w:rsidR="003667CC" w:rsidRPr="003667CC" w:rsidTr="00A77C2C">
        <w:trPr>
          <w:trHeight w:val="300"/>
        </w:trPr>
        <w:tc>
          <w:tcPr>
            <w:tcW w:w="3340" w:type="dxa"/>
            <w:shd w:val="clear" w:color="auto" w:fill="auto"/>
            <w:noWrap/>
            <w:vAlign w:val="bottom"/>
            <w:hideMark/>
          </w:tcPr>
          <w:p w:rsidR="003667CC" w:rsidRPr="003667CC" w:rsidRDefault="003667CC"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Plastic and Reconstructive Surgery</w:t>
            </w:r>
          </w:p>
        </w:tc>
        <w:tc>
          <w:tcPr>
            <w:tcW w:w="3140" w:type="dxa"/>
            <w:shd w:val="clear" w:color="auto" w:fill="auto"/>
            <w:noWrap/>
            <w:vAlign w:val="bottom"/>
            <w:hideMark/>
          </w:tcPr>
          <w:p w:rsidR="003667CC" w:rsidRPr="003667CC" w:rsidRDefault="00CB7A3F" w:rsidP="00CB7A3F">
            <w:pPr>
              <w:spacing w:after="0"/>
              <w:jc w:val="right"/>
              <w:rPr>
                <w:rFonts w:ascii="Calibri" w:eastAsia="Times New Roman" w:hAnsi="Calibri" w:cs="Times New Roman"/>
                <w:sz w:val="20"/>
                <w:szCs w:val="22"/>
              </w:rPr>
            </w:pPr>
            <w:r>
              <w:rPr>
                <w:rFonts w:ascii="Calibri" w:eastAsia="Times New Roman" w:hAnsi="Calibri" w:cs="Times New Roman"/>
                <w:sz w:val="20"/>
                <w:szCs w:val="22"/>
              </w:rPr>
              <w:t>&lt;=5</w:t>
            </w:r>
          </w:p>
        </w:tc>
        <w:tc>
          <w:tcPr>
            <w:tcW w:w="663" w:type="dxa"/>
            <w:shd w:val="clear" w:color="auto" w:fill="auto"/>
            <w:noWrap/>
            <w:vAlign w:val="bottom"/>
            <w:hideMark/>
          </w:tcPr>
          <w:p w:rsidR="003667CC" w:rsidRPr="003667CC" w:rsidRDefault="003667CC" w:rsidP="003667CC">
            <w:pPr>
              <w:spacing w:after="0"/>
              <w:jc w:val="right"/>
              <w:rPr>
                <w:rFonts w:ascii="Calibri" w:eastAsia="Times New Roman" w:hAnsi="Calibri" w:cs="Times New Roman"/>
                <w:sz w:val="20"/>
                <w:szCs w:val="22"/>
              </w:rPr>
            </w:pPr>
            <w:r w:rsidRPr="003667CC">
              <w:rPr>
                <w:rFonts w:ascii="Calibri" w:eastAsia="Times New Roman" w:hAnsi="Calibri" w:cs="Times New Roman"/>
                <w:sz w:val="20"/>
                <w:szCs w:val="22"/>
              </w:rPr>
              <w:t>12</w:t>
            </w:r>
          </w:p>
        </w:tc>
      </w:tr>
      <w:tr w:rsidR="00CB7A3F" w:rsidRPr="003667CC" w:rsidTr="00CB7A3F">
        <w:trPr>
          <w:trHeight w:val="300"/>
        </w:trPr>
        <w:tc>
          <w:tcPr>
            <w:tcW w:w="3340" w:type="dxa"/>
            <w:shd w:val="clear" w:color="auto" w:fill="auto"/>
            <w:noWrap/>
            <w:vAlign w:val="bottom"/>
            <w:hideMark/>
          </w:tcPr>
          <w:p w:rsidR="00CB7A3F" w:rsidRPr="003667CC" w:rsidRDefault="00CB7A3F"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ENT</w:t>
            </w:r>
          </w:p>
        </w:tc>
        <w:tc>
          <w:tcPr>
            <w:tcW w:w="3140" w:type="dxa"/>
            <w:shd w:val="clear" w:color="auto" w:fill="auto"/>
            <w:noWrap/>
            <w:vAlign w:val="bottom"/>
          </w:tcPr>
          <w:p w:rsidR="00CB7A3F" w:rsidRPr="003667CC" w:rsidRDefault="00CB7A3F" w:rsidP="003667CC">
            <w:pPr>
              <w:spacing w:after="0"/>
              <w:jc w:val="right"/>
              <w:rPr>
                <w:rFonts w:ascii="Calibri" w:eastAsia="Times New Roman" w:hAnsi="Calibri" w:cs="Times New Roman"/>
                <w:sz w:val="20"/>
                <w:szCs w:val="22"/>
              </w:rPr>
            </w:pPr>
            <w:r>
              <w:rPr>
                <w:rFonts w:ascii="Calibri" w:eastAsia="Times New Roman" w:hAnsi="Calibri" w:cs="Times New Roman"/>
                <w:sz w:val="20"/>
                <w:szCs w:val="22"/>
              </w:rPr>
              <w:t>&lt;=</w:t>
            </w:r>
            <w:r w:rsidRPr="003667CC">
              <w:rPr>
                <w:rFonts w:ascii="Calibri" w:eastAsia="Times New Roman" w:hAnsi="Calibri" w:cs="Times New Roman"/>
                <w:sz w:val="20"/>
                <w:szCs w:val="22"/>
              </w:rPr>
              <w:t>5</w:t>
            </w:r>
          </w:p>
        </w:tc>
        <w:tc>
          <w:tcPr>
            <w:tcW w:w="663" w:type="dxa"/>
            <w:shd w:val="clear" w:color="auto" w:fill="auto"/>
            <w:noWrap/>
            <w:vAlign w:val="bottom"/>
          </w:tcPr>
          <w:p w:rsidR="00CB7A3F" w:rsidRPr="003667CC" w:rsidRDefault="00CB7A3F" w:rsidP="00CB7A3F">
            <w:pPr>
              <w:spacing w:after="0"/>
              <w:jc w:val="right"/>
              <w:rPr>
                <w:rFonts w:ascii="Calibri" w:eastAsia="Times New Roman" w:hAnsi="Calibri" w:cs="Times New Roman"/>
                <w:sz w:val="20"/>
                <w:szCs w:val="22"/>
              </w:rPr>
            </w:pPr>
            <w:r>
              <w:rPr>
                <w:rFonts w:ascii="Calibri" w:eastAsia="Times New Roman" w:hAnsi="Calibri" w:cs="Times New Roman"/>
                <w:sz w:val="20"/>
                <w:szCs w:val="22"/>
              </w:rPr>
              <w:t>&lt;=5</w:t>
            </w:r>
          </w:p>
        </w:tc>
      </w:tr>
      <w:tr w:rsidR="00CB7A3F" w:rsidRPr="003667CC" w:rsidTr="00CB7A3F">
        <w:trPr>
          <w:trHeight w:val="300"/>
        </w:trPr>
        <w:tc>
          <w:tcPr>
            <w:tcW w:w="3340" w:type="dxa"/>
            <w:shd w:val="clear" w:color="auto" w:fill="auto"/>
            <w:noWrap/>
            <w:vAlign w:val="bottom"/>
            <w:hideMark/>
          </w:tcPr>
          <w:p w:rsidR="00CB7A3F" w:rsidRPr="003667CC" w:rsidRDefault="00CB7A3F" w:rsidP="003667CC">
            <w:pPr>
              <w:spacing w:after="0"/>
              <w:rPr>
                <w:rFonts w:ascii="Calibri" w:eastAsia="Times New Roman" w:hAnsi="Calibri" w:cs="Times New Roman"/>
                <w:sz w:val="20"/>
                <w:szCs w:val="22"/>
              </w:rPr>
            </w:pPr>
            <w:r w:rsidRPr="003667CC">
              <w:rPr>
                <w:rFonts w:ascii="Calibri" w:eastAsia="Times New Roman" w:hAnsi="Calibri" w:cs="Times New Roman"/>
                <w:sz w:val="20"/>
                <w:szCs w:val="22"/>
              </w:rPr>
              <w:t>Internal Medicine</w:t>
            </w:r>
          </w:p>
        </w:tc>
        <w:tc>
          <w:tcPr>
            <w:tcW w:w="3140" w:type="dxa"/>
            <w:shd w:val="clear" w:color="auto" w:fill="auto"/>
            <w:noWrap/>
            <w:vAlign w:val="bottom"/>
          </w:tcPr>
          <w:p w:rsidR="00CB7A3F" w:rsidRPr="003667CC" w:rsidRDefault="00CB7A3F" w:rsidP="00CB7A3F">
            <w:pPr>
              <w:spacing w:after="0"/>
              <w:jc w:val="right"/>
              <w:rPr>
                <w:rFonts w:ascii="Calibri" w:eastAsia="Times New Roman" w:hAnsi="Calibri" w:cs="Times New Roman"/>
                <w:sz w:val="20"/>
                <w:szCs w:val="22"/>
              </w:rPr>
            </w:pPr>
            <w:r>
              <w:rPr>
                <w:rFonts w:ascii="Calibri" w:eastAsia="Times New Roman" w:hAnsi="Calibri" w:cs="Times New Roman"/>
                <w:sz w:val="20"/>
                <w:szCs w:val="22"/>
              </w:rPr>
              <w:t>&lt;=5</w:t>
            </w:r>
          </w:p>
        </w:tc>
        <w:tc>
          <w:tcPr>
            <w:tcW w:w="663" w:type="dxa"/>
            <w:shd w:val="clear" w:color="auto" w:fill="auto"/>
            <w:noWrap/>
            <w:vAlign w:val="bottom"/>
          </w:tcPr>
          <w:p w:rsidR="00CB7A3F" w:rsidRPr="003667CC" w:rsidRDefault="00CB7A3F" w:rsidP="00CB7A3F">
            <w:pPr>
              <w:spacing w:after="0"/>
              <w:jc w:val="right"/>
              <w:rPr>
                <w:rFonts w:ascii="Calibri" w:eastAsia="Times New Roman" w:hAnsi="Calibri" w:cs="Times New Roman"/>
                <w:sz w:val="20"/>
                <w:szCs w:val="22"/>
              </w:rPr>
            </w:pPr>
            <w:r>
              <w:rPr>
                <w:rFonts w:ascii="Calibri" w:eastAsia="Times New Roman" w:hAnsi="Calibri" w:cs="Times New Roman"/>
                <w:sz w:val="20"/>
                <w:szCs w:val="22"/>
              </w:rPr>
              <w:t>&lt;=5</w:t>
            </w:r>
          </w:p>
        </w:tc>
      </w:tr>
      <w:tr w:rsidR="00CB7A3F" w:rsidRPr="003667CC" w:rsidTr="00A77C2C">
        <w:trPr>
          <w:trHeight w:val="300"/>
        </w:trPr>
        <w:tc>
          <w:tcPr>
            <w:tcW w:w="3340" w:type="dxa"/>
            <w:shd w:val="clear" w:color="DCE6F1" w:fill="DCE6F1"/>
            <w:noWrap/>
            <w:vAlign w:val="bottom"/>
            <w:hideMark/>
          </w:tcPr>
          <w:p w:rsidR="00CB7A3F" w:rsidRPr="003667CC" w:rsidRDefault="00CB7A3F" w:rsidP="003667CC">
            <w:pPr>
              <w:spacing w:after="0"/>
              <w:rPr>
                <w:rFonts w:ascii="Calibri" w:eastAsia="Times New Roman" w:hAnsi="Calibri" w:cs="Times New Roman"/>
                <w:b/>
                <w:bCs/>
                <w:color w:val="000000"/>
                <w:sz w:val="20"/>
                <w:szCs w:val="22"/>
              </w:rPr>
            </w:pPr>
            <w:r w:rsidRPr="003667CC">
              <w:rPr>
                <w:rFonts w:ascii="Calibri" w:eastAsia="Times New Roman" w:hAnsi="Calibri" w:cs="Times New Roman"/>
                <w:b/>
                <w:bCs/>
                <w:color w:val="000000"/>
                <w:sz w:val="20"/>
                <w:szCs w:val="22"/>
              </w:rPr>
              <w:t>Grand Total</w:t>
            </w:r>
          </w:p>
        </w:tc>
        <w:tc>
          <w:tcPr>
            <w:tcW w:w="3140" w:type="dxa"/>
            <w:shd w:val="clear" w:color="DCE6F1" w:fill="DCE6F1"/>
            <w:noWrap/>
            <w:vAlign w:val="bottom"/>
            <w:hideMark/>
          </w:tcPr>
          <w:p w:rsidR="00CB7A3F" w:rsidRPr="003667CC" w:rsidRDefault="00CB7A3F" w:rsidP="003667CC">
            <w:pPr>
              <w:spacing w:after="0"/>
              <w:jc w:val="right"/>
              <w:rPr>
                <w:rFonts w:ascii="Calibri" w:eastAsia="Times New Roman" w:hAnsi="Calibri" w:cs="Times New Roman"/>
                <w:b/>
                <w:bCs/>
                <w:color w:val="000000"/>
                <w:sz w:val="20"/>
                <w:szCs w:val="22"/>
              </w:rPr>
            </w:pPr>
            <w:r w:rsidRPr="003667CC">
              <w:rPr>
                <w:rFonts w:ascii="Calibri" w:eastAsia="Times New Roman" w:hAnsi="Calibri" w:cs="Times New Roman"/>
                <w:b/>
                <w:bCs/>
                <w:color w:val="000000"/>
                <w:sz w:val="20"/>
                <w:szCs w:val="22"/>
              </w:rPr>
              <w:t>673</w:t>
            </w:r>
          </w:p>
        </w:tc>
        <w:tc>
          <w:tcPr>
            <w:tcW w:w="663" w:type="dxa"/>
            <w:shd w:val="clear" w:color="DCE6F1" w:fill="DCE6F1"/>
            <w:noWrap/>
            <w:vAlign w:val="bottom"/>
            <w:hideMark/>
          </w:tcPr>
          <w:p w:rsidR="00CB7A3F" w:rsidRPr="003667CC" w:rsidRDefault="00CB7A3F" w:rsidP="003667CC">
            <w:pPr>
              <w:spacing w:after="0"/>
              <w:jc w:val="right"/>
              <w:rPr>
                <w:rFonts w:ascii="Calibri" w:eastAsia="Times New Roman" w:hAnsi="Calibri" w:cs="Times New Roman"/>
                <w:b/>
                <w:bCs/>
                <w:color w:val="000000"/>
                <w:sz w:val="20"/>
                <w:szCs w:val="22"/>
              </w:rPr>
            </w:pPr>
            <w:r w:rsidRPr="003667CC">
              <w:rPr>
                <w:rFonts w:ascii="Calibri" w:eastAsia="Times New Roman" w:hAnsi="Calibri" w:cs="Times New Roman"/>
                <w:b/>
                <w:bCs/>
                <w:color w:val="000000"/>
                <w:sz w:val="20"/>
                <w:szCs w:val="22"/>
              </w:rPr>
              <w:t>799</w:t>
            </w:r>
          </w:p>
        </w:tc>
      </w:tr>
    </w:tbl>
    <w:p w:rsidR="00E30F4E" w:rsidRPr="003667CC" w:rsidRDefault="003667CC" w:rsidP="003667CC">
      <w:pPr>
        <w:outlineLvl w:val="1"/>
        <w:rPr>
          <w:rFonts w:ascii="Calibri" w:eastAsia="MS Mincho" w:hAnsi="Calibri" w:cs="Times New Roman"/>
          <w:sz w:val="20"/>
        </w:rPr>
      </w:pPr>
      <w:r w:rsidRPr="003667CC">
        <w:rPr>
          <w:rFonts w:ascii="Calibri" w:eastAsia="MS Mincho" w:hAnsi="Calibri" w:cs="Times New Roman"/>
          <w:sz w:val="20"/>
        </w:rPr>
        <w:t>Note: Prescribers only counted once in each year. Specialty is the derived major specialty at the time of processing of the first botulinum toxin prescription in the year.</w:t>
      </w:r>
    </w:p>
    <w:p w:rsidR="00C87270" w:rsidRDefault="00C87270" w:rsidP="000C6FC0">
      <w:pPr>
        <w:spacing w:before="240" w:after="0"/>
        <w:outlineLvl w:val="1"/>
        <w:rPr>
          <w:rFonts w:ascii="Calibri" w:eastAsia="MS Mincho" w:hAnsi="Calibri" w:cs="Times New Roman"/>
          <w:b/>
          <w:i/>
        </w:rPr>
      </w:pPr>
      <w:r>
        <w:rPr>
          <w:rFonts w:ascii="Calibri" w:eastAsia="MS Mincho" w:hAnsi="Calibri" w:cs="Times New Roman"/>
          <w:b/>
          <w:i/>
        </w:rPr>
        <w:t>Expenditure</w:t>
      </w:r>
    </w:p>
    <w:p w:rsidR="002954E6" w:rsidRPr="00C87270" w:rsidRDefault="000C6FC0" w:rsidP="000C6FC0">
      <w:pPr>
        <w:spacing w:before="240" w:after="0"/>
        <w:outlineLvl w:val="1"/>
        <w:rPr>
          <w:rFonts w:ascii="Calibri" w:eastAsia="MS Mincho" w:hAnsi="Calibri" w:cs="Times New Roman"/>
          <w:b/>
          <w:i/>
        </w:rPr>
      </w:pPr>
      <w:r w:rsidRPr="00FD044A">
        <w:rPr>
          <w:rFonts w:ascii="Calibri" w:eastAsia="MS Mincho" w:hAnsi="Calibri" w:cs="Times New Roman"/>
          <w:b/>
        </w:rPr>
        <w:t xml:space="preserve">Table </w:t>
      </w:r>
      <w:r w:rsidR="002B554D">
        <w:rPr>
          <w:rFonts w:ascii="Calibri" w:eastAsia="MS Mincho" w:hAnsi="Calibri" w:cs="Times New Roman"/>
          <w:b/>
        </w:rPr>
        <w:t>13</w:t>
      </w:r>
      <w:r>
        <w:rPr>
          <w:rFonts w:ascii="Calibri" w:eastAsia="MS Mincho" w:hAnsi="Calibri" w:cs="Times New Roman"/>
          <w:b/>
        </w:rPr>
        <w:t xml:space="preserve">: </w:t>
      </w:r>
      <w:r w:rsidR="002954E6">
        <w:rPr>
          <w:rFonts w:ascii="Calibri" w:eastAsia="MS Mincho" w:hAnsi="Calibri" w:cs="Times New Roman"/>
          <w:b/>
        </w:rPr>
        <w:t>Government expenditure by indication</w:t>
      </w:r>
    </w:p>
    <w:tbl>
      <w:tblPr>
        <w:tblStyle w:val="TableGrid"/>
        <w:tblW w:w="0" w:type="auto"/>
        <w:tblLook w:val="04A0" w:firstRow="1" w:lastRow="0" w:firstColumn="1" w:lastColumn="0" w:noHBand="0" w:noVBand="1"/>
        <w:tblCaption w:val="Table 13: Government expenditure by indication"/>
      </w:tblPr>
      <w:tblGrid>
        <w:gridCol w:w="3059"/>
        <w:gridCol w:w="1330"/>
        <w:gridCol w:w="1330"/>
        <w:gridCol w:w="1330"/>
      </w:tblGrid>
      <w:tr w:rsidR="000C6FC0" w:rsidRPr="00A77C2C" w:rsidTr="00C87270">
        <w:trPr>
          <w:trHeight w:val="227"/>
          <w:tblHeader/>
        </w:trPr>
        <w:tc>
          <w:tcPr>
            <w:tcW w:w="3059" w:type="dxa"/>
            <w:noWrap/>
            <w:vAlign w:val="center"/>
            <w:hideMark/>
          </w:tcPr>
          <w:p w:rsidR="000C6FC0" w:rsidRPr="00A77C2C" w:rsidRDefault="000C6FC0" w:rsidP="00755921">
            <w:pPr>
              <w:rPr>
                <w:rFonts w:ascii="Calibri" w:eastAsia="MS Mincho" w:hAnsi="Calibri" w:cs="Times New Roman"/>
                <w:b/>
                <w:bCs/>
                <w:sz w:val="20"/>
                <w:szCs w:val="20"/>
              </w:rPr>
            </w:pPr>
          </w:p>
        </w:tc>
        <w:tc>
          <w:tcPr>
            <w:tcW w:w="2660" w:type="dxa"/>
            <w:gridSpan w:val="2"/>
            <w:noWrap/>
            <w:vAlign w:val="center"/>
            <w:hideMark/>
          </w:tcPr>
          <w:p w:rsidR="000C6FC0" w:rsidRPr="00A77C2C" w:rsidRDefault="000C6FC0" w:rsidP="00755921">
            <w:pPr>
              <w:jc w:val="center"/>
              <w:rPr>
                <w:rFonts w:ascii="Calibri" w:eastAsia="MS Mincho" w:hAnsi="Calibri" w:cs="Times New Roman"/>
                <w:b/>
                <w:bCs/>
                <w:sz w:val="20"/>
                <w:szCs w:val="20"/>
              </w:rPr>
            </w:pPr>
            <w:r w:rsidRPr="00A77C2C">
              <w:rPr>
                <w:rFonts w:ascii="Calibri" w:eastAsia="MS Mincho" w:hAnsi="Calibri" w:cs="Times New Roman"/>
                <w:b/>
                <w:bCs/>
                <w:sz w:val="20"/>
                <w:szCs w:val="20"/>
              </w:rPr>
              <w:t>Year</w:t>
            </w:r>
          </w:p>
        </w:tc>
        <w:tc>
          <w:tcPr>
            <w:tcW w:w="1330" w:type="dxa"/>
          </w:tcPr>
          <w:p w:rsidR="000C6FC0" w:rsidRPr="00A77C2C" w:rsidRDefault="000C6FC0" w:rsidP="00755921">
            <w:pPr>
              <w:jc w:val="center"/>
              <w:rPr>
                <w:rFonts w:ascii="Calibri" w:eastAsia="MS Mincho" w:hAnsi="Calibri" w:cs="Times New Roman"/>
                <w:b/>
                <w:bCs/>
                <w:sz w:val="20"/>
                <w:szCs w:val="20"/>
              </w:rPr>
            </w:pPr>
          </w:p>
        </w:tc>
      </w:tr>
      <w:tr w:rsidR="000C6FC0" w:rsidRPr="00A77C2C" w:rsidTr="00C87270">
        <w:trPr>
          <w:trHeight w:val="227"/>
        </w:trPr>
        <w:tc>
          <w:tcPr>
            <w:tcW w:w="3059" w:type="dxa"/>
            <w:noWrap/>
            <w:vAlign w:val="center"/>
            <w:hideMark/>
          </w:tcPr>
          <w:p w:rsidR="000C6FC0" w:rsidRPr="00A77C2C" w:rsidRDefault="000C6FC0" w:rsidP="00755921">
            <w:pPr>
              <w:rPr>
                <w:rFonts w:ascii="Calibri" w:eastAsia="MS Mincho" w:hAnsi="Calibri" w:cs="Times New Roman"/>
                <w:b/>
                <w:bCs/>
                <w:sz w:val="20"/>
                <w:szCs w:val="20"/>
              </w:rPr>
            </w:pPr>
            <w:r w:rsidRPr="00A77C2C">
              <w:rPr>
                <w:rFonts w:ascii="Calibri" w:eastAsia="MS Mincho" w:hAnsi="Calibri" w:cs="Times New Roman"/>
                <w:b/>
                <w:bCs/>
                <w:sz w:val="20"/>
                <w:szCs w:val="20"/>
              </w:rPr>
              <w:t>Indication</w:t>
            </w:r>
          </w:p>
        </w:tc>
        <w:tc>
          <w:tcPr>
            <w:tcW w:w="1330" w:type="dxa"/>
            <w:noWrap/>
            <w:vAlign w:val="center"/>
            <w:hideMark/>
          </w:tcPr>
          <w:p w:rsidR="000C6FC0" w:rsidRPr="00A77C2C" w:rsidRDefault="000C6FC0" w:rsidP="00755921">
            <w:pPr>
              <w:jc w:val="center"/>
              <w:rPr>
                <w:rFonts w:ascii="Calibri" w:eastAsia="MS Mincho" w:hAnsi="Calibri" w:cs="Times New Roman"/>
                <w:b/>
                <w:bCs/>
                <w:sz w:val="20"/>
                <w:szCs w:val="20"/>
              </w:rPr>
            </w:pPr>
            <w:r w:rsidRPr="00A77C2C">
              <w:rPr>
                <w:rFonts w:ascii="Calibri" w:eastAsia="MS Mincho" w:hAnsi="Calibri" w:cs="Times New Roman"/>
                <w:b/>
                <w:bCs/>
                <w:sz w:val="20"/>
                <w:szCs w:val="20"/>
              </w:rPr>
              <w:t>2016</w:t>
            </w:r>
          </w:p>
        </w:tc>
        <w:tc>
          <w:tcPr>
            <w:tcW w:w="1330" w:type="dxa"/>
            <w:noWrap/>
            <w:vAlign w:val="center"/>
            <w:hideMark/>
          </w:tcPr>
          <w:p w:rsidR="000C6FC0" w:rsidRPr="00A77C2C" w:rsidRDefault="000C6FC0" w:rsidP="00755921">
            <w:pPr>
              <w:jc w:val="center"/>
              <w:rPr>
                <w:rFonts w:ascii="Calibri" w:eastAsia="MS Mincho" w:hAnsi="Calibri" w:cs="Times New Roman"/>
                <w:b/>
                <w:bCs/>
                <w:sz w:val="20"/>
                <w:szCs w:val="20"/>
              </w:rPr>
            </w:pPr>
            <w:r w:rsidRPr="00A77C2C">
              <w:rPr>
                <w:rFonts w:ascii="Calibri" w:eastAsia="MS Mincho" w:hAnsi="Calibri" w:cs="Times New Roman"/>
                <w:b/>
                <w:bCs/>
                <w:sz w:val="20"/>
                <w:szCs w:val="20"/>
              </w:rPr>
              <w:t>2017</w:t>
            </w:r>
          </w:p>
        </w:tc>
        <w:tc>
          <w:tcPr>
            <w:tcW w:w="1330" w:type="dxa"/>
          </w:tcPr>
          <w:p w:rsidR="000C6FC0" w:rsidRPr="00A77C2C" w:rsidRDefault="000C6FC0" w:rsidP="000C6FC0">
            <w:pPr>
              <w:jc w:val="center"/>
              <w:rPr>
                <w:rFonts w:ascii="Calibri" w:eastAsia="MS Mincho" w:hAnsi="Calibri" w:cs="Times New Roman"/>
                <w:b/>
                <w:bCs/>
                <w:sz w:val="20"/>
                <w:szCs w:val="20"/>
              </w:rPr>
            </w:pPr>
            <w:r w:rsidRPr="00A77C2C">
              <w:rPr>
                <w:rFonts w:ascii="Calibri" w:eastAsia="MS Mincho" w:hAnsi="Calibri" w:cs="Times New Roman"/>
                <w:b/>
                <w:bCs/>
                <w:sz w:val="20"/>
                <w:szCs w:val="20"/>
              </w:rPr>
              <w:t>% change</w:t>
            </w:r>
          </w:p>
        </w:tc>
      </w:tr>
      <w:tr w:rsidR="000C6FC0" w:rsidRPr="00A77C2C" w:rsidTr="00C87270">
        <w:trPr>
          <w:trHeight w:val="227"/>
        </w:trPr>
        <w:tc>
          <w:tcPr>
            <w:tcW w:w="3059" w:type="dxa"/>
            <w:noWrap/>
            <w:vAlign w:val="center"/>
            <w:hideMark/>
          </w:tcPr>
          <w:p w:rsidR="000C6FC0" w:rsidRPr="00A77C2C" w:rsidRDefault="000C6FC0" w:rsidP="00400FF0">
            <w:pPr>
              <w:rPr>
                <w:rFonts w:ascii="Calibri" w:hAnsi="Calibri"/>
                <w:color w:val="000000"/>
                <w:sz w:val="20"/>
                <w:szCs w:val="20"/>
              </w:rPr>
            </w:pPr>
            <w:r w:rsidRPr="00A77C2C">
              <w:rPr>
                <w:rFonts w:ascii="Calibri" w:hAnsi="Calibri"/>
                <w:color w:val="000000"/>
                <w:sz w:val="20"/>
                <w:szCs w:val="20"/>
              </w:rPr>
              <w:t>Blepharospasm or hemifacial spasm</w:t>
            </w:r>
          </w:p>
        </w:tc>
        <w:tc>
          <w:tcPr>
            <w:tcW w:w="1330" w:type="dxa"/>
            <w:noWrap/>
            <w:vAlign w:val="center"/>
            <w:hideMark/>
          </w:tcPr>
          <w:p w:rsidR="000C6FC0" w:rsidRPr="00A77C2C" w:rsidRDefault="000C6FC0" w:rsidP="00400FF0">
            <w:pPr>
              <w:jc w:val="center"/>
              <w:rPr>
                <w:sz w:val="20"/>
                <w:szCs w:val="20"/>
              </w:rPr>
            </w:pPr>
            <w:r w:rsidRPr="00A77C2C">
              <w:rPr>
                <w:sz w:val="20"/>
                <w:szCs w:val="20"/>
              </w:rPr>
              <w:t>$5,993,307</w:t>
            </w:r>
          </w:p>
        </w:tc>
        <w:tc>
          <w:tcPr>
            <w:tcW w:w="1330" w:type="dxa"/>
            <w:noWrap/>
            <w:vAlign w:val="center"/>
            <w:hideMark/>
          </w:tcPr>
          <w:p w:rsidR="000C6FC0" w:rsidRPr="00A77C2C" w:rsidRDefault="000C6FC0" w:rsidP="00400FF0">
            <w:pPr>
              <w:jc w:val="center"/>
              <w:rPr>
                <w:sz w:val="20"/>
                <w:szCs w:val="20"/>
              </w:rPr>
            </w:pPr>
            <w:r w:rsidRPr="00A77C2C">
              <w:rPr>
                <w:sz w:val="20"/>
                <w:szCs w:val="20"/>
              </w:rPr>
              <w:t>$6,339,510</w:t>
            </w:r>
          </w:p>
        </w:tc>
        <w:tc>
          <w:tcPr>
            <w:tcW w:w="1330" w:type="dxa"/>
            <w:vAlign w:val="center"/>
          </w:tcPr>
          <w:p w:rsidR="000C6FC0" w:rsidRPr="00A77C2C" w:rsidRDefault="000C6FC0" w:rsidP="00400FF0">
            <w:pPr>
              <w:jc w:val="center"/>
              <w:rPr>
                <w:rFonts w:ascii="Calibri" w:hAnsi="Calibri"/>
                <w:color w:val="000000"/>
                <w:sz w:val="20"/>
                <w:szCs w:val="20"/>
              </w:rPr>
            </w:pPr>
            <w:r w:rsidRPr="00A77C2C">
              <w:rPr>
                <w:rFonts w:ascii="Calibri" w:hAnsi="Calibri"/>
                <w:color w:val="000000"/>
                <w:sz w:val="20"/>
                <w:szCs w:val="20"/>
              </w:rPr>
              <w:t>5.8%</w:t>
            </w:r>
          </w:p>
        </w:tc>
      </w:tr>
      <w:tr w:rsidR="000C6FC0" w:rsidRPr="00A77C2C" w:rsidTr="00C87270">
        <w:trPr>
          <w:trHeight w:val="227"/>
        </w:trPr>
        <w:tc>
          <w:tcPr>
            <w:tcW w:w="3059" w:type="dxa"/>
            <w:noWrap/>
            <w:vAlign w:val="center"/>
            <w:hideMark/>
          </w:tcPr>
          <w:p w:rsidR="000C6FC0" w:rsidRPr="00A77C2C" w:rsidRDefault="000C6FC0" w:rsidP="00400FF0">
            <w:pPr>
              <w:rPr>
                <w:rFonts w:ascii="Calibri" w:hAnsi="Calibri"/>
                <w:color w:val="000000"/>
                <w:sz w:val="20"/>
                <w:szCs w:val="20"/>
              </w:rPr>
            </w:pPr>
            <w:r w:rsidRPr="00A77C2C">
              <w:rPr>
                <w:rFonts w:ascii="Calibri" w:hAnsi="Calibri"/>
                <w:color w:val="000000"/>
                <w:sz w:val="20"/>
                <w:szCs w:val="20"/>
              </w:rPr>
              <w:t>Spasmodic torticollis</w:t>
            </w:r>
          </w:p>
        </w:tc>
        <w:tc>
          <w:tcPr>
            <w:tcW w:w="1330" w:type="dxa"/>
            <w:noWrap/>
            <w:vAlign w:val="center"/>
            <w:hideMark/>
          </w:tcPr>
          <w:p w:rsidR="000C6FC0" w:rsidRPr="00A77C2C" w:rsidRDefault="000C6FC0" w:rsidP="00400FF0">
            <w:pPr>
              <w:jc w:val="center"/>
              <w:rPr>
                <w:sz w:val="20"/>
                <w:szCs w:val="20"/>
              </w:rPr>
            </w:pPr>
            <w:r w:rsidRPr="00A77C2C">
              <w:rPr>
                <w:sz w:val="20"/>
                <w:szCs w:val="20"/>
              </w:rPr>
              <w:t>$8,353,377</w:t>
            </w:r>
          </w:p>
        </w:tc>
        <w:tc>
          <w:tcPr>
            <w:tcW w:w="1330" w:type="dxa"/>
            <w:noWrap/>
            <w:vAlign w:val="center"/>
            <w:hideMark/>
          </w:tcPr>
          <w:p w:rsidR="000C6FC0" w:rsidRPr="00A77C2C" w:rsidRDefault="000C6FC0" w:rsidP="00400FF0">
            <w:pPr>
              <w:jc w:val="center"/>
              <w:rPr>
                <w:sz w:val="20"/>
                <w:szCs w:val="20"/>
              </w:rPr>
            </w:pPr>
            <w:r w:rsidRPr="00A77C2C">
              <w:rPr>
                <w:sz w:val="20"/>
                <w:szCs w:val="20"/>
              </w:rPr>
              <w:t>$9,423,760</w:t>
            </w:r>
          </w:p>
        </w:tc>
        <w:tc>
          <w:tcPr>
            <w:tcW w:w="1330" w:type="dxa"/>
            <w:vAlign w:val="center"/>
          </w:tcPr>
          <w:p w:rsidR="000C6FC0" w:rsidRPr="00A77C2C" w:rsidRDefault="000C6FC0" w:rsidP="00400FF0">
            <w:pPr>
              <w:jc w:val="center"/>
              <w:rPr>
                <w:rFonts w:ascii="Calibri" w:hAnsi="Calibri"/>
                <w:color w:val="000000"/>
                <w:sz w:val="20"/>
                <w:szCs w:val="20"/>
              </w:rPr>
            </w:pPr>
            <w:r w:rsidRPr="00A77C2C">
              <w:rPr>
                <w:rFonts w:ascii="Calibri" w:hAnsi="Calibri"/>
                <w:color w:val="000000"/>
                <w:sz w:val="20"/>
                <w:szCs w:val="20"/>
              </w:rPr>
              <w:t>12.8%</w:t>
            </w:r>
          </w:p>
        </w:tc>
      </w:tr>
      <w:tr w:rsidR="000C6FC0" w:rsidRPr="00A77C2C" w:rsidTr="00C87270">
        <w:trPr>
          <w:trHeight w:val="227"/>
        </w:trPr>
        <w:tc>
          <w:tcPr>
            <w:tcW w:w="3059" w:type="dxa"/>
            <w:noWrap/>
            <w:vAlign w:val="center"/>
          </w:tcPr>
          <w:p w:rsidR="000C6FC0" w:rsidRPr="00A77C2C" w:rsidRDefault="000C6FC0" w:rsidP="00400FF0">
            <w:pPr>
              <w:rPr>
                <w:rFonts w:ascii="Calibri" w:hAnsi="Calibri"/>
                <w:color w:val="000000"/>
                <w:sz w:val="20"/>
                <w:szCs w:val="20"/>
              </w:rPr>
            </w:pPr>
            <w:r w:rsidRPr="00A77C2C">
              <w:rPr>
                <w:rFonts w:ascii="Calibri" w:hAnsi="Calibri"/>
                <w:color w:val="000000"/>
                <w:sz w:val="20"/>
                <w:szCs w:val="20"/>
              </w:rPr>
              <w:t>Dynamic equinus foot deformity</w:t>
            </w:r>
          </w:p>
        </w:tc>
        <w:tc>
          <w:tcPr>
            <w:tcW w:w="1330" w:type="dxa"/>
            <w:noWrap/>
            <w:vAlign w:val="center"/>
          </w:tcPr>
          <w:p w:rsidR="000C6FC0" w:rsidRPr="00A77C2C" w:rsidRDefault="000C6FC0" w:rsidP="00400FF0">
            <w:pPr>
              <w:jc w:val="center"/>
              <w:rPr>
                <w:sz w:val="20"/>
                <w:szCs w:val="20"/>
              </w:rPr>
            </w:pPr>
            <w:r w:rsidRPr="00A77C2C">
              <w:rPr>
                <w:sz w:val="20"/>
                <w:szCs w:val="20"/>
              </w:rPr>
              <w:t>$2,894,941</w:t>
            </w:r>
          </w:p>
        </w:tc>
        <w:tc>
          <w:tcPr>
            <w:tcW w:w="1330" w:type="dxa"/>
            <w:noWrap/>
            <w:vAlign w:val="center"/>
          </w:tcPr>
          <w:p w:rsidR="000C6FC0" w:rsidRPr="00A77C2C" w:rsidRDefault="000C6FC0" w:rsidP="00400FF0">
            <w:pPr>
              <w:jc w:val="center"/>
              <w:rPr>
                <w:sz w:val="20"/>
                <w:szCs w:val="20"/>
              </w:rPr>
            </w:pPr>
            <w:r w:rsidRPr="00A77C2C">
              <w:rPr>
                <w:sz w:val="20"/>
                <w:szCs w:val="20"/>
              </w:rPr>
              <w:t>$2,813,500</w:t>
            </w:r>
          </w:p>
        </w:tc>
        <w:tc>
          <w:tcPr>
            <w:tcW w:w="1330" w:type="dxa"/>
            <w:vAlign w:val="center"/>
          </w:tcPr>
          <w:p w:rsidR="000C6FC0" w:rsidRPr="00A77C2C" w:rsidRDefault="000C6FC0" w:rsidP="00400FF0">
            <w:pPr>
              <w:jc w:val="center"/>
              <w:rPr>
                <w:rFonts w:ascii="Calibri" w:hAnsi="Calibri"/>
                <w:color w:val="000000"/>
                <w:sz w:val="20"/>
                <w:szCs w:val="20"/>
              </w:rPr>
            </w:pPr>
            <w:r w:rsidRPr="00A77C2C">
              <w:rPr>
                <w:rFonts w:ascii="Calibri" w:hAnsi="Calibri"/>
                <w:color w:val="000000"/>
                <w:sz w:val="20"/>
                <w:szCs w:val="20"/>
              </w:rPr>
              <w:t>-2.8%</w:t>
            </w:r>
          </w:p>
        </w:tc>
      </w:tr>
      <w:tr w:rsidR="000C6FC0" w:rsidRPr="00A77C2C" w:rsidTr="00C87270">
        <w:trPr>
          <w:trHeight w:val="227"/>
        </w:trPr>
        <w:tc>
          <w:tcPr>
            <w:tcW w:w="3059" w:type="dxa"/>
            <w:noWrap/>
            <w:vAlign w:val="center"/>
            <w:hideMark/>
          </w:tcPr>
          <w:p w:rsidR="000C6FC0" w:rsidRPr="00A77C2C" w:rsidRDefault="000C6FC0" w:rsidP="00400FF0">
            <w:pPr>
              <w:rPr>
                <w:rFonts w:ascii="Calibri" w:hAnsi="Calibri"/>
                <w:color w:val="000000"/>
                <w:sz w:val="20"/>
                <w:szCs w:val="20"/>
              </w:rPr>
            </w:pPr>
            <w:r w:rsidRPr="00A77C2C">
              <w:rPr>
                <w:rFonts w:ascii="Calibri" w:hAnsi="Calibri"/>
                <w:color w:val="000000"/>
                <w:sz w:val="20"/>
                <w:szCs w:val="20"/>
              </w:rPr>
              <w:t>Moderate to severe spasticity - upper limb</w:t>
            </w:r>
          </w:p>
        </w:tc>
        <w:tc>
          <w:tcPr>
            <w:tcW w:w="1330" w:type="dxa"/>
            <w:noWrap/>
            <w:vAlign w:val="center"/>
            <w:hideMark/>
          </w:tcPr>
          <w:p w:rsidR="000C6FC0" w:rsidRPr="00A77C2C" w:rsidRDefault="000C6FC0" w:rsidP="00400FF0">
            <w:pPr>
              <w:jc w:val="center"/>
              <w:rPr>
                <w:sz w:val="20"/>
                <w:szCs w:val="20"/>
              </w:rPr>
            </w:pPr>
            <w:r w:rsidRPr="00A77C2C">
              <w:rPr>
                <w:sz w:val="20"/>
                <w:szCs w:val="20"/>
              </w:rPr>
              <w:t>$2,228,042</w:t>
            </w:r>
          </w:p>
        </w:tc>
        <w:tc>
          <w:tcPr>
            <w:tcW w:w="1330" w:type="dxa"/>
            <w:noWrap/>
            <w:vAlign w:val="center"/>
            <w:hideMark/>
          </w:tcPr>
          <w:p w:rsidR="000C6FC0" w:rsidRPr="00A77C2C" w:rsidRDefault="000C6FC0" w:rsidP="00400FF0">
            <w:pPr>
              <w:jc w:val="center"/>
              <w:rPr>
                <w:sz w:val="20"/>
                <w:szCs w:val="20"/>
              </w:rPr>
            </w:pPr>
            <w:r w:rsidRPr="00A77C2C">
              <w:rPr>
                <w:sz w:val="20"/>
                <w:szCs w:val="20"/>
              </w:rPr>
              <w:t>$2,444,888</w:t>
            </w:r>
          </w:p>
        </w:tc>
        <w:tc>
          <w:tcPr>
            <w:tcW w:w="1330" w:type="dxa"/>
            <w:vAlign w:val="center"/>
          </w:tcPr>
          <w:p w:rsidR="000C6FC0" w:rsidRPr="00A77C2C" w:rsidRDefault="000C6FC0" w:rsidP="00400FF0">
            <w:pPr>
              <w:jc w:val="center"/>
              <w:rPr>
                <w:rFonts w:ascii="Calibri" w:hAnsi="Calibri"/>
                <w:color w:val="000000"/>
                <w:sz w:val="20"/>
                <w:szCs w:val="20"/>
              </w:rPr>
            </w:pPr>
            <w:r w:rsidRPr="00A77C2C">
              <w:rPr>
                <w:rFonts w:ascii="Calibri" w:hAnsi="Calibri"/>
                <w:color w:val="000000"/>
                <w:sz w:val="20"/>
                <w:szCs w:val="20"/>
              </w:rPr>
              <w:t>9.7%</w:t>
            </w:r>
          </w:p>
        </w:tc>
      </w:tr>
      <w:tr w:rsidR="000C6FC0" w:rsidRPr="00A77C2C" w:rsidTr="00C87270">
        <w:trPr>
          <w:trHeight w:val="227"/>
        </w:trPr>
        <w:tc>
          <w:tcPr>
            <w:tcW w:w="3059" w:type="dxa"/>
            <w:noWrap/>
            <w:vAlign w:val="center"/>
          </w:tcPr>
          <w:p w:rsidR="000C6FC0" w:rsidRPr="00A77C2C" w:rsidRDefault="000C6FC0" w:rsidP="00400FF0">
            <w:pPr>
              <w:rPr>
                <w:rFonts w:ascii="Calibri" w:hAnsi="Calibri"/>
                <w:color w:val="000000"/>
                <w:sz w:val="20"/>
                <w:szCs w:val="20"/>
              </w:rPr>
            </w:pPr>
            <w:r w:rsidRPr="00A77C2C">
              <w:rPr>
                <w:rFonts w:ascii="Calibri" w:hAnsi="Calibri"/>
                <w:color w:val="000000"/>
                <w:sz w:val="20"/>
                <w:szCs w:val="20"/>
              </w:rPr>
              <w:t>Undefined</w:t>
            </w:r>
          </w:p>
        </w:tc>
        <w:tc>
          <w:tcPr>
            <w:tcW w:w="1330" w:type="dxa"/>
            <w:noWrap/>
            <w:vAlign w:val="center"/>
          </w:tcPr>
          <w:p w:rsidR="000C6FC0" w:rsidRPr="00A77C2C" w:rsidRDefault="000C6FC0" w:rsidP="00400FF0">
            <w:pPr>
              <w:jc w:val="center"/>
              <w:rPr>
                <w:sz w:val="20"/>
                <w:szCs w:val="20"/>
              </w:rPr>
            </w:pPr>
            <w:r w:rsidRPr="00A77C2C">
              <w:rPr>
                <w:sz w:val="20"/>
                <w:szCs w:val="20"/>
              </w:rPr>
              <w:t>$355,995</w:t>
            </w:r>
          </w:p>
        </w:tc>
        <w:tc>
          <w:tcPr>
            <w:tcW w:w="1330" w:type="dxa"/>
            <w:noWrap/>
            <w:vAlign w:val="center"/>
          </w:tcPr>
          <w:p w:rsidR="000C6FC0" w:rsidRPr="00A77C2C" w:rsidRDefault="000C6FC0" w:rsidP="00400FF0">
            <w:pPr>
              <w:jc w:val="center"/>
              <w:rPr>
                <w:sz w:val="20"/>
                <w:szCs w:val="20"/>
              </w:rPr>
            </w:pPr>
          </w:p>
        </w:tc>
        <w:tc>
          <w:tcPr>
            <w:tcW w:w="1330" w:type="dxa"/>
            <w:vAlign w:val="center"/>
          </w:tcPr>
          <w:p w:rsidR="000C6FC0" w:rsidRPr="00A77C2C" w:rsidRDefault="000C6FC0" w:rsidP="00400FF0">
            <w:pPr>
              <w:jc w:val="center"/>
              <w:rPr>
                <w:rFonts w:ascii="Calibri" w:hAnsi="Calibri"/>
                <w:color w:val="000000"/>
                <w:sz w:val="20"/>
                <w:szCs w:val="20"/>
              </w:rPr>
            </w:pPr>
          </w:p>
        </w:tc>
      </w:tr>
      <w:tr w:rsidR="000C6FC0" w:rsidRPr="00A77C2C" w:rsidTr="00C87270">
        <w:trPr>
          <w:trHeight w:val="227"/>
        </w:trPr>
        <w:tc>
          <w:tcPr>
            <w:tcW w:w="3059" w:type="dxa"/>
            <w:noWrap/>
            <w:vAlign w:val="center"/>
          </w:tcPr>
          <w:p w:rsidR="000C6FC0" w:rsidRPr="00A77C2C" w:rsidRDefault="000C6FC0" w:rsidP="00400FF0">
            <w:pPr>
              <w:rPr>
                <w:rFonts w:ascii="Calibri" w:hAnsi="Calibri"/>
                <w:color w:val="000000"/>
                <w:sz w:val="20"/>
                <w:szCs w:val="20"/>
              </w:rPr>
            </w:pPr>
            <w:r w:rsidRPr="00A77C2C">
              <w:rPr>
                <w:rFonts w:ascii="Calibri" w:hAnsi="Calibri"/>
                <w:color w:val="000000"/>
                <w:sz w:val="20"/>
                <w:szCs w:val="20"/>
              </w:rPr>
              <w:t>Total</w:t>
            </w:r>
          </w:p>
        </w:tc>
        <w:tc>
          <w:tcPr>
            <w:tcW w:w="1330" w:type="dxa"/>
            <w:noWrap/>
            <w:vAlign w:val="center"/>
          </w:tcPr>
          <w:p w:rsidR="000C6FC0" w:rsidRPr="00A77C2C" w:rsidRDefault="000C6FC0" w:rsidP="00400FF0">
            <w:pPr>
              <w:jc w:val="center"/>
              <w:rPr>
                <w:sz w:val="20"/>
                <w:szCs w:val="20"/>
              </w:rPr>
            </w:pPr>
            <w:r w:rsidRPr="00A77C2C">
              <w:rPr>
                <w:sz w:val="20"/>
                <w:szCs w:val="20"/>
              </w:rPr>
              <w:t>$19,825,662</w:t>
            </w:r>
          </w:p>
        </w:tc>
        <w:tc>
          <w:tcPr>
            <w:tcW w:w="1330" w:type="dxa"/>
            <w:noWrap/>
            <w:vAlign w:val="center"/>
          </w:tcPr>
          <w:p w:rsidR="000C6FC0" w:rsidRPr="00A77C2C" w:rsidRDefault="000C6FC0" w:rsidP="00400FF0">
            <w:pPr>
              <w:jc w:val="center"/>
              <w:rPr>
                <w:sz w:val="20"/>
                <w:szCs w:val="20"/>
              </w:rPr>
            </w:pPr>
            <w:r w:rsidRPr="00A77C2C">
              <w:rPr>
                <w:sz w:val="20"/>
                <w:szCs w:val="20"/>
              </w:rPr>
              <w:t>$21,021,658</w:t>
            </w:r>
          </w:p>
        </w:tc>
        <w:tc>
          <w:tcPr>
            <w:tcW w:w="1330" w:type="dxa"/>
            <w:vAlign w:val="center"/>
          </w:tcPr>
          <w:p w:rsidR="000C6FC0" w:rsidRPr="00A77C2C" w:rsidRDefault="000C6FC0" w:rsidP="00400FF0">
            <w:pPr>
              <w:jc w:val="center"/>
              <w:rPr>
                <w:rFonts w:ascii="Calibri" w:hAnsi="Calibri"/>
                <w:color w:val="000000"/>
                <w:sz w:val="20"/>
                <w:szCs w:val="20"/>
              </w:rPr>
            </w:pPr>
            <w:r w:rsidRPr="00A77C2C">
              <w:rPr>
                <w:rFonts w:ascii="Calibri" w:hAnsi="Calibri"/>
                <w:color w:val="000000"/>
                <w:sz w:val="20"/>
                <w:szCs w:val="20"/>
              </w:rPr>
              <w:t>6.0%</w:t>
            </w:r>
          </w:p>
        </w:tc>
      </w:tr>
    </w:tbl>
    <w:p w:rsidR="00FA14C4" w:rsidRDefault="00FA14C4" w:rsidP="00210797">
      <w:pPr>
        <w:spacing w:before="240"/>
        <w:outlineLvl w:val="1"/>
        <w:rPr>
          <w:rFonts w:ascii="Calibri" w:hAnsi="Calibri"/>
          <w:color w:val="000000"/>
        </w:rPr>
      </w:pPr>
      <w:r>
        <w:rPr>
          <w:rFonts w:ascii="Calibri" w:eastAsia="MS Mincho" w:hAnsi="Calibri" w:cs="Times New Roman"/>
        </w:rPr>
        <w:lastRenderedPageBreak/>
        <w:t xml:space="preserve">In contrast to Figure </w:t>
      </w:r>
      <w:r w:rsidR="003667CC">
        <w:rPr>
          <w:rFonts w:ascii="Calibri" w:eastAsia="MS Mincho" w:hAnsi="Calibri" w:cs="Times New Roman"/>
        </w:rPr>
        <w:t>2</w:t>
      </w:r>
      <w:r>
        <w:rPr>
          <w:rFonts w:ascii="Calibri" w:eastAsia="MS Mincho" w:hAnsi="Calibri" w:cs="Times New Roman"/>
        </w:rPr>
        <w:t xml:space="preserve"> where prescription utilisation is greatest for the </w:t>
      </w:r>
      <w:r w:rsidR="00435851">
        <w:rPr>
          <w:rFonts w:ascii="Calibri" w:eastAsia="MS Mincho" w:hAnsi="Calibri" w:cs="Times New Roman"/>
        </w:rPr>
        <w:t>b</w:t>
      </w:r>
      <w:r w:rsidRPr="00480EB3">
        <w:rPr>
          <w:rFonts w:ascii="Calibri" w:eastAsia="MS Mincho" w:hAnsi="Calibri" w:cs="Times New Roman"/>
        </w:rPr>
        <w:t>lepharospasm or hemifacial spasm</w:t>
      </w:r>
      <w:r>
        <w:rPr>
          <w:rFonts w:ascii="Calibri" w:eastAsia="MS Mincho" w:hAnsi="Calibri" w:cs="Times New Roman"/>
        </w:rPr>
        <w:t xml:space="preserve"> indication, government expenditure is greatest for the </w:t>
      </w:r>
      <w:r w:rsidR="00435851">
        <w:rPr>
          <w:rFonts w:ascii="Calibri" w:eastAsia="MS Mincho" w:hAnsi="Calibri" w:cs="Times New Roman"/>
        </w:rPr>
        <w:t>s</w:t>
      </w:r>
      <w:r w:rsidRPr="00480EB3">
        <w:rPr>
          <w:rFonts w:ascii="Calibri" w:eastAsia="MS Mincho" w:hAnsi="Calibri" w:cs="Times New Roman"/>
        </w:rPr>
        <w:t>pasmodic torticollis</w:t>
      </w:r>
      <w:r>
        <w:rPr>
          <w:rFonts w:ascii="Calibri" w:eastAsia="MS Mincho" w:hAnsi="Calibri" w:cs="Times New Roman"/>
        </w:rPr>
        <w:t xml:space="preserve"> indication. This is due to the average government expenditure per prescription for the </w:t>
      </w:r>
      <w:r w:rsidR="00435851">
        <w:rPr>
          <w:rFonts w:ascii="Calibri" w:hAnsi="Calibri"/>
          <w:color w:val="000000"/>
        </w:rPr>
        <w:t>b</w:t>
      </w:r>
      <w:r>
        <w:rPr>
          <w:rFonts w:ascii="Calibri" w:hAnsi="Calibri"/>
          <w:color w:val="000000"/>
        </w:rPr>
        <w:t xml:space="preserve">lepharospasm or hemifacial spasm indication being less than half that for </w:t>
      </w:r>
      <w:r w:rsidR="00435851">
        <w:rPr>
          <w:rFonts w:ascii="Calibri" w:hAnsi="Calibri"/>
          <w:color w:val="000000"/>
        </w:rPr>
        <w:t>s</w:t>
      </w:r>
      <w:r>
        <w:rPr>
          <w:rFonts w:ascii="Calibri" w:hAnsi="Calibri"/>
          <w:color w:val="000000"/>
        </w:rPr>
        <w:t>pasmodic torticollis</w:t>
      </w:r>
      <w:r w:rsidR="00435851">
        <w:rPr>
          <w:rFonts w:ascii="Calibri" w:hAnsi="Calibri"/>
          <w:color w:val="000000"/>
        </w:rPr>
        <w:t xml:space="preserve"> because fewer vials per treatment are required for these </w:t>
      </w:r>
      <w:r w:rsidR="007B051A">
        <w:rPr>
          <w:rFonts w:ascii="Calibri" w:hAnsi="Calibri"/>
          <w:color w:val="000000"/>
        </w:rPr>
        <w:t>indications</w:t>
      </w:r>
      <w:r>
        <w:rPr>
          <w:rFonts w:ascii="Calibri" w:hAnsi="Calibri"/>
          <w:color w:val="000000"/>
        </w:rPr>
        <w:t xml:space="preserve"> (see Figure </w:t>
      </w:r>
      <w:r w:rsidR="00CB27CF">
        <w:rPr>
          <w:rFonts w:ascii="Calibri" w:hAnsi="Calibri"/>
          <w:color w:val="000000"/>
        </w:rPr>
        <w:t>1</w:t>
      </w:r>
      <w:r w:rsidR="00156057">
        <w:rPr>
          <w:rFonts w:ascii="Calibri" w:hAnsi="Calibri"/>
          <w:color w:val="000000"/>
        </w:rPr>
        <w:t>2</w:t>
      </w:r>
      <w:r>
        <w:rPr>
          <w:rFonts w:ascii="Calibri" w:hAnsi="Calibri"/>
          <w:color w:val="000000"/>
        </w:rPr>
        <w:t>).</w:t>
      </w:r>
    </w:p>
    <w:p w:rsidR="00FA14C4" w:rsidRPr="00BF2E67" w:rsidRDefault="00BF2E67" w:rsidP="00BF2E67">
      <w:pPr>
        <w:spacing w:before="240"/>
        <w:outlineLvl w:val="1"/>
        <w:rPr>
          <w:rFonts w:ascii="Calibri" w:eastAsia="MS Mincho" w:hAnsi="Calibri" w:cs="Times New Roman"/>
        </w:rPr>
      </w:pPr>
      <w:r>
        <w:rPr>
          <w:noProof/>
        </w:rPr>
        <w:drawing>
          <wp:inline distT="0" distB="0" distL="0" distR="0" wp14:anchorId="2F327DC9" wp14:editId="3F105293">
            <wp:extent cx="5686425" cy="3362325"/>
            <wp:effectExtent l="0" t="0" r="9525" b="9525"/>
            <wp:docPr id="24" name="Chart 24" title="Figure 12: Average government expenditure per prescription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FA14C4" w:rsidRPr="00BC2991">
        <w:rPr>
          <w:rFonts w:ascii="Calibri" w:eastAsia="MS Mincho" w:hAnsi="Calibri" w:cs="Times New Roman"/>
          <w:b/>
        </w:rPr>
        <w:t xml:space="preserve"> </w:t>
      </w:r>
      <w:r w:rsidR="00FA14C4" w:rsidRPr="00B87CD5">
        <w:rPr>
          <w:rFonts w:ascii="Calibri" w:eastAsia="MS Mincho" w:hAnsi="Calibri" w:cs="Times New Roman"/>
          <w:b/>
        </w:rPr>
        <w:t xml:space="preserve">Figure </w:t>
      </w:r>
      <w:r w:rsidR="00CB27CF">
        <w:rPr>
          <w:rFonts w:ascii="Calibri" w:eastAsia="MS Mincho" w:hAnsi="Calibri" w:cs="Times New Roman"/>
          <w:b/>
        </w:rPr>
        <w:t>1</w:t>
      </w:r>
      <w:r w:rsidR="00156057">
        <w:rPr>
          <w:rFonts w:ascii="Calibri" w:eastAsia="MS Mincho" w:hAnsi="Calibri" w:cs="Times New Roman"/>
          <w:b/>
        </w:rPr>
        <w:t>2</w:t>
      </w:r>
      <w:r w:rsidR="00FA14C4" w:rsidRPr="00B87CD5">
        <w:rPr>
          <w:rFonts w:ascii="Calibri" w:eastAsia="MS Mincho" w:hAnsi="Calibri" w:cs="Times New Roman"/>
          <w:b/>
        </w:rPr>
        <w:t xml:space="preserve">: </w:t>
      </w:r>
      <w:r w:rsidR="00FA14C4">
        <w:rPr>
          <w:rFonts w:ascii="Calibri" w:eastAsia="MS Mincho" w:hAnsi="Calibri" w:cs="Times New Roman"/>
          <w:b/>
        </w:rPr>
        <w:t>Average government expenditure per prescription by indication</w:t>
      </w:r>
    </w:p>
    <w:p w:rsidR="003731D5" w:rsidRDefault="007B051A" w:rsidP="003731D5">
      <w:pPr>
        <w:spacing w:before="240"/>
        <w:rPr>
          <w:rFonts w:ascii="Calibri" w:eastAsia="MS Mincho" w:hAnsi="Calibri" w:cs="Times New Roman"/>
        </w:rPr>
      </w:pPr>
      <w:r>
        <w:rPr>
          <w:rFonts w:ascii="Calibri" w:eastAsia="MS Mincho" w:hAnsi="Calibri" w:cs="Times New Roman"/>
        </w:rPr>
        <w:t>The difference in expenditure per prescription</w:t>
      </w:r>
      <w:r w:rsidRPr="00515E92">
        <w:rPr>
          <w:rFonts w:ascii="Calibri" w:eastAsia="MS Mincho" w:hAnsi="Calibri" w:cs="Times New Roman"/>
        </w:rPr>
        <w:t xml:space="preserve"> is </w:t>
      </w:r>
      <w:r>
        <w:rPr>
          <w:rFonts w:ascii="Calibri" w:eastAsia="MS Mincho" w:hAnsi="Calibri" w:cs="Times New Roman"/>
        </w:rPr>
        <w:t xml:space="preserve">mainly </w:t>
      </w:r>
      <w:r w:rsidRPr="00515E92">
        <w:rPr>
          <w:rFonts w:ascii="Calibri" w:eastAsia="MS Mincho" w:hAnsi="Calibri" w:cs="Times New Roman"/>
        </w:rPr>
        <w:t>due to variation in the number of packs per prescription (see Figure 1</w:t>
      </w:r>
      <w:r w:rsidR="00156057">
        <w:rPr>
          <w:rFonts w:ascii="Calibri" w:eastAsia="MS Mincho" w:hAnsi="Calibri" w:cs="Times New Roman"/>
        </w:rPr>
        <w:t>3</w:t>
      </w:r>
      <w:r w:rsidRPr="00515E92">
        <w:rPr>
          <w:rFonts w:ascii="Calibri" w:eastAsia="MS Mincho" w:hAnsi="Calibri" w:cs="Times New Roman"/>
        </w:rPr>
        <w:t>)</w:t>
      </w:r>
      <w:r>
        <w:rPr>
          <w:rFonts w:ascii="Calibri" w:eastAsia="MS Mincho" w:hAnsi="Calibri" w:cs="Times New Roman"/>
        </w:rPr>
        <w:t>.</w:t>
      </w:r>
    </w:p>
    <w:p w:rsidR="007B6A87" w:rsidRDefault="00BF2E67" w:rsidP="003731D5">
      <w:pPr>
        <w:spacing w:before="240"/>
        <w:rPr>
          <w:rFonts w:ascii="Calibri" w:eastAsia="MS Mincho" w:hAnsi="Calibri" w:cs="Times New Roman"/>
          <w:b/>
        </w:rPr>
      </w:pPr>
      <w:r>
        <w:rPr>
          <w:noProof/>
        </w:rPr>
        <w:lastRenderedPageBreak/>
        <w:drawing>
          <wp:inline distT="0" distB="0" distL="0" distR="0" wp14:anchorId="444BB3EC" wp14:editId="27423E80">
            <wp:extent cx="5686425" cy="3362400"/>
            <wp:effectExtent l="0" t="0" r="9525" b="9525"/>
            <wp:docPr id="34" name="Chart 34" title="Figure 13: Average packs per prescription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7545DD" w:rsidRPr="00B87CD5">
        <w:rPr>
          <w:rFonts w:ascii="Calibri" w:eastAsia="MS Mincho" w:hAnsi="Calibri" w:cs="Times New Roman"/>
          <w:b/>
        </w:rPr>
        <w:t xml:space="preserve"> </w:t>
      </w:r>
      <w:r w:rsidR="00FA14C4" w:rsidRPr="00B87CD5">
        <w:rPr>
          <w:rFonts w:ascii="Calibri" w:eastAsia="MS Mincho" w:hAnsi="Calibri" w:cs="Times New Roman"/>
          <w:b/>
        </w:rPr>
        <w:t xml:space="preserve">Figure </w:t>
      </w:r>
      <w:r w:rsidR="002B554D">
        <w:rPr>
          <w:rFonts w:ascii="Calibri" w:eastAsia="MS Mincho" w:hAnsi="Calibri" w:cs="Times New Roman"/>
          <w:b/>
        </w:rPr>
        <w:t>1</w:t>
      </w:r>
      <w:r w:rsidR="00156057">
        <w:rPr>
          <w:rFonts w:ascii="Calibri" w:eastAsia="MS Mincho" w:hAnsi="Calibri" w:cs="Times New Roman"/>
          <w:b/>
        </w:rPr>
        <w:t>3</w:t>
      </w:r>
      <w:r w:rsidR="00FA14C4" w:rsidRPr="00B87CD5">
        <w:rPr>
          <w:rFonts w:ascii="Calibri" w:eastAsia="MS Mincho" w:hAnsi="Calibri" w:cs="Times New Roman"/>
          <w:b/>
        </w:rPr>
        <w:t xml:space="preserve">: </w:t>
      </w:r>
      <w:r w:rsidR="00FA14C4">
        <w:rPr>
          <w:rFonts w:ascii="Calibri" w:eastAsia="MS Mincho" w:hAnsi="Calibri" w:cs="Times New Roman"/>
          <w:b/>
        </w:rPr>
        <w:t>Average packs per prescription by indication</w:t>
      </w:r>
      <w:r w:rsidR="007B6A87">
        <w:rPr>
          <w:rFonts w:ascii="Calibri" w:eastAsia="MS Mincho" w:hAnsi="Calibri" w:cs="Times New Roman"/>
          <w:b/>
        </w:rPr>
        <w:br w:type="page"/>
      </w:r>
    </w:p>
    <w:p w:rsidR="00515E92" w:rsidRPr="007B6A87" w:rsidRDefault="00F704B6" w:rsidP="00FA14C4">
      <w:pPr>
        <w:spacing w:before="240"/>
        <w:outlineLvl w:val="1"/>
        <w:rPr>
          <w:rFonts w:ascii="Calibri" w:eastAsia="MS Mincho" w:hAnsi="Calibri" w:cs="Times New Roman"/>
          <w:b/>
          <w:i/>
        </w:rPr>
      </w:pPr>
      <w:r w:rsidRPr="007B6A87">
        <w:rPr>
          <w:rFonts w:ascii="Calibri" w:eastAsia="MS Mincho" w:hAnsi="Calibri" w:cs="Times New Roman"/>
          <w:b/>
          <w:i/>
        </w:rPr>
        <w:lastRenderedPageBreak/>
        <w:t>Distribution of packs per prescription</w:t>
      </w:r>
    </w:p>
    <w:p w:rsidR="007B6A87" w:rsidRPr="00856CD3" w:rsidRDefault="002B554D" w:rsidP="007B6A87">
      <w:pPr>
        <w:spacing w:before="240"/>
        <w:outlineLvl w:val="1"/>
        <w:rPr>
          <w:rFonts w:ascii="Calibri" w:eastAsia="MS Mincho" w:hAnsi="Calibri" w:cs="Times New Roman"/>
          <w:sz w:val="20"/>
        </w:rPr>
      </w:pPr>
      <w:r>
        <w:rPr>
          <w:noProof/>
        </w:rPr>
        <w:drawing>
          <wp:inline distT="0" distB="0" distL="0" distR="0" wp14:anchorId="10E74B89" wp14:editId="14498AA8">
            <wp:extent cx="5687695" cy="3712801"/>
            <wp:effectExtent l="0" t="0" r="27305" b="21590"/>
            <wp:docPr id="1" name="Chart 1" title="Figure 14: % Distribution of packs per prescription by indication, all brands"/>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7B6A87" w:rsidRPr="00B87CD5">
        <w:rPr>
          <w:rFonts w:ascii="Calibri" w:eastAsia="MS Mincho" w:hAnsi="Calibri" w:cs="Times New Roman"/>
          <w:b/>
        </w:rPr>
        <w:t xml:space="preserve">Figure </w:t>
      </w:r>
      <w:r w:rsidR="0064630A">
        <w:rPr>
          <w:rFonts w:ascii="Calibri" w:eastAsia="MS Mincho" w:hAnsi="Calibri" w:cs="Times New Roman"/>
          <w:b/>
        </w:rPr>
        <w:t>1</w:t>
      </w:r>
      <w:r w:rsidR="00057D23">
        <w:rPr>
          <w:rFonts w:ascii="Calibri" w:eastAsia="MS Mincho" w:hAnsi="Calibri" w:cs="Times New Roman"/>
          <w:b/>
        </w:rPr>
        <w:t>4</w:t>
      </w:r>
      <w:r w:rsidR="007B6A87" w:rsidRPr="00B87CD5">
        <w:rPr>
          <w:rFonts w:ascii="Calibri" w:eastAsia="MS Mincho" w:hAnsi="Calibri" w:cs="Times New Roman"/>
          <w:b/>
        </w:rPr>
        <w:t xml:space="preserve">: </w:t>
      </w:r>
      <w:r w:rsidR="007B6A87">
        <w:rPr>
          <w:rFonts w:ascii="Calibri" w:eastAsia="MS Mincho" w:hAnsi="Calibri" w:cs="Times New Roman"/>
          <w:b/>
        </w:rPr>
        <w:t>% Distribution of packs per prescription by indication, all brands</w:t>
      </w:r>
      <w:r w:rsidR="00856CD3">
        <w:rPr>
          <w:rFonts w:ascii="Calibri" w:eastAsia="MS Mincho" w:hAnsi="Calibri" w:cs="Times New Roman"/>
          <w:b/>
        </w:rPr>
        <w:br/>
      </w:r>
      <w:r w:rsidR="00856CD3" w:rsidRPr="00856CD3">
        <w:rPr>
          <w:rFonts w:ascii="Calibri" w:eastAsia="MS Mincho" w:hAnsi="Calibri" w:cs="Times New Roman"/>
          <w:sz w:val="20"/>
        </w:rPr>
        <w:t>Note: includes all prescriptions from September 2015 to the end of December 2017</w:t>
      </w:r>
      <w:r w:rsidR="00E10CE7">
        <w:rPr>
          <w:rFonts w:ascii="Calibri" w:eastAsia="MS Mincho" w:hAnsi="Calibri" w:cs="Times New Roman"/>
          <w:sz w:val="20"/>
        </w:rPr>
        <w:t xml:space="preserve">. A small </w:t>
      </w:r>
      <w:r w:rsidR="007B051A">
        <w:rPr>
          <w:rFonts w:ascii="Calibri" w:eastAsia="MS Mincho" w:hAnsi="Calibri" w:cs="Times New Roman"/>
          <w:sz w:val="20"/>
        </w:rPr>
        <w:t>proportion</w:t>
      </w:r>
      <w:r w:rsidR="00E10CE7">
        <w:rPr>
          <w:rFonts w:ascii="Calibri" w:eastAsia="MS Mincho" w:hAnsi="Calibri" w:cs="Times New Roman"/>
          <w:sz w:val="20"/>
        </w:rPr>
        <w:t xml:space="preserve"> of scripts (0.12%) had greater than 4 packs per prescription and these are not shown in the figure.</w:t>
      </w:r>
    </w:p>
    <w:p w:rsidR="00445234" w:rsidRDefault="00445234" w:rsidP="00FA14C4">
      <w:pPr>
        <w:spacing w:before="240"/>
        <w:outlineLvl w:val="1"/>
        <w:rPr>
          <w:rFonts w:ascii="Calibri" w:eastAsia="MS Mincho" w:hAnsi="Calibri" w:cs="Times New Roman"/>
        </w:rPr>
      </w:pPr>
      <w:r>
        <w:rPr>
          <w:rFonts w:ascii="Calibri" w:eastAsia="MS Mincho" w:hAnsi="Calibri" w:cs="Times New Roman"/>
        </w:rPr>
        <w:t xml:space="preserve">For </w:t>
      </w:r>
      <w:r w:rsidR="007B051A">
        <w:rPr>
          <w:rFonts w:ascii="Calibri" w:eastAsia="MS Mincho" w:hAnsi="Calibri" w:cs="Times New Roman"/>
        </w:rPr>
        <w:t>blepharospasm</w:t>
      </w:r>
      <w:r>
        <w:rPr>
          <w:rFonts w:ascii="Calibri" w:eastAsia="MS Mincho" w:hAnsi="Calibri" w:cs="Times New Roman"/>
        </w:rPr>
        <w:t xml:space="preserve"> o</w:t>
      </w:r>
      <w:r w:rsidR="0014268A">
        <w:rPr>
          <w:rFonts w:ascii="Calibri" w:eastAsia="MS Mincho" w:hAnsi="Calibri" w:cs="Times New Roman"/>
        </w:rPr>
        <w:t>r</w:t>
      </w:r>
      <w:r>
        <w:rPr>
          <w:rFonts w:ascii="Calibri" w:eastAsia="MS Mincho" w:hAnsi="Calibri" w:cs="Times New Roman"/>
        </w:rPr>
        <w:t xml:space="preserve"> hemifacial spasm the vast majority of prescriptions are for only one vial, consistent with the small size and number of muscles in this area and lower doses as outlined in Table 2.</w:t>
      </w:r>
    </w:p>
    <w:p w:rsidR="00445234" w:rsidRDefault="00445234" w:rsidP="00FA14C4">
      <w:pPr>
        <w:spacing w:before="240"/>
        <w:outlineLvl w:val="1"/>
        <w:rPr>
          <w:rFonts w:ascii="Calibri" w:eastAsia="MS Mincho" w:hAnsi="Calibri" w:cs="Times New Roman"/>
        </w:rPr>
      </w:pPr>
      <w:r>
        <w:rPr>
          <w:rFonts w:ascii="Calibri" w:eastAsia="MS Mincho" w:hAnsi="Calibri" w:cs="Times New Roman"/>
        </w:rPr>
        <w:t xml:space="preserve">For the other indications where the size and number of affected muscles may vary, the number of vials per prescription </w:t>
      </w:r>
      <w:r w:rsidR="002E1B28">
        <w:rPr>
          <w:rFonts w:ascii="Calibri" w:eastAsia="MS Mincho" w:hAnsi="Calibri" w:cs="Times New Roman"/>
        </w:rPr>
        <w:t xml:space="preserve">also varies. For spasmodic torticollis the majority of prescriptions are for one or two vials. </w:t>
      </w:r>
      <w:r w:rsidR="00156057">
        <w:rPr>
          <w:rFonts w:ascii="Calibri" w:eastAsia="MS Mincho" w:hAnsi="Calibri" w:cs="Times New Roman"/>
        </w:rPr>
        <w:t xml:space="preserve">The number of vials for cerebral palsy will </w:t>
      </w:r>
      <w:r w:rsidR="00541E6B">
        <w:rPr>
          <w:rFonts w:ascii="Calibri" w:eastAsia="MS Mincho" w:hAnsi="Calibri" w:cs="Times New Roman"/>
        </w:rPr>
        <w:t xml:space="preserve">also </w:t>
      </w:r>
      <w:r w:rsidR="00156057">
        <w:rPr>
          <w:rFonts w:ascii="Calibri" w:eastAsia="MS Mincho" w:hAnsi="Calibri" w:cs="Times New Roman"/>
        </w:rPr>
        <w:t xml:space="preserve">depend on the </w:t>
      </w:r>
      <w:r w:rsidR="003B6388">
        <w:rPr>
          <w:rFonts w:ascii="Calibri" w:eastAsia="MS Mincho" w:hAnsi="Calibri" w:cs="Times New Roman"/>
        </w:rPr>
        <w:t>proportion</w:t>
      </w:r>
      <w:r w:rsidR="00156057">
        <w:rPr>
          <w:rFonts w:ascii="Calibri" w:eastAsia="MS Mincho" w:hAnsi="Calibri" w:cs="Times New Roman"/>
        </w:rPr>
        <w:t xml:space="preserve"> of use that is in children.</w:t>
      </w:r>
      <w:r w:rsidR="002E1B28">
        <w:rPr>
          <w:rFonts w:ascii="Calibri" w:eastAsia="MS Mincho" w:hAnsi="Calibri" w:cs="Times New Roman"/>
        </w:rPr>
        <w:t xml:space="preserve"> </w:t>
      </w:r>
    </w:p>
    <w:p w:rsidR="00782DBA" w:rsidRDefault="002E1B28" w:rsidP="00FA14C4">
      <w:pPr>
        <w:spacing w:before="240"/>
        <w:outlineLvl w:val="1"/>
        <w:rPr>
          <w:rFonts w:ascii="Calibri" w:eastAsia="MS Mincho" w:hAnsi="Calibri" w:cs="Times New Roman"/>
        </w:rPr>
      </w:pPr>
      <w:r>
        <w:rPr>
          <w:rFonts w:ascii="Calibri" w:eastAsia="MS Mincho" w:hAnsi="Calibri" w:cs="Times New Roman"/>
        </w:rPr>
        <w:t xml:space="preserve">The vial per prescription data gives reassurance that since botulinum toxin became a streamlined authority </w:t>
      </w:r>
      <w:r w:rsidR="0097000A">
        <w:rPr>
          <w:rFonts w:ascii="Calibri" w:eastAsia="MS Mincho" w:hAnsi="Calibri" w:cs="Times New Roman"/>
        </w:rPr>
        <w:t>listing</w:t>
      </w:r>
      <w:r>
        <w:rPr>
          <w:rFonts w:ascii="Calibri" w:eastAsia="MS Mincho" w:hAnsi="Calibri" w:cs="Times New Roman"/>
        </w:rPr>
        <w:t xml:space="preserve"> that </w:t>
      </w:r>
      <w:r w:rsidR="007B051A">
        <w:rPr>
          <w:rFonts w:ascii="Calibri" w:eastAsia="MS Mincho" w:hAnsi="Calibri" w:cs="Times New Roman"/>
        </w:rPr>
        <w:t>prescribers</w:t>
      </w:r>
      <w:r>
        <w:rPr>
          <w:rFonts w:ascii="Calibri" w:eastAsia="MS Mincho" w:hAnsi="Calibri" w:cs="Times New Roman"/>
        </w:rPr>
        <w:t xml:space="preserve"> are making an active decision about the number of vials required for treatment for the patient, rather than defaulting to the maximum quantity</w:t>
      </w:r>
      <w:r w:rsidR="00541E6B">
        <w:rPr>
          <w:rFonts w:ascii="Calibri" w:eastAsia="MS Mincho" w:hAnsi="Calibri" w:cs="Times New Roman"/>
        </w:rPr>
        <w:t xml:space="preserve"> (4 for Botox and Xeomin</w:t>
      </w:r>
      <w:r w:rsidR="00F55558">
        <w:rPr>
          <w:rFonts w:ascii="Calibri" w:eastAsia="MS Mincho" w:hAnsi="Calibri" w:cs="Times New Roman"/>
        </w:rPr>
        <w:t>;</w:t>
      </w:r>
      <w:r w:rsidR="00541E6B">
        <w:rPr>
          <w:rFonts w:ascii="Calibri" w:eastAsia="MS Mincho" w:hAnsi="Calibri" w:cs="Times New Roman"/>
        </w:rPr>
        <w:t xml:space="preserve"> 4 or 2 for Dysport – see Table 5 for details)</w:t>
      </w:r>
      <w:r>
        <w:rPr>
          <w:rFonts w:ascii="Calibri" w:eastAsia="MS Mincho" w:hAnsi="Calibri" w:cs="Times New Roman"/>
        </w:rPr>
        <w:t>. However, a</w:t>
      </w:r>
      <w:r w:rsidR="00F55558">
        <w:rPr>
          <w:rFonts w:ascii="Calibri" w:eastAsia="MS Mincho" w:hAnsi="Calibri" w:cs="Times New Roman"/>
        </w:rPr>
        <w:t>s prescription data are</w:t>
      </w:r>
      <w:r w:rsidR="00981D27">
        <w:rPr>
          <w:rFonts w:ascii="Calibri" w:eastAsia="MS Mincho" w:hAnsi="Calibri" w:cs="Times New Roman"/>
        </w:rPr>
        <w:t xml:space="preserve"> not available prior to Sept</w:t>
      </w:r>
      <w:r w:rsidR="00673911">
        <w:rPr>
          <w:rFonts w:ascii="Calibri" w:eastAsia="MS Mincho" w:hAnsi="Calibri" w:cs="Times New Roman"/>
        </w:rPr>
        <w:t>e</w:t>
      </w:r>
      <w:r w:rsidR="00981D27">
        <w:rPr>
          <w:rFonts w:ascii="Calibri" w:eastAsia="MS Mincho" w:hAnsi="Calibri" w:cs="Times New Roman"/>
        </w:rPr>
        <w:t>mb</w:t>
      </w:r>
      <w:r w:rsidR="00673911">
        <w:rPr>
          <w:rFonts w:ascii="Calibri" w:eastAsia="MS Mincho" w:hAnsi="Calibri" w:cs="Times New Roman"/>
        </w:rPr>
        <w:t>e</w:t>
      </w:r>
      <w:r w:rsidR="00981D27">
        <w:rPr>
          <w:rFonts w:ascii="Calibri" w:eastAsia="MS Mincho" w:hAnsi="Calibri" w:cs="Times New Roman"/>
        </w:rPr>
        <w:t xml:space="preserve">r 2015 it is not possible to </w:t>
      </w:r>
      <w:r w:rsidR="0097000A">
        <w:rPr>
          <w:rFonts w:ascii="Calibri" w:eastAsia="MS Mincho" w:hAnsi="Calibri" w:cs="Times New Roman"/>
        </w:rPr>
        <w:t xml:space="preserve">confirm that </w:t>
      </w:r>
      <w:r w:rsidR="00981D27">
        <w:rPr>
          <w:rFonts w:ascii="Calibri" w:eastAsia="MS Mincho" w:hAnsi="Calibri" w:cs="Times New Roman"/>
        </w:rPr>
        <w:t xml:space="preserve">the quantity per treatment/prescription has </w:t>
      </w:r>
      <w:r w:rsidR="0097000A">
        <w:rPr>
          <w:rFonts w:ascii="Calibri" w:eastAsia="MS Mincho" w:hAnsi="Calibri" w:cs="Times New Roman"/>
        </w:rPr>
        <w:t xml:space="preserve">not </w:t>
      </w:r>
      <w:r w:rsidR="00981D27">
        <w:rPr>
          <w:rFonts w:ascii="Calibri" w:eastAsia="MS Mincho" w:hAnsi="Calibri" w:cs="Times New Roman"/>
        </w:rPr>
        <w:t xml:space="preserve">changed </w:t>
      </w:r>
      <w:r>
        <w:rPr>
          <w:rFonts w:ascii="Calibri" w:eastAsia="MS Mincho" w:hAnsi="Calibri" w:cs="Times New Roman"/>
        </w:rPr>
        <w:t>over time.</w:t>
      </w:r>
    </w:p>
    <w:p w:rsidR="000C1F68" w:rsidRPr="00070754" w:rsidRDefault="000C1F68" w:rsidP="000C1F68">
      <w:pPr>
        <w:keepNext/>
        <w:keepLines/>
        <w:outlineLvl w:val="0"/>
        <w:rPr>
          <w:rFonts w:ascii="Calibri" w:eastAsia="MS Gothic" w:hAnsi="Calibri" w:cs="Times New Roman"/>
          <w:b/>
          <w:bCs/>
          <w:i/>
        </w:rPr>
      </w:pPr>
      <w:r w:rsidRPr="00070754">
        <w:rPr>
          <w:rFonts w:ascii="Calibri" w:eastAsia="MS Gothic" w:hAnsi="Calibri" w:cs="Times New Roman"/>
          <w:b/>
          <w:bCs/>
          <w:i/>
        </w:rPr>
        <w:lastRenderedPageBreak/>
        <w:t>Wastage</w:t>
      </w:r>
    </w:p>
    <w:p w:rsidR="000C1F68" w:rsidRDefault="000C1F68" w:rsidP="000C1F68">
      <w:pPr>
        <w:keepNext/>
        <w:keepLines/>
        <w:outlineLvl w:val="0"/>
        <w:rPr>
          <w:rFonts w:ascii="Calibri" w:eastAsia="MS Gothic" w:hAnsi="Calibri" w:cs="Times New Roman"/>
          <w:bCs/>
        </w:rPr>
      </w:pPr>
      <w:r>
        <w:rPr>
          <w:rFonts w:ascii="Calibri" w:eastAsia="MS Gothic" w:hAnsi="Calibri" w:cs="Times New Roman"/>
          <w:bCs/>
        </w:rPr>
        <w:t>T</w:t>
      </w:r>
      <w:r w:rsidRPr="00CC6634">
        <w:rPr>
          <w:rFonts w:ascii="Calibri" w:eastAsia="MS Gothic" w:hAnsi="Calibri" w:cs="Times New Roman"/>
          <w:bCs/>
        </w:rPr>
        <w:t xml:space="preserve">he minimum quantity that can be prescribed </w:t>
      </w:r>
      <w:r>
        <w:rPr>
          <w:rFonts w:ascii="Calibri" w:eastAsia="MS Gothic" w:hAnsi="Calibri" w:cs="Times New Roman"/>
          <w:bCs/>
        </w:rPr>
        <w:t xml:space="preserve">on the PBS </w:t>
      </w:r>
      <w:r w:rsidRPr="00CC6634">
        <w:rPr>
          <w:rFonts w:ascii="Calibri" w:eastAsia="MS Gothic" w:hAnsi="Calibri" w:cs="Times New Roman"/>
          <w:bCs/>
        </w:rPr>
        <w:t xml:space="preserve">is </w:t>
      </w:r>
      <w:r>
        <w:rPr>
          <w:rFonts w:ascii="Calibri" w:eastAsia="MS Gothic" w:hAnsi="Calibri" w:cs="Times New Roman"/>
          <w:bCs/>
        </w:rPr>
        <w:t xml:space="preserve">a </w:t>
      </w:r>
      <w:r w:rsidRPr="00CC6634">
        <w:rPr>
          <w:rFonts w:ascii="Calibri" w:eastAsia="MS Gothic" w:hAnsi="Calibri" w:cs="Times New Roman"/>
          <w:bCs/>
        </w:rPr>
        <w:t xml:space="preserve">100 unit vial for Botox, </w:t>
      </w:r>
      <w:r>
        <w:rPr>
          <w:rFonts w:ascii="Calibri" w:eastAsia="MS Gothic" w:hAnsi="Calibri" w:cs="Times New Roman"/>
          <w:bCs/>
        </w:rPr>
        <w:t xml:space="preserve">a </w:t>
      </w:r>
      <w:r w:rsidRPr="00CC6634">
        <w:rPr>
          <w:rFonts w:ascii="Calibri" w:eastAsia="MS Gothic" w:hAnsi="Calibri" w:cs="Times New Roman"/>
          <w:bCs/>
        </w:rPr>
        <w:t xml:space="preserve">300 unit vial for Dysport and </w:t>
      </w:r>
      <w:r>
        <w:rPr>
          <w:rFonts w:ascii="Calibri" w:eastAsia="MS Gothic" w:hAnsi="Calibri" w:cs="Times New Roman"/>
          <w:bCs/>
        </w:rPr>
        <w:t xml:space="preserve">a </w:t>
      </w:r>
      <w:r w:rsidRPr="00CC6634">
        <w:rPr>
          <w:rFonts w:ascii="Calibri" w:eastAsia="MS Gothic" w:hAnsi="Calibri" w:cs="Times New Roman"/>
          <w:bCs/>
        </w:rPr>
        <w:t xml:space="preserve">100 unit vial for Xeomin (the units for </w:t>
      </w:r>
      <w:r>
        <w:rPr>
          <w:rFonts w:ascii="Calibri" w:eastAsia="MS Gothic" w:hAnsi="Calibri" w:cs="Times New Roman"/>
          <w:bCs/>
        </w:rPr>
        <w:t xml:space="preserve">each brand </w:t>
      </w:r>
      <w:r w:rsidRPr="00CC6634">
        <w:rPr>
          <w:rFonts w:ascii="Calibri" w:eastAsia="MS Gothic" w:hAnsi="Calibri" w:cs="Times New Roman"/>
          <w:bCs/>
        </w:rPr>
        <w:t xml:space="preserve">are not equivalent). </w:t>
      </w:r>
      <w:r>
        <w:rPr>
          <w:rFonts w:ascii="Calibri" w:eastAsia="MS Gothic" w:hAnsi="Calibri" w:cs="Times New Roman"/>
          <w:bCs/>
        </w:rPr>
        <w:t>According to the Product Information,</w:t>
      </w:r>
      <w:r w:rsidRPr="00CC6634">
        <w:rPr>
          <w:rFonts w:ascii="Calibri" w:eastAsia="MS Gothic" w:hAnsi="Calibri" w:cs="Times New Roman"/>
          <w:bCs/>
        </w:rPr>
        <w:t xml:space="preserve"> </w:t>
      </w:r>
      <w:r>
        <w:rPr>
          <w:rFonts w:ascii="Calibri" w:eastAsia="MS Gothic" w:hAnsi="Calibri" w:cs="Times New Roman"/>
          <w:bCs/>
        </w:rPr>
        <w:t xml:space="preserve">for </w:t>
      </w:r>
      <w:r w:rsidRPr="00CC6634">
        <w:rPr>
          <w:rFonts w:ascii="Calibri" w:eastAsia="MS Gothic" w:hAnsi="Calibri" w:cs="Times New Roman"/>
          <w:bCs/>
        </w:rPr>
        <w:t>blepharospasm the initial dose for Botox is 1.25 to 2.5 units in 3 sites, so this is only up to 7.5 units (if only one eye is treated) from a</w:t>
      </w:r>
      <w:r>
        <w:rPr>
          <w:rFonts w:ascii="Calibri" w:eastAsia="MS Gothic" w:hAnsi="Calibri" w:cs="Times New Roman"/>
          <w:bCs/>
        </w:rPr>
        <w:t xml:space="preserve"> </w:t>
      </w:r>
      <w:r w:rsidRPr="00CC6634">
        <w:rPr>
          <w:rFonts w:ascii="Calibri" w:eastAsia="MS Gothic" w:hAnsi="Calibri" w:cs="Times New Roman"/>
          <w:bCs/>
        </w:rPr>
        <w:t xml:space="preserve">100 unit vial. The Dysport dose is 40 to 80 units per eye. The Xeomin dose is the same as for Botox. The dosage for </w:t>
      </w:r>
      <w:r w:rsidR="000602E3">
        <w:rPr>
          <w:rFonts w:ascii="Calibri" w:eastAsia="MS Gothic" w:hAnsi="Calibri" w:cs="Times New Roman"/>
          <w:bCs/>
        </w:rPr>
        <w:t>h</w:t>
      </w:r>
      <w:r w:rsidRPr="00CC6634">
        <w:rPr>
          <w:rFonts w:ascii="Calibri" w:eastAsia="MS Gothic" w:hAnsi="Calibri" w:cs="Times New Roman"/>
          <w:bCs/>
        </w:rPr>
        <w:t>emifacial spasm is similar to blepharospasm</w:t>
      </w:r>
      <w:r>
        <w:rPr>
          <w:rFonts w:ascii="Calibri" w:eastAsia="MS Gothic" w:hAnsi="Calibri" w:cs="Times New Roman"/>
          <w:bCs/>
        </w:rPr>
        <w:t xml:space="preserve"> (</w:t>
      </w:r>
      <w:r w:rsidR="000602E3">
        <w:rPr>
          <w:rFonts w:ascii="Calibri" w:eastAsia="MS Gothic" w:hAnsi="Calibri" w:cs="Times New Roman"/>
          <w:bCs/>
        </w:rPr>
        <w:t>s</w:t>
      </w:r>
      <w:r>
        <w:rPr>
          <w:rFonts w:ascii="Calibri" w:eastAsia="MS Gothic" w:hAnsi="Calibri" w:cs="Times New Roman"/>
          <w:bCs/>
        </w:rPr>
        <w:t>ee Table</w:t>
      </w:r>
      <w:r w:rsidR="000602E3">
        <w:rPr>
          <w:rFonts w:ascii="Calibri" w:eastAsia="MS Gothic" w:hAnsi="Calibri" w:cs="Times New Roman"/>
          <w:bCs/>
        </w:rPr>
        <w:t> </w:t>
      </w:r>
      <w:r>
        <w:rPr>
          <w:rFonts w:ascii="Calibri" w:eastAsia="MS Gothic" w:hAnsi="Calibri" w:cs="Times New Roman"/>
          <w:bCs/>
        </w:rPr>
        <w:t>2).</w:t>
      </w:r>
      <w:r w:rsidRPr="00CC6634">
        <w:rPr>
          <w:rFonts w:ascii="Calibri" w:eastAsia="MS Gothic" w:hAnsi="Calibri" w:cs="Times New Roman"/>
          <w:bCs/>
        </w:rPr>
        <w:t xml:space="preserve"> Given that </w:t>
      </w:r>
      <w:r>
        <w:rPr>
          <w:rFonts w:ascii="Calibri" w:eastAsia="MS Gothic" w:hAnsi="Calibri" w:cs="Times New Roman"/>
          <w:bCs/>
        </w:rPr>
        <w:t xml:space="preserve">the </w:t>
      </w:r>
      <w:r w:rsidRPr="00CC6634">
        <w:rPr>
          <w:rFonts w:ascii="Calibri" w:eastAsia="MS Gothic" w:hAnsi="Calibri" w:cs="Times New Roman"/>
          <w:bCs/>
        </w:rPr>
        <w:t xml:space="preserve">blepharospasm and hemifacial spasm combined </w:t>
      </w:r>
      <w:r>
        <w:rPr>
          <w:rFonts w:ascii="Calibri" w:eastAsia="MS Gothic" w:hAnsi="Calibri" w:cs="Times New Roman"/>
          <w:bCs/>
        </w:rPr>
        <w:t xml:space="preserve">indication </w:t>
      </w:r>
      <w:r w:rsidRPr="00CC6634">
        <w:rPr>
          <w:rFonts w:ascii="Calibri" w:eastAsia="MS Gothic" w:hAnsi="Calibri" w:cs="Times New Roman"/>
          <w:bCs/>
        </w:rPr>
        <w:t xml:space="preserve">is the most common PBS indication, </w:t>
      </w:r>
      <w:r>
        <w:rPr>
          <w:rFonts w:ascii="Calibri" w:eastAsia="MS Gothic" w:hAnsi="Calibri" w:cs="Times New Roman"/>
          <w:bCs/>
        </w:rPr>
        <w:t xml:space="preserve">it is likely that </w:t>
      </w:r>
      <w:r w:rsidRPr="00CC6634">
        <w:rPr>
          <w:rFonts w:ascii="Calibri" w:eastAsia="MS Gothic" w:hAnsi="Calibri" w:cs="Times New Roman"/>
          <w:bCs/>
        </w:rPr>
        <w:t xml:space="preserve">significant wastage </w:t>
      </w:r>
      <w:r>
        <w:rPr>
          <w:rFonts w:ascii="Calibri" w:eastAsia="MS Gothic" w:hAnsi="Calibri" w:cs="Times New Roman"/>
          <w:bCs/>
        </w:rPr>
        <w:t xml:space="preserve">is </w:t>
      </w:r>
      <w:r w:rsidRPr="00CC6634">
        <w:rPr>
          <w:rFonts w:ascii="Calibri" w:eastAsia="MS Gothic" w:hAnsi="Calibri" w:cs="Times New Roman"/>
          <w:bCs/>
        </w:rPr>
        <w:t xml:space="preserve">occurring </w:t>
      </w:r>
      <w:r>
        <w:rPr>
          <w:rFonts w:ascii="Calibri" w:eastAsia="MS Gothic" w:hAnsi="Calibri" w:cs="Times New Roman"/>
          <w:bCs/>
        </w:rPr>
        <w:t xml:space="preserve">because of the vial sizes PBS listed for these indications. </w:t>
      </w:r>
    </w:p>
    <w:p w:rsidR="000C1F68" w:rsidRDefault="000C1F68" w:rsidP="000C1F68">
      <w:pPr>
        <w:keepNext/>
        <w:keepLines/>
        <w:outlineLvl w:val="0"/>
        <w:rPr>
          <w:rFonts w:ascii="Calibri" w:eastAsia="MS Gothic" w:hAnsi="Calibri" w:cs="Times New Roman"/>
          <w:bCs/>
        </w:rPr>
      </w:pPr>
      <w:r w:rsidRPr="00CC6634">
        <w:rPr>
          <w:rFonts w:ascii="Calibri" w:eastAsia="MS Gothic" w:hAnsi="Calibri" w:cs="Times New Roman"/>
          <w:bCs/>
        </w:rPr>
        <w:t>Botox has other TGA approved vial sizes (i</w:t>
      </w:r>
      <w:r w:rsidR="00C474E2">
        <w:rPr>
          <w:rFonts w:ascii="Calibri" w:eastAsia="MS Gothic" w:hAnsi="Calibri" w:cs="Times New Roman"/>
          <w:bCs/>
        </w:rPr>
        <w:t>.</w:t>
      </w:r>
      <w:r w:rsidRPr="00CC6634">
        <w:rPr>
          <w:rFonts w:ascii="Calibri" w:eastAsia="MS Gothic" w:hAnsi="Calibri" w:cs="Times New Roman"/>
          <w:bCs/>
        </w:rPr>
        <w:t xml:space="preserve">e. 50 units), Dysport has a 125 unit vial (as well as the 300 &amp; 500 unit vials </w:t>
      </w:r>
      <w:r w:rsidR="000602E3">
        <w:rPr>
          <w:rFonts w:ascii="Calibri" w:eastAsia="MS Gothic" w:hAnsi="Calibri" w:cs="Times New Roman"/>
          <w:bCs/>
        </w:rPr>
        <w:t xml:space="preserve">that are </w:t>
      </w:r>
      <w:r w:rsidRPr="00CC6634">
        <w:rPr>
          <w:rFonts w:ascii="Calibri" w:eastAsia="MS Gothic" w:hAnsi="Calibri" w:cs="Times New Roman"/>
          <w:bCs/>
        </w:rPr>
        <w:t xml:space="preserve">PBS listed) and Xeomin has a 50 unit vial (as well as the 100 unit PBS listed vial). The </w:t>
      </w:r>
      <w:r>
        <w:rPr>
          <w:rFonts w:ascii="Calibri" w:eastAsia="MS Gothic" w:hAnsi="Calibri" w:cs="Times New Roman"/>
          <w:bCs/>
        </w:rPr>
        <w:t xml:space="preserve">PBS </w:t>
      </w:r>
      <w:r w:rsidRPr="00CC6634">
        <w:rPr>
          <w:rFonts w:ascii="Calibri" w:eastAsia="MS Gothic" w:hAnsi="Calibri" w:cs="Times New Roman"/>
          <w:bCs/>
        </w:rPr>
        <w:t>listing of these may well provide a saving, if currently there is significant wastage.</w:t>
      </w:r>
    </w:p>
    <w:p w:rsidR="00DA5FEF" w:rsidRDefault="00673911" w:rsidP="00B87CD5">
      <w:pPr>
        <w:keepNext/>
        <w:keepLines/>
        <w:spacing w:before="480" w:after="240"/>
        <w:outlineLvl w:val="0"/>
        <w:rPr>
          <w:rFonts w:ascii="Calibri" w:eastAsia="MS Gothic" w:hAnsi="Calibri" w:cs="Times New Roman"/>
          <w:b/>
          <w:bCs/>
          <w:sz w:val="32"/>
          <w:szCs w:val="32"/>
        </w:rPr>
      </w:pPr>
      <w:r>
        <w:rPr>
          <w:rFonts w:ascii="Calibri" w:eastAsia="MS Gothic" w:hAnsi="Calibri" w:cs="Times New Roman"/>
          <w:b/>
          <w:bCs/>
          <w:sz w:val="32"/>
          <w:szCs w:val="32"/>
        </w:rPr>
        <w:t>Other matters</w:t>
      </w:r>
    </w:p>
    <w:p w:rsidR="00673911" w:rsidRPr="0064630A" w:rsidRDefault="00673911" w:rsidP="0064630A">
      <w:pPr>
        <w:keepNext/>
        <w:keepLines/>
        <w:outlineLvl w:val="0"/>
        <w:rPr>
          <w:rFonts w:ascii="Calibri" w:eastAsia="MS Gothic" w:hAnsi="Calibri" w:cs="Times New Roman"/>
          <w:b/>
          <w:bCs/>
          <w:i/>
        </w:rPr>
      </w:pPr>
      <w:r w:rsidRPr="0064630A">
        <w:rPr>
          <w:rFonts w:ascii="Calibri" w:eastAsia="MS Gothic" w:hAnsi="Calibri" w:cs="Times New Roman"/>
          <w:b/>
          <w:bCs/>
          <w:i/>
        </w:rPr>
        <w:t>Request for broader PBS restrictions</w:t>
      </w:r>
    </w:p>
    <w:p w:rsidR="00E10F85" w:rsidRPr="0053545D" w:rsidRDefault="00673911" w:rsidP="0053545D">
      <w:pPr>
        <w:autoSpaceDE w:val="0"/>
        <w:autoSpaceDN w:val="0"/>
        <w:adjustRightInd w:val="0"/>
        <w:rPr>
          <w:rFonts w:ascii="Calibri" w:eastAsiaTheme="minorHAnsi" w:hAnsi="Calibri" w:cs="Calibri"/>
          <w:lang w:eastAsia="en-US"/>
        </w:rPr>
      </w:pPr>
      <w:r>
        <w:rPr>
          <w:rFonts w:ascii="Calibri" w:eastAsia="MS Mincho" w:hAnsi="Calibri" w:cs="Times New Roman"/>
          <w:szCs w:val="28"/>
        </w:rPr>
        <w:t xml:space="preserve">The </w:t>
      </w:r>
      <w:r w:rsidRPr="00BD134A">
        <w:rPr>
          <w:rFonts w:ascii="Calibri" w:eastAsia="MS Mincho" w:hAnsi="Calibri" w:cs="Times New Roman"/>
          <w:szCs w:val="28"/>
        </w:rPr>
        <w:t>Rehabilitation Medicine Society of Australia</w:t>
      </w:r>
      <w:r>
        <w:rPr>
          <w:rFonts w:ascii="Calibri" w:eastAsia="MS Mincho" w:hAnsi="Calibri" w:cs="Times New Roman"/>
          <w:szCs w:val="28"/>
        </w:rPr>
        <w:t xml:space="preserve"> </w:t>
      </w:r>
      <w:r w:rsidRPr="00BD134A">
        <w:rPr>
          <w:rFonts w:ascii="Calibri" w:eastAsia="MS Mincho" w:hAnsi="Calibri" w:cs="Times New Roman"/>
          <w:szCs w:val="28"/>
        </w:rPr>
        <w:t>and New Zealand</w:t>
      </w:r>
      <w:r>
        <w:rPr>
          <w:rFonts w:ascii="Calibri" w:eastAsia="MS Mincho" w:hAnsi="Calibri" w:cs="Times New Roman"/>
          <w:szCs w:val="28"/>
        </w:rPr>
        <w:t xml:space="preserve"> (R</w:t>
      </w:r>
      <w:r w:rsidR="0064630A">
        <w:rPr>
          <w:rFonts w:ascii="Calibri" w:eastAsia="MS Mincho" w:hAnsi="Calibri" w:cs="Times New Roman"/>
          <w:szCs w:val="28"/>
        </w:rPr>
        <w:t xml:space="preserve">MSANZ) </w:t>
      </w:r>
      <w:proofErr w:type="gramStart"/>
      <w:r>
        <w:rPr>
          <w:rFonts w:ascii="Calibri" w:eastAsia="MS Mincho" w:hAnsi="Calibri" w:cs="Times New Roman"/>
          <w:szCs w:val="28"/>
        </w:rPr>
        <w:t>ha</w:t>
      </w:r>
      <w:r w:rsidR="000602E3">
        <w:rPr>
          <w:rFonts w:ascii="Calibri" w:eastAsia="MS Mincho" w:hAnsi="Calibri" w:cs="Times New Roman"/>
          <w:szCs w:val="28"/>
        </w:rPr>
        <w:t>s</w:t>
      </w:r>
      <w:proofErr w:type="gramEnd"/>
      <w:r w:rsidR="000602E3">
        <w:rPr>
          <w:rFonts w:ascii="Calibri" w:eastAsia="MS Mincho" w:hAnsi="Calibri" w:cs="Times New Roman"/>
          <w:szCs w:val="28"/>
        </w:rPr>
        <w:t xml:space="preserve"> recently adopted a new </w:t>
      </w:r>
      <w:hyperlink r:id="rId33" w:history="1">
        <w:r w:rsidR="000602E3" w:rsidRPr="00E10F85">
          <w:rPr>
            <w:rStyle w:val="Hyperlink"/>
            <w:rFonts w:ascii="Calibri" w:eastAsia="MS Mincho" w:hAnsi="Calibri" w:cs="Times New Roman"/>
            <w:szCs w:val="28"/>
          </w:rPr>
          <w:t>Position Statement</w:t>
        </w:r>
      </w:hyperlink>
      <w:r w:rsidR="000602E3">
        <w:rPr>
          <w:rFonts w:ascii="Calibri" w:eastAsia="MS Mincho" w:hAnsi="Calibri" w:cs="Times New Roman"/>
          <w:szCs w:val="28"/>
        </w:rPr>
        <w:t xml:space="preserve"> on the Therapeutic Use of Botulinum Toxin in </w:t>
      </w:r>
      <w:r w:rsidR="000602E3" w:rsidRPr="0053545D">
        <w:rPr>
          <w:rFonts w:ascii="Calibri" w:eastAsia="MS Mincho" w:hAnsi="Calibri" w:cs="Times New Roman"/>
        </w:rPr>
        <w:t>Rehabilitation Medicine for spasticity and dystonia</w:t>
      </w:r>
      <w:r w:rsidR="00E10F85" w:rsidRPr="0053545D">
        <w:rPr>
          <w:rFonts w:ascii="Calibri" w:eastAsia="MS Mincho" w:hAnsi="Calibri" w:cs="Times New Roman"/>
        </w:rPr>
        <w:t xml:space="preserve">. The statement </w:t>
      </w:r>
      <w:r w:rsidR="00E10F85" w:rsidRPr="0053545D">
        <w:rPr>
          <w:rFonts w:ascii="Calibri" w:eastAsiaTheme="minorHAnsi" w:hAnsi="Calibri" w:cs="Calibri"/>
          <w:lang w:eastAsia="en-US"/>
        </w:rPr>
        <w:t>presents consensus expert</w:t>
      </w:r>
      <w:r w:rsidR="00210797">
        <w:rPr>
          <w:rFonts w:ascii="Calibri" w:eastAsiaTheme="minorHAnsi" w:hAnsi="Calibri" w:cs="Calibri"/>
          <w:lang w:eastAsia="en-US"/>
        </w:rPr>
        <w:t xml:space="preserve"> opinion on the utilisation of botulinum t</w:t>
      </w:r>
      <w:r w:rsidR="00E10F85" w:rsidRPr="0053545D">
        <w:rPr>
          <w:rFonts w:ascii="Calibri" w:eastAsiaTheme="minorHAnsi" w:hAnsi="Calibri" w:cs="Calibri"/>
          <w:lang w:eastAsia="en-US"/>
        </w:rPr>
        <w:t>oxin as an intervention for reducing the impact of spasticity, and highlights differences between registered/funded indications and clinical practice. A perspective piece has also been published in the Medical Journal of Australia on use of botulinum toxin for spasticity.</w:t>
      </w:r>
      <w:r w:rsidR="00E10F85" w:rsidRPr="0053545D">
        <w:rPr>
          <w:rStyle w:val="FootnoteReference"/>
          <w:rFonts w:ascii="Calibri" w:eastAsiaTheme="minorHAnsi" w:hAnsi="Calibri" w:cs="Calibri"/>
          <w:lang w:eastAsia="en-US"/>
        </w:rPr>
        <w:footnoteReference w:id="12"/>
      </w:r>
    </w:p>
    <w:p w:rsidR="000B2C2D" w:rsidRPr="000B2C2D" w:rsidRDefault="000B2C2D" w:rsidP="000B2C2D">
      <w:pPr>
        <w:keepNext/>
        <w:keepLines/>
        <w:spacing w:before="480" w:after="240"/>
        <w:outlineLvl w:val="0"/>
        <w:rPr>
          <w:rFonts w:ascii="Calibri" w:eastAsia="MS Gothic" w:hAnsi="Calibri" w:cs="Times New Roman"/>
          <w:b/>
          <w:bCs/>
          <w:sz w:val="32"/>
          <w:szCs w:val="32"/>
        </w:rPr>
      </w:pPr>
      <w:r w:rsidRPr="000B2C2D">
        <w:rPr>
          <w:rFonts w:ascii="Calibri" w:eastAsia="MS Gothic" w:hAnsi="Calibri" w:cs="Times New Roman"/>
          <w:b/>
          <w:bCs/>
          <w:sz w:val="32"/>
          <w:szCs w:val="32"/>
        </w:rPr>
        <w:t>DUSC consideration</w:t>
      </w:r>
    </w:p>
    <w:p w:rsidR="00DD5410" w:rsidRPr="00DD5410" w:rsidRDefault="00DD5410" w:rsidP="00DD5410">
      <w:r w:rsidRPr="00DD5410">
        <w:t>DUSC noted that:</w:t>
      </w:r>
    </w:p>
    <w:p w:rsidR="00DD5410" w:rsidRPr="00DD5410" w:rsidRDefault="00DD5410" w:rsidP="00DD5410">
      <w:pPr>
        <w:pStyle w:val="ListParagraph"/>
        <w:numPr>
          <w:ilvl w:val="0"/>
          <w:numId w:val="37"/>
        </w:numPr>
        <w:spacing w:after="0"/>
      </w:pPr>
      <w:r w:rsidRPr="00DD5410">
        <w:t>It was interesting and informative to see the long term perspective that was gained by using the MBS services data (i.e. back to 1991).</w:t>
      </w:r>
    </w:p>
    <w:p w:rsidR="00DD5410" w:rsidRPr="00DD5410" w:rsidRDefault="00DD5410" w:rsidP="00DD5410">
      <w:pPr>
        <w:pStyle w:val="ListParagraph"/>
        <w:numPr>
          <w:ilvl w:val="0"/>
          <w:numId w:val="37"/>
        </w:numPr>
        <w:spacing w:after="0"/>
      </w:pPr>
      <w:r w:rsidRPr="00DD5410">
        <w:t xml:space="preserve">The growth rate (i.e.  </w:t>
      </w:r>
      <w:proofErr w:type="gramStart"/>
      <w:r w:rsidRPr="00DD5410">
        <w:t>approximate</w:t>
      </w:r>
      <w:proofErr w:type="gramEnd"/>
      <w:r w:rsidRPr="00DD5410">
        <w:t xml:space="preserve"> doubling of the number of patients receiving treatment over the past decade) seemed reasonable noting there have been a number of extensions to PBS listings over time and an increase in the number of prescribers of botulinum toxin. The distribution of prescriber type by indication was as expected. Neurologists</w:t>
      </w:r>
      <w:r w:rsidR="0014268A">
        <w:t xml:space="preserve"> are</w:t>
      </w:r>
      <w:r w:rsidRPr="00DD5410">
        <w:t xml:space="preserve"> the most common prescribers for spasmodic torticollis, blepharospasm and hemi-facial spasm</w:t>
      </w:r>
      <w:r w:rsidR="0014268A">
        <w:t>.</w:t>
      </w:r>
      <w:r w:rsidRPr="00DD5410">
        <w:t xml:space="preserve"> Ophthalmologists were also common prescribers of botulinum toxin for blepharospasm and hemifacial spasm.   </w:t>
      </w:r>
    </w:p>
    <w:p w:rsidR="00DD5410" w:rsidRPr="00DD5410" w:rsidRDefault="00DD5410" w:rsidP="00DD5410">
      <w:pPr>
        <w:pStyle w:val="ListParagraph"/>
        <w:numPr>
          <w:ilvl w:val="0"/>
          <w:numId w:val="37"/>
        </w:numPr>
        <w:spacing w:after="0"/>
      </w:pPr>
      <w:r w:rsidRPr="00DD5410">
        <w:lastRenderedPageBreak/>
        <w:t>The number of patients treated with botulinum toxin for stroke is small compared to the number of people who have a stroke. DUSC noted that botulinum toxin is used as an adjunct to physiotherapy. The decision to initiate treatment with botulinum toxin would be made on the basis of whether an individual was anticipated to receive benefit in terms of functional gain.</w:t>
      </w:r>
    </w:p>
    <w:p w:rsidR="00DD5410" w:rsidRPr="00DD5410" w:rsidRDefault="00DD5410" w:rsidP="00DD5410">
      <w:pPr>
        <w:pStyle w:val="ListParagraph"/>
        <w:numPr>
          <w:ilvl w:val="0"/>
          <w:numId w:val="37"/>
        </w:numPr>
        <w:spacing w:after="0"/>
      </w:pPr>
      <w:r w:rsidRPr="00DD5410">
        <w:t>The length of treatment analysis shown in Figure 7 of the report revealed that a large proportion of patients (approximately 20% to 45% depending on indication) only had one prescription. This suggests that many patients who initiate botulinum toxin do not get a functional improvement and so stop treatment. Length of treatment is longest in dynamic equinus foot deformity.</w:t>
      </w:r>
    </w:p>
    <w:p w:rsidR="00DD5410" w:rsidRPr="00DD5410" w:rsidRDefault="00DD5410" w:rsidP="00DD5410">
      <w:pPr>
        <w:pStyle w:val="ListParagraph"/>
        <w:numPr>
          <w:ilvl w:val="0"/>
          <w:numId w:val="37"/>
        </w:numPr>
        <w:spacing w:after="0"/>
      </w:pPr>
      <w:r w:rsidRPr="00DD5410">
        <w:t>The rate of growth was higher for spasmodic torticollis in 2016 and 2017. DUSC considered a factor contributing to this may be greater awareness possibly through initiatives such as the Dystonia Network of Australia Inc., a patient group that formed in late 2013.</w:t>
      </w:r>
    </w:p>
    <w:p w:rsidR="000B2C2D" w:rsidRDefault="000B2C2D" w:rsidP="000B2C2D">
      <w:pPr>
        <w:keepNext/>
        <w:keepLines/>
        <w:spacing w:before="480" w:after="240"/>
        <w:outlineLvl w:val="0"/>
        <w:rPr>
          <w:rFonts w:ascii="Calibri" w:eastAsia="MS Gothic" w:hAnsi="Calibri" w:cs="Times New Roman"/>
          <w:b/>
          <w:bCs/>
          <w:sz w:val="32"/>
          <w:szCs w:val="32"/>
        </w:rPr>
      </w:pPr>
      <w:r w:rsidRPr="000B2C2D">
        <w:rPr>
          <w:rFonts w:ascii="Calibri" w:eastAsia="MS Gothic" w:hAnsi="Calibri" w:cs="Times New Roman"/>
          <w:b/>
          <w:bCs/>
          <w:sz w:val="32"/>
          <w:szCs w:val="32"/>
        </w:rPr>
        <w:t>DUSC actions</w:t>
      </w:r>
    </w:p>
    <w:p w:rsidR="000B2C2D" w:rsidRPr="000B2C2D" w:rsidRDefault="000B2C2D" w:rsidP="000B2C2D">
      <w:pPr>
        <w:rPr>
          <w:rFonts w:ascii="Calibri" w:eastAsia="MS Mincho" w:hAnsi="Calibri" w:cs="Times New Roman"/>
        </w:rPr>
      </w:pPr>
      <w:r w:rsidRPr="00272684">
        <w:rPr>
          <w:rFonts w:ascii="Calibri" w:eastAsia="MS Mincho" w:hAnsi="Calibri" w:cs="Times New Roman"/>
        </w:rPr>
        <w:t xml:space="preserve">The </w:t>
      </w:r>
      <w:r>
        <w:rPr>
          <w:rFonts w:ascii="Calibri" w:eastAsia="MS Mincho" w:hAnsi="Calibri" w:cs="Times New Roman"/>
        </w:rPr>
        <w:t>report, Sponsor responses and DUSC minutes were referred to the PBAC.</w:t>
      </w:r>
    </w:p>
    <w:p w:rsidR="00BB0768" w:rsidRPr="00BB0768" w:rsidRDefault="00BB0768" w:rsidP="00BB0768">
      <w:pPr>
        <w:keepNext/>
        <w:keepLines/>
        <w:spacing w:before="480" w:after="240"/>
        <w:outlineLvl w:val="0"/>
        <w:rPr>
          <w:rFonts w:ascii="Calibri" w:eastAsia="MS Gothic" w:hAnsi="Calibri" w:cs="Times New Roman"/>
          <w:b/>
          <w:bCs/>
          <w:sz w:val="32"/>
          <w:szCs w:val="32"/>
        </w:rPr>
      </w:pPr>
      <w:r w:rsidRPr="00BB0768">
        <w:rPr>
          <w:rFonts w:ascii="Calibri" w:eastAsia="MS Gothic" w:hAnsi="Calibri" w:cs="Times New Roman"/>
          <w:b/>
          <w:bCs/>
          <w:sz w:val="32"/>
          <w:szCs w:val="32"/>
        </w:rPr>
        <w:t>Context for analysis</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The DUSC is a Sub Committee of the Pharmaceutical Benefits Advisory Committee (PBAC). The DUSC assesses estimates on projected usage and financial cost of medicines.</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The utilisation analysis report was provided to the pharmaceutical sponsors of each drug and comments on the report were provided to DUSC prior to its consideration of the analysis.</w:t>
      </w:r>
    </w:p>
    <w:p w:rsidR="00BB0768" w:rsidRPr="00BB0768" w:rsidRDefault="00BB0768" w:rsidP="00BB0768">
      <w:pPr>
        <w:keepNext/>
        <w:keepLines/>
        <w:spacing w:before="480" w:after="240"/>
        <w:outlineLvl w:val="0"/>
        <w:rPr>
          <w:rFonts w:ascii="Calibri" w:eastAsia="MS Gothic" w:hAnsi="Calibri" w:cs="Times New Roman"/>
          <w:b/>
          <w:bCs/>
          <w:sz w:val="32"/>
          <w:szCs w:val="32"/>
        </w:rPr>
      </w:pPr>
      <w:r w:rsidRPr="00BB0768">
        <w:rPr>
          <w:rFonts w:ascii="Calibri" w:eastAsia="MS Gothic" w:hAnsi="Calibri" w:cs="Times New Roman"/>
          <w:b/>
          <w:bCs/>
          <w:sz w:val="32"/>
          <w:szCs w:val="32"/>
        </w:rPr>
        <w:t>Sponsors’ comments</w:t>
      </w:r>
    </w:p>
    <w:p w:rsidR="00BB0768" w:rsidRPr="00445785" w:rsidRDefault="00BB0768" w:rsidP="00BB0768">
      <w:r w:rsidRPr="00BB0768">
        <w:t>Allergan Australia Pty Limited</w:t>
      </w:r>
      <w:r>
        <w:t xml:space="preserve"> (Botox</w:t>
      </w:r>
      <w:r w:rsidRPr="00BB2BFA">
        <w:rPr>
          <w:vertAlign w:val="superscript"/>
        </w:rPr>
        <w:sym w:font="Symbol" w:char="F0E2"/>
      </w:r>
      <w:r w:rsidR="00445785">
        <w:t xml:space="preserve">): </w:t>
      </w:r>
      <w:r w:rsidR="00445785" w:rsidRPr="008455DE">
        <w:t>The sponsor has no comment</w:t>
      </w:r>
      <w:r w:rsidR="00445785">
        <w:t>.</w:t>
      </w:r>
    </w:p>
    <w:p w:rsidR="00BB0768" w:rsidRDefault="00BB0768" w:rsidP="00BB0768">
      <w:pPr>
        <w:rPr>
          <w:vertAlign w:val="superscript"/>
        </w:rPr>
      </w:pPr>
      <w:proofErr w:type="spellStart"/>
      <w:r w:rsidRPr="00BB0768">
        <w:t>Ipsen</w:t>
      </w:r>
      <w:proofErr w:type="spellEnd"/>
      <w:r w:rsidRPr="00BB0768">
        <w:t xml:space="preserve"> Pty Ltd </w:t>
      </w:r>
      <w:r>
        <w:t>(</w:t>
      </w:r>
      <w:proofErr w:type="spellStart"/>
      <w:r>
        <w:t>Dysport</w:t>
      </w:r>
      <w:proofErr w:type="spellEnd"/>
      <w:r w:rsidRPr="00BB2BFA">
        <w:rPr>
          <w:vertAlign w:val="superscript"/>
        </w:rPr>
        <w:sym w:font="Symbol" w:char="F0E2"/>
      </w:r>
      <w:r>
        <w:t>)</w:t>
      </w:r>
      <w:r w:rsidR="00445785">
        <w:t xml:space="preserve">: </w:t>
      </w:r>
      <w:r w:rsidR="00445785" w:rsidRPr="008455DE">
        <w:t>The sponsor has no comment</w:t>
      </w:r>
      <w:r w:rsidR="00445785">
        <w:t>.</w:t>
      </w:r>
    </w:p>
    <w:p w:rsidR="00BB0768" w:rsidRDefault="00BB0768" w:rsidP="00BB0768">
      <w:proofErr w:type="spellStart"/>
      <w:r w:rsidRPr="00BB0768">
        <w:t>Merz</w:t>
      </w:r>
      <w:proofErr w:type="spellEnd"/>
      <w:r w:rsidRPr="00BB0768">
        <w:t xml:space="preserve"> Australia Pty Ltd</w:t>
      </w:r>
      <w:r>
        <w:t xml:space="preserve"> (Xeomin</w:t>
      </w:r>
      <w:r w:rsidRPr="00BB2BFA">
        <w:rPr>
          <w:vertAlign w:val="superscript"/>
        </w:rPr>
        <w:sym w:font="Symbol" w:char="F0E2"/>
      </w:r>
      <w:r>
        <w:t>)</w:t>
      </w:r>
      <w:r w:rsidR="00445785">
        <w:t xml:space="preserve">: </w:t>
      </w:r>
      <w:r w:rsidR="00445785" w:rsidRPr="008455DE">
        <w:t>The sponsor has no comment</w:t>
      </w:r>
      <w:r w:rsidR="00445785">
        <w:t>.</w:t>
      </w:r>
    </w:p>
    <w:p w:rsidR="00BB0768" w:rsidRPr="00BB0768" w:rsidRDefault="00BB0768" w:rsidP="00BB0768">
      <w:pPr>
        <w:keepNext/>
        <w:keepLines/>
        <w:spacing w:before="480" w:after="240"/>
        <w:outlineLvl w:val="0"/>
        <w:rPr>
          <w:rFonts w:ascii="Calibri" w:eastAsia="MS Gothic" w:hAnsi="Calibri" w:cs="Times New Roman"/>
          <w:b/>
          <w:bCs/>
          <w:sz w:val="32"/>
          <w:szCs w:val="32"/>
        </w:rPr>
      </w:pPr>
      <w:r w:rsidRPr="00BB0768">
        <w:rPr>
          <w:rFonts w:ascii="Calibri" w:eastAsia="MS Gothic" w:hAnsi="Calibri" w:cs="Times New Roman"/>
          <w:b/>
          <w:bCs/>
          <w:sz w:val="32"/>
          <w:szCs w:val="32"/>
        </w:rPr>
        <w:lastRenderedPageBreak/>
        <w:t>Disclaimer</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The Department of Health (</w:t>
      </w:r>
      <w:proofErr w:type="spellStart"/>
      <w:r w:rsidRPr="00BB0768">
        <w:rPr>
          <w:rFonts w:ascii="Calibri" w:eastAsia="MS Mincho" w:hAnsi="Calibri" w:cs="Times New Roman"/>
        </w:rPr>
        <w:t>DoH</w:t>
      </w:r>
      <w:proofErr w:type="spellEnd"/>
      <w:r w:rsidRPr="00BB0768">
        <w:rPr>
          <w:rFonts w:ascii="Calibri" w:eastAsia="MS Mincho" w:hAnsi="Calibri" w:cs="Times New Roman"/>
        </w:rP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 xml:space="preserve">To the extent provided by law, </w:t>
      </w:r>
      <w:proofErr w:type="spellStart"/>
      <w:r w:rsidRPr="00BB0768">
        <w:rPr>
          <w:rFonts w:ascii="Calibri" w:eastAsia="MS Mincho" w:hAnsi="Calibri" w:cs="Times New Roman"/>
        </w:rPr>
        <w:t>DoH</w:t>
      </w:r>
      <w:proofErr w:type="spellEnd"/>
      <w:r w:rsidRPr="00BB0768">
        <w:rPr>
          <w:rFonts w:ascii="Calibri" w:eastAsia="MS Mincho" w:hAnsi="Calibri" w:cs="Times New Roman"/>
        </w:rPr>
        <w:t xml:space="preserve"> makes no warranties or representations as to accuracy or completeness of information contained in this report. </w:t>
      </w:r>
    </w:p>
    <w:p w:rsidR="00BB0768" w:rsidRPr="00BB0768" w:rsidRDefault="00BB0768" w:rsidP="00BB0768">
      <w:pPr>
        <w:rPr>
          <w:rFonts w:ascii="Calibri" w:eastAsia="MS Mincho" w:hAnsi="Calibri" w:cs="Times New Roman"/>
        </w:rPr>
      </w:pPr>
      <w:r w:rsidRPr="00BB0768">
        <w:rPr>
          <w:rFonts w:ascii="Calibri" w:eastAsia="MS Mincho" w:hAnsi="Calibri" w:cs="Times New Roman"/>
        </w:rPr>
        <w:t xml:space="preserve">To the fullest extent permitted by law, neither the </w:t>
      </w:r>
      <w:proofErr w:type="spellStart"/>
      <w:r w:rsidRPr="00BB0768">
        <w:rPr>
          <w:rFonts w:ascii="Calibri" w:eastAsia="MS Mincho" w:hAnsi="Calibri" w:cs="Times New Roman"/>
        </w:rPr>
        <w:t>DoH</w:t>
      </w:r>
      <w:proofErr w:type="spellEnd"/>
      <w:r w:rsidRPr="00BB0768">
        <w:rPr>
          <w:rFonts w:ascii="Calibri" w:eastAsia="MS Mincho" w:hAnsi="Calibri" w:cs="Times New Roman"/>
        </w:rPr>
        <w:t xml:space="preserve"> nor any </w:t>
      </w:r>
      <w:proofErr w:type="spellStart"/>
      <w:r w:rsidRPr="00BB0768">
        <w:rPr>
          <w:rFonts w:ascii="Calibri" w:eastAsia="MS Mincho" w:hAnsi="Calibri" w:cs="Times New Roman"/>
        </w:rPr>
        <w:t>DoH</w:t>
      </w:r>
      <w:proofErr w:type="spellEnd"/>
      <w:r w:rsidRPr="00BB0768">
        <w:rPr>
          <w:rFonts w:ascii="Calibri" w:eastAsia="MS Mincho" w:hAnsi="Calibri" w:cs="Times New Roman"/>
        </w:rP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F55558" w:rsidRDefault="00F55558">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p>
    <w:p w:rsidR="006C0984" w:rsidRDefault="006C0984" w:rsidP="006C0984">
      <w:pPr>
        <w:spacing w:line="276" w:lineRule="auto"/>
        <w:rPr>
          <w:rFonts w:ascii="Calibri" w:eastAsia="MS Gothic" w:hAnsi="Calibri" w:cs="Times New Roman"/>
          <w:b/>
          <w:bCs/>
          <w:sz w:val="32"/>
          <w:szCs w:val="32"/>
        </w:rPr>
      </w:pPr>
      <w:r w:rsidRPr="006C0984">
        <w:rPr>
          <w:rFonts w:ascii="Calibri" w:eastAsia="MS Gothic" w:hAnsi="Calibri" w:cs="Times New Roman"/>
          <w:b/>
          <w:bCs/>
          <w:sz w:val="32"/>
          <w:szCs w:val="32"/>
        </w:rPr>
        <w:lastRenderedPageBreak/>
        <w:t xml:space="preserve">Appendix A: </w:t>
      </w:r>
      <w:r w:rsidR="00170D28">
        <w:rPr>
          <w:rFonts w:ascii="Calibri" w:eastAsia="MS Gothic" w:hAnsi="Calibri" w:cs="Times New Roman"/>
          <w:b/>
          <w:bCs/>
          <w:sz w:val="32"/>
          <w:szCs w:val="32"/>
        </w:rPr>
        <w:t xml:space="preserve">Spasticity </w:t>
      </w:r>
      <w:r w:rsidR="00A869EA">
        <w:rPr>
          <w:rFonts w:ascii="Calibri" w:eastAsia="MS Gothic" w:hAnsi="Calibri" w:cs="Times New Roman"/>
          <w:b/>
          <w:bCs/>
          <w:sz w:val="32"/>
          <w:szCs w:val="32"/>
        </w:rPr>
        <w:t>and dystonia</w:t>
      </w:r>
      <w:r w:rsidR="00170D28">
        <w:rPr>
          <w:rFonts w:ascii="Calibri" w:eastAsia="MS Gothic" w:hAnsi="Calibri" w:cs="Times New Roman"/>
          <w:b/>
          <w:bCs/>
          <w:sz w:val="32"/>
          <w:szCs w:val="32"/>
        </w:rPr>
        <w:t xml:space="preserve"> </w:t>
      </w:r>
      <w:r>
        <w:rPr>
          <w:rFonts w:ascii="Calibri" w:eastAsia="MS Gothic" w:hAnsi="Calibri" w:cs="Times New Roman"/>
          <w:b/>
          <w:bCs/>
          <w:sz w:val="32"/>
          <w:szCs w:val="32"/>
        </w:rPr>
        <w:t>PBS listing</w:t>
      </w:r>
      <w:r w:rsidR="00B85F6E">
        <w:rPr>
          <w:rFonts w:ascii="Calibri" w:eastAsia="MS Gothic" w:hAnsi="Calibri" w:cs="Times New Roman"/>
          <w:b/>
          <w:bCs/>
          <w:sz w:val="32"/>
          <w:szCs w:val="32"/>
        </w:rPr>
        <w:t>s</w:t>
      </w:r>
      <w:r>
        <w:rPr>
          <w:rFonts w:ascii="Calibri" w:eastAsia="MS Gothic" w:hAnsi="Calibri" w:cs="Times New Roman"/>
          <w:b/>
          <w:bCs/>
          <w:sz w:val="32"/>
          <w:szCs w:val="32"/>
        </w:rPr>
        <w:t xml:space="preserve"> for </w:t>
      </w:r>
      <w:r w:rsidR="00210797">
        <w:rPr>
          <w:rFonts w:ascii="Calibri" w:eastAsia="MS Gothic" w:hAnsi="Calibri" w:cs="Times New Roman"/>
          <w:b/>
          <w:bCs/>
          <w:sz w:val="32"/>
          <w:szCs w:val="32"/>
        </w:rPr>
        <w:t>botulinum t</w:t>
      </w:r>
      <w:r>
        <w:rPr>
          <w:rFonts w:ascii="Calibri" w:eastAsia="MS Gothic" w:hAnsi="Calibri" w:cs="Times New Roman"/>
          <w:b/>
          <w:bCs/>
          <w:sz w:val="32"/>
          <w:szCs w:val="32"/>
        </w:rPr>
        <w:t xml:space="preserve">oxin </w:t>
      </w:r>
      <w:r w:rsidR="000B491E">
        <w:rPr>
          <w:rFonts w:ascii="Calibri" w:eastAsia="MS Gothic" w:hAnsi="Calibri" w:cs="Times New Roman"/>
          <w:b/>
          <w:bCs/>
          <w:sz w:val="32"/>
          <w:szCs w:val="32"/>
        </w:rPr>
        <w:t>(</w:t>
      </w:r>
      <w:r>
        <w:rPr>
          <w:rFonts w:ascii="Calibri" w:eastAsia="MS Gothic" w:hAnsi="Calibri" w:cs="Times New Roman"/>
          <w:b/>
          <w:bCs/>
          <w:sz w:val="32"/>
          <w:szCs w:val="32"/>
        </w:rPr>
        <w:t>as at 1 March 2018</w:t>
      </w:r>
      <w:r w:rsidR="000B491E">
        <w:rPr>
          <w:rFonts w:ascii="Calibri" w:eastAsia="MS Gothic" w:hAnsi="Calibri" w:cs="Times New Roman"/>
          <w:b/>
          <w:bCs/>
          <w:sz w:val="32"/>
          <w:szCs w:val="32"/>
        </w:rPr>
        <w:t>)</w:t>
      </w:r>
    </w:p>
    <w:p w:rsidR="00544E8C" w:rsidRDefault="00FD6D4C">
      <w:pPr>
        <w:spacing w:line="276" w:lineRule="auto"/>
        <w:rPr>
          <w:rFonts w:ascii="Calibri" w:eastAsia="MS Gothic" w:hAnsi="Calibri" w:cs="Times New Roman"/>
          <w:b/>
          <w:bCs/>
        </w:rPr>
      </w:pPr>
      <w:r w:rsidRPr="00FD6D4C">
        <w:rPr>
          <w:noProof/>
        </w:rPr>
        <w:drawing>
          <wp:inline distT="0" distB="0" distL="0" distR="0" wp14:anchorId="6459183C" wp14:editId="4903A165">
            <wp:extent cx="5687695" cy="4676549"/>
            <wp:effectExtent l="0" t="0" r="8255" b="0"/>
            <wp:docPr id="20" name="Picture 20"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687695" cy="4676549"/>
                    </a:xfrm>
                    <a:prstGeom prst="rect">
                      <a:avLst/>
                    </a:prstGeom>
                  </pic:spPr>
                </pic:pic>
              </a:graphicData>
            </a:graphic>
          </wp:inline>
        </w:drawing>
      </w:r>
    </w:p>
    <w:p w:rsidR="00544E8C" w:rsidRDefault="00544E8C">
      <w:pPr>
        <w:spacing w:line="276" w:lineRule="auto"/>
        <w:rPr>
          <w:rFonts w:ascii="Calibri" w:eastAsia="MS Gothic" w:hAnsi="Calibri" w:cs="Times New Roman"/>
          <w:b/>
          <w:bCs/>
        </w:rPr>
      </w:pPr>
      <w:r w:rsidRPr="00544E8C">
        <w:rPr>
          <w:noProof/>
        </w:rPr>
        <w:lastRenderedPageBreak/>
        <w:drawing>
          <wp:inline distT="0" distB="0" distL="0" distR="0" wp14:anchorId="2B53733D" wp14:editId="3B78B2F1">
            <wp:extent cx="5687695" cy="4483921"/>
            <wp:effectExtent l="0" t="0" r="8255" b="0"/>
            <wp:docPr id="26" name="Picture 26"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687695" cy="4483921"/>
                    </a:xfrm>
                    <a:prstGeom prst="rect">
                      <a:avLst/>
                    </a:prstGeom>
                  </pic:spPr>
                </pic:pic>
              </a:graphicData>
            </a:graphic>
          </wp:inline>
        </w:drawing>
      </w:r>
    </w:p>
    <w:p w:rsidR="00B85F6E" w:rsidRPr="00FD6D4C" w:rsidRDefault="00B85F6E">
      <w:pPr>
        <w:spacing w:line="276" w:lineRule="auto"/>
        <w:rPr>
          <w:rFonts w:ascii="Calibri" w:eastAsia="MS Gothic" w:hAnsi="Calibri" w:cs="Times New Roman"/>
          <w:b/>
          <w:bCs/>
          <w:highlight w:val="yellow"/>
        </w:rPr>
      </w:pPr>
      <w:r w:rsidRPr="00FD6D4C">
        <w:rPr>
          <w:rFonts w:ascii="Calibri" w:eastAsia="MS Gothic" w:hAnsi="Calibri" w:cs="Times New Roman"/>
          <w:b/>
          <w:bCs/>
          <w:highlight w:val="yellow"/>
        </w:rPr>
        <w:br w:type="page"/>
      </w:r>
    </w:p>
    <w:p w:rsidR="00A65AA1" w:rsidRPr="00544E8C" w:rsidRDefault="00A65AA1">
      <w:pPr>
        <w:spacing w:line="276" w:lineRule="auto"/>
        <w:rPr>
          <w:rFonts w:ascii="Calibri" w:eastAsia="MS Gothic" w:hAnsi="Calibri" w:cs="Times New Roman"/>
          <w:bCs/>
          <w:highlight w:val="yellow"/>
        </w:rPr>
      </w:pPr>
      <w:r w:rsidRPr="00A65AA1">
        <w:rPr>
          <w:noProof/>
        </w:rPr>
        <w:lastRenderedPageBreak/>
        <w:drawing>
          <wp:inline distT="0" distB="0" distL="0" distR="0" wp14:anchorId="2075A1D7" wp14:editId="5BCE8A39">
            <wp:extent cx="5687695" cy="1706309"/>
            <wp:effectExtent l="0" t="0" r="8255" b="8255"/>
            <wp:docPr id="27" name="Picture 27"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687695" cy="1706309"/>
                    </a:xfrm>
                    <a:prstGeom prst="rect">
                      <a:avLst/>
                    </a:prstGeom>
                  </pic:spPr>
                </pic:pic>
              </a:graphicData>
            </a:graphic>
          </wp:inline>
        </w:drawing>
      </w:r>
      <w:r w:rsidRPr="00A65AA1">
        <w:rPr>
          <w:noProof/>
        </w:rPr>
        <w:drawing>
          <wp:inline distT="0" distB="0" distL="0" distR="0" wp14:anchorId="1D9993BC" wp14:editId="27C563C6">
            <wp:extent cx="5687695" cy="5769729"/>
            <wp:effectExtent l="0" t="0" r="8255" b="2540"/>
            <wp:docPr id="28" name="Picture 28"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687695" cy="5769729"/>
                    </a:xfrm>
                    <a:prstGeom prst="rect">
                      <a:avLst/>
                    </a:prstGeom>
                  </pic:spPr>
                </pic:pic>
              </a:graphicData>
            </a:graphic>
          </wp:inline>
        </w:drawing>
      </w:r>
    </w:p>
    <w:p w:rsidR="006C0984" w:rsidRPr="00FD6D4C" w:rsidRDefault="006C0984">
      <w:pPr>
        <w:spacing w:line="276" w:lineRule="auto"/>
        <w:rPr>
          <w:rFonts w:ascii="Calibri" w:eastAsia="MS Gothic" w:hAnsi="Calibri" w:cs="Times New Roman"/>
          <w:b/>
          <w:bCs/>
          <w:highlight w:val="yellow"/>
        </w:rPr>
      </w:pPr>
      <w:r w:rsidRPr="00FD6D4C">
        <w:rPr>
          <w:rFonts w:ascii="Calibri" w:eastAsia="MS Gothic" w:hAnsi="Calibri" w:cs="Times New Roman"/>
          <w:b/>
          <w:bCs/>
          <w:highlight w:val="yellow"/>
        </w:rPr>
        <w:br w:type="page"/>
      </w:r>
    </w:p>
    <w:p w:rsidR="00ED2FF2" w:rsidRPr="00FD6D4C" w:rsidRDefault="00544E8C">
      <w:pPr>
        <w:spacing w:line="276" w:lineRule="auto"/>
        <w:rPr>
          <w:rFonts w:ascii="Calibri" w:eastAsia="MS Gothic" w:hAnsi="Calibri" w:cs="Times New Roman"/>
          <w:b/>
          <w:bCs/>
          <w:highlight w:val="yellow"/>
        </w:rPr>
      </w:pPr>
      <w:r w:rsidRPr="00544E8C">
        <w:rPr>
          <w:noProof/>
        </w:rPr>
        <w:lastRenderedPageBreak/>
        <w:drawing>
          <wp:inline distT="0" distB="0" distL="0" distR="0" wp14:anchorId="5A91598D" wp14:editId="15256006">
            <wp:extent cx="5687695" cy="2207628"/>
            <wp:effectExtent l="0" t="0" r="8255" b="2540"/>
            <wp:docPr id="23" name="Picture 23"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687695" cy="2207628"/>
                    </a:xfrm>
                    <a:prstGeom prst="rect">
                      <a:avLst/>
                    </a:prstGeom>
                  </pic:spPr>
                </pic:pic>
              </a:graphicData>
            </a:graphic>
          </wp:inline>
        </w:drawing>
      </w:r>
      <w:r w:rsidR="00ED2FF2" w:rsidRPr="00ED2FF2">
        <w:rPr>
          <w:noProof/>
        </w:rPr>
        <w:drawing>
          <wp:inline distT="0" distB="0" distL="0" distR="0" wp14:anchorId="55E18BF0" wp14:editId="48C25426">
            <wp:extent cx="5687695" cy="2047813"/>
            <wp:effectExtent l="0" t="0" r="0" b="0"/>
            <wp:docPr id="29" name="Picture 29"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687695" cy="2047813"/>
                    </a:xfrm>
                    <a:prstGeom prst="rect">
                      <a:avLst/>
                    </a:prstGeom>
                  </pic:spPr>
                </pic:pic>
              </a:graphicData>
            </a:graphic>
          </wp:inline>
        </w:drawing>
      </w:r>
    </w:p>
    <w:p w:rsidR="00FD6D4C" w:rsidRPr="00FD6D4C" w:rsidRDefault="00ED2FF2">
      <w:pPr>
        <w:spacing w:line="276" w:lineRule="auto"/>
        <w:rPr>
          <w:rFonts w:ascii="Calibri" w:eastAsia="MS Gothic" w:hAnsi="Calibri" w:cs="Times New Roman"/>
          <w:b/>
          <w:bCs/>
          <w:highlight w:val="yellow"/>
        </w:rPr>
      </w:pPr>
      <w:r w:rsidRPr="00ED2FF2">
        <w:rPr>
          <w:noProof/>
        </w:rPr>
        <w:drawing>
          <wp:inline distT="0" distB="0" distL="0" distR="0" wp14:anchorId="6223071A" wp14:editId="74D44D5A">
            <wp:extent cx="5687695" cy="2946542"/>
            <wp:effectExtent l="0" t="0" r="8255" b="6350"/>
            <wp:docPr id="30" name="Picture 30"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687695" cy="2946542"/>
                    </a:xfrm>
                    <a:prstGeom prst="rect">
                      <a:avLst/>
                    </a:prstGeom>
                  </pic:spPr>
                </pic:pic>
              </a:graphicData>
            </a:graphic>
          </wp:inline>
        </w:drawing>
      </w:r>
    </w:p>
    <w:p w:rsidR="00ED2FF2" w:rsidRDefault="00ED2FF2">
      <w:pPr>
        <w:spacing w:line="276" w:lineRule="auto"/>
        <w:rPr>
          <w:rFonts w:ascii="Calibri" w:eastAsia="MS Gothic" w:hAnsi="Calibri" w:cs="Times New Roman"/>
          <w:b/>
          <w:bCs/>
          <w:highlight w:val="yellow"/>
        </w:rPr>
      </w:pPr>
      <w:r>
        <w:rPr>
          <w:rFonts w:ascii="Calibri" w:eastAsia="MS Gothic" w:hAnsi="Calibri" w:cs="Times New Roman"/>
          <w:b/>
          <w:bCs/>
          <w:highlight w:val="yellow"/>
        </w:rPr>
        <w:br w:type="page"/>
      </w:r>
    </w:p>
    <w:p w:rsidR="00ED2FF2" w:rsidRDefault="00DF0EBE">
      <w:pPr>
        <w:spacing w:line="276" w:lineRule="auto"/>
        <w:rPr>
          <w:rFonts w:ascii="Calibri" w:eastAsia="MS Gothic" w:hAnsi="Calibri" w:cs="Times New Roman"/>
          <w:b/>
          <w:bCs/>
          <w:highlight w:val="yellow"/>
        </w:rPr>
      </w:pPr>
      <w:r w:rsidRPr="00DF0EBE">
        <w:rPr>
          <w:noProof/>
        </w:rPr>
        <w:lastRenderedPageBreak/>
        <w:drawing>
          <wp:inline distT="0" distB="0" distL="0" distR="0" wp14:anchorId="0FA87EE4" wp14:editId="4E18BAC8">
            <wp:extent cx="5687695" cy="2682210"/>
            <wp:effectExtent l="0" t="0" r="0" b="4445"/>
            <wp:docPr id="31" name="Picture 31"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687695" cy="2682210"/>
                    </a:xfrm>
                    <a:prstGeom prst="rect">
                      <a:avLst/>
                    </a:prstGeom>
                  </pic:spPr>
                </pic:pic>
              </a:graphicData>
            </a:graphic>
          </wp:inline>
        </w:drawing>
      </w:r>
    </w:p>
    <w:p w:rsidR="00B62EDA" w:rsidRDefault="00B62EDA">
      <w:pPr>
        <w:spacing w:line="276" w:lineRule="auto"/>
        <w:rPr>
          <w:rFonts w:ascii="Calibri" w:eastAsia="MS Gothic" w:hAnsi="Calibri" w:cs="Times New Roman"/>
          <w:b/>
          <w:bCs/>
          <w:highlight w:val="yellow"/>
        </w:rPr>
      </w:pPr>
      <w:r w:rsidRPr="00B62EDA">
        <w:rPr>
          <w:noProof/>
        </w:rPr>
        <w:drawing>
          <wp:inline distT="0" distB="0" distL="0" distR="0" wp14:anchorId="25C26F36" wp14:editId="2F313B51">
            <wp:extent cx="5687695" cy="4850948"/>
            <wp:effectExtent l="0" t="0" r="8255" b="6985"/>
            <wp:docPr id="32" name="Picture 32"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687695" cy="4850948"/>
                    </a:xfrm>
                    <a:prstGeom prst="rect">
                      <a:avLst/>
                    </a:prstGeom>
                  </pic:spPr>
                </pic:pic>
              </a:graphicData>
            </a:graphic>
          </wp:inline>
        </w:drawing>
      </w:r>
    </w:p>
    <w:p w:rsidR="00DF0EBE" w:rsidRDefault="00DF0EBE">
      <w:pPr>
        <w:spacing w:line="276" w:lineRule="auto"/>
        <w:rPr>
          <w:rFonts w:ascii="Calibri" w:eastAsia="MS Gothic" w:hAnsi="Calibri" w:cs="Times New Roman"/>
          <w:b/>
          <w:bCs/>
          <w:highlight w:val="yellow"/>
        </w:rPr>
      </w:pPr>
      <w:r>
        <w:rPr>
          <w:rFonts w:ascii="Calibri" w:eastAsia="MS Gothic" w:hAnsi="Calibri" w:cs="Times New Roman"/>
          <w:b/>
          <w:bCs/>
          <w:highlight w:val="yellow"/>
        </w:rPr>
        <w:br w:type="page"/>
      </w:r>
    </w:p>
    <w:p w:rsidR="005227C9" w:rsidRDefault="00694C33">
      <w:pPr>
        <w:spacing w:line="276" w:lineRule="auto"/>
        <w:rPr>
          <w:rFonts w:ascii="Calibri" w:eastAsia="MS Gothic" w:hAnsi="Calibri" w:cs="Times New Roman"/>
          <w:b/>
          <w:bCs/>
          <w:highlight w:val="yellow"/>
        </w:rPr>
      </w:pPr>
      <w:r w:rsidRPr="00694C33">
        <w:rPr>
          <w:noProof/>
        </w:rPr>
        <w:lastRenderedPageBreak/>
        <w:drawing>
          <wp:inline distT="0" distB="0" distL="0" distR="0" wp14:anchorId="0EBD5DF5" wp14:editId="11CA3714">
            <wp:extent cx="5687695" cy="3027361"/>
            <wp:effectExtent l="0" t="0" r="8255" b="1905"/>
            <wp:docPr id="33" name="Picture 33"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687695" cy="3027361"/>
                    </a:xfrm>
                    <a:prstGeom prst="rect">
                      <a:avLst/>
                    </a:prstGeom>
                  </pic:spPr>
                </pic:pic>
              </a:graphicData>
            </a:graphic>
          </wp:inline>
        </w:drawing>
      </w:r>
      <w:r w:rsidRPr="00694C33">
        <w:rPr>
          <w:noProof/>
        </w:rPr>
        <w:drawing>
          <wp:inline distT="0" distB="0" distL="0" distR="0" wp14:anchorId="15AFC127" wp14:editId="1291A234">
            <wp:extent cx="5687695" cy="3079012"/>
            <wp:effectExtent l="0" t="0" r="8255" b="7620"/>
            <wp:docPr id="37" name="Picture 37"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687695" cy="3079012"/>
                    </a:xfrm>
                    <a:prstGeom prst="rect">
                      <a:avLst/>
                    </a:prstGeom>
                  </pic:spPr>
                </pic:pic>
              </a:graphicData>
            </a:graphic>
          </wp:inline>
        </w:drawing>
      </w:r>
      <w:r w:rsidR="0062208C" w:rsidRPr="0062208C">
        <w:rPr>
          <w:noProof/>
        </w:rPr>
        <w:drawing>
          <wp:inline distT="0" distB="0" distL="0" distR="0" wp14:anchorId="78085EBB" wp14:editId="742734D3">
            <wp:extent cx="5687695" cy="2465883"/>
            <wp:effectExtent l="0" t="0" r="8255" b="0"/>
            <wp:docPr id="39" name="Picture 39" title="Picture of PBS schedule ex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687695" cy="2465883"/>
                    </a:xfrm>
                    <a:prstGeom prst="rect">
                      <a:avLst/>
                    </a:prstGeom>
                  </pic:spPr>
                </pic:pic>
              </a:graphicData>
            </a:graphic>
          </wp:inline>
        </w:drawing>
      </w:r>
    </w:p>
    <w:p w:rsidR="005227C9" w:rsidRDefault="005227C9" w:rsidP="00061B03">
      <w:pPr>
        <w:rPr>
          <w:rFonts w:ascii="Calibri" w:eastAsia="MS Gothic" w:hAnsi="Calibri" w:cs="Times New Roman"/>
          <w:b/>
          <w:bCs/>
          <w:sz w:val="32"/>
          <w:szCs w:val="32"/>
        </w:rPr>
      </w:pPr>
      <w:r w:rsidRPr="006C0984">
        <w:rPr>
          <w:rFonts w:ascii="Calibri" w:eastAsia="MS Gothic" w:hAnsi="Calibri" w:cs="Times New Roman"/>
          <w:b/>
          <w:bCs/>
          <w:sz w:val="32"/>
          <w:szCs w:val="32"/>
        </w:rPr>
        <w:lastRenderedPageBreak/>
        <w:t xml:space="preserve">Appendix </w:t>
      </w:r>
      <w:r>
        <w:rPr>
          <w:rFonts w:ascii="Calibri" w:eastAsia="MS Gothic" w:hAnsi="Calibri" w:cs="Times New Roman"/>
          <w:b/>
          <w:bCs/>
          <w:sz w:val="32"/>
          <w:szCs w:val="32"/>
        </w:rPr>
        <w:t>B</w:t>
      </w:r>
      <w:r w:rsidRPr="006C0984">
        <w:rPr>
          <w:rFonts w:ascii="Calibri" w:eastAsia="MS Gothic" w:hAnsi="Calibri" w:cs="Times New Roman"/>
          <w:b/>
          <w:bCs/>
          <w:sz w:val="32"/>
          <w:szCs w:val="32"/>
        </w:rPr>
        <w:t xml:space="preserve">: </w:t>
      </w:r>
      <w:r>
        <w:rPr>
          <w:rFonts w:ascii="Calibri" w:eastAsia="MS Gothic" w:hAnsi="Calibri" w:cs="Times New Roman"/>
          <w:b/>
          <w:bCs/>
          <w:sz w:val="32"/>
          <w:szCs w:val="32"/>
        </w:rPr>
        <w:t xml:space="preserve">Time to resupply analysis for spasticity and dystonia PBS supplies for </w:t>
      </w:r>
      <w:r w:rsidR="00A77C2C">
        <w:rPr>
          <w:rFonts w:ascii="Calibri" w:eastAsia="MS Gothic" w:hAnsi="Calibri" w:cs="Times New Roman"/>
          <w:b/>
          <w:bCs/>
          <w:sz w:val="32"/>
          <w:szCs w:val="32"/>
        </w:rPr>
        <w:t>b</w:t>
      </w:r>
      <w:r>
        <w:rPr>
          <w:rFonts w:ascii="Calibri" w:eastAsia="MS Gothic" w:hAnsi="Calibri" w:cs="Times New Roman"/>
          <w:b/>
          <w:bCs/>
          <w:sz w:val="32"/>
          <w:szCs w:val="32"/>
        </w:rPr>
        <w:t xml:space="preserve">otulinum </w:t>
      </w:r>
      <w:r w:rsidR="00A77C2C">
        <w:rPr>
          <w:rFonts w:ascii="Calibri" w:eastAsia="MS Gothic" w:hAnsi="Calibri" w:cs="Times New Roman"/>
          <w:b/>
          <w:bCs/>
          <w:sz w:val="32"/>
          <w:szCs w:val="32"/>
        </w:rPr>
        <w:t>t</w:t>
      </w:r>
      <w:r>
        <w:rPr>
          <w:rFonts w:ascii="Calibri" w:eastAsia="MS Gothic" w:hAnsi="Calibri" w:cs="Times New Roman"/>
          <w:b/>
          <w:bCs/>
          <w:sz w:val="32"/>
          <w:szCs w:val="32"/>
        </w:rPr>
        <w:t>oxin by brand</w:t>
      </w:r>
    </w:p>
    <w:p w:rsidR="00A112AC" w:rsidRDefault="00A112AC" w:rsidP="00A112AC">
      <w:pPr>
        <w:rPr>
          <w:rFonts w:ascii="Calibri" w:eastAsia="MS Mincho" w:hAnsi="Calibri" w:cs="Times New Roman"/>
        </w:rPr>
      </w:pPr>
      <w:r>
        <w:rPr>
          <w:rFonts w:ascii="Calibri" w:eastAsia="MS Mincho" w:hAnsi="Calibri" w:cs="Times New Roman"/>
        </w:rPr>
        <w:t xml:space="preserve">To estimate the number of PBS initiations to treatment it was necessary to have an appropriate “lookback” </w:t>
      </w:r>
      <w:r w:rsidR="007B051A">
        <w:rPr>
          <w:rFonts w:ascii="Calibri" w:eastAsia="MS Mincho" w:hAnsi="Calibri" w:cs="Times New Roman"/>
        </w:rPr>
        <w:t>period to</w:t>
      </w:r>
      <w:r>
        <w:rPr>
          <w:rFonts w:ascii="Calibri" w:eastAsia="MS Mincho" w:hAnsi="Calibri" w:cs="Times New Roman"/>
        </w:rPr>
        <w:t xml:space="preserve"> determine if a patient ha</w:t>
      </w:r>
      <w:r w:rsidR="00C474E2">
        <w:rPr>
          <w:rFonts w:ascii="Calibri" w:eastAsia="MS Mincho" w:hAnsi="Calibri" w:cs="Times New Roman"/>
        </w:rPr>
        <w:t xml:space="preserve">s previously had the medicine. </w:t>
      </w:r>
      <w:r>
        <w:rPr>
          <w:rFonts w:ascii="Calibri" w:eastAsia="MS Mincho" w:hAnsi="Calibri" w:cs="Times New Roman"/>
        </w:rPr>
        <w:t>A time</w:t>
      </w:r>
      <w:r>
        <w:rPr>
          <w:rFonts w:ascii="Calibri" w:eastAsia="MS Mincho" w:hAnsi="Calibri" w:cs="Times New Roman"/>
        </w:rPr>
        <w:noBreakHyphen/>
      </w:r>
      <w:r w:rsidRPr="0067182B">
        <w:t>to</w:t>
      </w:r>
      <w:r>
        <w:noBreakHyphen/>
      </w:r>
      <w:r w:rsidRPr="0067182B">
        <w:t>prescription</w:t>
      </w:r>
      <w:r>
        <w:noBreakHyphen/>
      </w:r>
      <w:r>
        <w:rPr>
          <w:rFonts w:ascii="Calibri" w:eastAsia="MS Mincho" w:hAnsi="Calibri" w:cs="Times New Roman"/>
        </w:rPr>
        <w:t>resupply analysis was undertaken to determine the appropriate “lookback” period for determining initiations.</w:t>
      </w:r>
    </w:p>
    <w:p w:rsidR="00A112AC" w:rsidRPr="00FD044A" w:rsidRDefault="00A112AC" w:rsidP="00A112AC">
      <w:pPr>
        <w:spacing w:after="0"/>
        <w:rPr>
          <w:rFonts w:ascii="Calibri" w:eastAsia="MS Mincho" w:hAnsi="Calibri" w:cs="Times New Roman"/>
          <w:b/>
        </w:rPr>
      </w:pPr>
      <w:r>
        <w:rPr>
          <w:rFonts w:ascii="Calibri" w:eastAsia="MS Mincho" w:hAnsi="Calibri" w:cs="Times New Roman"/>
          <w:b/>
        </w:rPr>
        <w:t xml:space="preserve">Table </w:t>
      </w:r>
      <w:r w:rsidR="00061B03">
        <w:rPr>
          <w:rFonts w:ascii="Calibri" w:eastAsia="MS Mincho" w:hAnsi="Calibri" w:cs="Times New Roman"/>
          <w:b/>
        </w:rPr>
        <w:t>B</w:t>
      </w:r>
      <w:r w:rsidRPr="00FD044A">
        <w:rPr>
          <w:rFonts w:ascii="Calibri" w:eastAsia="MS Mincho" w:hAnsi="Calibri" w:cs="Times New Roman"/>
          <w:b/>
        </w:rPr>
        <w:t>: Statistics on tim</w:t>
      </w:r>
      <w:r>
        <w:rPr>
          <w:rFonts w:ascii="Calibri" w:eastAsia="MS Mincho" w:hAnsi="Calibri" w:cs="Times New Roman"/>
          <w:b/>
        </w:rPr>
        <w:t>e to resupply of botulinum toxin</w:t>
      </w:r>
      <w:r w:rsidRPr="00FD044A">
        <w:rPr>
          <w:rFonts w:ascii="Calibri" w:eastAsia="MS Mincho" w:hAnsi="Calibri" w:cs="Times New Roman"/>
          <w:b/>
        </w:rPr>
        <w:t xml:space="preserve"> prescriptions by indication and brand</w:t>
      </w:r>
    </w:p>
    <w:tbl>
      <w:tblPr>
        <w:tblStyle w:val="TableGrid"/>
        <w:tblW w:w="8891" w:type="dxa"/>
        <w:tblLook w:val="04A0" w:firstRow="1" w:lastRow="0" w:firstColumn="1" w:lastColumn="0" w:noHBand="0" w:noVBand="1"/>
        <w:tblCaption w:val="Table B: Statistics on time to resupply of botulinum toxin prescriptions by indication and brand"/>
      </w:tblPr>
      <w:tblGrid>
        <w:gridCol w:w="3175"/>
        <w:gridCol w:w="3217"/>
        <w:gridCol w:w="773"/>
        <w:gridCol w:w="872"/>
        <w:gridCol w:w="854"/>
      </w:tblGrid>
      <w:tr w:rsidR="00A112AC" w:rsidRPr="00FD044A" w:rsidTr="001B2A2E">
        <w:trPr>
          <w:trHeight w:val="20"/>
          <w:tblHeader/>
        </w:trPr>
        <w:tc>
          <w:tcPr>
            <w:tcW w:w="3175" w:type="dxa"/>
            <w:tcBorders>
              <w:top w:val="nil"/>
              <w:left w:val="nil"/>
              <w:bottom w:val="single" w:sz="4" w:space="0" w:color="auto"/>
              <w:right w:val="nil"/>
            </w:tcBorders>
            <w:noWrap/>
            <w:hideMark/>
          </w:tcPr>
          <w:p w:rsidR="00A112AC" w:rsidRPr="00FD044A" w:rsidRDefault="00A112AC" w:rsidP="00D2533D">
            <w:pPr>
              <w:rPr>
                <w:rFonts w:eastAsia="MS Mincho" w:cs="Times New Roman"/>
                <w:b/>
                <w:bCs/>
                <w:sz w:val="20"/>
                <w:szCs w:val="20"/>
              </w:rPr>
            </w:pPr>
          </w:p>
        </w:tc>
        <w:tc>
          <w:tcPr>
            <w:tcW w:w="3217" w:type="dxa"/>
            <w:tcBorders>
              <w:top w:val="nil"/>
              <w:left w:val="nil"/>
              <w:bottom w:val="single" w:sz="4" w:space="0" w:color="auto"/>
              <w:right w:val="single" w:sz="4" w:space="0" w:color="auto"/>
            </w:tcBorders>
            <w:noWrap/>
            <w:hideMark/>
          </w:tcPr>
          <w:p w:rsidR="00A112AC" w:rsidRPr="00FD044A" w:rsidRDefault="00A112AC" w:rsidP="00D2533D">
            <w:pPr>
              <w:rPr>
                <w:rFonts w:eastAsia="MS Mincho" w:cs="Times New Roman"/>
                <w:b/>
                <w:bCs/>
                <w:sz w:val="20"/>
                <w:szCs w:val="20"/>
              </w:rPr>
            </w:pPr>
          </w:p>
        </w:tc>
        <w:tc>
          <w:tcPr>
            <w:tcW w:w="2499" w:type="dxa"/>
            <w:gridSpan w:val="3"/>
            <w:tcBorders>
              <w:left w:val="single" w:sz="4" w:space="0" w:color="auto"/>
            </w:tcBorders>
            <w:shd w:val="clear" w:color="auto" w:fill="BFBFBF" w:themeFill="background1" w:themeFillShade="BF"/>
            <w:noWrap/>
            <w:hideMark/>
          </w:tcPr>
          <w:p w:rsidR="00A112AC" w:rsidRPr="00FD044A" w:rsidRDefault="00A112AC" w:rsidP="00D2533D">
            <w:pPr>
              <w:jc w:val="center"/>
              <w:rPr>
                <w:rFonts w:eastAsia="MS Mincho" w:cs="Times New Roman"/>
                <w:b/>
                <w:bCs/>
                <w:sz w:val="20"/>
                <w:szCs w:val="20"/>
              </w:rPr>
            </w:pPr>
            <w:r w:rsidRPr="00FD044A">
              <w:rPr>
                <w:rFonts w:eastAsia="MS Mincho" w:cs="Times New Roman"/>
                <w:b/>
                <w:bCs/>
                <w:sz w:val="20"/>
                <w:szCs w:val="20"/>
              </w:rPr>
              <w:t>Brand</w:t>
            </w:r>
          </w:p>
        </w:tc>
      </w:tr>
      <w:tr w:rsidR="00A112AC" w:rsidRPr="00FD044A" w:rsidTr="001B2A2E">
        <w:trPr>
          <w:trHeight w:val="20"/>
          <w:tblHeader/>
        </w:trPr>
        <w:tc>
          <w:tcPr>
            <w:tcW w:w="3175" w:type="dxa"/>
            <w:tcBorders>
              <w:top w:val="single" w:sz="4" w:space="0" w:color="auto"/>
            </w:tcBorders>
            <w:shd w:val="clear" w:color="auto" w:fill="BFBFBF" w:themeFill="background1" w:themeFillShade="BF"/>
            <w:noWrap/>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Days to resupply</w:t>
            </w:r>
          </w:p>
        </w:tc>
        <w:tc>
          <w:tcPr>
            <w:tcW w:w="3217" w:type="dxa"/>
            <w:tcBorders>
              <w:top w:val="single" w:sz="4" w:space="0" w:color="auto"/>
            </w:tcBorders>
            <w:shd w:val="clear" w:color="auto" w:fill="BFBFBF" w:themeFill="background1" w:themeFillShade="BF"/>
            <w:noWrap/>
            <w:hideMark/>
          </w:tcPr>
          <w:p w:rsidR="00A112AC" w:rsidRPr="00FD044A" w:rsidRDefault="00A112AC" w:rsidP="00D2533D">
            <w:pPr>
              <w:rPr>
                <w:rFonts w:eastAsia="MS Mincho" w:cs="Times New Roman"/>
                <w:b/>
                <w:bCs/>
                <w:sz w:val="20"/>
                <w:szCs w:val="20"/>
              </w:rPr>
            </w:pPr>
            <w:r>
              <w:rPr>
                <w:rFonts w:eastAsia="MS Mincho" w:cs="Times New Roman"/>
                <w:b/>
                <w:bCs/>
                <w:sz w:val="20"/>
                <w:szCs w:val="20"/>
              </w:rPr>
              <w:t>I</w:t>
            </w:r>
            <w:r w:rsidRPr="00FD044A">
              <w:rPr>
                <w:rFonts w:eastAsia="MS Mincho" w:cs="Times New Roman"/>
                <w:b/>
                <w:bCs/>
                <w:sz w:val="20"/>
                <w:szCs w:val="20"/>
              </w:rPr>
              <w:t>ndication</w:t>
            </w:r>
          </w:p>
        </w:tc>
        <w:tc>
          <w:tcPr>
            <w:tcW w:w="773" w:type="dxa"/>
            <w:shd w:val="clear" w:color="auto" w:fill="BFBFBF" w:themeFill="background1" w:themeFillShade="BF"/>
            <w:noWrap/>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Botox</w:t>
            </w:r>
          </w:p>
        </w:tc>
        <w:tc>
          <w:tcPr>
            <w:tcW w:w="872" w:type="dxa"/>
            <w:shd w:val="clear" w:color="auto" w:fill="BFBFBF" w:themeFill="background1" w:themeFillShade="BF"/>
            <w:noWrap/>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Dysport</w:t>
            </w:r>
          </w:p>
        </w:tc>
        <w:tc>
          <w:tcPr>
            <w:tcW w:w="854" w:type="dxa"/>
            <w:shd w:val="clear" w:color="auto" w:fill="BFBFBF" w:themeFill="background1" w:themeFillShade="BF"/>
            <w:noWrap/>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Xeomin</w:t>
            </w:r>
          </w:p>
        </w:tc>
      </w:tr>
      <w:tr w:rsidR="00A112AC" w:rsidRPr="00FD044A" w:rsidTr="00D2533D">
        <w:trPr>
          <w:trHeight w:val="20"/>
        </w:trPr>
        <w:tc>
          <w:tcPr>
            <w:tcW w:w="3175" w:type="dxa"/>
            <w:vMerge w:val="restart"/>
            <w:noWrap/>
            <w:vAlign w:val="center"/>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Median</w:t>
            </w: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Blepharospasm or hemifacial spasm</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97</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99</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99</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Spasmodic torticollis</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95</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97</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87.5</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Dynamic equinus foot deformity</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197</w:t>
            </w:r>
          </w:p>
        </w:tc>
        <w:tc>
          <w:tcPr>
            <w:tcW w:w="872"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w:t>
            </w:r>
          </w:p>
        </w:tc>
        <w:tc>
          <w:tcPr>
            <w:tcW w:w="854"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noWrap/>
            <w:vAlign w:val="center"/>
          </w:tcPr>
          <w:p w:rsidR="00A112AC" w:rsidRPr="00FD044A" w:rsidRDefault="00A112AC" w:rsidP="00D2533D">
            <w:pPr>
              <w:rPr>
                <w:rFonts w:eastAsia="MS Mincho" w:cs="Times New Roman"/>
                <w:b/>
                <w:bCs/>
                <w:sz w:val="20"/>
                <w:szCs w:val="20"/>
              </w:rPr>
            </w:pPr>
          </w:p>
        </w:tc>
        <w:tc>
          <w:tcPr>
            <w:tcW w:w="3217" w:type="dxa"/>
            <w:noWrap/>
            <w:vAlign w:val="center"/>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cerebral palsy</w:t>
            </w:r>
          </w:p>
        </w:tc>
        <w:tc>
          <w:tcPr>
            <w:tcW w:w="773"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201</w:t>
            </w:r>
          </w:p>
        </w:tc>
        <w:tc>
          <w:tcPr>
            <w:tcW w:w="872"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w:t>
            </w:r>
          </w:p>
        </w:tc>
        <w:tc>
          <w:tcPr>
            <w:tcW w:w="854" w:type="dxa"/>
            <w:noWrap/>
            <w:vAlign w:val="center"/>
          </w:tcPr>
          <w:p w:rsidR="00A112AC"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stroke</w:t>
            </w:r>
          </w:p>
        </w:tc>
        <w:tc>
          <w:tcPr>
            <w:tcW w:w="773" w:type="dxa"/>
            <w:noWrap/>
            <w:vAlign w:val="center"/>
            <w:hideMark/>
          </w:tcPr>
          <w:p w:rsidR="00A112AC" w:rsidRPr="0082012B" w:rsidRDefault="00A112AC" w:rsidP="00D2533D">
            <w:pPr>
              <w:jc w:val="center"/>
              <w:rPr>
                <w:rFonts w:eastAsia="MS Mincho" w:cs="Times New Roman"/>
                <w:sz w:val="20"/>
                <w:szCs w:val="20"/>
              </w:rPr>
            </w:pPr>
            <w:r>
              <w:rPr>
                <w:rFonts w:eastAsia="MS Mincho" w:cs="Times New Roman"/>
                <w:sz w:val="20"/>
                <w:szCs w:val="20"/>
              </w:rPr>
              <w:t>182</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w:t>
            </w:r>
            <w:r>
              <w:rPr>
                <w:rFonts w:eastAsia="MS Mincho" w:cs="Times New Roman"/>
                <w:sz w:val="20"/>
                <w:szCs w:val="20"/>
              </w:rPr>
              <w:t>70</w:t>
            </w:r>
          </w:p>
        </w:tc>
        <w:tc>
          <w:tcPr>
            <w:tcW w:w="854" w:type="dxa"/>
            <w:noWrap/>
            <w:vAlign w:val="center"/>
            <w:hideMark/>
          </w:tcPr>
          <w:p w:rsidR="00A112AC" w:rsidRPr="0082012B"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val="restart"/>
            <w:noWrap/>
            <w:vAlign w:val="center"/>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95th percentile</w:t>
            </w: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Blepharospasm or hemifacial spasm</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264</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276</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196</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Spasmodic torticollis</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200</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220</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170</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Dynamic equinus foot deformity</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497</w:t>
            </w:r>
          </w:p>
        </w:tc>
        <w:tc>
          <w:tcPr>
            <w:tcW w:w="872"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w:t>
            </w:r>
          </w:p>
        </w:tc>
        <w:tc>
          <w:tcPr>
            <w:tcW w:w="854"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noWrap/>
            <w:vAlign w:val="center"/>
          </w:tcPr>
          <w:p w:rsidR="00A112AC" w:rsidRPr="00FD044A" w:rsidRDefault="00A112AC" w:rsidP="00D2533D">
            <w:pPr>
              <w:rPr>
                <w:rFonts w:eastAsia="MS Mincho" w:cs="Times New Roman"/>
                <w:b/>
                <w:bCs/>
                <w:sz w:val="20"/>
                <w:szCs w:val="20"/>
              </w:rPr>
            </w:pPr>
          </w:p>
        </w:tc>
        <w:tc>
          <w:tcPr>
            <w:tcW w:w="3217" w:type="dxa"/>
            <w:noWrap/>
            <w:vAlign w:val="center"/>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cerebral palsy</w:t>
            </w:r>
          </w:p>
        </w:tc>
        <w:tc>
          <w:tcPr>
            <w:tcW w:w="773"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518</w:t>
            </w:r>
          </w:p>
        </w:tc>
        <w:tc>
          <w:tcPr>
            <w:tcW w:w="872"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w:t>
            </w:r>
          </w:p>
        </w:tc>
        <w:tc>
          <w:tcPr>
            <w:tcW w:w="854" w:type="dxa"/>
            <w:noWrap/>
            <w:vAlign w:val="center"/>
          </w:tcPr>
          <w:p w:rsidR="00A112AC"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stroke</w:t>
            </w:r>
          </w:p>
        </w:tc>
        <w:tc>
          <w:tcPr>
            <w:tcW w:w="773" w:type="dxa"/>
            <w:noWrap/>
            <w:vAlign w:val="center"/>
            <w:hideMark/>
          </w:tcPr>
          <w:p w:rsidR="00A112AC" w:rsidRPr="0082012B" w:rsidRDefault="00A112AC" w:rsidP="00D2533D">
            <w:pPr>
              <w:jc w:val="center"/>
              <w:rPr>
                <w:rFonts w:eastAsia="MS Mincho" w:cs="Times New Roman"/>
                <w:sz w:val="20"/>
                <w:szCs w:val="20"/>
              </w:rPr>
            </w:pPr>
            <w:r>
              <w:rPr>
                <w:rFonts w:eastAsia="MS Mincho" w:cs="Times New Roman"/>
                <w:sz w:val="20"/>
                <w:szCs w:val="20"/>
              </w:rPr>
              <w:t>510</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4</w:t>
            </w:r>
            <w:r>
              <w:rPr>
                <w:rFonts w:eastAsia="MS Mincho" w:cs="Times New Roman"/>
                <w:sz w:val="20"/>
                <w:szCs w:val="20"/>
              </w:rPr>
              <w:t>28</w:t>
            </w:r>
          </w:p>
        </w:tc>
        <w:tc>
          <w:tcPr>
            <w:tcW w:w="854" w:type="dxa"/>
            <w:noWrap/>
            <w:vAlign w:val="center"/>
            <w:hideMark/>
          </w:tcPr>
          <w:p w:rsidR="00A112AC" w:rsidRPr="0082012B"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val="restart"/>
            <w:noWrap/>
            <w:vAlign w:val="center"/>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99th percentile</w:t>
            </w: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Blepharospasm or hemifacial spasm</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450</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461</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256</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Spasmodic torticollis</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360</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341</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368.5</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Dynamic equinus foot deformity</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659</w:t>
            </w:r>
          </w:p>
        </w:tc>
        <w:tc>
          <w:tcPr>
            <w:tcW w:w="872"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w:t>
            </w:r>
          </w:p>
        </w:tc>
        <w:tc>
          <w:tcPr>
            <w:tcW w:w="854"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noWrap/>
            <w:vAlign w:val="center"/>
          </w:tcPr>
          <w:p w:rsidR="00A112AC" w:rsidRPr="00FD044A" w:rsidRDefault="00A112AC" w:rsidP="00D2533D">
            <w:pPr>
              <w:rPr>
                <w:rFonts w:eastAsia="MS Mincho" w:cs="Times New Roman"/>
                <w:b/>
                <w:bCs/>
                <w:sz w:val="20"/>
                <w:szCs w:val="20"/>
              </w:rPr>
            </w:pPr>
          </w:p>
        </w:tc>
        <w:tc>
          <w:tcPr>
            <w:tcW w:w="3217" w:type="dxa"/>
            <w:noWrap/>
            <w:vAlign w:val="center"/>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cerebral palsy</w:t>
            </w:r>
          </w:p>
        </w:tc>
        <w:tc>
          <w:tcPr>
            <w:tcW w:w="773"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693</w:t>
            </w:r>
          </w:p>
        </w:tc>
        <w:tc>
          <w:tcPr>
            <w:tcW w:w="872"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w:t>
            </w:r>
          </w:p>
        </w:tc>
        <w:tc>
          <w:tcPr>
            <w:tcW w:w="854" w:type="dxa"/>
            <w:noWrap/>
            <w:vAlign w:val="center"/>
          </w:tcPr>
          <w:p w:rsidR="00A112AC"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noWrap/>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stroke</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6</w:t>
            </w:r>
            <w:r>
              <w:rPr>
                <w:rFonts w:eastAsia="MS Mincho" w:cs="Times New Roman"/>
                <w:sz w:val="20"/>
                <w:szCs w:val="20"/>
              </w:rPr>
              <w:t>31</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574</w:t>
            </w:r>
          </w:p>
        </w:tc>
        <w:tc>
          <w:tcPr>
            <w:tcW w:w="854" w:type="dxa"/>
            <w:noWrap/>
            <w:vAlign w:val="center"/>
            <w:hideMark/>
          </w:tcPr>
          <w:p w:rsidR="00A112AC" w:rsidRPr="0082012B" w:rsidRDefault="00A112AC" w:rsidP="00D2533D">
            <w:pPr>
              <w:jc w:val="center"/>
              <w:rPr>
                <w:rFonts w:eastAsia="MS Mincho" w:cs="Times New Roman"/>
                <w:sz w:val="20"/>
                <w:szCs w:val="20"/>
              </w:rPr>
            </w:pPr>
            <w:r>
              <w:rPr>
                <w:rFonts w:eastAsia="MS Mincho" w:cs="Times New Roman"/>
                <w:sz w:val="20"/>
                <w:szCs w:val="20"/>
              </w:rPr>
              <w:t>*</w:t>
            </w:r>
          </w:p>
        </w:tc>
      </w:tr>
      <w:tr w:rsidR="00A112AC" w:rsidRPr="00FD044A" w:rsidTr="00D2533D">
        <w:trPr>
          <w:trHeight w:val="20"/>
        </w:trPr>
        <w:tc>
          <w:tcPr>
            <w:tcW w:w="3175" w:type="dxa"/>
            <w:vMerge w:val="restart"/>
            <w:vAlign w:val="center"/>
            <w:hideMark/>
          </w:tcPr>
          <w:p w:rsidR="00A112AC" w:rsidRPr="00FD044A" w:rsidRDefault="00A112AC" w:rsidP="00D2533D">
            <w:pPr>
              <w:rPr>
                <w:rFonts w:eastAsia="MS Mincho" w:cs="Times New Roman"/>
                <w:b/>
                <w:bCs/>
                <w:sz w:val="20"/>
                <w:szCs w:val="20"/>
              </w:rPr>
            </w:pPr>
            <w:r w:rsidRPr="00FD044A">
              <w:rPr>
                <w:rFonts w:eastAsia="MS Mincho" w:cs="Times New Roman"/>
                <w:b/>
                <w:bCs/>
                <w:sz w:val="20"/>
                <w:szCs w:val="20"/>
              </w:rPr>
              <w:t>Number of prescriptions used in calculation of above statistics (n)</w:t>
            </w: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Blepharospasm or hemifacial spasm</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17,846</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510</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176</w:t>
            </w:r>
          </w:p>
        </w:tc>
      </w:tr>
      <w:tr w:rsidR="00A112AC" w:rsidRPr="00FD044A" w:rsidTr="00D2533D">
        <w:trPr>
          <w:trHeight w:val="20"/>
        </w:trPr>
        <w:tc>
          <w:tcPr>
            <w:tcW w:w="3175" w:type="dxa"/>
            <w:vMerge/>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Spasmodic torticollis</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9,902</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3,319</w:t>
            </w:r>
          </w:p>
        </w:tc>
        <w:tc>
          <w:tcPr>
            <w:tcW w:w="854"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500</w:t>
            </w:r>
          </w:p>
        </w:tc>
      </w:tr>
      <w:tr w:rsidR="00A112AC" w:rsidRPr="00FD044A" w:rsidTr="00D2533D">
        <w:trPr>
          <w:trHeight w:val="20"/>
        </w:trPr>
        <w:tc>
          <w:tcPr>
            <w:tcW w:w="3175" w:type="dxa"/>
            <w:vMerge/>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Dynamic equinus foot deformity</w:t>
            </w:r>
          </w:p>
        </w:tc>
        <w:tc>
          <w:tcPr>
            <w:tcW w:w="773"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1,613</w:t>
            </w:r>
          </w:p>
        </w:tc>
        <w:tc>
          <w:tcPr>
            <w:tcW w:w="872"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67</w:t>
            </w:r>
          </w:p>
        </w:tc>
        <w:tc>
          <w:tcPr>
            <w:tcW w:w="854" w:type="dxa"/>
            <w:noWrap/>
            <w:vAlign w:val="center"/>
            <w:hideMark/>
          </w:tcPr>
          <w:p w:rsidR="00A112AC" w:rsidRPr="00FD044A" w:rsidRDefault="00A112AC" w:rsidP="00D2533D">
            <w:pPr>
              <w:jc w:val="center"/>
              <w:rPr>
                <w:rFonts w:eastAsia="MS Mincho" w:cs="Times New Roman"/>
                <w:sz w:val="20"/>
                <w:szCs w:val="20"/>
              </w:rPr>
            </w:pPr>
            <w:r>
              <w:rPr>
                <w:rFonts w:eastAsia="MS Mincho" w:cs="Times New Roman"/>
                <w:sz w:val="20"/>
                <w:szCs w:val="20"/>
              </w:rPr>
              <w:t>0</w:t>
            </w:r>
          </w:p>
        </w:tc>
      </w:tr>
      <w:tr w:rsidR="00A112AC" w:rsidRPr="00FD044A" w:rsidTr="00D2533D">
        <w:trPr>
          <w:trHeight w:val="20"/>
        </w:trPr>
        <w:tc>
          <w:tcPr>
            <w:tcW w:w="3175" w:type="dxa"/>
            <w:vMerge/>
            <w:vAlign w:val="center"/>
          </w:tcPr>
          <w:p w:rsidR="00A112AC" w:rsidRPr="00FD044A" w:rsidRDefault="00A112AC" w:rsidP="00D2533D">
            <w:pPr>
              <w:rPr>
                <w:rFonts w:eastAsia="MS Mincho" w:cs="Times New Roman"/>
                <w:b/>
                <w:bCs/>
                <w:sz w:val="20"/>
                <w:szCs w:val="20"/>
              </w:rPr>
            </w:pPr>
          </w:p>
        </w:tc>
        <w:tc>
          <w:tcPr>
            <w:tcW w:w="3217" w:type="dxa"/>
            <w:noWrap/>
            <w:vAlign w:val="center"/>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cerebral palsy</w:t>
            </w:r>
          </w:p>
        </w:tc>
        <w:tc>
          <w:tcPr>
            <w:tcW w:w="773"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719</w:t>
            </w:r>
          </w:p>
        </w:tc>
        <w:tc>
          <w:tcPr>
            <w:tcW w:w="872" w:type="dxa"/>
            <w:noWrap/>
            <w:vAlign w:val="center"/>
          </w:tcPr>
          <w:p w:rsidR="00A112AC" w:rsidRPr="0082012B" w:rsidRDefault="00A112AC" w:rsidP="00D2533D">
            <w:pPr>
              <w:jc w:val="center"/>
              <w:rPr>
                <w:rFonts w:eastAsia="MS Mincho" w:cs="Times New Roman"/>
                <w:sz w:val="20"/>
                <w:szCs w:val="20"/>
              </w:rPr>
            </w:pPr>
            <w:r>
              <w:rPr>
                <w:rFonts w:eastAsia="MS Mincho" w:cs="Times New Roman"/>
                <w:sz w:val="20"/>
                <w:szCs w:val="20"/>
              </w:rPr>
              <w:t>0</w:t>
            </w:r>
          </w:p>
        </w:tc>
        <w:tc>
          <w:tcPr>
            <w:tcW w:w="854" w:type="dxa"/>
            <w:noWrap/>
            <w:vAlign w:val="center"/>
          </w:tcPr>
          <w:p w:rsidR="00A112AC" w:rsidRDefault="00A112AC" w:rsidP="00D2533D">
            <w:pPr>
              <w:jc w:val="center"/>
              <w:rPr>
                <w:rFonts w:eastAsia="MS Mincho" w:cs="Times New Roman"/>
                <w:sz w:val="20"/>
                <w:szCs w:val="20"/>
              </w:rPr>
            </w:pPr>
            <w:r>
              <w:rPr>
                <w:rFonts w:eastAsia="MS Mincho" w:cs="Times New Roman"/>
                <w:sz w:val="20"/>
                <w:szCs w:val="20"/>
              </w:rPr>
              <w:t>0</w:t>
            </w:r>
          </w:p>
        </w:tc>
      </w:tr>
      <w:tr w:rsidR="00A112AC" w:rsidRPr="00FD044A" w:rsidTr="00D2533D">
        <w:trPr>
          <w:trHeight w:val="303"/>
        </w:trPr>
        <w:tc>
          <w:tcPr>
            <w:tcW w:w="3175" w:type="dxa"/>
            <w:vMerge/>
            <w:vAlign w:val="center"/>
            <w:hideMark/>
          </w:tcPr>
          <w:p w:rsidR="00A112AC" w:rsidRPr="00FD044A" w:rsidRDefault="00A112AC" w:rsidP="00D2533D">
            <w:pPr>
              <w:rPr>
                <w:rFonts w:eastAsia="MS Mincho" w:cs="Times New Roman"/>
                <w:b/>
                <w:bCs/>
                <w:sz w:val="20"/>
                <w:szCs w:val="20"/>
              </w:rPr>
            </w:pPr>
          </w:p>
        </w:tc>
        <w:tc>
          <w:tcPr>
            <w:tcW w:w="3217" w:type="dxa"/>
            <w:noWrap/>
            <w:vAlign w:val="center"/>
            <w:hideMark/>
          </w:tcPr>
          <w:p w:rsidR="00A112AC" w:rsidRPr="00FD044A" w:rsidRDefault="00A112AC" w:rsidP="00D2533D">
            <w:pPr>
              <w:rPr>
                <w:rFonts w:eastAsia="MS Mincho" w:cs="Times New Roman"/>
                <w:sz w:val="20"/>
                <w:szCs w:val="20"/>
              </w:rPr>
            </w:pPr>
            <w:r w:rsidRPr="00FD044A">
              <w:rPr>
                <w:rFonts w:eastAsia="MS Mincho" w:cs="Times New Roman"/>
                <w:sz w:val="20"/>
                <w:szCs w:val="20"/>
              </w:rPr>
              <w:t>Moderate to severe spasticity - upper limb</w:t>
            </w:r>
            <w:r>
              <w:rPr>
                <w:rFonts w:eastAsia="MS Mincho" w:cs="Times New Roman"/>
                <w:sz w:val="20"/>
                <w:szCs w:val="20"/>
              </w:rPr>
              <w:t>, stroke</w:t>
            </w:r>
          </w:p>
        </w:tc>
        <w:tc>
          <w:tcPr>
            <w:tcW w:w="773" w:type="dxa"/>
            <w:noWrap/>
            <w:vAlign w:val="center"/>
            <w:hideMark/>
          </w:tcPr>
          <w:p w:rsidR="00A112AC" w:rsidRPr="0082012B" w:rsidRDefault="00A112AC" w:rsidP="00D2533D">
            <w:pPr>
              <w:jc w:val="center"/>
              <w:rPr>
                <w:rFonts w:eastAsia="MS Mincho" w:cs="Times New Roman"/>
                <w:sz w:val="20"/>
                <w:szCs w:val="20"/>
              </w:rPr>
            </w:pPr>
            <w:r>
              <w:rPr>
                <w:rFonts w:eastAsia="MS Mincho" w:cs="Times New Roman"/>
                <w:sz w:val="20"/>
                <w:szCs w:val="20"/>
              </w:rPr>
              <w:t>399</w:t>
            </w:r>
          </w:p>
        </w:tc>
        <w:tc>
          <w:tcPr>
            <w:tcW w:w="872" w:type="dxa"/>
            <w:noWrap/>
            <w:vAlign w:val="center"/>
            <w:hideMark/>
          </w:tcPr>
          <w:p w:rsidR="00A112AC" w:rsidRPr="0082012B" w:rsidRDefault="00A112AC" w:rsidP="00D2533D">
            <w:pPr>
              <w:jc w:val="center"/>
              <w:rPr>
                <w:rFonts w:eastAsia="MS Mincho" w:cs="Times New Roman"/>
                <w:sz w:val="20"/>
                <w:szCs w:val="20"/>
              </w:rPr>
            </w:pPr>
            <w:r w:rsidRPr="0082012B">
              <w:rPr>
                <w:rFonts w:eastAsia="MS Mincho" w:cs="Times New Roman"/>
                <w:sz w:val="20"/>
                <w:szCs w:val="20"/>
              </w:rPr>
              <w:t>17</w:t>
            </w:r>
            <w:r>
              <w:rPr>
                <w:rFonts w:eastAsia="MS Mincho" w:cs="Times New Roman"/>
                <w:sz w:val="20"/>
                <w:szCs w:val="20"/>
              </w:rPr>
              <w:t>6</w:t>
            </w:r>
          </w:p>
        </w:tc>
        <w:tc>
          <w:tcPr>
            <w:tcW w:w="854" w:type="dxa"/>
            <w:noWrap/>
            <w:vAlign w:val="center"/>
            <w:hideMark/>
          </w:tcPr>
          <w:p w:rsidR="00A112AC" w:rsidRPr="0082012B" w:rsidRDefault="00A112AC" w:rsidP="00D2533D">
            <w:pPr>
              <w:jc w:val="center"/>
              <w:rPr>
                <w:rFonts w:eastAsia="MS Mincho" w:cs="Times New Roman"/>
                <w:sz w:val="20"/>
                <w:szCs w:val="20"/>
              </w:rPr>
            </w:pPr>
            <w:r>
              <w:rPr>
                <w:rFonts w:eastAsia="MS Mincho" w:cs="Times New Roman"/>
                <w:sz w:val="20"/>
                <w:szCs w:val="20"/>
              </w:rPr>
              <w:t>15</w:t>
            </w:r>
          </w:p>
        </w:tc>
      </w:tr>
    </w:tbl>
    <w:p w:rsidR="00A112AC" w:rsidRPr="00FD044A" w:rsidRDefault="00A112AC" w:rsidP="00A112AC">
      <w:pPr>
        <w:rPr>
          <w:rFonts w:ascii="Calibri" w:eastAsia="MS Mincho" w:hAnsi="Calibri" w:cs="Times New Roman"/>
          <w:sz w:val="20"/>
          <w:szCs w:val="20"/>
        </w:rPr>
      </w:pPr>
      <w:r w:rsidRPr="00FD044A">
        <w:rPr>
          <w:rFonts w:ascii="Calibri" w:eastAsia="MS Mincho" w:hAnsi="Calibri" w:cs="Times New Roman"/>
          <w:sz w:val="20"/>
          <w:szCs w:val="20"/>
        </w:rPr>
        <w:t xml:space="preserve">* </w:t>
      </w:r>
      <w:proofErr w:type="gramStart"/>
      <w:r w:rsidRPr="00FD044A">
        <w:rPr>
          <w:rFonts w:ascii="Calibri" w:eastAsia="MS Mincho" w:hAnsi="Calibri" w:cs="Times New Roman"/>
          <w:sz w:val="20"/>
          <w:szCs w:val="20"/>
        </w:rPr>
        <w:t>n</w:t>
      </w:r>
      <w:proofErr w:type="gramEnd"/>
      <w:r w:rsidRPr="00FD044A">
        <w:rPr>
          <w:rFonts w:ascii="Calibri" w:eastAsia="MS Mincho" w:hAnsi="Calibri" w:cs="Times New Roman"/>
          <w:sz w:val="20"/>
          <w:szCs w:val="20"/>
        </w:rPr>
        <w:t xml:space="preserve"> &lt; 100 prescriptions so statistic not calculated.</w:t>
      </w:r>
      <w:r>
        <w:rPr>
          <w:rFonts w:ascii="Calibri" w:eastAsia="MS Mincho" w:hAnsi="Calibri" w:cs="Times New Roman"/>
          <w:sz w:val="20"/>
          <w:szCs w:val="20"/>
        </w:rPr>
        <w:br/>
        <w:t xml:space="preserve">** </w:t>
      </w:r>
      <w:r w:rsidR="003B6388">
        <w:rPr>
          <w:rFonts w:ascii="Calibri" w:eastAsia="MS Mincho" w:hAnsi="Calibri" w:cs="Times New Roman"/>
          <w:sz w:val="20"/>
          <w:szCs w:val="20"/>
        </w:rPr>
        <w:t>No</w:t>
      </w:r>
      <w:r>
        <w:rPr>
          <w:rFonts w:ascii="Calibri" w:eastAsia="MS Mincho" w:hAnsi="Calibri" w:cs="Times New Roman"/>
          <w:sz w:val="20"/>
          <w:szCs w:val="20"/>
        </w:rPr>
        <w:t xml:space="preserve"> prescriptions for this indication</w:t>
      </w:r>
      <w:r>
        <w:rPr>
          <w:rFonts w:ascii="Calibri" w:eastAsia="MS Mincho" w:hAnsi="Calibri" w:cs="Times New Roman"/>
          <w:sz w:val="20"/>
          <w:szCs w:val="20"/>
        </w:rPr>
        <w:br/>
        <w:t>Note: The method allows any brand of botulinum toxin to resupply by any other. See methods section for details (explain why n is low).</w:t>
      </w:r>
    </w:p>
    <w:p w:rsidR="00A112AC" w:rsidRDefault="00A112AC" w:rsidP="00A112AC">
      <w:pPr>
        <w:rPr>
          <w:rFonts w:ascii="Calibri" w:eastAsia="MS Mincho" w:hAnsi="Calibri" w:cs="Times New Roman"/>
        </w:rPr>
      </w:pPr>
      <w:r>
        <w:rPr>
          <w:rFonts w:ascii="Calibri" w:eastAsia="MS Mincho" w:hAnsi="Calibri" w:cs="Times New Roman"/>
        </w:rPr>
        <w:t xml:space="preserve">Overall the median time to resupply for all brands was approximately 3 months for the dystonia indications. For the </w:t>
      </w:r>
      <w:r w:rsidR="007B051A">
        <w:rPr>
          <w:rFonts w:ascii="Calibri" w:eastAsia="MS Mincho" w:hAnsi="Calibri" w:cs="Times New Roman"/>
        </w:rPr>
        <w:t>spasticity indications</w:t>
      </w:r>
      <w:r>
        <w:rPr>
          <w:rFonts w:ascii="Calibri" w:eastAsia="MS Mincho" w:hAnsi="Calibri" w:cs="Times New Roman"/>
        </w:rPr>
        <w:t xml:space="preserve"> the</w:t>
      </w:r>
      <w:r w:rsidRPr="006F6233">
        <w:rPr>
          <w:rFonts w:ascii="Calibri" w:eastAsia="MS Mincho" w:hAnsi="Calibri" w:cs="Times New Roman"/>
        </w:rPr>
        <w:t xml:space="preserve"> </w:t>
      </w:r>
      <w:r>
        <w:rPr>
          <w:rFonts w:ascii="Calibri" w:eastAsia="MS Mincho" w:hAnsi="Calibri" w:cs="Times New Roman"/>
        </w:rPr>
        <w:t xml:space="preserve">median time to resupply was 6 to 7 months for Botox prescriptions and slightly less </w:t>
      </w:r>
      <w:r w:rsidR="007B051A">
        <w:rPr>
          <w:rFonts w:ascii="Calibri" w:eastAsia="MS Mincho" w:hAnsi="Calibri" w:cs="Times New Roman"/>
        </w:rPr>
        <w:t>than</w:t>
      </w:r>
      <w:r>
        <w:rPr>
          <w:rFonts w:ascii="Calibri" w:eastAsia="MS Mincho" w:hAnsi="Calibri" w:cs="Times New Roman"/>
        </w:rPr>
        <w:t xml:space="preserve"> 6 months for Dysport prescriptions for m</w:t>
      </w:r>
      <w:r w:rsidRPr="006F6233">
        <w:rPr>
          <w:rFonts w:ascii="Calibri" w:eastAsia="MS Mincho" w:hAnsi="Calibri" w:cs="Times New Roman"/>
        </w:rPr>
        <w:t>oderate to severe spasticity - upper limb</w:t>
      </w:r>
      <w:r>
        <w:rPr>
          <w:rFonts w:ascii="Calibri" w:eastAsia="MS Mincho" w:hAnsi="Calibri" w:cs="Times New Roman"/>
        </w:rPr>
        <w:t>, stroke.</w:t>
      </w:r>
    </w:p>
    <w:p w:rsidR="00A112AC" w:rsidRDefault="00A112AC" w:rsidP="00A112AC">
      <w:pPr>
        <w:rPr>
          <w:rFonts w:ascii="Calibri" w:eastAsia="MS Mincho" w:hAnsi="Calibri" w:cs="Times New Roman"/>
        </w:rPr>
      </w:pPr>
      <w:r>
        <w:rPr>
          <w:rFonts w:ascii="Calibri" w:eastAsia="MS Mincho" w:hAnsi="Calibri" w:cs="Times New Roman"/>
        </w:rPr>
        <w:lastRenderedPageBreak/>
        <w:t xml:space="preserve">It was desirable to count patients from the start of 2017. As the patient level prescription data starts on 1 September 2015, then a look back period of at least 16 months (487 days) was available. This was long enough for more than 99% of prescriptions for the dystonia indications to be resupplied (see Table </w:t>
      </w:r>
      <w:r w:rsidR="00061B03">
        <w:rPr>
          <w:rFonts w:ascii="Calibri" w:eastAsia="MS Mincho" w:hAnsi="Calibri" w:cs="Times New Roman"/>
        </w:rPr>
        <w:t>B</w:t>
      </w:r>
      <w:r>
        <w:rPr>
          <w:rFonts w:ascii="Calibri" w:eastAsia="MS Mincho" w:hAnsi="Calibri" w:cs="Times New Roman"/>
        </w:rPr>
        <w:t>). For the spasticity indications this lookback period was long enough for approximately 95% of prescriptions to be resupplied. Thus the initiation count will be slightly overestimated for these indications because some apparent initiations will actually be re-initiations with a break of more than 16 months.</w:t>
      </w:r>
    </w:p>
    <w:p w:rsidR="00A112AC" w:rsidRDefault="00A112AC" w:rsidP="00A112AC">
      <w:pPr>
        <w:rPr>
          <w:rFonts w:ascii="Calibri" w:eastAsia="MS Mincho" w:hAnsi="Calibri" w:cs="Times New Roman"/>
        </w:rPr>
      </w:pPr>
      <w:r>
        <w:rPr>
          <w:rFonts w:ascii="Calibri" w:eastAsia="MS Mincho" w:hAnsi="Calibri" w:cs="Times New Roman"/>
        </w:rPr>
        <w:t>Given the infrequency of supply, it would not be reasonable to count prevalent patients by quarter as many patients on treatment will not receive a prescription in every quarter. A six month analysis period will give a reasonable estimate of patients on treatment for spasm indications, but not for the spasticity indications which have a median time to re-supply of more than six months. Thus to make a valid comparison of patients numbers across all 4 indications required that the analysis period be 12 months to be reasonably confident of detecting each patient on treatment in the period. There are only two complete 12 month periods (i</w:t>
      </w:r>
      <w:r w:rsidR="00C474E2">
        <w:rPr>
          <w:rFonts w:ascii="Calibri" w:eastAsia="MS Mincho" w:hAnsi="Calibri" w:cs="Times New Roman"/>
        </w:rPr>
        <w:t>.</w:t>
      </w:r>
      <w:r>
        <w:rPr>
          <w:rFonts w:ascii="Calibri" w:eastAsia="MS Mincho" w:hAnsi="Calibri" w:cs="Times New Roman"/>
        </w:rPr>
        <w:t xml:space="preserve">e. 2016 and 2017) for each indication. </w:t>
      </w:r>
    </w:p>
    <w:p w:rsidR="00B62EDA" w:rsidRDefault="00B62EDA">
      <w:pPr>
        <w:spacing w:line="276" w:lineRule="auto"/>
        <w:rPr>
          <w:rFonts w:ascii="Calibri" w:eastAsia="MS Gothic" w:hAnsi="Calibri" w:cs="Times New Roman"/>
          <w:b/>
          <w:bCs/>
          <w:highlight w:val="yellow"/>
        </w:rPr>
      </w:pPr>
    </w:p>
    <w:sectPr w:rsidR="00B62EDA" w:rsidSect="0050191E">
      <w:headerReference w:type="even" r:id="rId46"/>
      <w:headerReference w:type="default" r:id="rId47"/>
      <w:footerReference w:type="even" r:id="rId48"/>
      <w:footerReference w:type="default" r:id="rId49"/>
      <w:headerReference w:type="first" r:id="rId50"/>
      <w:footerReference w:type="first" r:id="rId51"/>
      <w:type w:val="continuous"/>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284" w:rsidRDefault="006D5284" w:rsidP="00821C17">
      <w:pPr>
        <w:spacing w:after="0"/>
      </w:pPr>
      <w:r>
        <w:separator/>
      </w:r>
    </w:p>
  </w:endnote>
  <w:endnote w:type="continuationSeparator" w:id="0">
    <w:p w:rsidR="006D5284" w:rsidRDefault="006D5284" w:rsidP="00821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Times New (W1)">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84" w:rsidRDefault="006D52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30444"/>
      <w:docPartObj>
        <w:docPartGallery w:val="Page Numbers (Bottom of Page)"/>
        <w:docPartUnique/>
      </w:docPartObj>
    </w:sdtPr>
    <w:sdtEndPr/>
    <w:sdtContent>
      <w:sdt>
        <w:sdtPr>
          <w:id w:val="-2070178723"/>
          <w:docPartObj>
            <w:docPartGallery w:val="Page Numbers (Top of Page)"/>
            <w:docPartUnique/>
          </w:docPartObj>
        </w:sdtPr>
        <w:sdtEndPr/>
        <w:sdtContent>
          <w:p w:rsidR="006D5284" w:rsidRPr="000E72C6" w:rsidRDefault="006D5284" w:rsidP="005425A8">
            <w:pPr>
              <w:pStyle w:val="Footer"/>
              <w:jc w:val="center"/>
              <w:rPr>
                <w:i/>
                <w:sz w:val="20"/>
              </w:rPr>
            </w:pPr>
            <w:r>
              <w:rPr>
                <w:i/>
                <w:sz w:val="20"/>
              </w:rPr>
              <w:t>Public Release Document, May 2018 DUSC Meeting</w:t>
            </w:r>
          </w:p>
          <w:p w:rsidR="006D5284" w:rsidRPr="008F51E2" w:rsidRDefault="006D5284" w:rsidP="005425A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5E6A33">
              <w:rPr>
                <w:bCs/>
                <w:i/>
                <w:noProof/>
                <w:sz w:val="20"/>
              </w:rPr>
              <w:t>27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5E6A33">
              <w:rPr>
                <w:bCs/>
                <w:i/>
                <w:noProof/>
                <w:sz w:val="20"/>
              </w:rPr>
              <w:t>42</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84" w:rsidRDefault="006D52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284" w:rsidRDefault="006D5284" w:rsidP="00821C17">
      <w:pPr>
        <w:spacing w:after="0"/>
      </w:pPr>
      <w:r>
        <w:separator/>
      </w:r>
    </w:p>
  </w:footnote>
  <w:footnote w:type="continuationSeparator" w:id="0">
    <w:p w:rsidR="006D5284" w:rsidRDefault="006D5284" w:rsidP="00821C17">
      <w:pPr>
        <w:spacing w:after="0"/>
      </w:pPr>
      <w:r>
        <w:continuationSeparator/>
      </w:r>
    </w:p>
  </w:footnote>
  <w:footnote w:id="1">
    <w:p w:rsidR="006D5284" w:rsidRDefault="006D5284" w:rsidP="00794CFE">
      <w:pPr>
        <w:pStyle w:val="FootnoteText"/>
      </w:pPr>
      <w:r>
        <w:rPr>
          <w:rStyle w:val="FootnoteReference"/>
        </w:rPr>
        <w:footnoteRef/>
      </w:r>
      <w:r>
        <w:t xml:space="preserve"> </w:t>
      </w:r>
      <w:proofErr w:type="spellStart"/>
      <w:proofErr w:type="gramStart"/>
      <w:r>
        <w:t>Scheinberg</w:t>
      </w:r>
      <w:proofErr w:type="spellEnd"/>
      <w:r>
        <w:t xml:space="preserve"> A. Clinical use of botulinum toxin.</w:t>
      </w:r>
      <w:proofErr w:type="gramEnd"/>
      <w:r>
        <w:t xml:space="preserve"> Australian Prescriber 32(2) April 2009.</w:t>
      </w:r>
    </w:p>
  </w:footnote>
  <w:footnote w:id="2">
    <w:p w:rsidR="006D5284" w:rsidRDefault="006D5284" w:rsidP="0023464C">
      <w:pPr>
        <w:pStyle w:val="FootnoteText"/>
      </w:pPr>
      <w:r>
        <w:rPr>
          <w:rStyle w:val="FootnoteReference"/>
        </w:rPr>
        <w:footnoteRef/>
      </w:r>
      <w:r>
        <w:t xml:space="preserve"> </w:t>
      </w:r>
      <w:proofErr w:type="gramStart"/>
      <w:r w:rsidRPr="001B42CA">
        <w:t>Botox Australian Approved Product Information.</w:t>
      </w:r>
      <w:proofErr w:type="gramEnd"/>
      <w:r w:rsidRPr="001B42CA">
        <w:t xml:space="preserve"> Allergan Australia Pty Ltd. Date of most recent amendment: </w:t>
      </w:r>
      <w:r>
        <w:t xml:space="preserve">8 February </w:t>
      </w:r>
      <w:r w:rsidRPr="001B42CA">
        <w:t xml:space="preserve">2018. </w:t>
      </w:r>
      <w:proofErr w:type="gramStart"/>
      <w:r w:rsidRPr="001B42CA">
        <w:t>Available from &lt;https://www.ebs.tga.gov.au/&gt;.</w:t>
      </w:r>
      <w:proofErr w:type="gramEnd"/>
      <w:r w:rsidRPr="001B42CA">
        <w:t xml:space="preserve"> Accessed </w:t>
      </w:r>
      <w:r>
        <w:t>April</w:t>
      </w:r>
      <w:r w:rsidRPr="001B42CA">
        <w:t xml:space="preserve"> 201</w:t>
      </w:r>
      <w:r>
        <w:t>8</w:t>
      </w:r>
    </w:p>
  </w:footnote>
  <w:footnote w:id="3">
    <w:p w:rsidR="006D5284" w:rsidRDefault="006D5284" w:rsidP="0023464C">
      <w:pPr>
        <w:pStyle w:val="FootnoteText"/>
      </w:pPr>
      <w:r>
        <w:rPr>
          <w:rStyle w:val="FootnoteReference"/>
        </w:rPr>
        <w:footnoteRef/>
      </w:r>
      <w:r>
        <w:t xml:space="preserve"> </w:t>
      </w:r>
      <w:proofErr w:type="gramStart"/>
      <w:r>
        <w:t>Dysport</w:t>
      </w:r>
      <w:r w:rsidRPr="001B42CA">
        <w:t xml:space="preserve"> Australian Approved Product Information.</w:t>
      </w:r>
      <w:proofErr w:type="gramEnd"/>
      <w:r w:rsidRPr="001B42CA">
        <w:t xml:space="preserve"> </w:t>
      </w:r>
      <w:proofErr w:type="spellStart"/>
      <w:r w:rsidRPr="00DA0642">
        <w:t>Ipsen</w:t>
      </w:r>
      <w:proofErr w:type="spellEnd"/>
      <w:r w:rsidRPr="00DA0642">
        <w:t xml:space="preserve"> Pty Ltd</w:t>
      </w:r>
      <w:r>
        <w:t>.</w:t>
      </w:r>
      <w:r w:rsidRPr="001B42CA">
        <w:t xml:space="preserve"> Date of most recent amendment: </w:t>
      </w:r>
      <w:r>
        <w:t>13 March 2018</w:t>
      </w:r>
      <w:r w:rsidRPr="001B42CA">
        <w:t xml:space="preserve">. </w:t>
      </w:r>
      <w:proofErr w:type="gramStart"/>
      <w:r w:rsidRPr="001B42CA">
        <w:t>Available from &lt;https://www.ebs.tga.gov.au/&gt;.</w:t>
      </w:r>
      <w:proofErr w:type="gramEnd"/>
      <w:r w:rsidRPr="001B42CA">
        <w:t xml:space="preserve"> Accessed </w:t>
      </w:r>
      <w:r>
        <w:t>April</w:t>
      </w:r>
      <w:r w:rsidRPr="001B42CA">
        <w:t xml:space="preserve"> 201</w:t>
      </w:r>
      <w:r>
        <w:t>8</w:t>
      </w:r>
    </w:p>
  </w:footnote>
  <w:footnote w:id="4">
    <w:p w:rsidR="006D5284" w:rsidRDefault="006D5284" w:rsidP="0023464C">
      <w:pPr>
        <w:pStyle w:val="FootnoteText"/>
      </w:pPr>
      <w:r>
        <w:rPr>
          <w:rStyle w:val="FootnoteReference"/>
        </w:rPr>
        <w:footnoteRef/>
      </w:r>
      <w:r>
        <w:t xml:space="preserve"> </w:t>
      </w:r>
      <w:proofErr w:type="gramStart"/>
      <w:r>
        <w:t>Xeomin</w:t>
      </w:r>
      <w:r w:rsidRPr="001B42CA">
        <w:t xml:space="preserve"> Australian Approved Product Information.</w:t>
      </w:r>
      <w:proofErr w:type="gramEnd"/>
      <w:r w:rsidRPr="001B42CA">
        <w:t xml:space="preserve"> </w:t>
      </w:r>
      <w:proofErr w:type="spellStart"/>
      <w:r w:rsidRPr="00DA0642">
        <w:t>Merz</w:t>
      </w:r>
      <w:proofErr w:type="spellEnd"/>
      <w:r w:rsidRPr="00DA0642">
        <w:t xml:space="preserve"> Australia Pty Ltd</w:t>
      </w:r>
      <w:r>
        <w:t>.</w:t>
      </w:r>
      <w:r w:rsidRPr="001B42CA">
        <w:t xml:space="preserve"> Date of most recent amendment: </w:t>
      </w:r>
      <w:r>
        <w:t>15 March 2018</w:t>
      </w:r>
      <w:r w:rsidRPr="001B42CA">
        <w:t xml:space="preserve">. </w:t>
      </w:r>
      <w:proofErr w:type="gramStart"/>
      <w:r w:rsidRPr="001B42CA">
        <w:t>Available from &lt;https://www.ebs.tga.gov.au/&gt;.</w:t>
      </w:r>
      <w:proofErr w:type="gramEnd"/>
      <w:r w:rsidRPr="001B42CA">
        <w:t xml:space="preserve"> Accessed </w:t>
      </w:r>
      <w:r>
        <w:t>April</w:t>
      </w:r>
      <w:r w:rsidRPr="001B42CA">
        <w:t xml:space="preserve"> 201</w:t>
      </w:r>
      <w:r>
        <w:t>8</w:t>
      </w:r>
    </w:p>
  </w:footnote>
  <w:footnote w:id="5">
    <w:p w:rsidR="006D5284" w:rsidRDefault="006D5284">
      <w:pPr>
        <w:pStyle w:val="FootnoteText"/>
      </w:pPr>
      <w:r>
        <w:rPr>
          <w:rStyle w:val="FootnoteReference"/>
        </w:rPr>
        <w:footnoteRef/>
      </w:r>
      <w:r>
        <w:t xml:space="preserve"> T11 – Botulinum Toxin injections, </w:t>
      </w:r>
      <w:hyperlink r:id="rId1" w:history="1">
        <w:r w:rsidRPr="00956D1B">
          <w:rPr>
            <w:rStyle w:val="Hyperlink"/>
          </w:rPr>
          <w:t>http://www9.health.gov.au/mbs/search.cfm?cat1=32&amp;cat2=267&amp;cat3=&amp;adv=</w:t>
        </w:r>
      </w:hyperlink>
    </w:p>
  </w:footnote>
  <w:footnote w:id="6">
    <w:p w:rsidR="006D5284" w:rsidRDefault="006D5284">
      <w:pPr>
        <w:pStyle w:val="FootnoteText"/>
      </w:pPr>
      <w:r>
        <w:rPr>
          <w:rStyle w:val="FootnoteReference"/>
        </w:rPr>
        <w:footnoteRef/>
      </w:r>
      <w:r>
        <w:t xml:space="preserve"> </w:t>
      </w:r>
      <w:r w:rsidRPr="00E67737">
        <w:t>http://www.pbs.gov.au/general/changes-to-certain-s100-programs/botulinum-toxin-program-frequently-asked-questions.pdf</w:t>
      </w:r>
    </w:p>
  </w:footnote>
  <w:footnote w:id="7">
    <w:p w:rsidR="006D5284" w:rsidRDefault="006D5284" w:rsidP="00502978">
      <w:pPr>
        <w:pStyle w:val="FootnoteText"/>
      </w:pPr>
      <w:r>
        <w:rPr>
          <w:rStyle w:val="FootnoteReference"/>
        </w:rPr>
        <w:footnoteRef/>
      </w:r>
      <w:r w:rsidRPr="00FB06F3">
        <w:t>http://www.mbsonline.gov.au/internet/mbsonline/publishing.nsf/Content/B55546F33798EF39CA257CD00081F202/$File/2003-05-MBS.pdf</w:t>
      </w:r>
    </w:p>
  </w:footnote>
  <w:footnote w:id="8">
    <w:p w:rsidR="006D5284" w:rsidRDefault="006D5284">
      <w:pPr>
        <w:pStyle w:val="FootnoteText"/>
      </w:pPr>
      <w:r>
        <w:rPr>
          <w:rStyle w:val="FootnoteReference"/>
        </w:rPr>
        <w:footnoteRef/>
      </w:r>
      <w:r>
        <w:t xml:space="preserve"> </w:t>
      </w:r>
      <w:hyperlink r:id="rId2" w:history="1">
        <w:r w:rsidRPr="003818D4">
          <w:rPr>
            <w:rStyle w:val="Hyperlink"/>
          </w:rPr>
          <w:t>https://www.cpregister.com/pubs/pdf/ACPR-Report_Web_2016.pdf</w:t>
        </w:r>
      </w:hyperlink>
    </w:p>
  </w:footnote>
  <w:footnote w:id="9">
    <w:p w:rsidR="006D5284" w:rsidRDefault="006D5284">
      <w:pPr>
        <w:pStyle w:val="FootnoteText"/>
      </w:pPr>
      <w:r>
        <w:rPr>
          <w:rStyle w:val="FootnoteReference"/>
        </w:rPr>
        <w:footnoteRef/>
      </w:r>
      <w:r>
        <w:t xml:space="preserve"> </w:t>
      </w:r>
      <w:hyperlink r:id="rId3" w:history="1">
        <w:r w:rsidRPr="003818D4">
          <w:rPr>
            <w:rStyle w:val="Hyperlink"/>
          </w:rPr>
          <w:t>https://www.aihw.gov.au/getmedia/c420f6f1-0464-4f43-b55a-62f995a0f8f3/ah16-3-6-stroke.pdf.aspx</w:t>
        </w:r>
      </w:hyperlink>
    </w:p>
  </w:footnote>
  <w:footnote w:id="10">
    <w:p w:rsidR="006D5284" w:rsidRPr="00246AEA" w:rsidRDefault="006D5284" w:rsidP="00246AEA">
      <w:pPr>
        <w:pStyle w:val="FootnoteText"/>
        <w:rPr>
          <w:lang w:val="en"/>
        </w:rPr>
      </w:pPr>
      <w:r>
        <w:rPr>
          <w:rStyle w:val="FootnoteReference"/>
        </w:rPr>
        <w:footnoteRef/>
      </w:r>
      <w:r>
        <w:t xml:space="preserve"> </w:t>
      </w:r>
      <w:proofErr w:type="spellStart"/>
      <w:r>
        <w:t>Valls</w:t>
      </w:r>
      <w:proofErr w:type="spellEnd"/>
      <w:r>
        <w:t xml:space="preserve">-Sole J, and </w:t>
      </w:r>
      <w:proofErr w:type="spellStart"/>
      <w:r>
        <w:t>Defazio</w:t>
      </w:r>
      <w:proofErr w:type="spellEnd"/>
      <w:r>
        <w:t xml:space="preserve"> G. </w:t>
      </w:r>
      <w:r w:rsidRPr="00246AEA">
        <w:rPr>
          <w:bCs/>
          <w:lang w:val="en"/>
        </w:rPr>
        <w:t>Blepharospasm: Update on Epidemiology, Clinical Aspects, and Pathophysiology</w:t>
      </w:r>
      <w:r w:rsidRPr="00246AEA">
        <w:rPr>
          <w:lang w:val="en"/>
        </w:rPr>
        <w:t xml:space="preserve"> </w:t>
      </w:r>
      <w:hyperlink r:id="rId4" w:history="1">
        <w:r w:rsidRPr="00246AEA">
          <w:rPr>
            <w:rStyle w:val="Hyperlink"/>
            <w:lang w:val="en"/>
          </w:rPr>
          <w:t>Front Neurol</w:t>
        </w:r>
      </w:hyperlink>
      <w:r w:rsidRPr="00246AEA">
        <w:rPr>
          <w:lang w:val="en"/>
        </w:rPr>
        <w:t xml:space="preserve">. </w:t>
      </w:r>
      <w:proofErr w:type="gramStart"/>
      <w:r w:rsidRPr="00246AEA">
        <w:rPr>
          <w:lang w:val="en"/>
        </w:rPr>
        <w:t>2016; 7: 45.</w:t>
      </w:r>
      <w:proofErr w:type="gramEnd"/>
      <w:r w:rsidRPr="00246AEA">
        <w:rPr>
          <w:lang w:val="en"/>
        </w:rPr>
        <w:t xml:space="preserve"> </w:t>
      </w:r>
    </w:p>
    <w:p w:rsidR="006D5284" w:rsidRDefault="006D5284">
      <w:pPr>
        <w:pStyle w:val="FootnoteText"/>
      </w:pPr>
    </w:p>
  </w:footnote>
  <w:footnote w:id="11">
    <w:p w:rsidR="006D5284" w:rsidRDefault="006D5284">
      <w:pPr>
        <w:pStyle w:val="FootnoteText"/>
      </w:pPr>
      <w:r>
        <w:rPr>
          <w:rStyle w:val="FootnoteReference"/>
        </w:rPr>
        <w:footnoteRef/>
      </w:r>
      <w:r>
        <w:t xml:space="preserve"> </w:t>
      </w:r>
      <w:hyperlink r:id="rId5" w:history="1">
        <w:r w:rsidRPr="00F1424E">
          <w:rPr>
            <w:rStyle w:val="Hyperlink"/>
          </w:rPr>
          <w:t>http://www.pbs.gov.au/info/industry/listing/participants/public-release-docs/2017-06/botulinum-toxin-chronic-migraine-june-2017-meeting</w:t>
        </w:r>
      </w:hyperlink>
      <w:bookmarkStart w:id="5" w:name="_GoBack"/>
      <w:bookmarkEnd w:id="5"/>
    </w:p>
  </w:footnote>
  <w:footnote w:id="12">
    <w:p w:rsidR="006D5284" w:rsidRPr="00BB05BB" w:rsidRDefault="006D5284" w:rsidP="00BB05BB">
      <w:pPr>
        <w:pStyle w:val="FootnoteText"/>
        <w:rPr>
          <w:lang w:val="en"/>
        </w:rPr>
      </w:pPr>
      <w:r>
        <w:rPr>
          <w:rStyle w:val="FootnoteReference"/>
        </w:rPr>
        <w:footnoteRef/>
      </w:r>
      <w:r>
        <w:t xml:space="preserve"> </w:t>
      </w:r>
      <w:r w:rsidRPr="00BB05BB">
        <w:rPr>
          <w:lang w:val="en"/>
        </w:rPr>
        <w:t>Botulinum toxin for spasticity: a case for change to the Pharmaceutical Benefits Scheme</w:t>
      </w:r>
      <w:r>
        <w:rPr>
          <w:lang w:val="en"/>
        </w:rPr>
        <w:t xml:space="preserve">, </w:t>
      </w:r>
      <w:proofErr w:type="spellStart"/>
      <w:r w:rsidRPr="00BB05BB">
        <w:rPr>
          <w:lang w:val="en"/>
        </w:rPr>
        <w:t>Anupam</w:t>
      </w:r>
      <w:proofErr w:type="spellEnd"/>
      <w:r w:rsidRPr="00BB05BB">
        <w:rPr>
          <w:lang w:val="en"/>
        </w:rPr>
        <w:t xml:space="preserve"> </w:t>
      </w:r>
      <w:proofErr w:type="spellStart"/>
      <w:r w:rsidRPr="00BB05BB">
        <w:rPr>
          <w:lang w:val="en"/>
        </w:rPr>
        <w:t>Datta</w:t>
      </w:r>
      <w:proofErr w:type="spellEnd"/>
      <w:r w:rsidRPr="00BB05BB">
        <w:rPr>
          <w:lang w:val="en"/>
        </w:rPr>
        <w:t xml:space="preserve"> Gupta and David H Wilson</w:t>
      </w:r>
      <w:r>
        <w:rPr>
          <w:lang w:val="en"/>
        </w:rPr>
        <w:t xml:space="preserve">, </w:t>
      </w:r>
      <w:r w:rsidRPr="00BB05BB">
        <w:rPr>
          <w:lang w:val="en"/>
        </w:rPr>
        <w:t xml:space="preserve">Med J </w:t>
      </w:r>
      <w:proofErr w:type="spellStart"/>
      <w:r w:rsidRPr="00BB05BB">
        <w:rPr>
          <w:lang w:val="en"/>
        </w:rPr>
        <w:t>Aust</w:t>
      </w:r>
      <w:proofErr w:type="spellEnd"/>
      <w:r w:rsidRPr="00BB05BB">
        <w:rPr>
          <w:lang w:val="en"/>
        </w:rPr>
        <w:t xml:space="preserve"> || </w:t>
      </w:r>
      <w:proofErr w:type="spellStart"/>
      <w:r w:rsidRPr="00BB05BB">
        <w:rPr>
          <w:lang w:val="en"/>
        </w:rPr>
        <w:t>doi</w:t>
      </w:r>
      <w:proofErr w:type="spellEnd"/>
      <w:r w:rsidRPr="00BB05BB">
        <w:rPr>
          <w:lang w:val="en"/>
        </w:rPr>
        <w:t>: 10.5694/mja17.00841</w:t>
      </w:r>
      <w:r>
        <w:rPr>
          <w:lang w:val="en"/>
        </w:rPr>
        <w:t xml:space="preserve">, </w:t>
      </w:r>
      <w:r w:rsidRPr="00BB05BB">
        <w:rPr>
          <w:lang w:val="en"/>
        </w:rPr>
        <w:t>Published online: 29 January 2018</w:t>
      </w:r>
    </w:p>
    <w:p w:rsidR="006D5284" w:rsidRDefault="006D528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84" w:rsidRDefault="006D52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84" w:rsidRPr="006E41D3" w:rsidRDefault="006D5284" w:rsidP="006E41D3">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84" w:rsidRDefault="006D52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DD6629"/>
    <w:multiLevelType w:val="hybridMultilevel"/>
    <w:tmpl w:val="8C87F2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D"/>
    <w:multiLevelType w:val="multilevel"/>
    <w:tmpl w:val="0000001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23014D7"/>
    <w:multiLevelType w:val="hybridMultilevel"/>
    <w:tmpl w:val="70B66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780D32"/>
    <w:multiLevelType w:val="hybridMultilevel"/>
    <w:tmpl w:val="86FE1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0122E7"/>
    <w:multiLevelType w:val="hybridMultilevel"/>
    <w:tmpl w:val="65E0A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B2D6090"/>
    <w:multiLevelType w:val="hybridMultilevel"/>
    <w:tmpl w:val="5A248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BD66E0"/>
    <w:multiLevelType w:val="hybridMultilevel"/>
    <w:tmpl w:val="ECEEF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CB36E4"/>
    <w:multiLevelType w:val="hybridMultilevel"/>
    <w:tmpl w:val="E172737C"/>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3EC0B77"/>
    <w:multiLevelType w:val="hybridMultilevel"/>
    <w:tmpl w:val="28BE8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5BC0F5B"/>
    <w:multiLevelType w:val="hybridMultilevel"/>
    <w:tmpl w:val="79AA0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97F6085"/>
    <w:multiLevelType w:val="hybridMultilevel"/>
    <w:tmpl w:val="ECC264EE"/>
    <w:lvl w:ilvl="0" w:tplc="4162A170">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DCB2F29"/>
    <w:multiLevelType w:val="hybridMultilevel"/>
    <w:tmpl w:val="D2DA7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E6C46EA"/>
    <w:multiLevelType w:val="hybridMultilevel"/>
    <w:tmpl w:val="78889CAC"/>
    <w:lvl w:ilvl="0" w:tplc="B84E18F8">
      <w:start w:val="2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0395373"/>
    <w:multiLevelType w:val="hybridMultilevel"/>
    <w:tmpl w:val="69F8C0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23570B53"/>
    <w:multiLevelType w:val="hybridMultilevel"/>
    <w:tmpl w:val="6024A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ACF1053"/>
    <w:multiLevelType w:val="hybridMultilevel"/>
    <w:tmpl w:val="081E9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AE263DC"/>
    <w:multiLevelType w:val="hybridMultilevel"/>
    <w:tmpl w:val="79ECF02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2B9352ED"/>
    <w:multiLevelType w:val="hybridMultilevel"/>
    <w:tmpl w:val="33165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2FF169F8"/>
    <w:multiLevelType w:val="hybridMultilevel"/>
    <w:tmpl w:val="27A2E9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23B479C"/>
    <w:multiLevelType w:val="singleLevel"/>
    <w:tmpl w:val="CE226AFA"/>
    <w:lvl w:ilvl="0">
      <w:start w:val="1"/>
      <w:numFmt w:val="decimal"/>
      <w:lvlText w:val="%1."/>
      <w:lvlJc w:val="left"/>
      <w:pPr>
        <w:ind w:left="720" w:hanging="360"/>
      </w:pPr>
      <w:rPr>
        <w:rFonts w:ascii="Arial" w:hAnsi="Arial" w:cs="Arial" w:hint="default"/>
        <w:b w:val="0"/>
      </w:rPr>
    </w:lvl>
  </w:abstractNum>
  <w:abstractNum w:abstractNumId="20">
    <w:nsid w:val="349D1A7C"/>
    <w:multiLevelType w:val="multilevel"/>
    <w:tmpl w:val="C6ECD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nsid w:val="39523EE7"/>
    <w:multiLevelType w:val="hybridMultilevel"/>
    <w:tmpl w:val="B28AF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6032BE6"/>
    <w:multiLevelType w:val="hybridMultilevel"/>
    <w:tmpl w:val="BDF4F5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6724CF5"/>
    <w:multiLevelType w:val="hybridMultilevel"/>
    <w:tmpl w:val="284EC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9992B7B"/>
    <w:multiLevelType w:val="hybridMultilevel"/>
    <w:tmpl w:val="A61630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F715A61"/>
    <w:multiLevelType w:val="hybridMultilevel"/>
    <w:tmpl w:val="1BA02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7640F1"/>
    <w:multiLevelType w:val="hybridMultilevel"/>
    <w:tmpl w:val="DEB43644"/>
    <w:lvl w:ilvl="0" w:tplc="A91C0ADC">
      <w:start w:val="4"/>
      <w:numFmt w:val="bullet"/>
      <w:lvlText w:val="-"/>
      <w:lvlJc w:val="left"/>
      <w:pPr>
        <w:ind w:left="720" w:hanging="360"/>
      </w:pPr>
      <w:rPr>
        <w:rFonts w:ascii="Calibri" w:eastAsia="MS Mincho"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C1840C5"/>
    <w:multiLevelType w:val="hybridMultilevel"/>
    <w:tmpl w:val="F7BA2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D640B3C"/>
    <w:multiLevelType w:val="hybridMultilevel"/>
    <w:tmpl w:val="620E2C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FC835A8"/>
    <w:multiLevelType w:val="multilevel"/>
    <w:tmpl w:val="590C9EB4"/>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440" w:hanging="720"/>
      </w:pPr>
      <w:rPr>
        <w:rFonts w:ascii="Calibri" w:eastAsia="MS Mincho" w:hAnsi="Calibri" w:cs="Times New Roman"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nsid w:val="60A973CB"/>
    <w:multiLevelType w:val="hybridMultilevel"/>
    <w:tmpl w:val="9F4466BC"/>
    <w:lvl w:ilvl="0" w:tplc="4810EDC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0D62AC2"/>
    <w:multiLevelType w:val="hybridMultilevel"/>
    <w:tmpl w:val="FBC68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11A659B"/>
    <w:multiLevelType w:val="hybridMultilevel"/>
    <w:tmpl w:val="5A9A2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F6535DB"/>
    <w:multiLevelType w:val="hybridMultilevel"/>
    <w:tmpl w:val="9410D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3DA3D59"/>
    <w:multiLevelType w:val="hybridMultilevel"/>
    <w:tmpl w:val="5B067F5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5">
    <w:nsid w:val="784D033C"/>
    <w:multiLevelType w:val="multilevel"/>
    <w:tmpl w:val="6C2C34D8"/>
    <w:lvl w:ilvl="0">
      <w:start w:val="1"/>
      <w:numFmt w:val="decimal"/>
      <w:lvlText w:val="%1"/>
      <w:lvlJc w:val="left"/>
      <w:pPr>
        <w:ind w:left="720" w:hanging="720"/>
      </w:pPr>
      <w:rPr>
        <w:b/>
      </w:rPr>
    </w:lvl>
    <w:lvl w:ilvl="1">
      <w:start w:val="1"/>
      <w:numFmt w:val="decimal"/>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nsid w:val="7C0D4696"/>
    <w:multiLevelType w:val="hybridMultilevel"/>
    <w:tmpl w:val="95264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6"/>
  </w:num>
  <w:num w:numId="2">
    <w:abstractNumId w:val="24"/>
  </w:num>
  <w:num w:numId="3">
    <w:abstractNumId w:val="10"/>
  </w:num>
  <w:num w:numId="4">
    <w:abstractNumId w:val="12"/>
  </w:num>
  <w:num w:numId="5">
    <w:abstractNumId w:val="8"/>
  </w:num>
  <w:num w:numId="6">
    <w:abstractNumId w:val="9"/>
  </w:num>
  <w:num w:numId="7">
    <w:abstractNumId w:val="6"/>
  </w:num>
  <w:num w:numId="8">
    <w:abstractNumId w:val="21"/>
  </w:num>
  <w:num w:numId="9">
    <w:abstractNumId w:val="3"/>
  </w:num>
  <w:num w:numId="10">
    <w:abstractNumId w:val="29"/>
  </w:num>
  <w:num w:numId="11">
    <w:abstractNumId w:val="20"/>
  </w:num>
  <w:num w:numId="12">
    <w:abstractNumId w:val="13"/>
  </w:num>
  <w:num w:numId="13">
    <w:abstractNumId w:val="33"/>
  </w:num>
  <w:num w:numId="14">
    <w:abstractNumId w:val="19"/>
    <w:lvlOverride w:ilvl="0">
      <w:startOverride w:val="1"/>
    </w:lvlOverride>
  </w:num>
  <w:num w:numId="15">
    <w:abstractNumId w:val="25"/>
  </w:num>
  <w:num w:numId="16">
    <w:abstractNumId w:val="27"/>
  </w:num>
  <w:num w:numId="17">
    <w:abstractNumId w:val="16"/>
  </w:num>
  <w:num w:numId="18">
    <w:abstractNumId w:val="14"/>
  </w:num>
  <w:num w:numId="19">
    <w:abstractNumId w:val="11"/>
  </w:num>
  <w:num w:numId="20">
    <w:abstractNumId w:val="23"/>
  </w:num>
  <w:num w:numId="21">
    <w:abstractNumId w:val="32"/>
  </w:num>
  <w:num w:numId="22">
    <w:abstractNumId w:val="4"/>
  </w:num>
  <w:num w:numId="23">
    <w:abstractNumId w:val="2"/>
  </w:num>
  <w:num w:numId="24">
    <w:abstractNumId w:val="22"/>
  </w:num>
  <w:num w:numId="25">
    <w:abstractNumId w:val="15"/>
  </w:num>
  <w:num w:numId="26">
    <w:abstractNumId w:val="26"/>
  </w:num>
  <w:num w:numId="27">
    <w:abstractNumId w:val="30"/>
  </w:num>
  <w:num w:numId="28">
    <w:abstractNumId w:val="0"/>
  </w:num>
  <w:num w:numId="29">
    <w:abstractNumId w:val="18"/>
  </w:num>
  <w:num w:numId="30">
    <w:abstractNumId w:val="5"/>
  </w:num>
  <w:num w:numId="31">
    <w:abstractNumId w:val="31"/>
  </w:num>
  <w:num w:numId="32">
    <w:abstractNumId w:val="34"/>
  </w:num>
  <w:num w:numId="33">
    <w:abstractNumId w:val="28"/>
  </w:num>
  <w:num w:numId="34">
    <w:abstractNumId w:val="1"/>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7"/>
  <w:removePersonalInformation/>
  <w:removeDateAndTime/>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00AC9"/>
    <w:rsid w:val="00001194"/>
    <w:rsid w:val="00001F68"/>
    <w:rsid w:val="00002271"/>
    <w:rsid w:val="00002365"/>
    <w:rsid w:val="00002F40"/>
    <w:rsid w:val="00003D5E"/>
    <w:rsid w:val="000059E6"/>
    <w:rsid w:val="00006E62"/>
    <w:rsid w:val="000107C2"/>
    <w:rsid w:val="00011DD5"/>
    <w:rsid w:val="000126E8"/>
    <w:rsid w:val="00013305"/>
    <w:rsid w:val="00013A0D"/>
    <w:rsid w:val="00013F2F"/>
    <w:rsid w:val="00014A6F"/>
    <w:rsid w:val="00017258"/>
    <w:rsid w:val="00017BD4"/>
    <w:rsid w:val="00021055"/>
    <w:rsid w:val="00021AE6"/>
    <w:rsid w:val="0002290F"/>
    <w:rsid w:val="000229C4"/>
    <w:rsid w:val="00022B82"/>
    <w:rsid w:val="00022D1F"/>
    <w:rsid w:val="000236A3"/>
    <w:rsid w:val="00023B5A"/>
    <w:rsid w:val="000240F2"/>
    <w:rsid w:val="000254BD"/>
    <w:rsid w:val="000257D6"/>
    <w:rsid w:val="00025DC2"/>
    <w:rsid w:val="000268C4"/>
    <w:rsid w:val="00030218"/>
    <w:rsid w:val="00030992"/>
    <w:rsid w:val="0003155F"/>
    <w:rsid w:val="00033741"/>
    <w:rsid w:val="0003660C"/>
    <w:rsid w:val="000366B0"/>
    <w:rsid w:val="000369ED"/>
    <w:rsid w:val="00040616"/>
    <w:rsid w:val="0004079C"/>
    <w:rsid w:val="00040BF4"/>
    <w:rsid w:val="00042FDB"/>
    <w:rsid w:val="00043404"/>
    <w:rsid w:val="00044543"/>
    <w:rsid w:val="00044A34"/>
    <w:rsid w:val="00044BE1"/>
    <w:rsid w:val="00046C49"/>
    <w:rsid w:val="000508D0"/>
    <w:rsid w:val="000528EB"/>
    <w:rsid w:val="00052F09"/>
    <w:rsid w:val="00053324"/>
    <w:rsid w:val="00054982"/>
    <w:rsid w:val="0005599E"/>
    <w:rsid w:val="00055A80"/>
    <w:rsid w:val="00056766"/>
    <w:rsid w:val="00057067"/>
    <w:rsid w:val="000571FF"/>
    <w:rsid w:val="00057D23"/>
    <w:rsid w:val="000602E3"/>
    <w:rsid w:val="00061910"/>
    <w:rsid w:val="00061B03"/>
    <w:rsid w:val="0006344B"/>
    <w:rsid w:val="000644E0"/>
    <w:rsid w:val="000659CA"/>
    <w:rsid w:val="000666EB"/>
    <w:rsid w:val="00067C9A"/>
    <w:rsid w:val="0007096E"/>
    <w:rsid w:val="00071959"/>
    <w:rsid w:val="00071BDC"/>
    <w:rsid w:val="00072182"/>
    <w:rsid w:val="00073402"/>
    <w:rsid w:val="0007377C"/>
    <w:rsid w:val="0007429A"/>
    <w:rsid w:val="000753C1"/>
    <w:rsid w:val="00076733"/>
    <w:rsid w:val="00076BF9"/>
    <w:rsid w:val="00076DD1"/>
    <w:rsid w:val="00077060"/>
    <w:rsid w:val="00080CE6"/>
    <w:rsid w:val="00080EC2"/>
    <w:rsid w:val="00080FA3"/>
    <w:rsid w:val="0008539D"/>
    <w:rsid w:val="000866A2"/>
    <w:rsid w:val="00086A68"/>
    <w:rsid w:val="000915F5"/>
    <w:rsid w:val="000918F1"/>
    <w:rsid w:val="00091AAB"/>
    <w:rsid w:val="00093666"/>
    <w:rsid w:val="00093CCF"/>
    <w:rsid w:val="00093D30"/>
    <w:rsid w:val="00093EAB"/>
    <w:rsid w:val="00094040"/>
    <w:rsid w:val="000958D1"/>
    <w:rsid w:val="00096187"/>
    <w:rsid w:val="0009696B"/>
    <w:rsid w:val="00096BCB"/>
    <w:rsid w:val="000977B0"/>
    <w:rsid w:val="000A169B"/>
    <w:rsid w:val="000A28EC"/>
    <w:rsid w:val="000A2FDC"/>
    <w:rsid w:val="000A46B8"/>
    <w:rsid w:val="000A4771"/>
    <w:rsid w:val="000A58E3"/>
    <w:rsid w:val="000A5BFC"/>
    <w:rsid w:val="000A6233"/>
    <w:rsid w:val="000A7DD3"/>
    <w:rsid w:val="000A7FE9"/>
    <w:rsid w:val="000B06FB"/>
    <w:rsid w:val="000B092E"/>
    <w:rsid w:val="000B1241"/>
    <w:rsid w:val="000B1924"/>
    <w:rsid w:val="000B1D59"/>
    <w:rsid w:val="000B1DB7"/>
    <w:rsid w:val="000B2019"/>
    <w:rsid w:val="000B26A7"/>
    <w:rsid w:val="000B296A"/>
    <w:rsid w:val="000B2C2D"/>
    <w:rsid w:val="000B3EF0"/>
    <w:rsid w:val="000B491E"/>
    <w:rsid w:val="000B50B7"/>
    <w:rsid w:val="000B524D"/>
    <w:rsid w:val="000B5573"/>
    <w:rsid w:val="000B5D26"/>
    <w:rsid w:val="000B5F5B"/>
    <w:rsid w:val="000B6DE1"/>
    <w:rsid w:val="000B6EC8"/>
    <w:rsid w:val="000B6FE0"/>
    <w:rsid w:val="000C1F68"/>
    <w:rsid w:val="000C228B"/>
    <w:rsid w:val="000C255A"/>
    <w:rsid w:val="000C42AE"/>
    <w:rsid w:val="000C440E"/>
    <w:rsid w:val="000C47E2"/>
    <w:rsid w:val="000C59E9"/>
    <w:rsid w:val="000C6197"/>
    <w:rsid w:val="000C6FC0"/>
    <w:rsid w:val="000D0C36"/>
    <w:rsid w:val="000D1F2F"/>
    <w:rsid w:val="000D281C"/>
    <w:rsid w:val="000D436B"/>
    <w:rsid w:val="000D45F0"/>
    <w:rsid w:val="000D460F"/>
    <w:rsid w:val="000D5F6D"/>
    <w:rsid w:val="000D64FC"/>
    <w:rsid w:val="000D69F4"/>
    <w:rsid w:val="000D77CD"/>
    <w:rsid w:val="000E013C"/>
    <w:rsid w:val="000E0A13"/>
    <w:rsid w:val="000E29D4"/>
    <w:rsid w:val="000E4136"/>
    <w:rsid w:val="000E4BE5"/>
    <w:rsid w:val="000E4CB3"/>
    <w:rsid w:val="000E5629"/>
    <w:rsid w:val="000E5817"/>
    <w:rsid w:val="000E586E"/>
    <w:rsid w:val="000E6E65"/>
    <w:rsid w:val="000E77FF"/>
    <w:rsid w:val="000E7C76"/>
    <w:rsid w:val="000F055C"/>
    <w:rsid w:val="000F1077"/>
    <w:rsid w:val="000F3024"/>
    <w:rsid w:val="000F42D8"/>
    <w:rsid w:val="000F433A"/>
    <w:rsid w:val="000F5A5F"/>
    <w:rsid w:val="000F7FEC"/>
    <w:rsid w:val="0010072C"/>
    <w:rsid w:val="0010262E"/>
    <w:rsid w:val="00103D62"/>
    <w:rsid w:val="0010414D"/>
    <w:rsid w:val="00104605"/>
    <w:rsid w:val="0010679D"/>
    <w:rsid w:val="0010708F"/>
    <w:rsid w:val="00110C0A"/>
    <w:rsid w:val="00110D88"/>
    <w:rsid w:val="0011175C"/>
    <w:rsid w:val="00113F09"/>
    <w:rsid w:val="001156DF"/>
    <w:rsid w:val="00117420"/>
    <w:rsid w:val="00117B97"/>
    <w:rsid w:val="00120736"/>
    <w:rsid w:val="001224C6"/>
    <w:rsid w:val="001225E0"/>
    <w:rsid w:val="00122980"/>
    <w:rsid w:val="0012302D"/>
    <w:rsid w:val="001232F7"/>
    <w:rsid w:val="001249C1"/>
    <w:rsid w:val="0012529D"/>
    <w:rsid w:val="001253F8"/>
    <w:rsid w:val="00125BF6"/>
    <w:rsid w:val="001268EB"/>
    <w:rsid w:val="00126D93"/>
    <w:rsid w:val="00126F0F"/>
    <w:rsid w:val="00127BCF"/>
    <w:rsid w:val="00130852"/>
    <w:rsid w:val="00130D87"/>
    <w:rsid w:val="00131B8F"/>
    <w:rsid w:val="00131E0B"/>
    <w:rsid w:val="00132AE8"/>
    <w:rsid w:val="0013354F"/>
    <w:rsid w:val="0013377C"/>
    <w:rsid w:val="00134BF3"/>
    <w:rsid w:val="00135483"/>
    <w:rsid w:val="001376F2"/>
    <w:rsid w:val="0014077C"/>
    <w:rsid w:val="00141CEB"/>
    <w:rsid w:val="0014253B"/>
    <w:rsid w:val="0014268A"/>
    <w:rsid w:val="00143BF4"/>
    <w:rsid w:val="0014435E"/>
    <w:rsid w:val="001456FD"/>
    <w:rsid w:val="00147072"/>
    <w:rsid w:val="001501C8"/>
    <w:rsid w:val="0015051C"/>
    <w:rsid w:val="00150E61"/>
    <w:rsid w:val="001517BB"/>
    <w:rsid w:val="0015308D"/>
    <w:rsid w:val="00153215"/>
    <w:rsid w:val="001543AF"/>
    <w:rsid w:val="00154F8B"/>
    <w:rsid w:val="00156057"/>
    <w:rsid w:val="00157208"/>
    <w:rsid w:val="0015798B"/>
    <w:rsid w:val="00157B97"/>
    <w:rsid w:val="001619C0"/>
    <w:rsid w:val="00162E1D"/>
    <w:rsid w:val="001634C1"/>
    <w:rsid w:val="0016456E"/>
    <w:rsid w:val="0016506F"/>
    <w:rsid w:val="0016685D"/>
    <w:rsid w:val="00167211"/>
    <w:rsid w:val="00170A34"/>
    <w:rsid w:val="00170D28"/>
    <w:rsid w:val="0017132D"/>
    <w:rsid w:val="0017148E"/>
    <w:rsid w:val="0017207D"/>
    <w:rsid w:val="00172569"/>
    <w:rsid w:val="00172654"/>
    <w:rsid w:val="00172A53"/>
    <w:rsid w:val="0017354A"/>
    <w:rsid w:val="001749CD"/>
    <w:rsid w:val="00175F9C"/>
    <w:rsid w:val="001763E0"/>
    <w:rsid w:val="00177C34"/>
    <w:rsid w:val="0018064E"/>
    <w:rsid w:val="001812CA"/>
    <w:rsid w:val="00183ABD"/>
    <w:rsid w:val="00183FBB"/>
    <w:rsid w:val="001866F2"/>
    <w:rsid w:val="00186758"/>
    <w:rsid w:val="001871CE"/>
    <w:rsid w:val="0018772B"/>
    <w:rsid w:val="001900DA"/>
    <w:rsid w:val="00190BFF"/>
    <w:rsid w:val="00192C0B"/>
    <w:rsid w:val="00193010"/>
    <w:rsid w:val="001931BE"/>
    <w:rsid w:val="00193719"/>
    <w:rsid w:val="00194844"/>
    <w:rsid w:val="00195354"/>
    <w:rsid w:val="00195A00"/>
    <w:rsid w:val="001975C4"/>
    <w:rsid w:val="001A1141"/>
    <w:rsid w:val="001A1493"/>
    <w:rsid w:val="001A175C"/>
    <w:rsid w:val="001A45CE"/>
    <w:rsid w:val="001A52EE"/>
    <w:rsid w:val="001A53CF"/>
    <w:rsid w:val="001A6B2F"/>
    <w:rsid w:val="001B06E5"/>
    <w:rsid w:val="001B08B5"/>
    <w:rsid w:val="001B0BA8"/>
    <w:rsid w:val="001B0CFA"/>
    <w:rsid w:val="001B0E82"/>
    <w:rsid w:val="001B1156"/>
    <w:rsid w:val="001B1D99"/>
    <w:rsid w:val="001B2202"/>
    <w:rsid w:val="001B2A2E"/>
    <w:rsid w:val="001B2AF1"/>
    <w:rsid w:val="001B348B"/>
    <w:rsid w:val="001B35DD"/>
    <w:rsid w:val="001B3B31"/>
    <w:rsid w:val="001B3D42"/>
    <w:rsid w:val="001B42CA"/>
    <w:rsid w:val="001B6108"/>
    <w:rsid w:val="001B62E5"/>
    <w:rsid w:val="001C124E"/>
    <w:rsid w:val="001C242F"/>
    <w:rsid w:val="001C27B7"/>
    <w:rsid w:val="001C27E0"/>
    <w:rsid w:val="001C412F"/>
    <w:rsid w:val="001C428A"/>
    <w:rsid w:val="001C434C"/>
    <w:rsid w:val="001C5C6B"/>
    <w:rsid w:val="001C6725"/>
    <w:rsid w:val="001D0C6F"/>
    <w:rsid w:val="001D0EA9"/>
    <w:rsid w:val="001D10C9"/>
    <w:rsid w:val="001D2F46"/>
    <w:rsid w:val="001D2FC8"/>
    <w:rsid w:val="001D320C"/>
    <w:rsid w:val="001D3239"/>
    <w:rsid w:val="001D3DC7"/>
    <w:rsid w:val="001D49D6"/>
    <w:rsid w:val="001D4A77"/>
    <w:rsid w:val="001D4F62"/>
    <w:rsid w:val="001D5183"/>
    <w:rsid w:val="001D5DC3"/>
    <w:rsid w:val="001D69C7"/>
    <w:rsid w:val="001D6BF7"/>
    <w:rsid w:val="001D7236"/>
    <w:rsid w:val="001D75D4"/>
    <w:rsid w:val="001E1100"/>
    <w:rsid w:val="001E1400"/>
    <w:rsid w:val="001E2346"/>
    <w:rsid w:val="001E267B"/>
    <w:rsid w:val="001E2C27"/>
    <w:rsid w:val="001E3E09"/>
    <w:rsid w:val="001E4637"/>
    <w:rsid w:val="001E5648"/>
    <w:rsid w:val="001E680F"/>
    <w:rsid w:val="001E6CE1"/>
    <w:rsid w:val="001E765F"/>
    <w:rsid w:val="001E77C6"/>
    <w:rsid w:val="001F02CB"/>
    <w:rsid w:val="001F06F4"/>
    <w:rsid w:val="001F0D94"/>
    <w:rsid w:val="001F13DF"/>
    <w:rsid w:val="001F1A37"/>
    <w:rsid w:val="001F26CE"/>
    <w:rsid w:val="001F2ED2"/>
    <w:rsid w:val="001F2FFC"/>
    <w:rsid w:val="001F30D5"/>
    <w:rsid w:val="001F3229"/>
    <w:rsid w:val="001F4774"/>
    <w:rsid w:val="001F4EC9"/>
    <w:rsid w:val="001F6584"/>
    <w:rsid w:val="001F762A"/>
    <w:rsid w:val="001F7FD5"/>
    <w:rsid w:val="00200147"/>
    <w:rsid w:val="002004E7"/>
    <w:rsid w:val="0020339F"/>
    <w:rsid w:val="00203EA1"/>
    <w:rsid w:val="002047EE"/>
    <w:rsid w:val="00204C1D"/>
    <w:rsid w:val="002059CA"/>
    <w:rsid w:val="002060B5"/>
    <w:rsid w:val="00207E95"/>
    <w:rsid w:val="00210797"/>
    <w:rsid w:val="002116CD"/>
    <w:rsid w:val="00211A06"/>
    <w:rsid w:val="0021294F"/>
    <w:rsid w:val="00213581"/>
    <w:rsid w:val="00214079"/>
    <w:rsid w:val="00214337"/>
    <w:rsid w:val="00214F5F"/>
    <w:rsid w:val="00215BCD"/>
    <w:rsid w:val="00216C75"/>
    <w:rsid w:val="00217A63"/>
    <w:rsid w:val="00220921"/>
    <w:rsid w:val="00221449"/>
    <w:rsid w:val="00223085"/>
    <w:rsid w:val="0022309A"/>
    <w:rsid w:val="00223640"/>
    <w:rsid w:val="00225FB8"/>
    <w:rsid w:val="0022672C"/>
    <w:rsid w:val="00226A6E"/>
    <w:rsid w:val="002306EA"/>
    <w:rsid w:val="002310AD"/>
    <w:rsid w:val="00231530"/>
    <w:rsid w:val="00231775"/>
    <w:rsid w:val="00231AA6"/>
    <w:rsid w:val="00231B4B"/>
    <w:rsid w:val="00231D5F"/>
    <w:rsid w:val="00232CC4"/>
    <w:rsid w:val="0023388D"/>
    <w:rsid w:val="002338EE"/>
    <w:rsid w:val="0023464C"/>
    <w:rsid w:val="00234F4B"/>
    <w:rsid w:val="002355CB"/>
    <w:rsid w:val="00235D4B"/>
    <w:rsid w:val="002365DB"/>
    <w:rsid w:val="00236AB2"/>
    <w:rsid w:val="00237B5A"/>
    <w:rsid w:val="0024043E"/>
    <w:rsid w:val="002407F2"/>
    <w:rsid w:val="002408C7"/>
    <w:rsid w:val="002414D4"/>
    <w:rsid w:val="002427F0"/>
    <w:rsid w:val="00242EAC"/>
    <w:rsid w:val="002431A5"/>
    <w:rsid w:val="00243290"/>
    <w:rsid w:val="00243F59"/>
    <w:rsid w:val="00244915"/>
    <w:rsid w:val="00246AEA"/>
    <w:rsid w:val="00247173"/>
    <w:rsid w:val="00250631"/>
    <w:rsid w:val="00251D3B"/>
    <w:rsid w:val="00251E77"/>
    <w:rsid w:val="0025261C"/>
    <w:rsid w:val="00253C2C"/>
    <w:rsid w:val="0025527F"/>
    <w:rsid w:val="0025606F"/>
    <w:rsid w:val="00256FE4"/>
    <w:rsid w:val="002621CA"/>
    <w:rsid w:val="00262CEE"/>
    <w:rsid w:val="002641C5"/>
    <w:rsid w:val="00264BF1"/>
    <w:rsid w:val="00264C57"/>
    <w:rsid w:val="00265538"/>
    <w:rsid w:val="0026586A"/>
    <w:rsid w:val="00266485"/>
    <w:rsid w:val="002665F9"/>
    <w:rsid w:val="002667C2"/>
    <w:rsid w:val="00266A53"/>
    <w:rsid w:val="002679C3"/>
    <w:rsid w:val="0027079D"/>
    <w:rsid w:val="00271D8C"/>
    <w:rsid w:val="00272684"/>
    <w:rsid w:val="002729E4"/>
    <w:rsid w:val="00273BDA"/>
    <w:rsid w:val="00273C5D"/>
    <w:rsid w:val="002746AF"/>
    <w:rsid w:val="00274CCF"/>
    <w:rsid w:val="0027532F"/>
    <w:rsid w:val="002759C1"/>
    <w:rsid w:val="002769B2"/>
    <w:rsid w:val="00276B3D"/>
    <w:rsid w:val="00277AAA"/>
    <w:rsid w:val="002810C5"/>
    <w:rsid w:val="0028142C"/>
    <w:rsid w:val="00281D6D"/>
    <w:rsid w:val="00281E38"/>
    <w:rsid w:val="002822F7"/>
    <w:rsid w:val="00284834"/>
    <w:rsid w:val="00285D3C"/>
    <w:rsid w:val="00286878"/>
    <w:rsid w:val="00286E26"/>
    <w:rsid w:val="00287DCA"/>
    <w:rsid w:val="00287E14"/>
    <w:rsid w:val="00291FB0"/>
    <w:rsid w:val="002925AE"/>
    <w:rsid w:val="00292E01"/>
    <w:rsid w:val="00293312"/>
    <w:rsid w:val="00293838"/>
    <w:rsid w:val="002941F6"/>
    <w:rsid w:val="002949FC"/>
    <w:rsid w:val="002954C9"/>
    <w:rsid w:val="002954E6"/>
    <w:rsid w:val="00296F36"/>
    <w:rsid w:val="002A065C"/>
    <w:rsid w:val="002A139A"/>
    <w:rsid w:val="002A2343"/>
    <w:rsid w:val="002A3A19"/>
    <w:rsid w:val="002A3A6B"/>
    <w:rsid w:val="002A4100"/>
    <w:rsid w:val="002A4AA7"/>
    <w:rsid w:val="002A57D4"/>
    <w:rsid w:val="002A730D"/>
    <w:rsid w:val="002A7ACE"/>
    <w:rsid w:val="002B0D6E"/>
    <w:rsid w:val="002B25F9"/>
    <w:rsid w:val="002B27E3"/>
    <w:rsid w:val="002B2C83"/>
    <w:rsid w:val="002B2DFF"/>
    <w:rsid w:val="002B3676"/>
    <w:rsid w:val="002B3838"/>
    <w:rsid w:val="002B3968"/>
    <w:rsid w:val="002B4A93"/>
    <w:rsid w:val="002B4CB9"/>
    <w:rsid w:val="002B543E"/>
    <w:rsid w:val="002B554D"/>
    <w:rsid w:val="002B61C2"/>
    <w:rsid w:val="002B64DE"/>
    <w:rsid w:val="002B65E3"/>
    <w:rsid w:val="002B6B25"/>
    <w:rsid w:val="002B733E"/>
    <w:rsid w:val="002B7741"/>
    <w:rsid w:val="002C0C5F"/>
    <w:rsid w:val="002C12F2"/>
    <w:rsid w:val="002C12FC"/>
    <w:rsid w:val="002C1F2E"/>
    <w:rsid w:val="002C2D4E"/>
    <w:rsid w:val="002C3D0F"/>
    <w:rsid w:val="002C470E"/>
    <w:rsid w:val="002C67DD"/>
    <w:rsid w:val="002C70DC"/>
    <w:rsid w:val="002C7DE1"/>
    <w:rsid w:val="002D1137"/>
    <w:rsid w:val="002D3369"/>
    <w:rsid w:val="002D3BAC"/>
    <w:rsid w:val="002D3FE5"/>
    <w:rsid w:val="002D46DD"/>
    <w:rsid w:val="002D6DF4"/>
    <w:rsid w:val="002D6F33"/>
    <w:rsid w:val="002E02FE"/>
    <w:rsid w:val="002E0A88"/>
    <w:rsid w:val="002E0B0A"/>
    <w:rsid w:val="002E1B28"/>
    <w:rsid w:val="002E2039"/>
    <w:rsid w:val="002E2B3B"/>
    <w:rsid w:val="002E3CB1"/>
    <w:rsid w:val="002E40A6"/>
    <w:rsid w:val="002E51C2"/>
    <w:rsid w:val="002E5A21"/>
    <w:rsid w:val="002E5B02"/>
    <w:rsid w:val="002E6B9F"/>
    <w:rsid w:val="002E79E5"/>
    <w:rsid w:val="002E7B30"/>
    <w:rsid w:val="002E7C7E"/>
    <w:rsid w:val="002E7EEA"/>
    <w:rsid w:val="002F10DF"/>
    <w:rsid w:val="002F2365"/>
    <w:rsid w:val="002F2A24"/>
    <w:rsid w:val="002F3C10"/>
    <w:rsid w:val="002F5097"/>
    <w:rsid w:val="002F572B"/>
    <w:rsid w:val="002F5F31"/>
    <w:rsid w:val="002F6570"/>
    <w:rsid w:val="002F6A96"/>
    <w:rsid w:val="002F6BBC"/>
    <w:rsid w:val="002F7112"/>
    <w:rsid w:val="002F7F8C"/>
    <w:rsid w:val="003003F2"/>
    <w:rsid w:val="00300A3C"/>
    <w:rsid w:val="0030131B"/>
    <w:rsid w:val="0030261A"/>
    <w:rsid w:val="00305433"/>
    <w:rsid w:val="00305F84"/>
    <w:rsid w:val="003063EE"/>
    <w:rsid w:val="00307012"/>
    <w:rsid w:val="00307C16"/>
    <w:rsid w:val="0031000A"/>
    <w:rsid w:val="00311C9B"/>
    <w:rsid w:val="0031344F"/>
    <w:rsid w:val="0031419C"/>
    <w:rsid w:val="00314ACF"/>
    <w:rsid w:val="00314F6A"/>
    <w:rsid w:val="00315246"/>
    <w:rsid w:val="003166F2"/>
    <w:rsid w:val="0031719F"/>
    <w:rsid w:val="003178D1"/>
    <w:rsid w:val="00320280"/>
    <w:rsid w:val="0032061C"/>
    <w:rsid w:val="00321767"/>
    <w:rsid w:val="00321A19"/>
    <w:rsid w:val="00321A86"/>
    <w:rsid w:val="0032245A"/>
    <w:rsid w:val="003238E4"/>
    <w:rsid w:val="00323C0E"/>
    <w:rsid w:val="00326A6A"/>
    <w:rsid w:val="00327A9D"/>
    <w:rsid w:val="003303F7"/>
    <w:rsid w:val="003306B3"/>
    <w:rsid w:val="0033076B"/>
    <w:rsid w:val="00330A8F"/>
    <w:rsid w:val="00330B08"/>
    <w:rsid w:val="00331772"/>
    <w:rsid w:val="0033255E"/>
    <w:rsid w:val="00332D6B"/>
    <w:rsid w:val="00333010"/>
    <w:rsid w:val="003338D3"/>
    <w:rsid w:val="00334F91"/>
    <w:rsid w:val="00335018"/>
    <w:rsid w:val="00335FA5"/>
    <w:rsid w:val="003375DA"/>
    <w:rsid w:val="00341478"/>
    <w:rsid w:val="00341CB1"/>
    <w:rsid w:val="00342650"/>
    <w:rsid w:val="00343228"/>
    <w:rsid w:val="003434F0"/>
    <w:rsid w:val="00343EDD"/>
    <w:rsid w:val="00344849"/>
    <w:rsid w:val="003449FE"/>
    <w:rsid w:val="00345597"/>
    <w:rsid w:val="00345CBD"/>
    <w:rsid w:val="003471BB"/>
    <w:rsid w:val="00350208"/>
    <w:rsid w:val="003507AA"/>
    <w:rsid w:val="00350DA0"/>
    <w:rsid w:val="0035137F"/>
    <w:rsid w:val="003516D9"/>
    <w:rsid w:val="00351D5C"/>
    <w:rsid w:val="00352582"/>
    <w:rsid w:val="003527B1"/>
    <w:rsid w:val="00352AE9"/>
    <w:rsid w:val="003547A7"/>
    <w:rsid w:val="00354EC7"/>
    <w:rsid w:val="00355CF3"/>
    <w:rsid w:val="00356A8D"/>
    <w:rsid w:val="00356D4E"/>
    <w:rsid w:val="003572BF"/>
    <w:rsid w:val="00357467"/>
    <w:rsid w:val="00361732"/>
    <w:rsid w:val="00361C95"/>
    <w:rsid w:val="0036211E"/>
    <w:rsid w:val="0036350E"/>
    <w:rsid w:val="00363C68"/>
    <w:rsid w:val="00364881"/>
    <w:rsid w:val="00365A50"/>
    <w:rsid w:val="003667CC"/>
    <w:rsid w:val="003675AC"/>
    <w:rsid w:val="00367808"/>
    <w:rsid w:val="00370894"/>
    <w:rsid w:val="00370898"/>
    <w:rsid w:val="00371155"/>
    <w:rsid w:val="00371F7D"/>
    <w:rsid w:val="003731D5"/>
    <w:rsid w:val="00374A32"/>
    <w:rsid w:val="0037787C"/>
    <w:rsid w:val="003808E8"/>
    <w:rsid w:val="00381815"/>
    <w:rsid w:val="0038255B"/>
    <w:rsid w:val="00383B78"/>
    <w:rsid w:val="00383C8F"/>
    <w:rsid w:val="00384494"/>
    <w:rsid w:val="00384D14"/>
    <w:rsid w:val="00385B31"/>
    <w:rsid w:val="00386A5C"/>
    <w:rsid w:val="00386D98"/>
    <w:rsid w:val="00386E8D"/>
    <w:rsid w:val="003872FC"/>
    <w:rsid w:val="00392B28"/>
    <w:rsid w:val="00392C3C"/>
    <w:rsid w:val="00393FBD"/>
    <w:rsid w:val="00394393"/>
    <w:rsid w:val="0039452D"/>
    <w:rsid w:val="00395367"/>
    <w:rsid w:val="003953B1"/>
    <w:rsid w:val="00396157"/>
    <w:rsid w:val="00396951"/>
    <w:rsid w:val="00397077"/>
    <w:rsid w:val="003A1680"/>
    <w:rsid w:val="003A367D"/>
    <w:rsid w:val="003A3933"/>
    <w:rsid w:val="003A49D9"/>
    <w:rsid w:val="003A60B7"/>
    <w:rsid w:val="003A7309"/>
    <w:rsid w:val="003A7FA3"/>
    <w:rsid w:val="003B1826"/>
    <w:rsid w:val="003B198A"/>
    <w:rsid w:val="003B34EB"/>
    <w:rsid w:val="003B4A0E"/>
    <w:rsid w:val="003B4FD3"/>
    <w:rsid w:val="003B5833"/>
    <w:rsid w:val="003B62EC"/>
    <w:rsid w:val="003B6388"/>
    <w:rsid w:val="003B6EC5"/>
    <w:rsid w:val="003B6F7B"/>
    <w:rsid w:val="003B7BFC"/>
    <w:rsid w:val="003C089A"/>
    <w:rsid w:val="003C09B1"/>
    <w:rsid w:val="003C3B1D"/>
    <w:rsid w:val="003C4609"/>
    <w:rsid w:val="003C4915"/>
    <w:rsid w:val="003C5A04"/>
    <w:rsid w:val="003C6770"/>
    <w:rsid w:val="003C6B95"/>
    <w:rsid w:val="003C6EE6"/>
    <w:rsid w:val="003C7187"/>
    <w:rsid w:val="003C738B"/>
    <w:rsid w:val="003D0E82"/>
    <w:rsid w:val="003D13DE"/>
    <w:rsid w:val="003D3138"/>
    <w:rsid w:val="003D4D3F"/>
    <w:rsid w:val="003D5491"/>
    <w:rsid w:val="003D6E4D"/>
    <w:rsid w:val="003D755B"/>
    <w:rsid w:val="003D7AE0"/>
    <w:rsid w:val="003D7FB9"/>
    <w:rsid w:val="003E0437"/>
    <w:rsid w:val="003E2351"/>
    <w:rsid w:val="003E2B6A"/>
    <w:rsid w:val="003E2D98"/>
    <w:rsid w:val="003E3B52"/>
    <w:rsid w:val="003E468C"/>
    <w:rsid w:val="003E4757"/>
    <w:rsid w:val="003E63B5"/>
    <w:rsid w:val="003E69ED"/>
    <w:rsid w:val="003E6EF7"/>
    <w:rsid w:val="003E6F55"/>
    <w:rsid w:val="003E79D8"/>
    <w:rsid w:val="003E7A3A"/>
    <w:rsid w:val="003F0C3F"/>
    <w:rsid w:val="003F153D"/>
    <w:rsid w:val="003F2279"/>
    <w:rsid w:val="003F2A16"/>
    <w:rsid w:val="003F3918"/>
    <w:rsid w:val="003F432B"/>
    <w:rsid w:val="003F43D6"/>
    <w:rsid w:val="003F5163"/>
    <w:rsid w:val="003F5323"/>
    <w:rsid w:val="003F613C"/>
    <w:rsid w:val="003F67F5"/>
    <w:rsid w:val="003F6EA1"/>
    <w:rsid w:val="003F75C5"/>
    <w:rsid w:val="00400931"/>
    <w:rsid w:val="00400D8F"/>
    <w:rsid w:val="00400FF0"/>
    <w:rsid w:val="004017A6"/>
    <w:rsid w:val="00401BEE"/>
    <w:rsid w:val="00402DE6"/>
    <w:rsid w:val="004034C1"/>
    <w:rsid w:val="00403C94"/>
    <w:rsid w:val="00404358"/>
    <w:rsid w:val="00404E4F"/>
    <w:rsid w:val="00406900"/>
    <w:rsid w:val="0040702A"/>
    <w:rsid w:val="00410D00"/>
    <w:rsid w:val="0041184B"/>
    <w:rsid w:val="004120A6"/>
    <w:rsid w:val="004125DC"/>
    <w:rsid w:val="00412A7D"/>
    <w:rsid w:val="00413152"/>
    <w:rsid w:val="0041402C"/>
    <w:rsid w:val="00414BDE"/>
    <w:rsid w:val="004153D9"/>
    <w:rsid w:val="00415682"/>
    <w:rsid w:val="00417966"/>
    <w:rsid w:val="00417CB5"/>
    <w:rsid w:val="00417F01"/>
    <w:rsid w:val="00420D7E"/>
    <w:rsid w:val="00421155"/>
    <w:rsid w:val="00421AB0"/>
    <w:rsid w:val="00422E25"/>
    <w:rsid w:val="00423561"/>
    <w:rsid w:val="0042432F"/>
    <w:rsid w:val="0042504D"/>
    <w:rsid w:val="0042576E"/>
    <w:rsid w:val="004260A4"/>
    <w:rsid w:val="004267A1"/>
    <w:rsid w:val="00426ECF"/>
    <w:rsid w:val="00427375"/>
    <w:rsid w:val="00430738"/>
    <w:rsid w:val="00431704"/>
    <w:rsid w:val="00431C78"/>
    <w:rsid w:val="004326C2"/>
    <w:rsid w:val="0043278A"/>
    <w:rsid w:val="00432AAD"/>
    <w:rsid w:val="00434910"/>
    <w:rsid w:val="00435430"/>
    <w:rsid w:val="00435851"/>
    <w:rsid w:val="004367A3"/>
    <w:rsid w:val="00436BFF"/>
    <w:rsid w:val="00436FDC"/>
    <w:rsid w:val="00437BD0"/>
    <w:rsid w:val="00440DED"/>
    <w:rsid w:val="00441630"/>
    <w:rsid w:val="00441FB5"/>
    <w:rsid w:val="00442312"/>
    <w:rsid w:val="0044250E"/>
    <w:rsid w:val="00443028"/>
    <w:rsid w:val="004433D9"/>
    <w:rsid w:val="00443C3F"/>
    <w:rsid w:val="00444722"/>
    <w:rsid w:val="00445234"/>
    <w:rsid w:val="00445785"/>
    <w:rsid w:val="004461D6"/>
    <w:rsid w:val="0044652F"/>
    <w:rsid w:val="00452271"/>
    <w:rsid w:val="00453EBE"/>
    <w:rsid w:val="00453EC5"/>
    <w:rsid w:val="00454BAA"/>
    <w:rsid w:val="00456ABC"/>
    <w:rsid w:val="00456C3B"/>
    <w:rsid w:val="00456D54"/>
    <w:rsid w:val="00457484"/>
    <w:rsid w:val="004601ED"/>
    <w:rsid w:val="0046087F"/>
    <w:rsid w:val="00461276"/>
    <w:rsid w:val="00461994"/>
    <w:rsid w:val="00463665"/>
    <w:rsid w:val="00463681"/>
    <w:rsid w:val="00463762"/>
    <w:rsid w:val="00464313"/>
    <w:rsid w:val="0046456F"/>
    <w:rsid w:val="00464613"/>
    <w:rsid w:val="0046554D"/>
    <w:rsid w:val="00465CC3"/>
    <w:rsid w:val="00466A17"/>
    <w:rsid w:val="00466C70"/>
    <w:rsid w:val="00466DA8"/>
    <w:rsid w:val="004704A2"/>
    <w:rsid w:val="004704F2"/>
    <w:rsid w:val="00472C63"/>
    <w:rsid w:val="0047344E"/>
    <w:rsid w:val="00473E2B"/>
    <w:rsid w:val="00474820"/>
    <w:rsid w:val="0047510D"/>
    <w:rsid w:val="004755A9"/>
    <w:rsid w:val="00480EB3"/>
    <w:rsid w:val="00481011"/>
    <w:rsid w:val="00481405"/>
    <w:rsid w:val="004818C7"/>
    <w:rsid w:val="00481CEC"/>
    <w:rsid w:val="00482199"/>
    <w:rsid w:val="00482B92"/>
    <w:rsid w:val="00483BD9"/>
    <w:rsid w:val="00483C8E"/>
    <w:rsid w:val="00485BDF"/>
    <w:rsid w:val="00485C75"/>
    <w:rsid w:val="004865E7"/>
    <w:rsid w:val="004866BC"/>
    <w:rsid w:val="00486728"/>
    <w:rsid w:val="00487026"/>
    <w:rsid w:val="0048737E"/>
    <w:rsid w:val="00490AAE"/>
    <w:rsid w:val="00491A4D"/>
    <w:rsid w:val="00491B33"/>
    <w:rsid w:val="004939F6"/>
    <w:rsid w:val="00493B74"/>
    <w:rsid w:val="00495079"/>
    <w:rsid w:val="00495A99"/>
    <w:rsid w:val="00495ED4"/>
    <w:rsid w:val="004963C2"/>
    <w:rsid w:val="004A195E"/>
    <w:rsid w:val="004A2CD9"/>
    <w:rsid w:val="004A34B4"/>
    <w:rsid w:val="004A4DD8"/>
    <w:rsid w:val="004A7474"/>
    <w:rsid w:val="004A7565"/>
    <w:rsid w:val="004A7DC8"/>
    <w:rsid w:val="004A7F9F"/>
    <w:rsid w:val="004B012D"/>
    <w:rsid w:val="004B0631"/>
    <w:rsid w:val="004B0B7F"/>
    <w:rsid w:val="004B0D12"/>
    <w:rsid w:val="004B0EAC"/>
    <w:rsid w:val="004B1077"/>
    <w:rsid w:val="004B1721"/>
    <w:rsid w:val="004B17DB"/>
    <w:rsid w:val="004B26FA"/>
    <w:rsid w:val="004B340E"/>
    <w:rsid w:val="004B49E7"/>
    <w:rsid w:val="004B4E26"/>
    <w:rsid w:val="004B5FF2"/>
    <w:rsid w:val="004B63B3"/>
    <w:rsid w:val="004B6EF7"/>
    <w:rsid w:val="004B7223"/>
    <w:rsid w:val="004B76CC"/>
    <w:rsid w:val="004C0108"/>
    <w:rsid w:val="004C03AC"/>
    <w:rsid w:val="004C2CD5"/>
    <w:rsid w:val="004C3B77"/>
    <w:rsid w:val="004C49EB"/>
    <w:rsid w:val="004C5545"/>
    <w:rsid w:val="004C5C70"/>
    <w:rsid w:val="004C6001"/>
    <w:rsid w:val="004C7512"/>
    <w:rsid w:val="004C7FF7"/>
    <w:rsid w:val="004D2154"/>
    <w:rsid w:val="004D282D"/>
    <w:rsid w:val="004D2BBB"/>
    <w:rsid w:val="004D2FC6"/>
    <w:rsid w:val="004D49D8"/>
    <w:rsid w:val="004D5272"/>
    <w:rsid w:val="004D5750"/>
    <w:rsid w:val="004D57E1"/>
    <w:rsid w:val="004D5952"/>
    <w:rsid w:val="004D6413"/>
    <w:rsid w:val="004D6C8B"/>
    <w:rsid w:val="004D6EE5"/>
    <w:rsid w:val="004D73AB"/>
    <w:rsid w:val="004D74AB"/>
    <w:rsid w:val="004D7D4C"/>
    <w:rsid w:val="004E00F7"/>
    <w:rsid w:val="004E0486"/>
    <w:rsid w:val="004E0872"/>
    <w:rsid w:val="004E0AEB"/>
    <w:rsid w:val="004E1859"/>
    <w:rsid w:val="004E2857"/>
    <w:rsid w:val="004E384A"/>
    <w:rsid w:val="004E45B5"/>
    <w:rsid w:val="004E69D8"/>
    <w:rsid w:val="004E70D1"/>
    <w:rsid w:val="004E7435"/>
    <w:rsid w:val="004F0438"/>
    <w:rsid w:val="004F2718"/>
    <w:rsid w:val="004F327F"/>
    <w:rsid w:val="004F4502"/>
    <w:rsid w:val="004F4C42"/>
    <w:rsid w:val="004F5215"/>
    <w:rsid w:val="004F5C27"/>
    <w:rsid w:val="004F5E0B"/>
    <w:rsid w:val="004F5F3C"/>
    <w:rsid w:val="004F7772"/>
    <w:rsid w:val="004F7C7D"/>
    <w:rsid w:val="005012F6"/>
    <w:rsid w:val="00501502"/>
    <w:rsid w:val="0050191E"/>
    <w:rsid w:val="00502978"/>
    <w:rsid w:val="00503EC2"/>
    <w:rsid w:val="00505304"/>
    <w:rsid w:val="00507641"/>
    <w:rsid w:val="00507E88"/>
    <w:rsid w:val="00511089"/>
    <w:rsid w:val="005117EA"/>
    <w:rsid w:val="00511BE5"/>
    <w:rsid w:val="00511E87"/>
    <w:rsid w:val="00513EC7"/>
    <w:rsid w:val="00514722"/>
    <w:rsid w:val="00515018"/>
    <w:rsid w:val="0051534B"/>
    <w:rsid w:val="00515A84"/>
    <w:rsid w:val="00515D7C"/>
    <w:rsid w:val="00515E92"/>
    <w:rsid w:val="00515F3C"/>
    <w:rsid w:val="005168C5"/>
    <w:rsid w:val="0051784D"/>
    <w:rsid w:val="00517BE1"/>
    <w:rsid w:val="00517FCA"/>
    <w:rsid w:val="005200FD"/>
    <w:rsid w:val="005224FC"/>
    <w:rsid w:val="005227C9"/>
    <w:rsid w:val="00522E22"/>
    <w:rsid w:val="00522E56"/>
    <w:rsid w:val="00523764"/>
    <w:rsid w:val="00523DFE"/>
    <w:rsid w:val="00525746"/>
    <w:rsid w:val="00525FF4"/>
    <w:rsid w:val="00526AE4"/>
    <w:rsid w:val="005275EA"/>
    <w:rsid w:val="00527CCA"/>
    <w:rsid w:val="005303E3"/>
    <w:rsid w:val="00530457"/>
    <w:rsid w:val="005319D3"/>
    <w:rsid w:val="00532D87"/>
    <w:rsid w:val="0053379C"/>
    <w:rsid w:val="005338C8"/>
    <w:rsid w:val="00533A54"/>
    <w:rsid w:val="00533BDE"/>
    <w:rsid w:val="00533E10"/>
    <w:rsid w:val="00533E70"/>
    <w:rsid w:val="0053430C"/>
    <w:rsid w:val="005346FA"/>
    <w:rsid w:val="00534D43"/>
    <w:rsid w:val="00535354"/>
    <w:rsid w:val="0053545D"/>
    <w:rsid w:val="0053587C"/>
    <w:rsid w:val="005362AB"/>
    <w:rsid w:val="005362DB"/>
    <w:rsid w:val="005362E7"/>
    <w:rsid w:val="00536EA4"/>
    <w:rsid w:val="00537BDB"/>
    <w:rsid w:val="005402C5"/>
    <w:rsid w:val="00540BD1"/>
    <w:rsid w:val="00540D5D"/>
    <w:rsid w:val="0054123A"/>
    <w:rsid w:val="00541C47"/>
    <w:rsid w:val="00541E0A"/>
    <w:rsid w:val="00541E6B"/>
    <w:rsid w:val="005425A8"/>
    <w:rsid w:val="0054277E"/>
    <w:rsid w:val="00544E8C"/>
    <w:rsid w:val="00545B45"/>
    <w:rsid w:val="005468B4"/>
    <w:rsid w:val="00550DB4"/>
    <w:rsid w:val="00551543"/>
    <w:rsid w:val="0055354C"/>
    <w:rsid w:val="005545A1"/>
    <w:rsid w:val="00554656"/>
    <w:rsid w:val="00554E45"/>
    <w:rsid w:val="00555AD7"/>
    <w:rsid w:val="00555BF7"/>
    <w:rsid w:val="0055652A"/>
    <w:rsid w:val="00556653"/>
    <w:rsid w:val="00556A53"/>
    <w:rsid w:val="00560152"/>
    <w:rsid w:val="00560366"/>
    <w:rsid w:val="00560734"/>
    <w:rsid w:val="00560CE5"/>
    <w:rsid w:val="0056164F"/>
    <w:rsid w:val="00561E26"/>
    <w:rsid w:val="00562527"/>
    <w:rsid w:val="005632EF"/>
    <w:rsid w:val="00564685"/>
    <w:rsid w:val="00565C06"/>
    <w:rsid w:val="005670A1"/>
    <w:rsid w:val="005670C5"/>
    <w:rsid w:val="00567FDD"/>
    <w:rsid w:val="00571154"/>
    <w:rsid w:val="00571621"/>
    <w:rsid w:val="0057247B"/>
    <w:rsid w:val="00572ACA"/>
    <w:rsid w:val="00574FCA"/>
    <w:rsid w:val="00575AC8"/>
    <w:rsid w:val="005768E6"/>
    <w:rsid w:val="00576C13"/>
    <w:rsid w:val="005770A5"/>
    <w:rsid w:val="00577E17"/>
    <w:rsid w:val="00577EAA"/>
    <w:rsid w:val="00580CFD"/>
    <w:rsid w:val="00580EAB"/>
    <w:rsid w:val="00581225"/>
    <w:rsid w:val="0058150A"/>
    <w:rsid w:val="005817EC"/>
    <w:rsid w:val="00583E02"/>
    <w:rsid w:val="00583F26"/>
    <w:rsid w:val="00583FE4"/>
    <w:rsid w:val="00584EDD"/>
    <w:rsid w:val="005860BB"/>
    <w:rsid w:val="00586133"/>
    <w:rsid w:val="00586497"/>
    <w:rsid w:val="0058712E"/>
    <w:rsid w:val="00587173"/>
    <w:rsid w:val="005879D4"/>
    <w:rsid w:val="005927BA"/>
    <w:rsid w:val="00593241"/>
    <w:rsid w:val="005950AC"/>
    <w:rsid w:val="00595210"/>
    <w:rsid w:val="00595804"/>
    <w:rsid w:val="005A1B5E"/>
    <w:rsid w:val="005A1C32"/>
    <w:rsid w:val="005A1FCC"/>
    <w:rsid w:val="005A262B"/>
    <w:rsid w:val="005A2880"/>
    <w:rsid w:val="005A328D"/>
    <w:rsid w:val="005A3C05"/>
    <w:rsid w:val="005A4681"/>
    <w:rsid w:val="005A62D5"/>
    <w:rsid w:val="005A6B74"/>
    <w:rsid w:val="005A7073"/>
    <w:rsid w:val="005A7522"/>
    <w:rsid w:val="005A77F3"/>
    <w:rsid w:val="005B1875"/>
    <w:rsid w:val="005B1D7A"/>
    <w:rsid w:val="005B215B"/>
    <w:rsid w:val="005B28EC"/>
    <w:rsid w:val="005B297A"/>
    <w:rsid w:val="005B3596"/>
    <w:rsid w:val="005B3F0A"/>
    <w:rsid w:val="005B4595"/>
    <w:rsid w:val="005B4648"/>
    <w:rsid w:val="005B4ABE"/>
    <w:rsid w:val="005B5508"/>
    <w:rsid w:val="005B66F5"/>
    <w:rsid w:val="005B6C1F"/>
    <w:rsid w:val="005B71FB"/>
    <w:rsid w:val="005B784A"/>
    <w:rsid w:val="005C1883"/>
    <w:rsid w:val="005C4E4B"/>
    <w:rsid w:val="005C5D07"/>
    <w:rsid w:val="005C62A1"/>
    <w:rsid w:val="005C650D"/>
    <w:rsid w:val="005D0030"/>
    <w:rsid w:val="005D31BE"/>
    <w:rsid w:val="005D35FC"/>
    <w:rsid w:val="005D3FC6"/>
    <w:rsid w:val="005D469A"/>
    <w:rsid w:val="005D4F15"/>
    <w:rsid w:val="005D4FF0"/>
    <w:rsid w:val="005D5342"/>
    <w:rsid w:val="005D5E11"/>
    <w:rsid w:val="005D615A"/>
    <w:rsid w:val="005D6745"/>
    <w:rsid w:val="005D6879"/>
    <w:rsid w:val="005D6A03"/>
    <w:rsid w:val="005D6F30"/>
    <w:rsid w:val="005D6F7B"/>
    <w:rsid w:val="005D706F"/>
    <w:rsid w:val="005D787D"/>
    <w:rsid w:val="005E0C8F"/>
    <w:rsid w:val="005E1C1E"/>
    <w:rsid w:val="005E1FAB"/>
    <w:rsid w:val="005E1FE1"/>
    <w:rsid w:val="005E2DA8"/>
    <w:rsid w:val="005E3963"/>
    <w:rsid w:val="005E45A5"/>
    <w:rsid w:val="005E4AD6"/>
    <w:rsid w:val="005E4D5F"/>
    <w:rsid w:val="005E4D6C"/>
    <w:rsid w:val="005E5383"/>
    <w:rsid w:val="005E5391"/>
    <w:rsid w:val="005E5729"/>
    <w:rsid w:val="005E5925"/>
    <w:rsid w:val="005E6885"/>
    <w:rsid w:val="005E6A33"/>
    <w:rsid w:val="005E6E46"/>
    <w:rsid w:val="005E7BF0"/>
    <w:rsid w:val="005F0290"/>
    <w:rsid w:val="005F121A"/>
    <w:rsid w:val="005F1857"/>
    <w:rsid w:val="005F241F"/>
    <w:rsid w:val="005F28F8"/>
    <w:rsid w:val="005F2F68"/>
    <w:rsid w:val="005F52E0"/>
    <w:rsid w:val="005F579F"/>
    <w:rsid w:val="005F5F83"/>
    <w:rsid w:val="005F6364"/>
    <w:rsid w:val="005F77FC"/>
    <w:rsid w:val="00600AE6"/>
    <w:rsid w:val="006019B9"/>
    <w:rsid w:val="00602B1A"/>
    <w:rsid w:val="00602C63"/>
    <w:rsid w:val="00603CEB"/>
    <w:rsid w:val="00603E91"/>
    <w:rsid w:val="006054EF"/>
    <w:rsid w:val="0060638A"/>
    <w:rsid w:val="00607C30"/>
    <w:rsid w:val="0061032F"/>
    <w:rsid w:val="006113C0"/>
    <w:rsid w:val="00611BF5"/>
    <w:rsid w:val="006122B7"/>
    <w:rsid w:val="00612392"/>
    <w:rsid w:val="006123E8"/>
    <w:rsid w:val="006128DF"/>
    <w:rsid w:val="00613153"/>
    <w:rsid w:val="006140B3"/>
    <w:rsid w:val="00614BCF"/>
    <w:rsid w:val="00616856"/>
    <w:rsid w:val="0061695E"/>
    <w:rsid w:val="00617AF6"/>
    <w:rsid w:val="0062168C"/>
    <w:rsid w:val="0062208C"/>
    <w:rsid w:val="00622D6C"/>
    <w:rsid w:val="00623593"/>
    <w:rsid w:val="00624AF1"/>
    <w:rsid w:val="00626993"/>
    <w:rsid w:val="00626C29"/>
    <w:rsid w:val="00626FD2"/>
    <w:rsid w:val="00627C19"/>
    <w:rsid w:val="006306DF"/>
    <w:rsid w:val="00630D5B"/>
    <w:rsid w:val="00630F89"/>
    <w:rsid w:val="0063110F"/>
    <w:rsid w:val="00631AFC"/>
    <w:rsid w:val="006334FB"/>
    <w:rsid w:val="0063499A"/>
    <w:rsid w:val="006353A0"/>
    <w:rsid w:val="006353B4"/>
    <w:rsid w:val="006365E2"/>
    <w:rsid w:val="00636C18"/>
    <w:rsid w:val="00637D27"/>
    <w:rsid w:val="00637E00"/>
    <w:rsid w:val="00640424"/>
    <w:rsid w:val="00640AF6"/>
    <w:rsid w:val="006418C4"/>
    <w:rsid w:val="006422EB"/>
    <w:rsid w:val="0064268E"/>
    <w:rsid w:val="006427AF"/>
    <w:rsid w:val="00642A22"/>
    <w:rsid w:val="00643CE9"/>
    <w:rsid w:val="006444FF"/>
    <w:rsid w:val="00645ED8"/>
    <w:rsid w:val="006462EB"/>
    <w:rsid w:val="0064630A"/>
    <w:rsid w:val="006463F9"/>
    <w:rsid w:val="00647340"/>
    <w:rsid w:val="00647B2C"/>
    <w:rsid w:val="00651125"/>
    <w:rsid w:val="00651A5F"/>
    <w:rsid w:val="0065211B"/>
    <w:rsid w:val="00652EF2"/>
    <w:rsid w:val="00652F3B"/>
    <w:rsid w:val="00652FD0"/>
    <w:rsid w:val="0065403B"/>
    <w:rsid w:val="00654F9B"/>
    <w:rsid w:val="00655E6C"/>
    <w:rsid w:val="00657DE9"/>
    <w:rsid w:val="00660348"/>
    <w:rsid w:val="006603F0"/>
    <w:rsid w:val="00660798"/>
    <w:rsid w:val="00662DE0"/>
    <w:rsid w:val="00663189"/>
    <w:rsid w:val="006638F8"/>
    <w:rsid w:val="00664623"/>
    <w:rsid w:val="006663E8"/>
    <w:rsid w:val="00666922"/>
    <w:rsid w:val="00666D39"/>
    <w:rsid w:val="0067026C"/>
    <w:rsid w:val="006707E8"/>
    <w:rsid w:val="0067182B"/>
    <w:rsid w:val="00672790"/>
    <w:rsid w:val="00673771"/>
    <w:rsid w:val="00673911"/>
    <w:rsid w:val="00674DF3"/>
    <w:rsid w:val="00675ACE"/>
    <w:rsid w:val="00675B5C"/>
    <w:rsid w:val="00677771"/>
    <w:rsid w:val="00682290"/>
    <w:rsid w:val="0068255A"/>
    <w:rsid w:val="0068373F"/>
    <w:rsid w:val="006841C3"/>
    <w:rsid w:val="00684204"/>
    <w:rsid w:val="00684D89"/>
    <w:rsid w:val="0068588A"/>
    <w:rsid w:val="0068653C"/>
    <w:rsid w:val="00686E99"/>
    <w:rsid w:val="00687C09"/>
    <w:rsid w:val="00690116"/>
    <w:rsid w:val="00691019"/>
    <w:rsid w:val="006912FB"/>
    <w:rsid w:val="00692B40"/>
    <w:rsid w:val="006938E5"/>
    <w:rsid w:val="006945DD"/>
    <w:rsid w:val="00694623"/>
    <w:rsid w:val="00694C33"/>
    <w:rsid w:val="00695BEA"/>
    <w:rsid w:val="00697401"/>
    <w:rsid w:val="00697ACF"/>
    <w:rsid w:val="006A0C1A"/>
    <w:rsid w:val="006A0CB8"/>
    <w:rsid w:val="006A0FDC"/>
    <w:rsid w:val="006A1379"/>
    <w:rsid w:val="006A24BD"/>
    <w:rsid w:val="006A4649"/>
    <w:rsid w:val="006A7F9B"/>
    <w:rsid w:val="006B04F2"/>
    <w:rsid w:val="006B060E"/>
    <w:rsid w:val="006B0EBB"/>
    <w:rsid w:val="006B1C31"/>
    <w:rsid w:val="006B1D70"/>
    <w:rsid w:val="006B2C99"/>
    <w:rsid w:val="006B40E4"/>
    <w:rsid w:val="006B4A1E"/>
    <w:rsid w:val="006B644E"/>
    <w:rsid w:val="006B6468"/>
    <w:rsid w:val="006B745C"/>
    <w:rsid w:val="006C0984"/>
    <w:rsid w:val="006C358F"/>
    <w:rsid w:val="006C4EAC"/>
    <w:rsid w:val="006C4FCF"/>
    <w:rsid w:val="006C58A0"/>
    <w:rsid w:val="006D036B"/>
    <w:rsid w:val="006D099C"/>
    <w:rsid w:val="006D0CC7"/>
    <w:rsid w:val="006D0E60"/>
    <w:rsid w:val="006D25BB"/>
    <w:rsid w:val="006D2A93"/>
    <w:rsid w:val="006D3226"/>
    <w:rsid w:val="006D3597"/>
    <w:rsid w:val="006D39F2"/>
    <w:rsid w:val="006D5284"/>
    <w:rsid w:val="006D53F6"/>
    <w:rsid w:val="006D5481"/>
    <w:rsid w:val="006D5720"/>
    <w:rsid w:val="006D5A76"/>
    <w:rsid w:val="006D5ABF"/>
    <w:rsid w:val="006D7510"/>
    <w:rsid w:val="006D7549"/>
    <w:rsid w:val="006D7CBB"/>
    <w:rsid w:val="006E0351"/>
    <w:rsid w:val="006E2123"/>
    <w:rsid w:val="006E2901"/>
    <w:rsid w:val="006E30A3"/>
    <w:rsid w:val="006E35E3"/>
    <w:rsid w:val="006E3967"/>
    <w:rsid w:val="006E405A"/>
    <w:rsid w:val="006E41D3"/>
    <w:rsid w:val="006E5EB0"/>
    <w:rsid w:val="006E68F9"/>
    <w:rsid w:val="006E711D"/>
    <w:rsid w:val="006E777E"/>
    <w:rsid w:val="006E7A2C"/>
    <w:rsid w:val="006F082B"/>
    <w:rsid w:val="006F0C27"/>
    <w:rsid w:val="006F0CD7"/>
    <w:rsid w:val="006F18B4"/>
    <w:rsid w:val="006F1E1B"/>
    <w:rsid w:val="006F4443"/>
    <w:rsid w:val="006F5027"/>
    <w:rsid w:val="006F550B"/>
    <w:rsid w:val="006F5944"/>
    <w:rsid w:val="006F6032"/>
    <w:rsid w:val="006F6233"/>
    <w:rsid w:val="006F7774"/>
    <w:rsid w:val="00700A9C"/>
    <w:rsid w:val="00700F6B"/>
    <w:rsid w:val="00701611"/>
    <w:rsid w:val="007019CA"/>
    <w:rsid w:val="00701F15"/>
    <w:rsid w:val="00703015"/>
    <w:rsid w:val="0070314A"/>
    <w:rsid w:val="00704903"/>
    <w:rsid w:val="00705774"/>
    <w:rsid w:val="00707353"/>
    <w:rsid w:val="007074B7"/>
    <w:rsid w:val="0070797C"/>
    <w:rsid w:val="0071042D"/>
    <w:rsid w:val="00710969"/>
    <w:rsid w:val="00710F03"/>
    <w:rsid w:val="00711A29"/>
    <w:rsid w:val="00711BDA"/>
    <w:rsid w:val="00712363"/>
    <w:rsid w:val="00712441"/>
    <w:rsid w:val="0071244F"/>
    <w:rsid w:val="007134D4"/>
    <w:rsid w:val="00713726"/>
    <w:rsid w:val="00713C3B"/>
    <w:rsid w:val="007141BA"/>
    <w:rsid w:val="00715BDB"/>
    <w:rsid w:val="007161BE"/>
    <w:rsid w:val="00717CEC"/>
    <w:rsid w:val="00720703"/>
    <w:rsid w:val="007218B2"/>
    <w:rsid w:val="00721B6C"/>
    <w:rsid w:val="00721E22"/>
    <w:rsid w:val="00721FF5"/>
    <w:rsid w:val="007247A4"/>
    <w:rsid w:val="00724BF6"/>
    <w:rsid w:val="007252A1"/>
    <w:rsid w:val="007252A3"/>
    <w:rsid w:val="00725737"/>
    <w:rsid w:val="007259D6"/>
    <w:rsid w:val="00725CBE"/>
    <w:rsid w:val="007260F5"/>
    <w:rsid w:val="007267DB"/>
    <w:rsid w:val="00730458"/>
    <w:rsid w:val="00731449"/>
    <w:rsid w:val="0073226E"/>
    <w:rsid w:val="0073237C"/>
    <w:rsid w:val="00733EB4"/>
    <w:rsid w:val="007345D0"/>
    <w:rsid w:val="00734C23"/>
    <w:rsid w:val="00734C93"/>
    <w:rsid w:val="00734D84"/>
    <w:rsid w:val="00735151"/>
    <w:rsid w:val="007360E9"/>
    <w:rsid w:val="00736377"/>
    <w:rsid w:val="0073795F"/>
    <w:rsid w:val="007402FB"/>
    <w:rsid w:val="00741345"/>
    <w:rsid w:val="007414C7"/>
    <w:rsid w:val="00741C42"/>
    <w:rsid w:val="00741E23"/>
    <w:rsid w:val="007421C3"/>
    <w:rsid w:val="0074259C"/>
    <w:rsid w:val="0074386F"/>
    <w:rsid w:val="0074421C"/>
    <w:rsid w:val="007447A0"/>
    <w:rsid w:val="00744888"/>
    <w:rsid w:val="00746053"/>
    <w:rsid w:val="0074607C"/>
    <w:rsid w:val="007468F9"/>
    <w:rsid w:val="00746A4C"/>
    <w:rsid w:val="00747717"/>
    <w:rsid w:val="007501F1"/>
    <w:rsid w:val="007526B5"/>
    <w:rsid w:val="0075398E"/>
    <w:rsid w:val="00753A9D"/>
    <w:rsid w:val="00753D44"/>
    <w:rsid w:val="007542F6"/>
    <w:rsid w:val="007545DD"/>
    <w:rsid w:val="0075486E"/>
    <w:rsid w:val="007551E5"/>
    <w:rsid w:val="00755921"/>
    <w:rsid w:val="00755EC8"/>
    <w:rsid w:val="0075627C"/>
    <w:rsid w:val="00756AA4"/>
    <w:rsid w:val="00760C35"/>
    <w:rsid w:val="00760FEF"/>
    <w:rsid w:val="00762112"/>
    <w:rsid w:val="007627EF"/>
    <w:rsid w:val="00763188"/>
    <w:rsid w:val="007631E8"/>
    <w:rsid w:val="007655D0"/>
    <w:rsid w:val="007662FE"/>
    <w:rsid w:val="0077058D"/>
    <w:rsid w:val="00771432"/>
    <w:rsid w:val="00772D3D"/>
    <w:rsid w:val="00773BC6"/>
    <w:rsid w:val="0077589D"/>
    <w:rsid w:val="007760EE"/>
    <w:rsid w:val="007769A9"/>
    <w:rsid w:val="0077789B"/>
    <w:rsid w:val="00777BC2"/>
    <w:rsid w:val="00780C0A"/>
    <w:rsid w:val="0078147E"/>
    <w:rsid w:val="007826C4"/>
    <w:rsid w:val="00782DBA"/>
    <w:rsid w:val="00783D50"/>
    <w:rsid w:val="007845CB"/>
    <w:rsid w:val="00784898"/>
    <w:rsid w:val="00784ECD"/>
    <w:rsid w:val="00785D7A"/>
    <w:rsid w:val="00786070"/>
    <w:rsid w:val="00787D4A"/>
    <w:rsid w:val="00791592"/>
    <w:rsid w:val="007915C0"/>
    <w:rsid w:val="00792CC8"/>
    <w:rsid w:val="00793AFE"/>
    <w:rsid w:val="00793E16"/>
    <w:rsid w:val="00794AD7"/>
    <w:rsid w:val="00794CFE"/>
    <w:rsid w:val="00796243"/>
    <w:rsid w:val="0079646A"/>
    <w:rsid w:val="00796EDD"/>
    <w:rsid w:val="00796F04"/>
    <w:rsid w:val="00797648"/>
    <w:rsid w:val="00797A88"/>
    <w:rsid w:val="00797E1F"/>
    <w:rsid w:val="007A247F"/>
    <w:rsid w:val="007A36B4"/>
    <w:rsid w:val="007A4025"/>
    <w:rsid w:val="007A4750"/>
    <w:rsid w:val="007A5378"/>
    <w:rsid w:val="007A556F"/>
    <w:rsid w:val="007A6318"/>
    <w:rsid w:val="007A72F0"/>
    <w:rsid w:val="007A7BDB"/>
    <w:rsid w:val="007B0032"/>
    <w:rsid w:val="007B0106"/>
    <w:rsid w:val="007B041E"/>
    <w:rsid w:val="007B051A"/>
    <w:rsid w:val="007B0996"/>
    <w:rsid w:val="007B14A2"/>
    <w:rsid w:val="007B1610"/>
    <w:rsid w:val="007B2862"/>
    <w:rsid w:val="007B55C9"/>
    <w:rsid w:val="007B658A"/>
    <w:rsid w:val="007B694D"/>
    <w:rsid w:val="007B6A87"/>
    <w:rsid w:val="007B7060"/>
    <w:rsid w:val="007C0A64"/>
    <w:rsid w:val="007C0CBF"/>
    <w:rsid w:val="007C0FD8"/>
    <w:rsid w:val="007C121E"/>
    <w:rsid w:val="007C156A"/>
    <w:rsid w:val="007C180E"/>
    <w:rsid w:val="007C1C4D"/>
    <w:rsid w:val="007C2721"/>
    <w:rsid w:val="007C3AED"/>
    <w:rsid w:val="007C4D96"/>
    <w:rsid w:val="007C5684"/>
    <w:rsid w:val="007C6631"/>
    <w:rsid w:val="007C6A3F"/>
    <w:rsid w:val="007C7D3B"/>
    <w:rsid w:val="007D065F"/>
    <w:rsid w:val="007D0BA6"/>
    <w:rsid w:val="007D10CB"/>
    <w:rsid w:val="007D1A02"/>
    <w:rsid w:val="007D29C2"/>
    <w:rsid w:val="007D4350"/>
    <w:rsid w:val="007D4D4A"/>
    <w:rsid w:val="007D506D"/>
    <w:rsid w:val="007D5EB9"/>
    <w:rsid w:val="007D69B9"/>
    <w:rsid w:val="007D7047"/>
    <w:rsid w:val="007D78E8"/>
    <w:rsid w:val="007E07DD"/>
    <w:rsid w:val="007E1C8A"/>
    <w:rsid w:val="007E22D3"/>
    <w:rsid w:val="007E26C5"/>
    <w:rsid w:val="007E2E32"/>
    <w:rsid w:val="007E3004"/>
    <w:rsid w:val="007E583A"/>
    <w:rsid w:val="007E61D7"/>
    <w:rsid w:val="007E6C91"/>
    <w:rsid w:val="007E7818"/>
    <w:rsid w:val="007F0A9E"/>
    <w:rsid w:val="007F1127"/>
    <w:rsid w:val="007F119A"/>
    <w:rsid w:val="007F15D1"/>
    <w:rsid w:val="007F1B74"/>
    <w:rsid w:val="007F4E20"/>
    <w:rsid w:val="007F5792"/>
    <w:rsid w:val="007F57A3"/>
    <w:rsid w:val="007F66F7"/>
    <w:rsid w:val="007F790C"/>
    <w:rsid w:val="007F7A8E"/>
    <w:rsid w:val="00800FEE"/>
    <w:rsid w:val="00801110"/>
    <w:rsid w:val="0080143B"/>
    <w:rsid w:val="008028EE"/>
    <w:rsid w:val="00802937"/>
    <w:rsid w:val="00802E46"/>
    <w:rsid w:val="00803C8B"/>
    <w:rsid w:val="00804DBF"/>
    <w:rsid w:val="00805235"/>
    <w:rsid w:val="00806B62"/>
    <w:rsid w:val="00807471"/>
    <w:rsid w:val="00807E22"/>
    <w:rsid w:val="00810A5B"/>
    <w:rsid w:val="00811193"/>
    <w:rsid w:val="00811B75"/>
    <w:rsid w:val="00812222"/>
    <w:rsid w:val="008134FC"/>
    <w:rsid w:val="00813757"/>
    <w:rsid w:val="00813FF0"/>
    <w:rsid w:val="008153B4"/>
    <w:rsid w:val="008161B6"/>
    <w:rsid w:val="00817489"/>
    <w:rsid w:val="00817C76"/>
    <w:rsid w:val="0082012B"/>
    <w:rsid w:val="008202D1"/>
    <w:rsid w:val="008203E4"/>
    <w:rsid w:val="00821813"/>
    <w:rsid w:val="008219AE"/>
    <w:rsid w:val="00821C17"/>
    <w:rsid w:val="00821CE0"/>
    <w:rsid w:val="00821D85"/>
    <w:rsid w:val="00822378"/>
    <w:rsid w:val="00822C33"/>
    <w:rsid w:val="00823E6F"/>
    <w:rsid w:val="00823F55"/>
    <w:rsid w:val="008250BC"/>
    <w:rsid w:val="0082780A"/>
    <w:rsid w:val="008278C2"/>
    <w:rsid w:val="008319A4"/>
    <w:rsid w:val="00831E8A"/>
    <w:rsid w:val="00832955"/>
    <w:rsid w:val="00837E9F"/>
    <w:rsid w:val="00841796"/>
    <w:rsid w:val="00841C76"/>
    <w:rsid w:val="00842F1B"/>
    <w:rsid w:val="0084313C"/>
    <w:rsid w:val="00843E68"/>
    <w:rsid w:val="00844360"/>
    <w:rsid w:val="00844AE8"/>
    <w:rsid w:val="00844E60"/>
    <w:rsid w:val="00845C81"/>
    <w:rsid w:val="00845ED9"/>
    <w:rsid w:val="00847CF9"/>
    <w:rsid w:val="008501BD"/>
    <w:rsid w:val="008522C7"/>
    <w:rsid w:val="0085284C"/>
    <w:rsid w:val="00852CA1"/>
    <w:rsid w:val="00852ED8"/>
    <w:rsid w:val="00853242"/>
    <w:rsid w:val="0085566A"/>
    <w:rsid w:val="00855AFB"/>
    <w:rsid w:val="00856129"/>
    <w:rsid w:val="00856CD3"/>
    <w:rsid w:val="00857816"/>
    <w:rsid w:val="008609DF"/>
    <w:rsid w:val="00860F84"/>
    <w:rsid w:val="00861494"/>
    <w:rsid w:val="00861904"/>
    <w:rsid w:val="00861BE8"/>
    <w:rsid w:val="00862715"/>
    <w:rsid w:val="00863D87"/>
    <w:rsid w:val="00864908"/>
    <w:rsid w:val="00864F0F"/>
    <w:rsid w:val="00865967"/>
    <w:rsid w:val="00865E5D"/>
    <w:rsid w:val="00866C18"/>
    <w:rsid w:val="00867876"/>
    <w:rsid w:val="008679CD"/>
    <w:rsid w:val="00870265"/>
    <w:rsid w:val="008708AD"/>
    <w:rsid w:val="00873894"/>
    <w:rsid w:val="00874230"/>
    <w:rsid w:val="00875B7A"/>
    <w:rsid w:val="008762AD"/>
    <w:rsid w:val="0087706B"/>
    <w:rsid w:val="00877112"/>
    <w:rsid w:val="00880094"/>
    <w:rsid w:val="008821CD"/>
    <w:rsid w:val="0088244C"/>
    <w:rsid w:val="00882BBC"/>
    <w:rsid w:val="00883245"/>
    <w:rsid w:val="00884F43"/>
    <w:rsid w:val="00887495"/>
    <w:rsid w:val="00887ACD"/>
    <w:rsid w:val="00887E85"/>
    <w:rsid w:val="0089046F"/>
    <w:rsid w:val="00890FBB"/>
    <w:rsid w:val="00892A7D"/>
    <w:rsid w:val="008958B7"/>
    <w:rsid w:val="00896011"/>
    <w:rsid w:val="008972E2"/>
    <w:rsid w:val="00897660"/>
    <w:rsid w:val="00897A93"/>
    <w:rsid w:val="00897ACA"/>
    <w:rsid w:val="00897B50"/>
    <w:rsid w:val="008A0FB9"/>
    <w:rsid w:val="008A1585"/>
    <w:rsid w:val="008A19BC"/>
    <w:rsid w:val="008A3525"/>
    <w:rsid w:val="008A3A8E"/>
    <w:rsid w:val="008A3FB3"/>
    <w:rsid w:val="008A6E99"/>
    <w:rsid w:val="008B0D36"/>
    <w:rsid w:val="008B23EE"/>
    <w:rsid w:val="008B34A6"/>
    <w:rsid w:val="008B525A"/>
    <w:rsid w:val="008B5301"/>
    <w:rsid w:val="008B631B"/>
    <w:rsid w:val="008B64E1"/>
    <w:rsid w:val="008B65B8"/>
    <w:rsid w:val="008C0A97"/>
    <w:rsid w:val="008C0CD9"/>
    <w:rsid w:val="008C0FC5"/>
    <w:rsid w:val="008C311A"/>
    <w:rsid w:val="008C31A1"/>
    <w:rsid w:val="008C336A"/>
    <w:rsid w:val="008C7BD5"/>
    <w:rsid w:val="008C7D08"/>
    <w:rsid w:val="008D0838"/>
    <w:rsid w:val="008D0947"/>
    <w:rsid w:val="008D0D6A"/>
    <w:rsid w:val="008D179F"/>
    <w:rsid w:val="008D238C"/>
    <w:rsid w:val="008D2597"/>
    <w:rsid w:val="008D31D0"/>
    <w:rsid w:val="008D4569"/>
    <w:rsid w:val="008D4926"/>
    <w:rsid w:val="008D514C"/>
    <w:rsid w:val="008D6906"/>
    <w:rsid w:val="008D75A8"/>
    <w:rsid w:val="008D7A27"/>
    <w:rsid w:val="008D7DE4"/>
    <w:rsid w:val="008E082C"/>
    <w:rsid w:val="008E13DC"/>
    <w:rsid w:val="008E1B1E"/>
    <w:rsid w:val="008E1F11"/>
    <w:rsid w:val="008E207D"/>
    <w:rsid w:val="008E3E00"/>
    <w:rsid w:val="008E421E"/>
    <w:rsid w:val="008E4291"/>
    <w:rsid w:val="008E466D"/>
    <w:rsid w:val="008E4AAF"/>
    <w:rsid w:val="008E5145"/>
    <w:rsid w:val="008E5907"/>
    <w:rsid w:val="008E65ED"/>
    <w:rsid w:val="008E6AF2"/>
    <w:rsid w:val="008E7C1B"/>
    <w:rsid w:val="008E7C7C"/>
    <w:rsid w:val="008E7E7D"/>
    <w:rsid w:val="008F0386"/>
    <w:rsid w:val="008F10EA"/>
    <w:rsid w:val="008F1758"/>
    <w:rsid w:val="008F1AAA"/>
    <w:rsid w:val="008F1C32"/>
    <w:rsid w:val="008F2443"/>
    <w:rsid w:val="008F2621"/>
    <w:rsid w:val="008F2E0E"/>
    <w:rsid w:val="008F3022"/>
    <w:rsid w:val="008F3826"/>
    <w:rsid w:val="008F4457"/>
    <w:rsid w:val="008F522F"/>
    <w:rsid w:val="008F5F4D"/>
    <w:rsid w:val="008F7C0B"/>
    <w:rsid w:val="009002A3"/>
    <w:rsid w:val="00901CAD"/>
    <w:rsid w:val="00901FF5"/>
    <w:rsid w:val="009022AC"/>
    <w:rsid w:val="00902C08"/>
    <w:rsid w:val="00902C53"/>
    <w:rsid w:val="00903896"/>
    <w:rsid w:val="00903CF3"/>
    <w:rsid w:val="00904847"/>
    <w:rsid w:val="00904D32"/>
    <w:rsid w:val="00905342"/>
    <w:rsid w:val="0090569C"/>
    <w:rsid w:val="009061C7"/>
    <w:rsid w:val="00906F33"/>
    <w:rsid w:val="00907058"/>
    <w:rsid w:val="00907EA2"/>
    <w:rsid w:val="009114DB"/>
    <w:rsid w:val="00911F66"/>
    <w:rsid w:val="009126BC"/>
    <w:rsid w:val="00912AC3"/>
    <w:rsid w:val="00913207"/>
    <w:rsid w:val="00913B69"/>
    <w:rsid w:val="009149B4"/>
    <w:rsid w:val="00914C72"/>
    <w:rsid w:val="009153E5"/>
    <w:rsid w:val="0091570E"/>
    <w:rsid w:val="00916D2F"/>
    <w:rsid w:val="00917C9C"/>
    <w:rsid w:val="00917FFC"/>
    <w:rsid w:val="00920507"/>
    <w:rsid w:val="009216F7"/>
    <w:rsid w:val="00921DA0"/>
    <w:rsid w:val="0092293D"/>
    <w:rsid w:val="00922B20"/>
    <w:rsid w:val="00923C64"/>
    <w:rsid w:val="00924BF8"/>
    <w:rsid w:val="00926358"/>
    <w:rsid w:val="00926816"/>
    <w:rsid w:val="009275B7"/>
    <w:rsid w:val="00930414"/>
    <w:rsid w:val="0093108E"/>
    <w:rsid w:val="0093168F"/>
    <w:rsid w:val="00932A56"/>
    <w:rsid w:val="00934001"/>
    <w:rsid w:val="009359E0"/>
    <w:rsid w:val="00935D2A"/>
    <w:rsid w:val="00936540"/>
    <w:rsid w:val="009368B1"/>
    <w:rsid w:val="00937014"/>
    <w:rsid w:val="00940732"/>
    <w:rsid w:val="00940D95"/>
    <w:rsid w:val="00941706"/>
    <w:rsid w:val="00942EB7"/>
    <w:rsid w:val="009440DB"/>
    <w:rsid w:val="00944E82"/>
    <w:rsid w:val="00946E5E"/>
    <w:rsid w:val="00946E98"/>
    <w:rsid w:val="009529FB"/>
    <w:rsid w:val="009544A7"/>
    <w:rsid w:val="0095662F"/>
    <w:rsid w:val="00956CFC"/>
    <w:rsid w:val="00956D1B"/>
    <w:rsid w:val="00956FFB"/>
    <w:rsid w:val="00957F40"/>
    <w:rsid w:val="00960FB7"/>
    <w:rsid w:val="009620B3"/>
    <w:rsid w:val="009650C1"/>
    <w:rsid w:val="009655F8"/>
    <w:rsid w:val="00965779"/>
    <w:rsid w:val="009670A7"/>
    <w:rsid w:val="00967DA3"/>
    <w:rsid w:val="0097000A"/>
    <w:rsid w:val="00971160"/>
    <w:rsid w:val="00971BF3"/>
    <w:rsid w:val="00972217"/>
    <w:rsid w:val="0097298C"/>
    <w:rsid w:val="00972C44"/>
    <w:rsid w:val="009730C4"/>
    <w:rsid w:val="00974634"/>
    <w:rsid w:val="00974BE2"/>
    <w:rsid w:val="00974F70"/>
    <w:rsid w:val="00975331"/>
    <w:rsid w:val="00976B32"/>
    <w:rsid w:val="00977AB6"/>
    <w:rsid w:val="009802DF"/>
    <w:rsid w:val="009809C9"/>
    <w:rsid w:val="009814F3"/>
    <w:rsid w:val="00981D27"/>
    <w:rsid w:val="00982096"/>
    <w:rsid w:val="009825D2"/>
    <w:rsid w:val="00982743"/>
    <w:rsid w:val="009828EF"/>
    <w:rsid w:val="00982A30"/>
    <w:rsid w:val="00982E11"/>
    <w:rsid w:val="00983118"/>
    <w:rsid w:val="00983E3C"/>
    <w:rsid w:val="00985174"/>
    <w:rsid w:val="00985627"/>
    <w:rsid w:val="00985C7B"/>
    <w:rsid w:val="00986DCC"/>
    <w:rsid w:val="00990AFB"/>
    <w:rsid w:val="00991E6F"/>
    <w:rsid w:val="00993954"/>
    <w:rsid w:val="00993DE4"/>
    <w:rsid w:val="00993FCD"/>
    <w:rsid w:val="0099451E"/>
    <w:rsid w:val="00994DD0"/>
    <w:rsid w:val="00995B3B"/>
    <w:rsid w:val="00997756"/>
    <w:rsid w:val="00997B9C"/>
    <w:rsid w:val="00997DE3"/>
    <w:rsid w:val="009A0306"/>
    <w:rsid w:val="009A0FDE"/>
    <w:rsid w:val="009A25E4"/>
    <w:rsid w:val="009A26CD"/>
    <w:rsid w:val="009A2C72"/>
    <w:rsid w:val="009A545C"/>
    <w:rsid w:val="009A5B86"/>
    <w:rsid w:val="009A5BD4"/>
    <w:rsid w:val="009A5F4C"/>
    <w:rsid w:val="009A6D06"/>
    <w:rsid w:val="009B1574"/>
    <w:rsid w:val="009B18AB"/>
    <w:rsid w:val="009B1E01"/>
    <w:rsid w:val="009B2FEE"/>
    <w:rsid w:val="009B30FF"/>
    <w:rsid w:val="009B345D"/>
    <w:rsid w:val="009B36B9"/>
    <w:rsid w:val="009B488D"/>
    <w:rsid w:val="009B56C2"/>
    <w:rsid w:val="009B583A"/>
    <w:rsid w:val="009B5A5A"/>
    <w:rsid w:val="009B5AFA"/>
    <w:rsid w:val="009B5E9C"/>
    <w:rsid w:val="009B6237"/>
    <w:rsid w:val="009B6517"/>
    <w:rsid w:val="009B77C3"/>
    <w:rsid w:val="009B7E8A"/>
    <w:rsid w:val="009C0268"/>
    <w:rsid w:val="009C171C"/>
    <w:rsid w:val="009C1728"/>
    <w:rsid w:val="009C1E36"/>
    <w:rsid w:val="009C210C"/>
    <w:rsid w:val="009C2898"/>
    <w:rsid w:val="009C3B6E"/>
    <w:rsid w:val="009C3E4A"/>
    <w:rsid w:val="009C554F"/>
    <w:rsid w:val="009C5744"/>
    <w:rsid w:val="009C57AF"/>
    <w:rsid w:val="009C68C5"/>
    <w:rsid w:val="009C6A3A"/>
    <w:rsid w:val="009C6A66"/>
    <w:rsid w:val="009C7C84"/>
    <w:rsid w:val="009C7E90"/>
    <w:rsid w:val="009D080E"/>
    <w:rsid w:val="009D087A"/>
    <w:rsid w:val="009D1F54"/>
    <w:rsid w:val="009D20AA"/>
    <w:rsid w:val="009D2883"/>
    <w:rsid w:val="009D30EA"/>
    <w:rsid w:val="009D3872"/>
    <w:rsid w:val="009D38DC"/>
    <w:rsid w:val="009D3B97"/>
    <w:rsid w:val="009D4ED6"/>
    <w:rsid w:val="009D4FBE"/>
    <w:rsid w:val="009D5583"/>
    <w:rsid w:val="009D5D18"/>
    <w:rsid w:val="009D5D4C"/>
    <w:rsid w:val="009D6D75"/>
    <w:rsid w:val="009D7066"/>
    <w:rsid w:val="009D76C4"/>
    <w:rsid w:val="009D793E"/>
    <w:rsid w:val="009E13A6"/>
    <w:rsid w:val="009E18A2"/>
    <w:rsid w:val="009E354F"/>
    <w:rsid w:val="009E5986"/>
    <w:rsid w:val="009E5DC4"/>
    <w:rsid w:val="009E711F"/>
    <w:rsid w:val="009F0D2B"/>
    <w:rsid w:val="009F0F06"/>
    <w:rsid w:val="009F0F79"/>
    <w:rsid w:val="009F17AC"/>
    <w:rsid w:val="009F28AE"/>
    <w:rsid w:val="009F3BF9"/>
    <w:rsid w:val="009F518E"/>
    <w:rsid w:val="009F525B"/>
    <w:rsid w:val="009F542A"/>
    <w:rsid w:val="009F5A30"/>
    <w:rsid w:val="009F5D6E"/>
    <w:rsid w:val="009F64A4"/>
    <w:rsid w:val="00A01081"/>
    <w:rsid w:val="00A02BF3"/>
    <w:rsid w:val="00A0340E"/>
    <w:rsid w:val="00A03CDE"/>
    <w:rsid w:val="00A0515B"/>
    <w:rsid w:val="00A05A23"/>
    <w:rsid w:val="00A06230"/>
    <w:rsid w:val="00A0750E"/>
    <w:rsid w:val="00A102B9"/>
    <w:rsid w:val="00A112AC"/>
    <w:rsid w:val="00A116E9"/>
    <w:rsid w:val="00A121C9"/>
    <w:rsid w:val="00A12349"/>
    <w:rsid w:val="00A13DFA"/>
    <w:rsid w:val="00A13E29"/>
    <w:rsid w:val="00A163CF"/>
    <w:rsid w:val="00A16A7B"/>
    <w:rsid w:val="00A20114"/>
    <w:rsid w:val="00A21490"/>
    <w:rsid w:val="00A22E69"/>
    <w:rsid w:val="00A231A0"/>
    <w:rsid w:val="00A24D20"/>
    <w:rsid w:val="00A257CF"/>
    <w:rsid w:val="00A2607E"/>
    <w:rsid w:val="00A26242"/>
    <w:rsid w:val="00A264C0"/>
    <w:rsid w:val="00A26889"/>
    <w:rsid w:val="00A26DC1"/>
    <w:rsid w:val="00A27149"/>
    <w:rsid w:val="00A27BB7"/>
    <w:rsid w:val="00A308D6"/>
    <w:rsid w:val="00A30C31"/>
    <w:rsid w:val="00A30C42"/>
    <w:rsid w:val="00A310B7"/>
    <w:rsid w:val="00A32047"/>
    <w:rsid w:val="00A32775"/>
    <w:rsid w:val="00A3386F"/>
    <w:rsid w:val="00A35CAB"/>
    <w:rsid w:val="00A36E31"/>
    <w:rsid w:val="00A36FBE"/>
    <w:rsid w:val="00A37295"/>
    <w:rsid w:val="00A37BBC"/>
    <w:rsid w:val="00A40453"/>
    <w:rsid w:val="00A40A73"/>
    <w:rsid w:val="00A40BB9"/>
    <w:rsid w:val="00A412AE"/>
    <w:rsid w:val="00A41B36"/>
    <w:rsid w:val="00A429E9"/>
    <w:rsid w:val="00A42B63"/>
    <w:rsid w:val="00A43013"/>
    <w:rsid w:val="00A43C62"/>
    <w:rsid w:val="00A45685"/>
    <w:rsid w:val="00A461C5"/>
    <w:rsid w:val="00A46F00"/>
    <w:rsid w:val="00A47941"/>
    <w:rsid w:val="00A564C3"/>
    <w:rsid w:val="00A56C56"/>
    <w:rsid w:val="00A5795B"/>
    <w:rsid w:val="00A606CA"/>
    <w:rsid w:val="00A607EB"/>
    <w:rsid w:val="00A60992"/>
    <w:rsid w:val="00A60ACC"/>
    <w:rsid w:val="00A61AE3"/>
    <w:rsid w:val="00A61E08"/>
    <w:rsid w:val="00A61E26"/>
    <w:rsid w:val="00A63907"/>
    <w:rsid w:val="00A64F16"/>
    <w:rsid w:val="00A65743"/>
    <w:rsid w:val="00A65AA1"/>
    <w:rsid w:val="00A66E3A"/>
    <w:rsid w:val="00A67AF8"/>
    <w:rsid w:val="00A7030C"/>
    <w:rsid w:val="00A706FF"/>
    <w:rsid w:val="00A70789"/>
    <w:rsid w:val="00A71649"/>
    <w:rsid w:val="00A72ADC"/>
    <w:rsid w:val="00A7368D"/>
    <w:rsid w:val="00A7471E"/>
    <w:rsid w:val="00A76E20"/>
    <w:rsid w:val="00A770EC"/>
    <w:rsid w:val="00A77C2C"/>
    <w:rsid w:val="00A77C5D"/>
    <w:rsid w:val="00A77FDE"/>
    <w:rsid w:val="00A81696"/>
    <w:rsid w:val="00A8184F"/>
    <w:rsid w:val="00A82749"/>
    <w:rsid w:val="00A834FE"/>
    <w:rsid w:val="00A83FB3"/>
    <w:rsid w:val="00A841B3"/>
    <w:rsid w:val="00A84212"/>
    <w:rsid w:val="00A84B5B"/>
    <w:rsid w:val="00A869EA"/>
    <w:rsid w:val="00A86F9C"/>
    <w:rsid w:val="00A876C3"/>
    <w:rsid w:val="00A87EED"/>
    <w:rsid w:val="00A90158"/>
    <w:rsid w:val="00A92A06"/>
    <w:rsid w:val="00A92C2A"/>
    <w:rsid w:val="00A93154"/>
    <w:rsid w:val="00A945FD"/>
    <w:rsid w:val="00A95072"/>
    <w:rsid w:val="00A95568"/>
    <w:rsid w:val="00A965F9"/>
    <w:rsid w:val="00A969F3"/>
    <w:rsid w:val="00AA03F3"/>
    <w:rsid w:val="00AA06D8"/>
    <w:rsid w:val="00AA0EC6"/>
    <w:rsid w:val="00AA1000"/>
    <w:rsid w:val="00AA1291"/>
    <w:rsid w:val="00AA1703"/>
    <w:rsid w:val="00AA1789"/>
    <w:rsid w:val="00AA1807"/>
    <w:rsid w:val="00AA1904"/>
    <w:rsid w:val="00AA1ECB"/>
    <w:rsid w:val="00AA21A2"/>
    <w:rsid w:val="00AA2536"/>
    <w:rsid w:val="00AA346A"/>
    <w:rsid w:val="00AA4251"/>
    <w:rsid w:val="00AA5D67"/>
    <w:rsid w:val="00AA5DAB"/>
    <w:rsid w:val="00AA727E"/>
    <w:rsid w:val="00AA7486"/>
    <w:rsid w:val="00AB01AE"/>
    <w:rsid w:val="00AB0640"/>
    <w:rsid w:val="00AB0C8C"/>
    <w:rsid w:val="00AB1355"/>
    <w:rsid w:val="00AB1B8C"/>
    <w:rsid w:val="00AB1E06"/>
    <w:rsid w:val="00AB3527"/>
    <w:rsid w:val="00AB3F42"/>
    <w:rsid w:val="00AB4293"/>
    <w:rsid w:val="00AB4307"/>
    <w:rsid w:val="00AB4939"/>
    <w:rsid w:val="00AB4CE4"/>
    <w:rsid w:val="00AB61E4"/>
    <w:rsid w:val="00AB7BAD"/>
    <w:rsid w:val="00AC04AB"/>
    <w:rsid w:val="00AC0771"/>
    <w:rsid w:val="00AC097C"/>
    <w:rsid w:val="00AC2CCD"/>
    <w:rsid w:val="00AC3084"/>
    <w:rsid w:val="00AC345F"/>
    <w:rsid w:val="00AC407D"/>
    <w:rsid w:val="00AC574F"/>
    <w:rsid w:val="00AC5CA9"/>
    <w:rsid w:val="00AC6593"/>
    <w:rsid w:val="00AC6842"/>
    <w:rsid w:val="00AC6951"/>
    <w:rsid w:val="00AC762A"/>
    <w:rsid w:val="00AD009A"/>
    <w:rsid w:val="00AD0F83"/>
    <w:rsid w:val="00AD2223"/>
    <w:rsid w:val="00AD2975"/>
    <w:rsid w:val="00AD2CB6"/>
    <w:rsid w:val="00AD2F7D"/>
    <w:rsid w:val="00AD3DA9"/>
    <w:rsid w:val="00AD3E07"/>
    <w:rsid w:val="00AD42C3"/>
    <w:rsid w:val="00AD455B"/>
    <w:rsid w:val="00AD4DDE"/>
    <w:rsid w:val="00AD57B8"/>
    <w:rsid w:val="00AD6046"/>
    <w:rsid w:val="00AD6594"/>
    <w:rsid w:val="00AD77AF"/>
    <w:rsid w:val="00AD7D4C"/>
    <w:rsid w:val="00AE07E7"/>
    <w:rsid w:val="00AE0CD6"/>
    <w:rsid w:val="00AE11B9"/>
    <w:rsid w:val="00AE1A59"/>
    <w:rsid w:val="00AE2A08"/>
    <w:rsid w:val="00AE2D24"/>
    <w:rsid w:val="00AE350C"/>
    <w:rsid w:val="00AE4ABB"/>
    <w:rsid w:val="00AE4BB5"/>
    <w:rsid w:val="00AE73BD"/>
    <w:rsid w:val="00AF0C20"/>
    <w:rsid w:val="00AF1343"/>
    <w:rsid w:val="00AF142C"/>
    <w:rsid w:val="00AF158B"/>
    <w:rsid w:val="00AF1A8C"/>
    <w:rsid w:val="00AF213B"/>
    <w:rsid w:val="00AF224B"/>
    <w:rsid w:val="00AF269C"/>
    <w:rsid w:val="00AF2779"/>
    <w:rsid w:val="00AF296D"/>
    <w:rsid w:val="00AF36EC"/>
    <w:rsid w:val="00AF4DE9"/>
    <w:rsid w:val="00AF7239"/>
    <w:rsid w:val="00AF7BBD"/>
    <w:rsid w:val="00B00D55"/>
    <w:rsid w:val="00B019C9"/>
    <w:rsid w:val="00B01FE7"/>
    <w:rsid w:val="00B02068"/>
    <w:rsid w:val="00B02848"/>
    <w:rsid w:val="00B03A19"/>
    <w:rsid w:val="00B05493"/>
    <w:rsid w:val="00B063DA"/>
    <w:rsid w:val="00B06E82"/>
    <w:rsid w:val="00B071B8"/>
    <w:rsid w:val="00B071D6"/>
    <w:rsid w:val="00B10215"/>
    <w:rsid w:val="00B10D34"/>
    <w:rsid w:val="00B118B0"/>
    <w:rsid w:val="00B12443"/>
    <w:rsid w:val="00B13C09"/>
    <w:rsid w:val="00B1510A"/>
    <w:rsid w:val="00B15394"/>
    <w:rsid w:val="00B15797"/>
    <w:rsid w:val="00B1611E"/>
    <w:rsid w:val="00B16C50"/>
    <w:rsid w:val="00B175F8"/>
    <w:rsid w:val="00B20DD6"/>
    <w:rsid w:val="00B22723"/>
    <w:rsid w:val="00B22E8C"/>
    <w:rsid w:val="00B23658"/>
    <w:rsid w:val="00B23D0F"/>
    <w:rsid w:val="00B27439"/>
    <w:rsid w:val="00B302F9"/>
    <w:rsid w:val="00B305E3"/>
    <w:rsid w:val="00B30959"/>
    <w:rsid w:val="00B31D81"/>
    <w:rsid w:val="00B32E37"/>
    <w:rsid w:val="00B3315E"/>
    <w:rsid w:val="00B33624"/>
    <w:rsid w:val="00B340E6"/>
    <w:rsid w:val="00B3429B"/>
    <w:rsid w:val="00B37880"/>
    <w:rsid w:val="00B37937"/>
    <w:rsid w:val="00B40A64"/>
    <w:rsid w:val="00B42048"/>
    <w:rsid w:val="00B4305D"/>
    <w:rsid w:val="00B43511"/>
    <w:rsid w:val="00B440FE"/>
    <w:rsid w:val="00B44419"/>
    <w:rsid w:val="00B455E6"/>
    <w:rsid w:val="00B465DE"/>
    <w:rsid w:val="00B47561"/>
    <w:rsid w:val="00B506FB"/>
    <w:rsid w:val="00B517A4"/>
    <w:rsid w:val="00B52B42"/>
    <w:rsid w:val="00B53E63"/>
    <w:rsid w:val="00B5485E"/>
    <w:rsid w:val="00B60240"/>
    <w:rsid w:val="00B604C5"/>
    <w:rsid w:val="00B62EDA"/>
    <w:rsid w:val="00B63036"/>
    <w:rsid w:val="00B63605"/>
    <w:rsid w:val="00B636C6"/>
    <w:rsid w:val="00B6524D"/>
    <w:rsid w:val="00B65598"/>
    <w:rsid w:val="00B6699E"/>
    <w:rsid w:val="00B7047B"/>
    <w:rsid w:val="00B709A2"/>
    <w:rsid w:val="00B70A8B"/>
    <w:rsid w:val="00B70C48"/>
    <w:rsid w:val="00B72BAB"/>
    <w:rsid w:val="00B73014"/>
    <w:rsid w:val="00B73725"/>
    <w:rsid w:val="00B74867"/>
    <w:rsid w:val="00B75259"/>
    <w:rsid w:val="00B75EA3"/>
    <w:rsid w:val="00B764D6"/>
    <w:rsid w:val="00B76C9B"/>
    <w:rsid w:val="00B80335"/>
    <w:rsid w:val="00B804D5"/>
    <w:rsid w:val="00B80957"/>
    <w:rsid w:val="00B8096C"/>
    <w:rsid w:val="00B81283"/>
    <w:rsid w:val="00B81E04"/>
    <w:rsid w:val="00B82D75"/>
    <w:rsid w:val="00B82E91"/>
    <w:rsid w:val="00B8426A"/>
    <w:rsid w:val="00B85AEE"/>
    <w:rsid w:val="00B85F6E"/>
    <w:rsid w:val="00B8611B"/>
    <w:rsid w:val="00B87CD5"/>
    <w:rsid w:val="00B87F3D"/>
    <w:rsid w:val="00B90857"/>
    <w:rsid w:val="00B90E7A"/>
    <w:rsid w:val="00B92E47"/>
    <w:rsid w:val="00B93C2B"/>
    <w:rsid w:val="00B94CED"/>
    <w:rsid w:val="00B952BB"/>
    <w:rsid w:val="00B956FD"/>
    <w:rsid w:val="00B95F17"/>
    <w:rsid w:val="00B9713D"/>
    <w:rsid w:val="00BA157E"/>
    <w:rsid w:val="00BA1EDD"/>
    <w:rsid w:val="00BA21CD"/>
    <w:rsid w:val="00BA2B44"/>
    <w:rsid w:val="00BA2DF2"/>
    <w:rsid w:val="00BA3705"/>
    <w:rsid w:val="00BA41C7"/>
    <w:rsid w:val="00BA4439"/>
    <w:rsid w:val="00BA4BB8"/>
    <w:rsid w:val="00BA54B3"/>
    <w:rsid w:val="00BA56C1"/>
    <w:rsid w:val="00BA618B"/>
    <w:rsid w:val="00BA6524"/>
    <w:rsid w:val="00BA6892"/>
    <w:rsid w:val="00BA6B3F"/>
    <w:rsid w:val="00BA777E"/>
    <w:rsid w:val="00BA785F"/>
    <w:rsid w:val="00BA7A6D"/>
    <w:rsid w:val="00BB0211"/>
    <w:rsid w:val="00BB03D1"/>
    <w:rsid w:val="00BB05BB"/>
    <w:rsid w:val="00BB0768"/>
    <w:rsid w:val="00BB079F"/>
    <w:rsid w:val="00BB14C3"/>
    <w:rsid w:val="00BB195F"/>
    <w:rsid w:val="00BB2BFA"/>
    <w:rsid w:val="00BB40E7"/>
    <w:rsid w:val="00BB527F"/>
    <w:rsid w:val="00BB571A"/>
    <w:rsid w:val="00BB6F7C"/>
    <w:rsid w:val="00BB7878"/>
    <w:rsid w:val="00BB7928"/>
    <w:rsid w:val="00BC287B"/>
    <w:rsid w:val="00BC2C6F"/>
    <w:rsid w:val="00BC3176"/>
    <w:rsid w:val="00BC38E9"/>
    <w:rsid w:val="00BC3C20"/>
    <w:rsid w:val="00BC458D"/>
    <w:rsid w:val="00BC4AD4"/>
    <w:rsid w:val="00BC4EBA"/>
    <w:rsid w:val="00BC643F"/>
    <w:rsid w:val="00BC6AB9"/>
    <w:rsid w:val="00BC6FF6"/>
    <w:rsid w:val="00BC75ED"/>
    <w:rsid w:val="00BC7751"/>
    <w:rsid w:val="00BD0A27"/>
    <w:rsid w:val="00BD134A"/>
    <w:rsid w:val="00BD2127"/>
    <w:rsid w:val="00BD40CB"/>
    <w:rsid w:val="00BD56EC"/>
    <w:rsid w:val="00BD5AB4"/>
    <w:rsid w:val="00BD7604"/>
    <w:rsid w:val="00BD7F12"/>
    <w:rsid w:val="00BE1D3B"/>
    <w:rsid w:val="00BE2789"/>
    <w:rsid w:val="00BE34F6"/>
    <w:rsid w:val="00BE385A"/>
    <w:rsid w:val="00BE3C0C"/>
    <w:rsid w:val="00BE4159"/>
    <w:rsid w:val="00BE44EC"/>
    <w:rsid w:val="00BE5ED5"/>
    <w:rsid w:val="00BE6192"/>
    <w:rsid w:val="00BE6F7D"/>
    <w:rsid w:val="00BE7563"/>
    <w:rsid w:val="00BE76C4"/>
    <w:rsid w:val="00BE795B"/>
    <w:rsid w:val="00BE7C09"/>
    <w:rsid w:val="00BF03D4"/>
    <w:rsid w:val="00BF2075"/>
    <w:rsid w:val="00BF2514"/>
    <w:rsid w:val="00BF2E67"/>
    <w:rsid w:val="00BF3012"/>
    <w:rsid w:val="00BF39CD"/>
    <w:rsid w:val="00BF5796"/>
    <w:rsid w:val="00BF674F"/>
    <w:rsid w:val="00BF7C8F"/>
    <w:rsid w:val="00BF7FDC"/>
    <w:rsid w:val="00C01084"/>
    <w:rsid w:val="00C02482"/>
    <w:rsid w:val="00C024E4"/>
    <w:rsid w:val="00C02A66"/>
    <w:rsid w:val="00C033DA"/>
    <w:rsid w:val="00C03EF8"/>
    <w:rsid w:val="00C04827"/>
    <w:rsid w:val="00C04D2C"/>
    <w:rsid w:val="00C04E60"/>
    <w:rsid w:val="00C059C9"/>
    <w:rsid w:val="00C06192"/>
    <w:rsid w:val="00C06F1F"/>
    <w:rsid w:val="00C06F3C"/>
    <w:rsid w:val="00C10A26"/>
    <w:rsid w:val="00C110EC"/>
    <w:rsid w:val="00C11B88"/>
    <w:rsid w:val="00C1216B"/>
    <w:rsid w:val="00C1252D"/>
    <w:rsid w:val="00C12CD4"/>
    <w:rsid w:val="00C14960"/>
    <w:rsid w:val="00C14B23"/>
    <w:rsid w:val="00C14DEC"/>
    <w:rsid w:val="00C14EB1"/>
    <w:rsid w:val="00C15704"/>
    <w:rsid w:val="00C177F3"/>
    <w:rsid w:val="00C17B81"/>
    <w:rsid w:val="00C21381"/>
    <w:rsid w:val="00C2227D"/>
    <w:rsid w:val="00C23C55"/>
    <w:rsid w:val="00C2581B"/>
    <w:rsid w:val="00C25F10"/>
    <w:rsid w:val="00C26170"/>
    <w:rsid w:val="00C2756C"/>
    <w:rsid w:val="00C326DF"/>
    <w:rsid w:val="00C33917"/>
    <w:rsid w:val="00C352B1"/>
    <w:rsid w:val="00C3598C"/>
    <w:rsid w:val="00C35FCB"/>
    <w:rsid w:val="00C36088"/>
    <w:rsid w:val="00C37995"/>
    <w:rsid w:val="00C40499"/>
    <w:rsid w:val="00C40AE0"/>
    <w:rsid w:val="00C41C7C"/>
    <w:rsid w:val="00C41E73"/>
    <w:rsid w:val="00C42680"/>
    <w:rsid w:val="00C438C4"/>
    <w:rsid w:val="00C43969"/>
    <w:rsid w:val="00C445F3"/>
    <w:rsid w:val="00C45327"/>
    <w:rsid w:val="00C4598D"/>
    <w:rsid w:val="00C45BCF"/>
    <w:rsid w:val="00C45D5C"/>
    <w:rsid w:val="00C46973"/>
    <w:rsid w:val="00C46DA2"/>
    <w:rsid w:val="00C471AA"/>
    <w:rsid w:val="00C471CE"/>
    <w:rsid w:val="00C474E2"/>
    <w:rsid w:val="00C47937"/>
    <w:rsid w:val="00C501AE"/>
    <w:rsid w:val="00C5042B"/>
    <w:rsid w:val="00C5072E"/>
    <w:rsid w:val="00C50B93"/>
    <w:rsid w:val="00C5164D"/>
    <w:rsid w:val="00C52588"/>
    <w:rsid w:val="00C52645"/>
    <w:rsid w:val="00C52AF3"/>
    <w:rsid w:val="00C53251"/>
    <w:rsid w:val="00C540B0"/>
    <w:rsid w:val="00C579CC"/>
    <w:rsid w:val="00C60295"/>
    <w:rsid w:val="00C6088F"/>
    <w:rsid w:val="00C60F7C"/>
    <w:rsid w:val="00C61936"/>
    <w:rsid w:val="00C61BC7"/>
    <w:rsid w:val="00C61DFB"/>
    <w:rsid w:val="00C62DE3"/>
    <w:rsid w:val="00C63556"/>
    <w:rsid w:val="00C6389D"/>
    <w:rsid w:val="00C63D35"/>
    <w:rsid w:val="00C654BB"/>
    <w:rsid w:val="00C655C8"/>
    <w:rsid w:val="00C65AC8"/>
    <w:rsid w:val="00C6679A"/>
    <w:rsid w:val="00C66BFC"/>
    <w:rsid w:val="00C66CEA"/>
    <w:rsid w:val="00C67266"/>
    <w:rsid w:val="00C71E45"/>
    <w:rsid w:val="00C71E83"/>
    <w:rsid w:val="00C74624"/>
    <w:rsid w:val="00C74F1D"/>
    <w:rsid w:val="00C757AB"/>
    <w:rsid w:val="00C758D5"/>
    <w:rsid w:val="00C75B61"/>
    <w:rsid w:val="00C763A3"/>
    <w:rsid w:val="00C7650C"/>
    <w:rsid w:val="00C77804"/>
    <w:rsid w:val="00C8073B"/>
    <w:rsid w:val="00C80F19"/>
    <w:rsid w:val="00C80F2A"/>
    <w:rsid w:val="00C81C37"/>
    <w:rsid w:val="00C823A5"/>
    <w:rsid w:val="00C82468"/>
    <w:rsid w:val="00C8250E"/>
    <w:rsid w:val="00C84342"/>
    <w:rsid w:val="00C84C30"/>
    <w:rsid w:val="00C8585B"/>
    <w:rsid w:val="00C85862"/>
    <w:rsid w:val="00C859F4"/>
    <w:rsid w:val="00C85F35"/>
    <w:rsid w:val="00C85FCD"/>
    <w:rsid w:val="00C87270"/>
    <w:rsid w:val="00C8762E"/>
    <w:rsid w:val="00C90200"/>
    <w:rsid w:val="00C912CA"/>
    <w:rsid w:val="00C915F6"/>
    <w:rsid w:val="00C921C8"/>
    <w:rsid w:val="00C93DB1"/>
    <w:rsid w:val="00C9464B"/>
    <w:rsid w:val="00C948D8"/>
    <w:rsid w:val="00C95DFA"/>
    <w:rsid w:val="00C97ABA"/>
    <w:rsid w:val="00C97FEA"/>
    <w:rsid w:val="00CA01B5"/>
    <w:rsid w:val="00CA0E0A"/>
    <w:rsid w:val="00CA0E5A"/>
    <w:rsid w:val="00CA209B"/>
    <w:rsid w:val="00CA345E"/>
    <w:rsid w:val="00CA465D"/>
    <w:rsid w:val="00CA6571"/>
    <w:rsid w:val="00CA6E98"/>
    <w:rsid w:val="00CA753C"/>
    <w:rsid w:val="00CB06B3"/>
    <w:rsid w:val="00CB0850"/>
    <w:rsid w:val="00CB12A0"/>
    <w:rsid w:val="00CB1904"/>
    <w:rsid w:val="00CB191A"/>
    <w:rsid w:val="00CB27CF"/>
    <w:rsid w:val="00CB5713"/>
    <w:rsid w:val="00CB5E1B"/>
    <w:rsid w:val="00CB63CA"/>
    <w:rsid w:val="00CB75BF"/>
    <w:rsid w:val="00CB7A3F"/>
    <w:rsid w:val="00CC0841"/>
    <w:rsid w:val="00CC0945"/>
    <w:rsid w:val="00CC3195"/>
    <w:rsid w:val="00CC516E"/>
    <w:rsid w:val="00CC5609"/>
    <w:rsid w:val="00CC6634"/>
    <w:rsid w:val="00CC6BEF"/>
    <w:rsid w:val="00CC6C89"/>
    <w:rsid w:val="00CD0060"/>
    <w:rsid w:val="00CD224B"/>
    <w:rsid w:val="00CD2445"/>
    <w:rsid w:val="00CD3078"/>
    <w:rsid w:val="00CD3313"/>
    <w:rsid w:val="00CD376C"/>
    <w:rsid w:val="00CD5160"/>
    <w:rsid w:val="00CD5BB5"/>
    <w:rsid w:val="00CD5BC5"/>
    <w:rsid w:val="00CD5D6C"/>
    <w:rsid w:val="00CE003C"/>
    <w:rsid w:val="00CE094B"/>
    <w:rsid w:val="00CE196A"/>
    <w:rsid w:val="00CE248B"/>
    <w:rsid w:val="00CE261B"/>
    <w:rsid w:val="00CE2EF1"/>
    <w:rsid w:val="00CE2FAA"/>
    <w:rsid w:val="00CE3665"/>
    <w:rsid w:val="00CE392E"/>
    <w:rsid w:val="00CE518D"/>
    <w:rsid w:val="00CE583D"/>
    <w:rsid w:val="00CE58B0"/>
    <w:rsid w:val="00CE58F3"/>
    <w:rsid w:val="00CE7F54"/>
    <w:rsid w:val="00CE7FBD"/>
    <w:rsid w:val="00CF0F68"/>
    <w:rsid w:val="00CF1434"/>
    <w:rsid w:val="00CF3114"/>
    <w:rsid w:val="00CF3C03"/>
    <w:rsid w:val="00CF4971"/>
    <w:rsid w:val="00CF595C"/>
    <w:rsid w:val="00CF6330"/>
    <w:rsid w:val="00CF70B5"/>
    <w:rsid w:val="00CF7B24"/>
    <w:rsid w:val="00D0080F"/>
    <w:rsid w:val="00D010A8"/>
    <w:rsid w:val="00D01614"/>
    <w:rsid w:val="00D01900"/>
    <w:rsid w:val="00D03440"/>
    <w:rsid w:val="00D035F2"/>
    <w:rsid w:val="00D037C4"/>
    <w:rsid w:val="00D03D06"/>
    <w:rsid w:val="00D04690"/>
    <w:rsid w:val="00D04B7C"/>
    <w:rsid w:val="00D04FE5"/>
    <w:rsid w:val="00D07159"/>
    <w:rsid w:val="00D07529"/>
    <w:rsid w:val="00D10774"/>
    <w:rsid w:val="00D10F2D"/>
    <w:rsid w:val="00D12230"/>
    <w:rsid w:val="00D12341"/>
    <w:rsid w:val="00D12D5B"/>
    <w:rsid w:val="00D13F52"/>
    <w:rsid w:val="00D14138"/>
    <w:rsid w:val="00D14FEA"/>
    <w:rsid w:val="00D16037"/>
    <w:rsid w:val="00D161B8"/>
    <w:rsid w:val="00D161C7"/>
    <w:rsid w:val="00D17E49"/>
    <w:rsid w:val="00D21BA5"/>
    <w:rsid w:val="00D21DE3"/>
    <w:rsid w:val="00D22B7D"/>
    <w:rsid w:val="00D23879"/>
    <w:rsid w:val="00D23F3F"/>
    <w:rsid w:val="00D24CD8"/>
    <w:rsid w:val="00D25117"/>
    <w:rsid w:val="00D2533D"/>
    <w:rsid w:val="00D25822"/>
    <w:rsid w:val="00D260B4"/>
    <w:rsid w:val="00D261E7"/>
    <w:rsid w:val="00D26A4B"/>
    <w:rsid w:val="00D26F56"/>
    <w:rsid w:val="00D30636"/>
    <w:rsid w:val="00D31E2D"/>
    <w:rsid w:val="00D328F1"/>
    <w:rsid w:val="00D329C5"/>
    <w:rsid w:val="00D3367A"/>
    <w:rsid w:val="00D347EE"/>
    <w:rsid w:val="00D3562F"/>
    <w:rsid w:val="00D35BEA"/>
    <w:rsid w:val="00D35D66"/>
    <w:rsid w:val="00D36842"/>
    <w:rsid w:val="00D37039"/>
    <w:rsid w:val="00D373A9"/>
    <w:rsid w:val="00D402A6"/>
    <w:rsid w:val="00D4044A"/>
    <w:rsid w:val="00D40523"/>
    <w:rsid w:val="00D40591"/>
    <w:rsid w:val="00D41CDC"/>
    <w:rsid w:val="00D4201F"/>
    <w:rsid w:val="00D4292B"/>
    <w:rsid w:val="00D429D6"/>
    <w:rsid w:val="00D43CB5"/>
    <w:rsid w:val="00D43D92"/>
    <w:rsid w:val="00D443A8"/>
    <w:rsid w:val="00D4542C"/>
    <w:rsid w:val="00D4546A"/>
    <w:rsid w:val="00D463F1"/>
    <w:rsid w:val="00D46949"/>
    <w:rsid w:val="00D4760B"/>
    <w:rsid w:val="00D47EFC"/>
    <w:rsid w:val="00D47F00"/>
    <w:rsid w:val="00D50204"/>
    <w:rsid w:val="00D50728"/>
    <w:rsid w:val="00D5311E"/>
    <w:rsid w:val="00D532D1"/>
    <w:rsid w:val="00D54061"/>
    <w:rsid w:val="00D54329"/>
    <w:rsid w:val="00D55152"/>
    <w:rsid w:val="00D55E21"/>
    <w:rsid w:val="00D5621D"/>
    <w:rsid w:val="00D56A25"/>
    <w:rsid w:val="00D56F68"/>
    <w:rsid w:val="00D577DE"/>
    <w:rsid w:val="00D57A00"/>
    <w:rsid w:val="00D57BAF"/>
    <w:rsid w:val="00D57E8D"/>
    <w:rsid w:val="00D60242"/>
    <w:rsid w:val="00D60335"/>
    <w:rsid w:val="00D61971"/>
    <w:rsid w:val="00D628FF"/>
    <w:rsid w:val="00D62B08"/>
    <w:rsid w:val="00D62B59"/>
    <w:rsid w:val="00D62F9B"/>
    <w:rsid w:val="00D63EA0"/>
    <w:rsid w:val="00D64BD9"/>
    <w:rsid w:val="00D64CDB"/>
    <w:rsid w:val="00D65259"/>
    <w:rsid w:val="00D6535E"/>
    <w:rsid w:val="00D659D5"/>
    <w:rsid w:val="00D66625"/>
    <w:rsid w:val="00D708F6"/>
    <w:rsid w:val="00D70BED"/>
    <w:rsid w:val="00D7213B"/>
    <w:rsid w:val="00D7292D"/>
    <w:rsid w:val="00D730C7"/>
    <w:rsid w:val="00D738B8"/>
    <w:rsid w:val="00D73ABB"/>
    <w:rsid w:val="00D746A6"/>
    <w:rsid w:val="00D74A55"/>
    <w:rsid w:val="00D74F47"/>
    <w:rsid w:val="00D75228"/>
    <w:rsid w:val="00D76674"/>
    <w:rsid w:val="00D76F54"/>
    <w:rsid w:val="00D77804"/>
    <w:rsid w:val="00D77AC8"/>
    <w:rsid w:val="00D77F6F"/>
    <w:rsid w:val="00D81036"/>
    <w:rsid w:val="00D8110C"/>
    <w:rsid w:val="00D82DD3"/>
    <w:rsid w:val="00D82F92"/>
    <w:rsid w:val="00D848FC"/>
    <w:rsid w:val="00D85CFC"/>
    <w:rsid w:val="00D86398"/>
    <w:rsid w:val="00D86638"/>
    <w:rsid w:val="00D8733D"/>
    <w:rsid w:val="00D87CA6"/>
    <w:rsid w:val="00D87DF7"/>
    <w:rsid w:val="00D90373"/>
    <w:rsid w:val="00D90D17"/>
    <w:rsid w:val="00D92343"/>
    <w:rsid w:val="00D9293A"/>
    <w:rsid w:val="00D93ADF"/>
    <w:rsid w:val="00D93BAB"/>
    <w:rsid w:val="00D941E4"/>
    <w:rsid w:val="00D957CA"/>
    <w:rsid w:val="00D958E8"/>
    <w:rsid w:val="00D95AD5"/>
    <w:rsid w:val="00D969F9"/>
    <w:rsid w:val="00D96AE3"/>
    <w:rsid w:val="00DA019A"/>
    <w:rsid w:val="00DA0642"/>
    <w:rsid w:val="00DA0E19"/>
    <w:rsid w:val="00DA1F88"/>
    <w:rsid w:val="00DA4860"/>
    <w:rsid w:val="00DA4A1A"/>
    <w:rsid w:val="00DA5239"/>
    <w:rsid w:val="00DA5FEF"/>
    <w:rsid w:val="00DA67CF"/>
    <w:rsid w:val="00DA7087"/>
    <w:rsid w:val="00DA7671"/>
    <w:rsid w:val="00DA7A6F"/>
    <w:rsid w:val="00DB0067"/>
    <w:rsid w:val="00DB05B6"/>
    <w:rsid w:val="00DB0613"/>
    <w:rsid w:val="00DB0987"/>
    <w:rsid w:val="00DB0F2F"/>
    <w:rsid w:val="00DB1F44"/>
    <w:rsid w:val="00DB2DC1"/>
    <w:rsid w:val="00DB3D98"/>
    <w:rsid w:val="00DB449B"/>
    <w:rsid w:val="00DB4570"/>
    <w:rsid w:val="00DB4EEE"/>
    <w:rsid w:val="00DB55A1"/>
    <w:rsid w:val="00DB5F47"/>
    <w:rsid w:val="00DB6AD5"/>
    <w:rsid w:val="00DB7084"/>
    <w:rsid w:val="00DC1295"/>
    <w:rsid w:val="00DC14C5"/>
    <w:rsid w:val="00DC23CA"/>
    <w:rsid w:val="00DC2911"/>
    <w:rsid w:val="00DC340D"/>
    <w:rsid w:val="00DC48B6"/>
    <w:rsid w:val="00DC51B4"/>
    <w:rsid w:val="00DC5228"/>
    <w:rsid w:val="00DC541E"/>
    <w:rsid w:val="00DC6133"/>
    <w:rsid w:val="00DC6D0E"/>
    <w:rsid w:val="00DC6ECE"/>
    <w:rsid w:val="00DC7ACF"/>
    <w:rsid w:val="00DC7D93"/>
    <w:rsid w:val="00DD108C"/>
    <w:rsid w:val="00DD16E3"/>
    <w:rsid w:val="00DD189D"/>
    <w:rsid w:val="00DD2637"/>
    <w:rsid w:val="00DD4277"/>
    <w:rsid w:val="00DD450C"/>
    <w:rsid w:val="00DD47D7"/>
    <w:rsid w:val="00DD53A7"/>
    <w:rsid w:val="00DD5410"/>
    <w:rsid w:val="00DD64FD"/>
    <w:rsid w:val="00DD722A"/>
    <w:rsid w:val="00DE02FA"/>
    <w:rsid w:val="00DE05B1"/>
    <w:rsid w:val="00DE0F2F"/>
    <w:rsid w:val="00DE15E5"/>
    <w:rsid w:val="00DE232E"/>
    <w:rsid w:val="00DE4106"/>
    <w:rsid w:val="00DE4259"/>
    <w:rsid w:val="00DE4731"/>
    <w:rsid w:val="00DE5A42"/>
    <w:rsid w:val="00DE6C12"/>
    <w:rsid w:val="00DE6E0D"/>
    <w:rsid w:val="00DE724E"/>
    <w:rsid w:val="00DF01D3"/>
    <w:rsid w:val="00DF066B"/>
    <w:rsid w:val="00DF0EBE"/>
    <w:rsid w:val="00DF11EF"/>
    <w:rsid w:val="00DF1307"/>
    <w:rsid w:val="00DF3223"/>
    <w:rsid w:val="00DF6136"/>
    <w:rsid w:val="00DF77E6"/>
    <w:rsid w:val="00DF7AD7"/>
    <w:rsid w:val="00DF7CC5"/>
    <w:rsid w:val="00E003A0"/>
    <w:rsid w:val="00E004F1"/>
    <w:rsid w:val="00E00F99"/>
    <w:rsid w:val="00E01CE8"/>
    <w:rsid w:val="00E020F3"/>
    <w:rsid w:val="00E030E2"/>
    <w:rsid w:val="00E03644"/>
    <w:rsid w:val="00E03DDF"/>
    <w:rsid w:val="00E04DBB"/>
    <w:rsid w:val="00E0554E"/>
    <w:rsid w:val="00E0692E"/>
    <w:rsid w:val="00E06A39"/>
    <w:rsid w:val="00E07917"/>
    <w:rsid w:val="00E07A7C"/>
    <w:rsid w:val="00E07A91"/>
    <w:rsid w:val="00E10CE7"/>
    <w:rsid w:val="00E10F85"/>
    <w:rsid w:val="00E127D9"/>
    <w:rsid w:val="00E12C69"/>
    <w:rsid w:val="00E12E06"/>
    <w:rsid w:val="00E14EBC"/>
    <w:rsid w:val="00E14F97"/>
    <w:rsid w:val="00E15595"/>
    <w:rsid w:val="00E155B5"/>
    <w:rsid w:val="00E15EE0"/>
    <w:rsid w:val="00E16124"/>
    <w:rsid w:val="00E1644F"/>
    <w:rsid w:val="00E16BA5"/>
    <w:rsid w:val="00E172BF"/>
    <w:rsid w:val="00E17AEB"/>
    <w:rsid w:val="00E17DF4"/>
    <w:rsid w:val="00E17E93"/>
    <w:rsid w:val="00E21049"/>
    <w:rsid w:val="00E21259"/>
    <w:rsid w:val="00E212AE"/>
    <w:rsid w:val="00E21BA4"/>
    <w:rsid w:val="00E21D6F"/>
    <w:rsid w:val="00E22166"/>
    <w:rsid w:val="00E22D92"/>
    <w:rsid w:val="00E236F4"/>
    <w:rsid w:val="00E23B0B"/>
    <w:rsid w:val="00E23E5F"/>
    <w:rsid w:val="00E2430D"/>
    <w:rsid w:val="00E24767"/>
    <w:rsid w:val="00E249B8"/>
    <w:rsid w:val="00E24B25"/>
    <w:rsid w:val="00E25081"/>
    <w:rsid w:val="00E25096"/>
    <w:rsid w:val="00E25760"/>
    <w:rsid w:val="00E25904"/>
    <w:rsid w:val="00E25B27"/>
    <w:rsid w:val="00E25DF3"/>
    <w:rsid w:val="00E25F97"/>
    <w:rsid w:val="00E26DA1"/>
    <w:rsid w:val="00E27147"/>
    <w:rsid w:val="00E27308"/>
    <w:rsid w:val="00E27EF2"/>
    <w:rsid w:val="00E30F4E"/>
    <w:rsid w:val="00E311A6"/>
    <w:rsid w:val="00E31EE5"/>
    <w:rsid w:val="00E32AF5"/>
    <w:rsid w:val="00E336C4"/>
    <w:rsid w:val="00E3379C"/>
    <w:rsid w:val="00E338D8"/>
    <w:rsid w:val="00E3725E"/>
    <w:rsid w:val="00E37770"/>
    <w:rsid w:val="00E37864"/>
    <w:rsid w:val="00E37999"/>
    <w:rsid w:val="00E37EE9"/>
    <w:rsid w:val="00E40BA3"/>
    <w:rsid w:val="00E41388"/>
    <w:rsid w:val="00E417D2"/>
    <w:rsid w:val="00E418C0"/>
    <w:rsid w:val="00E42241"/>
    <w:rsid w:val="00E4274E"/>
    <w:rsid w:val="00E42C55"/>
    <w:rsid w:val="00E430DA"/>
    <w:rsid w:val="00E43908"/>
    <w:rsid w:val="00E44232"/>
    <w:rsid w:val="00E45428"/>
    <w:rsid w:val="00E45F90"/>
    <w:rsid w:val="00E47734"/>
    <w:rsid w:val="00E51FF9"/>
    <w:rsid w:val="00E536C7"/>
    <w:rsid w:val="00E554E6"/>
    <w:rsid w:val="00E556EB"/>
    <w:rsid w:val="00E55749"/>
    <w:rsid w:val="00E55AB3"/>
    <w:rsid w:val="00E57083"/>
    <w:rsid w:val="00E576BE"/>
    <w:rsid w:val="00E57E21"/>
    <w:rsid w:val="00E60262"/>
    <w:rsid w:val="00E61CFF"/>
    <w:rsid w:val="00E6485D"/>
    <w:rsid w:val="00E64994"/>
    <w:rsid w:val="00E66071"/>
    <w:rsid w:val="00E664EB"/>
    <w:rsid w:val="00E67737"/>
    <w:rsid w:val="00E67856"/>
    <w:rsid w:val="00E67EB4"/>
    <w:rsid w:val="00E70BC5"/>
    <w:rsid w:val="00E72845"/>
    <w:rsid w:val="00E72B9A"/>
    <w:rsid w:val="00E73D5F"/>
    <w:rsid w:val="00E74905"/>
    <w:rsid w:val="00E756EB"/>
    <w:rsid w:val="00E75B1A"/>
    <w:rsid w:val="00E76570"/>
    <w:rsid w:val="00E775A7"/>
    <w:rsid w:val="00E77D0F"/>
    <w:rsid w:val="00E80195"/>
    <w:rsid w:val="00E802EF"/>
    <w:rsid w:val="00E812B9"/>
    <w:rsid w:val="00E8194B"/>
    <w:rsid w:val="00E81C29"/>
    <w:rsid w:val="00E82A5B"/>
    <w:rsid w:val="00E82CE9"/>
    <w:rsid w:val="00E831B4"/>
    <w:rsid w:val="00E83644"/>
    <w:rsid w:val="00E83FF8"/>
    <w:rsid w:val="00E84EAC"/>
    <w:rsid w:val="00E84FBB"/>
    <w:rsid w:val="00E85529"/>
    <w:rsid w:val="00E865DF"/>
    <w:rsid w:val="00E87D4D"/>
    <w:rsid w:val="00E916C9"/>
    <w:rsid w:val="00E91843"/>
    <w:rsid w:val="00E923BA"/>
    <w:rsid w:val="00E926E1"/>
    <w:rsid w:val="00E93C5C"/>
    <w:rsid w:val="00E94DA2"/>
    <w:rsid w:val="00E94DFB"/>
    <w:rsid w:val="00E9612F"/>
    <w:rsid w:val="00E9627A"/>
    <w:rsid w:val="00E977F5"/>
    <w:rsid w:val="00E97F94"/>
    <w:rsid w:val="00EA074D"/>
    <w:rsid w:val="00EA1304"/>
    <w:rsid w:val="00EA2557"/>
    <w:rsid w:val="00EA3CA4"/>
    <w:rsid w:val="00EA4B8B"/>
    <w:rsid w:val="00EA4DB8"/>
    <w:rsid w:val="00EA4EF4"/>
    <w:rsid w:val="00EA531B"/>
    <w:rsid w:val="00EA54FB"/>
    <w:rsid w:val="00EA5587"/>
    <w:rsid w:val="00EA5934"/>
    <w:rsid w:val="00EA7552"/>
    <w:rsid w:val="00EB0301"/>
    <w:rsid w:val="00EB0B39"/>
    <w:rsid w:val="00EB1218"/>
    <w:rsid w:val="00EB1C3C"/>
    <w:rsid w:val="00EB1F56"/>
    <w:rsid w:val="00EB2440"/>
    <w:rsid w:val="00EB2D88"/>
    <w:rsid w:val="00EB30AF"/>
    <w:rsid w:val="00EB3C54"/>
    <w:rsid w:val="00EB48B0"/>
    <w:rsid w:val="00EB49B1"/>
    <w:rsid w:val="00EB51CD"/>
    <w:rsid w:val="00EB599F"/>
    <w:rsid w:val="00EB7438"/>
    <w:rsid w:val="00EC0FC7"/>
    <w:rsid w:val="00EC13B1"/>
    <w:rsid w:val="00EC2534"/>
    <w:rsid w:val="00EC32EA"/>
    <w:rsid w:val="00EC35C8"/>
    <w:rsid w:val="00EC3781"/>
    <w:rsid w:val="00EC3E28"/>
    <w:rsid w:val="00EC438C"/>
    <w:rsid w:val="00EC4E72"/>
    <w:rsid w:val="00EC5555"/>
    <w:rsid w:val="00EC5977"/>
    <w:rsid w:val="00EC5BCB"/>
    <w:rsid w:val="00EC7B8A"/>
    <w:rsid w:val="00EC7FA4"/>
    <w:rsid w:val="00ED031F"/>
    <w:rsid w:val="00ED06AC"/>
    <w:rsid w:val="00ED0B4B"/>
    <w:rsid w:val="00ED0E02"/>
    <w:rsid w:val="00ED1B20"/>
    <w:rsid w:val="00ED2346"/>
    <w:rsid w:val="00ED27F3"/>
    <w:rsid w:val="00ED2FF2"/>
    <w:rsid w:val="00ED39D7"/>
    <w:rsid w:val="00ED418E"/>
    <w:rsid w:val="00ED46BB"/>
    <w:rsid w:val="00ED5659"/>
    <w:rsid w:val="00ED5D03"/>
    <w:rsid w:val="00EE151A"/>
    <w:rsid w:val="00EE1D78"/>
    <w:rsid w:val="00EE1EF6"/>
    <w:rsid w:val="00EE1F45"/>
    <w:rsid w:val="00EE20E0"/>
    <w:rsid w:val="00EE2368"/>
    <w:rsid w:val="00EE3199"/>
    <w:rsid w:val="00EE3EDF"/>
    <w:rsid w:val="00EE42DE"/>
    <w:rsid w:val="00EE4BD0"/>
    <w:rsid w:val="00EE7554"/>
    <w:rsid w:val="00EE7808"/>
    <w:rsid w:val="00EF03A7"/>
    <w:rsid w:val="00EF071E"/>
    <w:rsid w:val="00EF1A62"/>
    <w:rsid w:val="00EF1DC4"/>
    <w:rsid w:val="00EF37B4"/>
    <w:rsid w:val="00EF4BE5"/>
    <w:rsid w:val="00EF60EE"/>
    <w:rsid w:val="00EF6DF4"/>
    <w:rsid w:val="00EF76E7"/>
    <w:rsid w:val="00F00C55"/>
    <w:rsid w:val="00F01E74"/>
    <w:rsid w:val="00F02407"/>
    <w:rsid w:val="00F04763"/>
    <w:rsid w:val="00F067BF"/>
    <w:rsid w:val="00F070B4"/>
    <w:rsid w:val="00F07371"/>
    <w:rsid w:val="00F07400"/>
    <w:rsid w:val="00F100D1"/>
    <w:rsid w:val="00F10172"/>
    <w:rsid w:val="00F10C78"/>
    <w:rsid w:val="00F11FE4"/>
    <w:rsid w:val="00F12140"/>
    <w:rsid w:val="00F123BF"/>
    <w:rsid w:val="00F12700"/>
    <w:rsid w:val="00F131A3"/>
    <w:rsid w:val="00F1328B"/>
    <w:rsid w:val="00F15F4F"/>
    <w:rsid w:val="00F1741E"/>
    <w:rsid w:val="00F17633"/>
    <w:rsid w:val="00F20D47"/>
    <w:rsid w:val="00F2177D"/>
    <w:rsid w:val="00F21B88"/>
    <w:rsid w:val="00F21C29"/>
    <w:rsid w:val="00F24598"/>
    <w:rsid w:val="00F24778"/>
    <w:rsid w:val="00F25BAE"/>
    <w:rsid w:val="00F264C6"/>
    <w:rsid w:val="00F26A17"/>
    <w:rsid w:val="00F26A26"/>
    <w:rsid w:val="00F27AD1"/>
    <w:rsid w:val="00F30013"/>
    <w:rsid w:val="00F3032E"/>
    <w:rsid w:val="00F3132F"/>
    <w:rsid w:val="00F31B4F"/>
    <w:rsid w:val="00F31D39"/>
    <w:rsid w:val="00F31E3C"/>
    <w:rsid w:val="00F32741"/>
    <w:rsid w:val="00F33665"/>
    <w:rsid w:val="00F3422A"/>
    <w:rsid w:val="00F34551"/>
    <w:rsid w:val="00F3764E"/>
    <w:rsid w:val="00F3770B"/>
    <w:rsid w:val="00F37776"/>
    <w:rsid w:val="00F41226"/>
    <w:rsid w:val="00F418CF"/>
    <w:rsid w:val="00F41BD0"/>
    <w:rsid w:val="00F4346B"/>
    <w:rsid w:val="00F437FD"/>
    <w:rsid w:val="00F43926"/>
    <w:rsid w:val="00F45787"/>
    <w:rsid w:val="00F4648B"/>
    <w:rsid w:val="00F464A1"/>
    <w:rsid w:val="00F46952"/>
    <w:rsid w:val="00F47D06"/>
    <w:rsid w:val="00F47ECC"/>
    <w:rsid w:val="00F47EDD"/>
    <w:rsid w:val="00F50611"/>
    <w:rsid w:val="00F506BF"/>
    <w:rsid w:val="00F50EFE"/>
    <w:rsid w:val="00F53150"/>
    <w:rsid w:val="00F534CA"/>
    <w:rsid w:val="00F5384A"/>
    <w:rsid w:val="00F54C06"/>
    <w:rsid w:val="00F55148"/>
    <w:rsid w:val="00F5528E"/>
    <w:rsid w:val="00F55558"/>
    <w:rsid w:val="00F55E90"/>
    <w:rsid w:val="00F5681B"/>
    <w:rsid w:val="00F578E3"/>
    <w:rsid w:val="00F60F27"/>
    <w:rsid w:val="00F618C2"/>
    <w:rsid w:val="00F622B6"/>
    <w:rsid w:val="00F628A3"/>
    <w:rsid w:val="00F635AC"/>
    <w:rsid w:val="00F63AFD"/>
    <w:rsid w:val="00F64A2A"/>
    <w:rsid w:val="00F64ABD"/>
    <w:rsid w:val="00F65505"/>
    <w:rsid w:val="00F662F1"/>
    <w:rsid w:val="00F67205"/>
    <w:rsid w:val="00F67589"/>
    <w:rsid w:val="00F704B6"/>
    <w:rsid w:val="00F70A07"/>
    <w:rsid w:val="00F71779"/>
    <w:rsid w:val="00F71A7E"/>
    <w:rsid w:val="00F71A9F"/>
    <w:rsid w:val="00F72023"/>
    <w:rsid w:val="00F7249D"/>
    <w:rsid w:val="00F737CE"/>
    <w:rsid w:val="00F73CE9"/>
    <w:rsid w:val="00F74530"/>
    <w:rsid w:val="00F74605"/>
    <w:rsid w:val="00F749C1"/>
    <w:rsid w:val="00F74BB4"/>
    <w:rsid w:val="00F751BE"/>
    <w:rsid w:val="00F75B18"/>
    <w:rsid w:val="00F76827"/>
    <w:rsid w:val="00F76A1F"/>
    <w:rsid w:val="00F778E9"/>
    <w:rsid w:val="00F77B4F"/>
    <w:rsid w:val="00F77DA8"/>
    <w:rsid w:val="00F8001F"/>
    <w:rsid w:val="00F801F4"/>
    <w:rsid w:val="00F801FC"/>
    <w:rsid w:val="00F80EF5"/>
    <w:rsid w:val="00F81D84"/>
    <w:rsid w:val="00F81F38"/>
    <w:rsid w:val="00F8205E"/>
    <w:rsid w:val="00F829E4"/>
    <w:rsid w:val="00F82C0F"/>
    <w:rsid w:val="00F8387B"/>
    <w:rsid w:val="00F85130"/>
    <w:rsid w:val="00F8604D"/>
    <w:rsid w:val="00F86931"/>
    <w:rsid w:val="00F871CF"/>
    <w:rsid w:val="00F8749B"/>
    <w:rsid w:val="00F87E0B"/>
    <w:rsid w:val="00F90DEB"/>
    <w:rsid w:val="00F91AAB"/>
    <w:rsid w:val="00F91F9D"/>
    <w:rsid w:val="00F92322"/>
    <w:rsid w:val="00F92F11"/>
    <w:rsid w:val="00F94357"/>
    <w:rsid w:val="00F9468A"/>
    <w:rsid w:val="00F966F2"/>
    <w:rsid w:val="00F96DCB"/>
    <w:rsid w:val="00F97255"/>
    <w:rsid w:val="00FA0E83"/>
    <w:rsid w:val="00FA14C4"/>
    <w:rsid w:val="00FA29EA"/>
    <w:rsid w:val="00FA2E77"/>
    <w:rsid w:val="00FA2F34"/>
    <w:rsid w:val="00FA3BDC"/>
    <w:rsid w:val="00FA3DDC"/>
    <w:rsid w:val="00FA644D"/>
    <w:rsid w:val="00FA73D9"/>
    <w:rsid w:val="00FA7E71"/>
    <w:rsid w:val="00FA7E7C"/>
    <w:rsid w:val="00FB036B"/>
    <w:rsid w:val="00FB06F3"/>
    <w:rsid w:val="00FB099C"/>
    <w:rsid w:val="00FB221C"/>
    <w:rsid w:val="00FB229D"/>
    <w:rsid w:val="00FB4897"/>
    <w:rsid w:val="00FB4984"/>
    <w:rsid w:val="00FB4F29"/>
    <w:rsid w:val="00FB5B0F"/>
    <w:rsid w:val="00FB7563"/>
    <w:rsid w:val="00FB77AF"/>
    <w:rsid w:val="00FB7B76"/>
    <w:rsid w:val="00FB7F1F"/>
    <w:rsid w:val="00FC0312"/>
    <w:rsid w:val="00FC0711"/>
    <w:rsid w:val="00FC08F4"/>
    <w:rsid w:val="00FC18FC"/>
    <w:rsid w:val="00FC2673"/>
    <w:rsid w:val="00FC26FE"/>
    <w:rsid w:val="00FC2F60"/>
    <w:rsid w:val="00FC3473"/>
    <w:rsid w:val="00FC40A3"/>
    <w:rsid w:val="00FC4341"/>
    <w:rsid w:val="00FC474B"/>
    <w:rsid w:val="00FC51D8"/>
    <w:rsid w:val="00FC54F5"/>
    <w:rsid w:val="00FC5786"/>
    <w:rsid w:val="00FC5C16"/>
    <w:rsid w:val="00FC62BB"/>
    <w:rsid w:val="00FC694C"/>
    <w:rsid w:val="00FC768A"/>
    <w:rsid w:val="00FC7EBB"/>
    <w:rsid w:val="00FD044A"/>
    <w:rsid w:val="00FD050F"/>
    <w:rsid w:val="00FD283A"/>
    <w:rsid w:val="00FD2EA6"/>
    <w:rsid w:val="00FD355D"/>
    <w:rsid w:val="00FD3598"/>
    <w:rsid w:val="00FD3719"/>
    <w:rsid w:val="00FD3FA1"/>
    <w:rsid w:val="00FD5478"/>
    <w:rsid w:val="00FD6D4C"/>
    <w:rsid w:val="00FD742F"/>
    <w:rsid w:val="00FE16A4"/>
    <w:rsid w:val="00FE1D1E"/>
    <w:rsid w:val="00FE2625"/>
    <w:rsid w:val="00FE2988"/>
    <w:rsid w:val="00FE2ED1"/>
    <w:rsid w:val="00FE5EFF"/>
    <w:rsid w:val="00FE6756"/>
    <w:rsid w:val="00FE6A9A"/>
    <w:rsid w:val="00FF015C"/>
    <w:rsid w:val="00FF1B8F"/>
    <w:rsid w:val="00FF2148"/>
    <w:rsid w:val="00FF27F9"/>
    <w:rsid w:val="00FF32E5"/>
    <w:rsid w:val="00FF35CB"/>
    <w:rsid w:val="00FF383B"/>
    <w:rsid w:val="00FF3907"/>
    <w:rsid w:val="00FF41AC"/>
    <w:rsid w:val="00FF4FB6"/>
    <w:rsid w:val="00FF59B4"/>
    <w:rsid w:val="00FF5CFC"/>
    <w:rsid w:val="00FF5E4A"/>
    <w:rsid w:val="00FF609F"/>
    <w:rsid w:val="00FF67ED"/>
    <w:rsid w:val="00FF7834"/>
    <w:rsid w:val="00FF7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unhideWhenUsed/>
    <w:rsid w:val="00821C17"/>
    <w:pPr>
      <w:spacing w:after="0"/>
    </w:pPr>
    <w:rPr>
      <w:sz w:val="18"/>
      <w:szCs w:val="20"/>
    </w:rPr>
  </w:style>
  <w:style w:type="character" w:customStyle="1" w:styleId="FootnoteTextChar">
    <w:name w:val="Footnote Text Char"/>
    <w:basedOn w:val="DefaultParagraphFont"/>
    <w:link w:val="FootnoteText"/>
    <w:uiPriority w:val="99"/>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unhideWhenUsed/>
    <w:rsid w:val="00821C17"/>
    <w:pPr>
      <w:spacing w:after="0"/>
    </w:pPr>
    <w:rPr>
      <w:sz w:val="18"/>
      <w:szCs w:val="20"/>
    </w:rPr>
  </w:style>
  <w:style w:type="character" w:customStyle="1" w:styleId="FootnoteTextChar">
    <w:name w:val="Footnote Text Char"/>
    <w:basedOn w:val="DefaultParagraphFont"/>
    <w:link w:val="FootnoteText"/>
    <w:uiPriority w:val="99"/>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877">
      <w:bodyDiv w:val="1"/>
      <w:marLeft w:val="0"/>
      <w:marRight w:val="0"/>
      <w:marTop w:val="0"/>
      <w:marBottom w:val="0"/>
      <w:divBdr>
        <w:top w:val="none" w:sz="0" w:space="0" w:color="auto"/>
        <w:left w:val="none" w:sz="0" w:space="0" w:color="auto"/>
        <w:bottom w:val="none" w:sz="0" w:space="0" w:color="auto"/>
        <w:right w:val="none" w:sz="0" w:space="0" w:color="auto"/>
      </w:divBdr>
    </w:div>
    <w:div w:id="40370622">
      <w:bodyDiv w:val="1"/>
      <w:marLeft w:val="0"/>
      <w:marRight w:val="0"/>
      <w:marTop w:val="0"/>
      <w:marBottom w:val="0"/>
      <w:divBdr>
        <w:top w:val="none" w:sz="0" w:space="0" w:color="auto"/>
        <w:left w:val="none" w:sz="0" w:space="0" w:color="auto"/>
        <w:bottom w:val="none" w:sz="0" w:space="0" w:color="auto"/>
        <w:right w:val="none" w:sz="0" w:space="0" w:color="auto"/>
      </w:divBdr>
    </w:div>
    <w:div w:id="100882748">
      <w:bodyDiv w:val="1"/>
      <w:marLeft w:val="0"/>
      <w:marRight w:val="0"/>
      <w:marTop w:val="0"/>
      <w:marBottom w:val="0"/>
      <w:divBdr>
        <w:top w:val="none" w:sz="0" w:space="0" w:color="auto"/>
        <w:left w:val="none" w:sz="0" w:space="0" w:color="auto"/>
        <w:bottom w:val="none" w:sz="0" w:space="0" w:color="auto"/>
        <w:right w:val="none" w:sz="0" w:space="0" w:color="auto"/>
      </w:divBdr>
    </w:div>
    <w:div w:id="112865301">
      <w:bodyDiv w:val="1"/>
      <w:marLeft w:val="0"/>
      <w:marRight w:val="0"/>
      <w:marTop w:val="0"/>
      <w:marBottom w:val="0"/>
      <w:divBdr>
        <w:top w:val="none" w:sz="0" w:space="0" w:color="auto"/>
        <w:left w:val="none" w:sz="0" w:space="0" w:color="auto"/>
        <w:bottom w:val="none" w:sz="0" w:space="0" w:color="auto"/>
        <w:right w:val="none" w:sz="0" w:space="0" w:color="auto"/>
      </w:divBdr>
    </w:div>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122771577">
      <w:bodyDiv w:val="1"/>
      <w:marLeft w:val="0"/>
      <w:marRight w:val="0"/>
      <w:marTop w:val="0"/>
      <w:marBottom w:val="0"/>
      <w:divBdr>
        <w:top w:val="none" w:sz="0" w:space="0" w:color="auto"/>
        <w:left w:val="none" w:sz="0" w:space="0" w:color="auto"/>
        <w:bottom w:val="none" w:sz="0" w:space="0" w:color="auto"/>
        <w:right w:val="none" w:sz="0" w:space="0" w:color="auto"/>
      </w:divBdr>
    </w:div>
    <w:div w:id="138232259">
      <w:bodyDiv w:val="1"/>
      <w:marLeft w:val="0"/>
      <w:marRight w:val="0"/>
      <w:marTop w:val="0"/>
      <w:marBottom w:val="0"/>
      <w:divBdr>
        <w:top w:val="none" w:sz="0" w:space="0" w:color="auto"/>
        <w:left w:val="none" w:sz="0" w:space="0" w:color="auto"/>
        <w:bottom w:val="none" w:sz="0" w:space="0" w:color="auto"/>
        <w:right w:val="none" w:sz="0" w:space="0" w:color="auto"/>
      </w:divBdr>
    </w:div>
    <w:div w:id="170753780">
      <w:bodyDiv w:val="1"/>
      <w:marLeft w:val="0"/>
      <w:marRight w:val="0"/>
      <w:marTop w:val="0"/>
      <w:marBottom w:val="0"/>
      <w:divBdr>
        <w:top w:val="none" w:sz="0" w:space="0" w:color="auto"/>
        <w:left w:val="none" w:sz="0" w:space="0" w:color="auto"/>
        <w:bottom w:val="none" w:sz="0" w:space="0" w:color="auto"/>
        <w:right w:val="none" w:sz="0" w:space="0" w:color="auto"/>
      </w:divBdr>
    </w:div>
    <w:div w:id="218519426">
      <w:bodyDiv w:val="1"/>
      <w:marLeft w:val="0"/>
      <w:marRight w:val="0"/>
      <w:marTop w:val="0"/>
      <w:marBottom w:val="0"/>
      <w:divBdr>
        <w:top w:val="none" w:sz="0" w:space="0" w:color="auto"/>
        <w:left w:val="none" w:sz="0" w:space="0" w:color="auto"/>
        <w:bottom w:val="none" w:sz="0" w:space="0" w:color="auto"/>
        <w:right w:val="none" w:sz="0" w:space="0" w:color="auto"/>
      </w:divBdr>
    </w:div>
    <w:div w:id="240408527">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352195757">
      <w:bodyDiv w:val="1"/>
      <w:marLeft w:val="0"/>
      <w:marRight w:val="0"/>
      <w:marTop w:val="0"/>
      <w:marBottom w:val="0"/>
      <w:divBdr>
        <w:top w:val="none" w:sz="0" w:space="0" w:color="auto"/>
        <w:left w:val="none" w:sz="0" w:space="0" w:color="auto"/>
        <w:bottom w:val="none" w:sz="0" w:space="0" w:color="auto"/>
        <w:right w:val="none" w:sz="0" w:space="0" w:color="auto"/>
      </w:divBdr>
    </w:div>
    <w:div w:id="367989791">
      <w:bodyDiv w:val="1"/>
      <w:marLeft w:val="0"/>
      <w:marRight w:val="0"/>
      <w:marTop w:val="0"/>
      <w:marBottom w:val="0"/>
      <w:divBdr>
        <w:top w:val="none" w:sz="0" w:space="0" w:color="auto"/>
        <w:left w:val="none" w:sz="0" w:space="0" w:color="auto"/>
        <w:bottom w:val="none" w:sz="0" w:space="0" w:color="auto"/>
        <w:right w:val="none" w:sz="0" w:space="0" w:color="auto"/>
      </w:divBdr>
    </w:div>
    <w:div w:id="428544070">
      <w:bodyDiv w:val="1"/>
      <w:marLeft w:val="0"/>
      <w:marRight w:val="0"/>
      <w:marTop w:val="0"/>
      <w:marBottom w:val="0"/>
      <w:divBdr>
        <w:top w:val="none" w:sz="0" w:space="0" w:color="auto"/>
        <w:left w:val="none" w:sz="0" w:space="0" w:color="auto"/>
        <w:bottom w:val="none" w:sz="0" w:space="0" w:color="auto"/>
        <w:right w:val="none" w:sz="0" w:space="0" w:color="auto"/>
      </w:divBdr>
    </w:div>
    <w:div w:id="476722670">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130221589">
                                      <w:marLeft w:val="0"/>
                                      <w:marRight w:val="0"/>
                                      <w:marTop w:val="332"/>
                                      <w:marBottom w:val="332"/>
                                      <w:divBdr>
                                        <w:top w:val="none" w:sz="0" w:space="0" w:color="auto"/>
                                        <w:left w:val="none" w:sz="0" w:space="0" w:color="auto"/>
                                        <w:bottom w:val="none" w:sz="0" w:space="0" w:color="auto"/>
                                        <w:right w:val="none" w:sz="0" w:space="0" w:color="auto"/>
                                      </w:divBdr>
                                      <w:divsChild>
                                        <w:div w:id="122963029">
                                          <w:marLeft w:val="0"/>
                                          <w:marRight w:val="0"/>
                                          <w:marTop w:val="0"/>
                                          <w:marBottom w:val="0"/>
                                          <w:divBdr>
                                            <w:top w:val="none" w:sz="0" w:space="0" w:color="auto"/>
                                            <w:left w:val="none" w:sz="0" w:space="0" w:color="auto"/>
                                            <w:bottom w:val="none" w:sz="0" w:space="0" w:color="auto"/>
                                            <w:right w:val="none" w:sz="0" w:space="0" w:color="auto"/>
                                          </w:divBdr>
                                        </w:div>
                                        <w:div w:id="2103060282">
                                          <w:marLeft w:val="0"/>
                                          <w:marRight w:val="0"/>
                                          <w:marTop w:val="0"/>
                                          <w:marBottom w:val="0"/>
                                          <w:divBdr>
                                            <w:top w:val="none" w:sz="0" w:space="0" w:color="auto"/>
                                            <w:left w:val="none" w:sz="0" w:space="0" w:color="auto"/>
                                            <w:bottom w:val="none" w:sz="0" w:space="0" w:color="auto"/>
                                            <w:right w:val="none" w:sz="0" w:space="0" w:color="auto"/>
                                          </w:divBdr>
                                        </w:div>
                                      </w:divsChild>
                                    </w:div>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 w:id="121597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648255">
      <w:bodyDiv w:val="1"/>
      <w:marLeft w:val="0"/>
      <w:marRight w:val="0"/>
      <w:marTop w:val="0"/>
      <w:marBottom w:val="0"/>
      <w:divBdr>
        <w:top w:val="none" w:sz="0" w:space="0" w:color="auto"/>
        <w:left w:val="none" w:sz="0" w:space="0" w:color="auto"/>
        <w:bottom w:val="none" w:sz="0" w:space="0" w:color="auto"/>
        <w:right w:val="none" w:sz="0" w:space="0" w:color="auto"/>
      </w:divBdr>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065758475">
                          <w:marLeft w:val="0"/>
                          <w:marRight w:val="0"/>
                          <w:marTop w:val="0"/>
                          <w:marBottom w:val="0"/>
                          <w:divBdr>
                            <w:top w:val="none" w:sz="0" w:space="0" w:color="auto"/>
                            <w:left w:val="none" w:sz="0" w:space="0" w:color="auto"/>
                            <w:bottom w:val="none" w:sz="0" w:space="0" w:color="auto"/>
                            <w:right w:val="none" w:sz="0" w:space="0" w:color="auto"/>
                          </w:divBdr>
                        </w:div>
                        <w:div w:id="16364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 w:id="1280992866">
                                  <w:marLeft w:val="0"/>
                                  <w:marRight w:val="0"/>
                                  <w:marTop w:val="0"/>
                                  <w:marBottom w:val="0"/>
                                  <w:divBdr>
                                    <w:top w:val="none" w:sz="0" w:space="0" w:color="auto"/>
                                    <w:left w:val="none" w:sz="0" w:space="0" w:color="auto"/>
                                    <w:bottom w:val="none" w:sz="0" w:space="0" w:color="auto"/>
                                    <w:right w:val="none" w:sz="0" w:space="0" w:color="auto"/>
                                  </w:divBdr>
                                </w:div>
                                <w:div w:id="1397505884">
                                  <w:marLeft w:val="0"/>
                                  <w:marRight w:val="0"/>
                                  <w:marTop w:val="0"/>
                                  <w:marBottom w:val="0"/>
                                  <w:divBdr>
                                    <w:top w:val="none" w:sz="0" w:space="0" w:color="auto"/>
                                    <w:left w:val="none" w:sz="0" w:space="0" w:color="auto"/>
                                    <w:bottom w:val="none" w:sz="0" w:space="0" w:color="auto"/>
                                    <w:right w:val="none" w:sz="0" w:space="0" w:color="auto"/>
                                  </w:divBdr>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450588569">
                                  <w:marLeft w:val="0"/>
                                  <w:marRight w:val="0"/>
                                  <w:marTop w:val="0"/>
                                  <w:marBottom w:val="0"/>
                                  <w:divBdr>
                                    <w:top w:val="none" w:sz="0" w:space="0" w:color="auto"/>
                                    <w:left w:val="none" w:sz="0" w:space="0" w:color="auto"/>
                                    <w:bottom w:val="none" w:sz="0" w:space="0" w:color="auto"/>
                                    <w:right w:val="none" w:sz="0" w:space="0" w:color="auto"/>
                                  </w:divBdr>
                                </w:div>
                                <w:div w:id="12613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876117084">
                              <w:marLeft w:val="0"/>
                              <w:marRight w:val="0"/>
                              <w:marTop w:val="0"/>
                              <w:marBottom w:val="0"/>
                              <w:divBdr>
                                <w:top w:val="none" w:sz="0" w:space="0" w:color="auto"/>
                                <w:left w:val="none" w:sz="0" w:space="0" w:color="auto"/>
                                <w:bottom w:val="none" w:sz="0" w:space="0" w:color="auto"/>
                                <w:right w:val="none" w:sz="0" w:space="0" w:color="auto"/>
                              </w:divBdr>
                            </w:div>
                            <w:div w:id="12419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902567828">
              <w:marLeft w:val="0"/>
              <w:marRight w:val="0"/>
              <w:marTop w:val="0"/>
              <w:marBottom w:val="0"/>
              <w:divBdr>
                <w:top w:val="none" w:sz="0" w:space="0" w:color="auto"/>
                <w:left w:val="none" w:sz="0" w:space="0" w:color="auto"/>
                <w:bottom w:val="none" w:sz="0" w:space="0" w:color="auto"/>
                <w:right w:val="none" w:sz="0" w:space="0" w:color="auto"/>
              </w:divBdr>
              <w:divsChild>
                <w:div w:id="399596678">
                  <w:marLeft w:val="0"/>
                  <w:marRight w:val="0"/>
                  <w:marTop w:val="0"/>
                  <w:marBottom w:val="0"/>
                  <w:divBdr>
                    <w:top w:val="none" w:sz="0" w:space="0" w:color="auto"/>
                    <w:left w:val="none" w:sz="0" w:space="0" w:color="auto"/>
                    <w:bottom w:val="none" w:sz="0" w:space="0" w:color="auto"/>
                    <w:right w:val="none" w:sz="0" w:space="0" w:color="auto"/>
                  </w:divBdr>
                </w:div>
                <w:div w:id="1648634160">
                  <w:marLeft w:val="0"/>
                  <w:marRight w:val="0"/>
                  <w:marTop w:val="0"/>
                  <w:marBottom w:val="0"/>
                  <w:divBdr>
                    <w:top w:val="none" w:sz="0" w:space="0" w:color="auto"/>
                    <w:left w:val="none" w:sz="0" w:space="0" w:color="auto"/>
                    <w:bottom w:val="none" w:sz="0" w:space="0" w:color="auto"/>
                    <w:right w:val="none" w:sz="0" w:space="0" w:color="auto"/>
                  </w:divBdr>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26318412">
                  <w:marLeft w:val="0"/>
                  <w:marRight w:val="0"/>
                  <w:marTop w:val="0"/>
                  <w:marBottom w:val="0"/>
                  <w:divBdr>
                    <w:top w:val="none" w:sz="0" w:space="0" w:color="auto"/>
                    <w:left w:val="none" w:sz="0" w:space="0" w:color="auto"/>
                    <w:bottom w:val="none" w:sz="0" w:space="0" w:color="auto"/>
                    <w:right w:val="none" w:sz="0" w:space="0" w:color="auto"/>
                  </w:divBdr>
                  <w:divsChild>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50949">
                      <w:marLeft w:val="0"/>
                      <w:marRight w:val="0"/>
                      <w:marTop w:val="0"/>
                      <w:marBottom w:val="0"/>
                      <w:divBdr>
                        <w:top w:val="none" w:sz="0" w:space="0" w:color="auto"/>
                        <w:left w:val="none" w:sz="0" w:space="0" w:color="auto"/>
                        <w:bottom w:val="none" w:sz="0" w:space="0" w:color="auto"/>
                        <w:right w:val="none" w:sz="0" w:space="0" w:color="auto"/>
                      </w:divBdr>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67451220">
                  <w:marLeft w:val="0"/>
                  <w:marRight w:val="0"/>
                  <w:marTop w:val="0"/>
                  <w:marBottom w:val="0"/>
                  <w:divBdr>
                    <w:top w:val="none" w:sz="0" w:space="0" w:color="auto"/>
                    <w:left w:val="none" w:sz="0" w:space="0" w:color="auto"/>
                    <w:bottom w:val="none" w:sz="0" w:space="0" w:color="auto"/>
                    <w:right w:val="none" w:sz="0" w:space="0" w:color="auto"/>
                  </w:divBdr>
                  <w:divsChild>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1389643201">
                              <w:marLeft w:val="0"/>
                              <w:marRight w:val="0"/>
                              <w:marTop w:val="0"/>
                              <w:marBottom w:val="0"/>
                              <w:divBdr>
                                <w:top w:val="none" w:sz="0" w:space="0" w:color="auto"/>
                                <w:left w:val="none" w:sz="0" w:space="0" w:color="auto"/>
                                <w:bottom w:val="none" w:sz="0" w:space="0" w:color="auto"/>
                                <w:right w:val="none" w:sz="0" w:space="0" w:color="auto"/>
                              </w:divBdr>
                            </w:div>
                            <w:div w:id="20139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098526763">
                              <w:marLeft w:val="0"/>
                              <w:marRight w:val="0"/>
                              <w:marTop w:val="0"/>
                              <w:marBottom w:val="0"/>
                              <w:divBdr>
                                <w:top w:val="none" w:sz="0" w:space="0" w:color="auto"/>
                                <w:left w:val="none" w:sz="0" w:space="0" w:color="auto"/>
                                <w:bottom w:val="none" w:sz="0" w:space="0" w:color="auto"/>
                                <w:right w:val="none" w:sz="0" w:space="0" w:color="auto"/>
                              </w:divBdr>
                            </w:div>
                            <w:div w:id="15853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417031">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119422550">
                                  <w:marLeft w:val="0"/>
                                  <w:marRight w:val="0"/>
                                  <w:marTop w:val="0"/>
                                  <w:marBottom w:val="0"/>
                                  <w:divBdr>
                                    <w:top w:val="none" w:sz="0" w:space="0" w:color="auto"/>
                                    <w:left w:val="none" w:sz="0" w:space="0" w:color="auto"/>
                                    <w:bottom w:val="none" w:sz="0" w:space="0" w:color="auto"/>
                                    <w:right w:val="none" w:sz="0" w:space="0" w:color="auto"/>
                                  </w:divBdr>
                                </w:div>
                                <w:div w:id="180322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512453383">
                  <w:marLeft w:val="0"/>
                  <w:marRight w:val="0"/>
                  <w:marTop w:val="0"/>
                  <w:marBottom w:val="0"/>
                  <w:divBdr>
                    <w:top w:val="none" w:sz="0" w:space="0" w:color="auto"/>
                    <w:left w:val="none" w:sz="0" w:space="0" w:color="auto"/>
                    <w:bottom w:val="none" w:sz="0" w:space="0" w:color="auto"/>
                    <w:right w:val="none" w:sz="0" w:space="0" w:color="auto"/>
                  </w:divBdr>
                </w:div>
                <w:div w:id="722562539">
                  <w:marLeft w:val="0"/>
                  <w:marRight w:val="0"/>
                  <w:marTop w:val="0"/>
                  <w:marBottom w:val="0"/>
                  <w:divBdr>
                    <w:top w:val="none" w:sz="0" w:space="0" w:color="auto"/>
                    <w:left w:val="none" w:sz="0" w:space="0" w:color="auto"/>
                    <w:bottom w:val="none" w:sz="0" w:space="0" w:color="auto"/>
                    <w:right w:val="none" w:sz="0" w:space="0" w:color="auto"/>
                  </w:divBdr>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89804375">
                      <w:marLeft w:val="0"/>
                      <w:marRight w:val="0"/>
                      <w:marTop w:val="0"/>
                      <w:marBottom w:val="0"/>
                      <w:divBdr>
                        <w:top w:val="none" w:sz="0" w:space="0" w:color="auto"/>
                        <w:left w:val="none" w:sz="0" w:space="0" w:color="auto"/>
                        <w:bottom w:val="none" w:sz="0" w:space="0" w:color="auto"/>
                        <w:right w:val="none" w:sz="0" w:space="0" w:color="auto"/>
                      </w:divBdr>
                    </w:div>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896207324">
                                  <w:marLeft w:val="0"/>
                                  <w:marRight w:val="0"/>
                                  <w:marTop w:val="0"/>
                                  <w:marBottom w:val="0"/>
                                  <w:divBdr>
                                    <w:top w:val="none" w:sz="0" w:space="0" w:color="auto"/>
                                    <w:left w:val="none" w:sz="0" w:space="0" w:color="auto"/>
                                    <w:bottom w:val="none" w:sz="0" w:space="0" w:color="auto"/>
                                    <w:right w:val="none" w:sz="0" w:space="0" w:color="auto"/>
                                  </w:divBdr>
                                </w:div>
                                <w:div w:id="10039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6706">
                      <w:marLeft w:val="0"/>
                      <w:marRight w:val="0"/>
                      <w:marTop w:val="0"/>
                      <w:marBottom w:val="0"/>
                      <w:divBdr>
                        <w:top w:val="none" w:sz="0" w:space="0" w:color="auto"/>
                        <w:left w:val="none" w:sz="0" w:space="0" w:color="auto"/>
                        <w:bottom w:val="none" w:sz="0" w:space="0" w:color="auto"/>
                        <w:right w:val="none" w:sz="0" w:space="0" w:color="auto"/>
                      </w:divBdr>
                    </w:div>
                    <w:div w:id="901401883">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14550">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410933806">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3370">
      <w:bodyDiv w:val="1"/>
      <w:marLeft w:val="0"/>
      <w:marRight w:val="0"/>
      <w:marTop w:val="0"/>
      <w:marBottom w:val="0"/>
      <w:divBdr>
        <w:top w:val="none" w:sz="0" w:space="0" w:color="auto"/>
        <w:left w:val="none" w:sz="0" w:space="0" w:color="auto"/>
        <w:bottom w:val="none" w:sz="0" w:space="0" w:color="auto"/>
        <w:right w:val="none" w:sz="0" w:space="0" w:color="auto"/>
      </w:divBdr>
      <w:divsChild>
        <w:div w:id="238683531">
          <w:marLeft w:val="0"/>
          <w:marRight w:val="0"/>
          <w:marTop w:val="0"/>
          <w:marBottom w:val="0"/>
          <w:divBdr>
            <w:top w:val="none" w:sz="0" w:space="0" w:color="auto"/>
            <w:left w:val="none" w:sz="0" w:space="0" w:color="auto"/>
            <w:bottom w:val="none" w:sz="0" w:space="0" w:color="auto"/>
            <w:right w:val="none" w:sz="0" w:space="0" w:color="auto"/>
          </w:divBdr>
          <w:divsChild>
            <w:div w:id="1395393767">
              <w:marLeft w:val="0"/>
              <w:marRight w:val="0"/>
              <w:marTop w:val="0"/>
              <w:marBottom w:val="0"/>
              <w:divBdr>
                <w:top w:val="none" w:sz="0" w:space="0" w:color="auto"/>
                <w:left w:val="none" w:sz="0" w:space="0" w:color="auto"/>
                <w:bottom w:val="none" w:sz="0" w:space="0" w:color="auto"/>
                <w:right w:val="none" w:sz="0" w:space="0" w:color="auto"/>
              </w:divBdr>
              <w:divsChild>
                <w:div w:id="199586025">
                  <w:marLeft w:val="0"/>
                  <w:marRight w:val="0"/>
                  <w:marTop w:val="0"/>
                  <w:marBottom w:val="0"/>
                  <w:divBdr>
                    <w:top w:val="none" w:sz="0" w:space="0" w:color="auto"/>
                    <w:left w:val="none" w:sz="0" w:space="0" w:color="auto"/>
                    <w:bottom w:val="none" w:sz="0" w:space="0" w:color="auto"/>
                    <w:right w:val="none" w:sz="0" w:space="0" w:color="auto"/>
                  </w:divBdr>
                  <w:divsChild>
                    <w:div w:id="2038697395">
                      <w:marLeft w:val="0"/>
                      <w:marRight w:val="0"/>
                      <w:marTop w:val="0"/>
                      <w:marBottom w:val="0"/>
                      <w:divBdr>
                        <w:top w:val="none" w:sz="0" w:space="0" w:color="auto"/>
                        <w:left w:val="none" w:sz="0" w:space="0" w:color="auto"/>
                        <w:bottom w:val="none" w:sz="0" w:space="0" w:color="auto"/>
                        <w:right w:val="none" w:sz="0" w:space="0" w:color="auto"/>
                      </w:divBdr>
                    </w:div>
                    <w:div w:id="1401174267">
                      <w:marLeft w:val="0"/>
                      <w:marRight w:val="0"/>
                      <w:marTop w:val="0"/>
                      <w:marBottom w:val="0"/>
                      <w:divBdr>
                        <w:top w:val="none" w:sz="0" w:space="0" w:color="auto"/>
                        <w:left w:val="none" w:sz="0" w:space="0" w:color="auto"/>
                        <w:bottom w:val="none" w:sz="0" w:space="0" w:color="auto"/>
                        <w:right w:val="none" w:sz="0" w:space="0" w:color="auto"/>
                      </w:divBdr>
                      <w:divsChild>
                        <w:div w:id="257953425">
                          <w:marLeft w:val="0"/>
                          <w:marRight w:val="0"/>
                          <w:marTop w:val="0"/>
                          <w:marBottom w:val="0"/>
                          <w:divBdr>
                            <w:top w:val="none" w:sz="0" w:space="0" w:color="auto"/>
                            <w:left w:val="none" w:sz="0" w:space="0" w:color="auto"/>
                            <w:bottom w:val="none" w:sz="0" w:space="0" w:color="auto"/>
                            <w:right w:val="none" w:sz="0" w:space="0" w:color="auto"/>
                          </w:divBdr>
                        </w:div>
                      </w:divsChild>
                    </w:div>
                    <w:div w:id="1319573329">
                      <w:marLeft w:val="0"/>
                      <w:marRight w:val="0"/>
                      <w:marTop w:val="0"/>
                      <w:marBottom w:val="0"/>
                      <w:divBdr>
                        <w:top w:val="none" w:sz="0" w:space="0" w:color="auto"/>
                        <w:left w:val="none" w:sz="0" w:space="0" w:color="auto"/>
                        <w:bottom w:val="none" w:sz="0" w:space="0" w:color="auto"/>
                        <w:right w:val="none" w:sz="0" w:space="0" w:color="auto"/>
                      </w:divBdr>
                      <w:divsChild>
                        <w:div w:id="91125637">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sChild>
            </w:div>
          </w:divsChild>
        </w:div>
      </w:divsChild>
    </w:div>
    <w:div w:id="593051658">
      <w:bodyDiv w:val="1"/>
      <w:marLeft w:val="0"/>
      <w:marRight w:val="0"/>
      <w:marTop w:val="0"/>
      <w:marBottom w:val="0"/>
      <w:divBdr>
        <w:top w:val="none" w:sz="0" w:space="0" w:color="auto"/>
        <w:left w:val="none" w:sz="0" w:space="0" w:color="auto"/>
        <w:bottom w:val="none" w:sz="0" w:space="0" w:color="auto"/>
        <w:right w:val="none" w:sz="0" w:space="0" w:color="auto"/>
      </w:divBdr>
    </w:div>
    <w:div w:id="637494939">
      <w:bodyDiv w:val="1"/>
      <w:marLeft w:val="0"/>
      <w:marRight w:val="0"/>
      <w:marTop w:val="0"/>
      <w:marBottom w:val="0"/>
      <w:divBdr>
        <w:top w:val="none" w:sz="0" w:space="0" w:color="auto"/>
        <w:left w:val="none" w:sz="0" w:space="0" w:color="auto"/>
        <w:bottom w:val="none" w:sz="0" w:space="0" w:color="auto"/>
        <w:right w:val="none" w:sz="0" w:space="0" w:color="auto"/>
      </w:divBdr>
    </w:div>
    <w:div w:id="655377048">
      <w:bodyDiv w:val="1"/>
      <w:marLeft w:val="0"/>
      <w:marRight w:val="0"/>
      <w:marTop w:val="0"/>
      <w:marBottom w:val="0"/>
      <w:divBdr>
        <w:top w:val="none" w:sz="0" w:space="0" w:color="auto"/>
        <w:left w:val="none" w:sz="0" w:space="0" w:color="auto"/>
        <w:bottom w:val="none" w:sz="0" w:space="0" w:color="auto"/>
        <w:right w:val="none" w:sz="0" w:space="0" w:color="auto"/>
      </w:divBdr>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385448073">
          <w:marLeft w:val="0"/>
          <w:marRight w:val="0"/>
          <w:marTop w:val="0"/>
          <w:marBottom w:val="0"/>
          <w:divBdr>
            <w:top w:val="none" w:sz="0" w:space="0" w:color="auto"/>
            <w:left w:val="none" w:sz="0" w:space="0" w:color="auto"/>
            <w:bottom w:val="none" w:sz="0" w:space="0" w:color="auto"/>
            <w:right w:val="none" w:sz="0" w:space="0" w:color="auto"/>
          </w:divBdr>
        </w:div>
        <w:div w:id="1853181576">
          <w:marLeft w:val="0"/>
          <w:marRight w:val="0"/>
          <w:marTop w:val="0"/>
          <w:marBottom w:val="0"/>
          <w:divBdr>
            <w:top w:val="none" w:sz="0" w:space="0" w:color="auto"/>
            <w:left w:val="none" w:sz="0" w:space="0" w:color="auto"/>
            <w:bottom w:val="none" w:sz="0" w:space="0" w:color="auto"/>
            <w:right w:val="none" w:sz="0" w:space="0" w:color="auto"/>
          </w:divBdr>
        </w:div>
      </w:divsChild>
    </w:div>
    <w:div w:id="675306575">
      <w:bodyDiv w:val="1"/>
      <w:marLeft w:val="0"/>
      <w:marRight w:val="0"/>
      <w:marTop w:val="0"/>
      <w:marBottom w:val="0"/>
      <w:divBdr>
        <w:top w:val="none" w:sz="0" w:space="0" w:color="auto"/>
        <w:left w:val="none" w:sz="0" w:space="0" w:color="auto"/>
        <w:bottom w:val="none" w:sz="0" w:space="0" w:color="auto"/>
        <w:right w:val="none" w:sz="0" w:space="0" w:color="auto"/>
      </w:divBdr>
    </w:div>
    <w:div w:id="697045164">
      <w:bodyDiv w:val="1"/>
      <w:marLeft w:val="0"/>
      <w:marRight w:val="0"/>
      <w:marTop w:val="0"/>
      <w:marBottom w:val="0"/>
      <w:divBdr>
        <w:top w:val="none" w:sz="0" w:space="0" w:color="auto"/>
        <w:left w:val="none" w:sz="0" w:space="0" w:color="auto"/>
        <w:bottom w:val="none" w:sz="0" w:space="0" w:color="auto"/>
        <w:right w:val="none" w:sz="0" w:space="0" w:color="auto"/>
      </w:divBdr>
      <w:divsChild>
        <w:div w:id="1162306808">
          <w:marLeft w:val="0"/>
          <w:marRight w:val="0"/>
          <w:marTop w:val="0"/>
          <w:marBottom w:val="0"/>
          <w:divBdr>
            <w:top w:val="none" w:sz="0" w:space="0" w:color="auto"/>
            <w:left w:val="none" w:sz="0" w:space="0" w:color="auto"/>
            <w:bottom w:val="none" w:sz="0" w:space="0" w:color="auto"/>
            <w:right w:val="none" w:sz="0" w:space="0" w:color="auto"/>
          </w:divBdr>
          <w:divsChild>
            <w:div w:id="1939024680">
              <w:marLeft w:val="0"/>
              <w:marRight w:val="0"/>
              <w:marTop w:val="0"/>
              <w:marBottom w:val="0"/>
              <w:divBdr>
                <w:top w:val="none" w:sz="0" w:space="0" w:color="auto"/>
                <w:left w:val="none" w:sz="0" w:space="0" w:color="auto"/>
                <w:bottom w:val="none" w:sz="0" w:space="0" w:color="auto"/>
                <w:right w:val="none" w:sz="0" w:space="0" w:color="auto"/>
              </w:divBdr>
              <w:divsChild>
                <w:div w:id="339553243">
                  <w:marLeft w:val="0"/>
                  <w:marRight w:val="0"/>
                  <w:marTop w:val="0"/>
                  <w:marBottom w:val="0"/>
                  <w:divBdr>
                    <w:top w:val="none" w:sz="0" w:space="0" w:color="auto"/>
                    <w:left w:val="none" w:sz="0" w:space="0" w:color="auto"/>
                    <w:bottom w:val="none" w:sz="0" w:space="0" w:color="auto"/>
                    <w:right w:val="none" w:sz="0" w:space="0" w:color="auto"/>
                  </w:divBdr>
                  <w:divsChild>
                    <w:div w:id="103111433">
                      <w:marLeft w:val="0"/>
                      <w:marRight w:val="0"/>
                      <w:marTop w:val="0"/>
                      <w:marBottom w:val="0"/>
                      <w:divBdr>
                        <w:top w:val="none" w:sz="0" w:space="0" w:color="auto"/>
                        <w:left w:val="none" w:sz="0" w:space="0" w:color="auto"/>
                        <w:bottom w:val="none" w:sz="0" w:space="0" w:color="auto"/>
                        <w:right w:val="none" w:sz="0" w:space="0" w:color="auto"/>
                      </w:divBdr>
                      <w:divsChild>
                        <w:div w:id="854417265">
                          <w:marLeft w:val="0"/>
                          <w:marRight w:val="0"/>
                          <w:marTop w:val="0"/>
                          <w:marBottom w:val="0"/>
                          <w:divBdr>
                            <w:top w:val="none" w:sz="0" w:space="0" w:color="auto"/>
                            <w:left w:val="none" w:sz="0" w:space="0" w:color="auto"/>
                            <w:bottom w:val="none" w:sz="0" w:space="0" w:color="auto"/>
                            <w:right w:val="none" w:sz="0" w:space="0" w:color="auto"/>
                          </w:divBdr>
                          <w:divsChild>
                            <w:div w:id="536627860">
                              <w:marLeft w:val="0"/>
                              <w:marRight w:val="0"/>
                              <w:marTop w:val="0"/>
                              <w:marBottom w:val="0"/>
                              <w:divBdr>
                                <w:top w:val="none" w:sz="0" w:space="0" w:color="auto"/>
                                <w:left w:val="none" w:sz="0" w:space="0" w:color="auto"/>
                                <w:bottom w:val="none" w:sz="0" w:space="0" w:color="auto"/>
                                <w:right w:val="none" w:sz="0" w:space="0" w:color="auto"/>
                              </w:divBdr>
                              <w:divsChild>
                                <w:div w:id="124547411">
                                  <w:marLeft w:val="0"/>
                                  <w:marRight w:val="0"/>
                                  <w:marTop w:val="0"/>
                                  <w:marBottom w:val="0"/>
                                  <w:divBdr>
                                    <w:top w:val="none" w:sz="0" w:space="0" w:color="auto"/>
                                    <w:left w:val="none" w:sz="0" w:space="0" w:color="auto"/>
                                    <w:bottom w:val="none" w:sz="0" w:space="0" w:color="auto"/>
                                    <w:right w:val="none" w:sz="0" w:space="0" w:color="auto"/>
                                  </w:divBdr>
                                  <w:divsChild>
                                    <w:div w:id="1031223103">
                                      <w:marLeft w:val="0"/>
                                      <w:marRight w:val="0"/>
                                      <w:marTop w:val="0"/>
                                      <w:marBottom w:val="0"/>
                                      <w:divBdr>
                                        <w:top w:val="none" w:sz="0" w:space="0" w:color="auto"/>
                                        <w:left w:val="none" w:sz="0" w:space="0" w:color="auto"/>
                                        <w:bottom w:val="none" w:sz="0" w:space="0" w:color="auto"/>
                                        <w:right w:val="none" w:sz="0" w:space="0" w:color="auto"/>
                                      </w:divBdr>
                                      <w:divsChild>
                                        <w:div w:id="714308428">
                                          <w:marLeft w:val="0"/>
                                          <w:marRight w:val="0"/>
                                          <w:marTop w:val="0"/>
                                          <w:marBottom w:val="0"/>
                                          <w:divBdr>
                                            <w:top w:val="none" w:sz="0" w:space="0" w:color="auto"/>
                                            <w:left w:val="none" w:sz="0" w:space="0" w:color="auto"/>
                                            <w:bottom w:val="none" w:sz="0" w:space="0" w:color="auto"/>
                                            <w:right w:val="none" w:sz="0" w:space="0" w:color="auto"/>
                                          </w:divBdr>
                                          <w:divsChild>
                                            <w:div w:id="1406491499">
                                              <w:marLeft w:val="0"/>
                                              <w:marRight w:val="0"/>
                                              <w:marTop w:val="0"/>
                                              <w:marBottom w:val="0"/>
                                              <w:divBdr>
                                                <w:top w:val="none" w:sz="0" w:space="0" w:color="auto"/>
                                                <w:left w:val="none" w:sz="0" w:space="0" w:color="auto"/>
                                                <w:bottom w:val="none" w:sz="0" w:space="0" w:color="auto"/>
                                                <w:right w:val="none" w:sz="0" w:space="0" w:color="auto"/>
                                              </w:divBdr>
                                              <w:divsChild>
                                                <w:div w:id="759987471">
                                                  <w:marLeft w:val="0"/>
                                                  <w:marRight w:val="0"/>
                                                  <w:marTop w:val="0"/>
                                                  <w:marBottom w:val="0"/>
                                                  <w:divBdr>
                                                    <w:top w:val="none" w:sz="0" w:space="0" w:color="auto"/>
                                                    <w:left w:val="none" w:sz="0" w:space="0" w:color="auto"/>
                                                    <w:bottom w:val="none" w:sz="0" w:space="0" w:color="auto"/>
                                                    <w:right w:val="none" w:sz="0" w:space="0" w:color="auto"/>
                                                  </w:divBdr>
                                                  <w:divsChild>
                                                    <w:div w:id="594481258">
                                                      <w:marLeft w:val="0"/>
                                                      <w:marRight w:val="0"/>
                                                      <w:marTop w:val="0"/>
                                                      <w:marBottom w:val="0"/>
                                                      <w:divBdr>
                                                        <w:top w:val="none" w:sz="0" w:space="0" w:color="auto"/>
                                                        <w:left w:val="none" w:sz="0" w:space="0" w:color="auto"/>
                                                        <w:bottom w:val="none" w:sz="0" w:space="0" w:color="auto"/>
                                                        <w:right w:val="none" w:sz="0" w:space="0" w:color="auto"/>
                                                      </w:divBdr>
                                                      <w:divsChild>
                                                        <w:div w:id="1657294644">
                                                          <w:marLeft w:val="0"/>
                                                          <w:marRight w:val="0"/>
                                                          <w:marTop w:val="0"/>
                                                          <w:marBottom w:val="0"/>
                                                          <w:divBdr>
                                                            <w:top w:val="none" w:sz="0" w:space="0" w:color="auto"/>
                                                            <w:left w:val="none" w:sz="0" w:space="0" w:color="auto"/>
                                                            <w:bottom w:val="none" w:sz="0" w:space="0" w:color="auto"/>
                                                            <w:right w:val="none" w:sz="0" w:space="0" w:color="auto"/>
                                                          </w:divBdr>
                                                          <w:divsChild>
                                                            <w:div w:id="1080906321">
                                                              <w:marLeft w:val="0"/>
                                                              <w:marRight w:val="0"/>
                                                              <w:marTop w:val="0"/>
                                                              <w:marBottom w:val="0"/>
                                                              <w:divBdr>
                                                                <w:top w:val="none" w:sz="0" w:space="0" w:color="auto"/>
                                                                <w:left w:val="none" w:sz="0" w:space="0" w:color="auto"/>
                                                                <w:bottom w:val="none" w:sz="0" w:space="0" w:color="auto"/>
                                                                <w:right w:val="none" w:sz="0" w:space="0" w:color="auto"/>
                                                              </w:divBdr>
                                                              <w:divsChild>
                                                                <w:div w:id="703218381">
                                                                  <w:marLeft w:val="0"/>
                                                                  <w:marRight w:val="0"/>
                                                                  <w:marTop w:val="0"/>
                                                                  <w:marBottom w:val="0"/>
                                                                  <w:divBdr>
                                                                    <w:top w:val="none" w:sz="0" w:space="0" w:color="auto"/>
                                                                    <w:left w:val="none" w:sz="0" w:space="0" w:color="auto"/>
                                                                    <w:bottom w:val="none" w:sz="0" w:space="0" w:color="auto"/>
                                                                    <w:right w:val="none" w:sz="0" w:space="0" w:color="auto"/>
                                                                  </w:divBdr>
                                                                  <w:divsChild>
                                                                    <w:div w:id="1751074516">
                                                                      <w:marLeft w:val="0"/>
                                                                      <w:marRight w:val="0"/>
                                                                      <w:marTop w:val="0"/>
                                                                      <w:marBottom w:val="0"/>
                                                                      <w:divBdr>
                                                                        <w:top w:val="none" w:sz="0" w:space="0" w:color="auto"/>
                                                                        <w:left w:val="none" w:sz="0" w:space="0" w:color="auto"/>
                                                                        <w:bottom w:val="none" w:sz="0" w:space="0" w:color="auto"/>
                                                                        <w:right w:val="none" w:sz="0" w:space="0" w:color="auto"/>
                                                                      </w:divBdr>
                                                                    </w:div>
                                                                    <w:div w:id="110306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6834">
                                                              <w:marLeft w:val="0"/>
                                                              <w:marRight w:val="0"/>
                                                              <w:marTop w:val="0"/>
                                                              <w:marBottom w:val="0"/>
                                                              <w:divBdr>
                                                                <w:top w:val="none" w:sz="0" w:space="0" w:color="auto"/>
                                                                <w:left w:val="none" w:sz="0" w:space="0" w:color="auto"/>
                                                                <w:bottom w:val="none" w:sz="0" w:space="0" w:color="auto"/>
                                                                <w:right w:val="none" w:sz="0" w:space="0" w:color="auto"/>
                                                              </w:divBdr>
                                                              <w:divsChild>
                                                                <w:div w:id="515116336">
                                                                  <w:marLeft w:val="0"/>
                                                                  <w:marRight w:val="0"/>
                                                                  <w:marTop w:val="0"/>
                                                                  <w:marBottom w:val="0"/>
                                                                  <w:divBdr>
                                                                    <w:top w:val="none" w:sz="0" w:space="0" w:color="auto"/>
                                                                    <w:left w:val="none" w:sz="0" w:space="0" w:color="auto"/>
                                                                    <w:bottom w:val="none" w:sz="0" w:space="0" w:color="auto"/>
                                                                    <w:right w:val="none" w:sz="0" w:space="0" w:color="auto"/>
                                                                  </w:divBdr>
                                                                  <w:divsChild>
                                                                    <w:div w:id="454565001">
                                                                      <w:marLeft w:val="0"/>
                                                                      <w:marRight w:val="0"/>
                                                                      <w:marTop w:val="0"/>
                                                                      <w:marBottom w:val="0"/>
                                                                      <w:divBdr>
                                                                        <w:top w:val="none" w:sz="0" w:space="0" w:color="auto"/>
                                                                        <w:left w:val="none" w:sz="0" w:space="0" w:color="auto"/>
                                                                        <w:bottom w:val="none" w:sz="0" w:space="0" w:color="auto"/>
                                                                        <w:right w:val="none" w:sz="0" w:space="0" w:color="auto"/>
                                                                      </w:divBdr>
                                                                    </w:div>
                                                                    <w:div w:id="8300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023273">
                                                      <w:marLeft w:val="0"/>
                                                      <w:marRight w:val="0"/>
                                                      <w:marTop w:val="0"/>
                                                      <w:marBottom w:val="0"/>
                                                      <w:divBdr>
                                                        <w:top w:val="none" w:sz="0" w:space="0" w:color="auto"/>
                                                        <w:left w:val="none" w:sz="0" w:space="0" w:color="auto"/>
                                                        <w:bottom w:val="none" w:sz="0" w:space="0" w:color="auto"/>
                                                        <w:right w:val="none" w:sz="0" w:space="0" w:color="auto"/>
                                                      </w:divBdr>
                                                      <w:divsChild>
                                                        <w:div w:id="12708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2369674">
      <w:bodyDiv w:val="1"/>
      <w:marLeft w:val="0"/>
      <w:marRight w:val="0"/>
      <w:marTop w:val="0"/>
      <w:marBottom w:val="0"/>
      <w:divBdr>
        <w:top w:val="none" w:sz="0" w:space="0" w:color="auto"/>
        <w:left w:val="none" w:sz="0" w:space="0" w:color="auto"/>
        <w:bottom w:val="none" w:sz="0" w:space="0" w:color="auto"/>
        <w:right w:val="none" w:sz="0" w:space="0" w:color="auto"/>
      </w:divBdr>
    </w:div>
    <w:div w:id="727337247">
      <w:bodyDiv w:val="1"/>
      <w:marLeft w:val="0"/>
      <w:marRight w:val="0"/>
      <w:marTop w:val="0"/>
      <w:marBottom w:val="0"/>
      <w:divBdr>
        <w:top w:val="none" w:sz="0" w:space="0" w:color="auto"/>
        <w:left w:val="none" w:sz="0" w:space="0" w:color="auto"/>
        <w:bottom w:val="none" w:sz="0" w:space="0" w:color="auto"/>
        <w:right w:val="none" w:sz="0" w:space="0" w:color="auto"/>
      </w:divBdr>
    </w:div>
    <w:div w:id="750007560">
      <w:bodyDiv w:val="1"/>
      <w:marLeft w:val="0"/>
      <w:marRight w:val="0"/>
      <w:marTop w:val="0"/>
      <w:marBottom w:val="0"/>
      <w:divBdr>
        <w:top w:val="none" w:sz="0" w:space="0" w:color="auto"/>
        <w:left w:val="none" w:sz="0" w:space="0" w:color="auto"/>
        <w:bottom w:val="none" w:sz="0" w:space="0" w:color="auto"/>
        <w:right w:val="none" w:sz="0" w:space="0" w:color="auto"/>
      </w:divBdr>
    </w:div>
    <w:div w:id="791942807">
      <w:bodyDiv w:val="1"/>
      <w:marLeft w:val="0"/>
      <w:marRight w:val="0"/>
      <w:marTop w:val="0"/>
      <w:marBottom w:val="0"/>
      <w:divBdr>
        <w:top w:val="none" w:sz="0" w:space="0" w:color="auto"/>
        <w:left w:val="none" w:sz="0" w:space="0" w:color="auto"/>
        <w:bottom w:val="none" w:sz="0" w:space="0" w:color="auto"/>
        <w:right w:val="none" w:sz="0" w:space="0" w:color="auto"/>
      </w:divBdr>
    </w:div>
    <w:div w:id="827674479">
      <w:bodyDiv w:val="1"/>
      <w:marLeft w:val="0"/>
      <w:marRight w:val="0"/>
      <w:marTop w:val="0"/>
      <w:marBottom w:val="0"/>
      <w:divBdr>
        <w:top w:val="none" w:sz="0" w:space="0" w:color="auto"/>
        <w:left w:val="none" w:sz="0" w:space="0" w:color="auto"/>
        <w:bottom w:val="none" w:sz="0" w:space="0" w:color="auto"/>
        <w:right w:val="none" w:sz="0" w:space="0" w:color="auto"/>
      </w:divBdr>
    </w:div>
    <w:div w:id="843976761">
      <w:bodyDiv w:val="1"/>
      <w:marLeft w:val="0"/>
      <w:marRight w:val="0"/>
      <w:marTop w:val="0"/>
      <w:marBottom w:val="0"/>
      <w:divBdr>
        <w:top w:val="none" w:sz="0" w:space="0" w:color="auto"/>
        <w:left w:val="none" w:sz="0" w:space="0" w:color="auto"/>
        <w:bottom w:val="none" w:sz="0" w:space="0" w:color="auto"/>
        <w:right w:val="none" w:sz="0" w:space="0" w:color="auto"/>
      </w:divBdr>
    </w:div>
    <w:div w:id="844712009">
      <w:bodyDiv w:val="1"/>
      <w:marLeft w:val="0"/>
      <w:marRight w:val="0"/>
      <w:marTop w:val="0"/>
      <w:marBottom w:val="0"/>
      <w:divBdr>
        <w:top w:val="none" w:sz="0" w:space="0" w:color="auto"/>
        <w:left w:val="none" w:sz="0" w:space="0" w:color="auto"/>
        <w:bottom w:val="none" w:sz="0" w:space="0" w:color="auto"/>
        <w:right w:val="none" w:sz="0" w:space="0" w:color="auto"/>
      </w:divBdr>
    </w:div>
    <w:div w:id="862940927">
      <w:bodyDiv w:val="1"/>
      <w:marLeft w:val="0"/>
      <w:marRight w:val="0"/>
      <w:marTop w:val="0"/>
      <w:marBottom w:val="0"/>
      <w:divBdr>
        <w:top w:val="none" w:sz="0" w:space="0" w:color="auto"/>
        <w:left w:val="none" w:sz="0" w:space="0" w:color="auto"/>
        <w:bottom w:val="none" w:sz="0" w:space="0" w:color="auto"/>
        <w:right w:val="none" w:sz="0" w:space="0" w:color="auto"/>
      </w:divBdr>
    </w:div>
    <w:div w:id="881328321">
      <w:bodyDiv w:val="1"/>
      <w:marLeft w:val="0"/>
      <w:marRight w:val="0"/>
      <w:marTop w:val="0"/>
      <w:marBottom w:val="0"/>
      <w:divBdr>
        <w:top w:val="none" w:sz="0" w:space="0" w:color="auto"/>
        <w:left w:val="none" w:sz="0" w:space="0" w:color="auto"/>
        <w:bottom w:val="none" w:sz="0" w:space="0" w:color="auto"/>
        <w:right w:val="none" w:sz="0" w:space="0" w:color="auto"/>
      </w:divBdr>
    </w:div>
    <w:div w:id="921455380">
      <w:bodyDiv w:val="1"/>
      <w:marLeft w:val="0"/>
      <w:marRight w:val="0"/>
      <w:marTop w:val="0"/>
      <w:marBottom w:val="0"/>
      <w:divBdr>
        <w:top w:val="none" w:sz="0" w:space="0" w:color="auto"/>
        <w:left w:val="none" w:sz="0" w:space="0" w:color="auto"/>
        <w:bottom w:val="none" w:sz="0" w:space="0" w:color="auto"/>
        <w:right w:val="none" w:sz="0" w:space="0" w:color="auto"/>
      </w:divBdr>
    </w:div>
    <w:div w:id="934292284">
      <w:bodyDiv w:val="1"/>
      <w:marLeft w:val="0"/>
      <w:marRight w:val="0"/>
      <w:marTop w:val="0"/>
      <w:marBottom w:val="0"/>
      <w:divBdr>
        <w:top w:val="none" w:sz="0" w:space="0" w:color="auto"/>
        <w:left w:val="none" w:sz="0" w:space="0" w:color="auto"/>
        <w:bottom w:val="none" w:sz="0" w:space="0" w:color="auto"/>
        <w:right w:val="none" w:sz="0" w:space="0" w:color="auto"/>
      </w:divBdr>
    </w:div>
    <w:div w:id="948659885">
      <w:bodyDiv w:val="1"/>
      <w:marLeft w:val="0"/>
      <w:marRight w:val="0"/>
      <w:marTop w:val="0"/>
      <w:marBottom w:val="0"/>
      <w:divBdr>
        <w:top w:val="none" w:sz="0" w:space="0" w:color="auto"/>
        <w:left w:val="none" w:sz="0" w:space="0" w:color="auto"/>
        <w:bottom w:val="none" w:sz="0" w:space="0" w:color="auto"/>
        <w:right w:val="none" w:sz="0" w:space="0" w:color="auto"/>
      </w:divBdr>
    </w:div>
    <w:div w:id="952633014">
      <w:bodyDiv w:val="1"/>
      <w:marLeft w:val="0"/>
      <w:marRight w:val="0"/>
      <w:marTop w:val="0"/>
      <w:marBottom w:val="0"/>
      <w:divBdr>
        <w:top w:val="none" w:sz="0" w:space="0" w:color="auto"/>
        <w:left w:val="none" w:sz="0" w:space="0" w:color="auto"/>
        <w:bottom w:val="none" w:sz="0" w:space="0" w:color="auto"/>
        <w:right w:val="none" w:sz="0" w:space="0" w:color="auto"/>
      </w:divBdr>
    </w:div>
    <w:div w:id="999620958">
      <w:bodyDiv w:val="1"/>
      <w:marLeft w:val="0"/>
      <w:marRight w:val="0"/>
      <w:marTop w:val="0"/>
      <w:marBottom w:val="0"/>
      <w:divBdr>
        <w:top w:val="none" w:sz="0" w:space="0" w:color="auto"/>
        <w:left w:val="none" w:sz="0" w:space="0" w:color="auto"/>
        <w:bottom w:val="none" w:sz="0" w:space="0" w:color="auto"/>
        <w:right w:val="none" w:sz="0" w:space="0" w:color="auto"/>
      </w:divBdr>
    </w:div>
    <w:div w:id="1005859119">
      <w:bodyDiv w:val="1"/>
      <w:marLeft w:val="0"/>
      <w:marRight w:val="0"/>
      <w:marTop w:val="0"/>
      <w:marBottom w:val="0"/>
      <w:divBdr>
        <w:top w:val="none" w:sz="0" w:space="0" w:color="auto"/>
        <w:left w:val="none" w:sz="0" w:space="0" w:color="auto"/>
        <w:bottom w:val="none" w:sz="0" w:space="0" w:color="auto"/>
        <w:right w:val="none" w:sz="0" w:space="0" w:color="auto"/>
      </w:divBdr>
    </w:div>
    <w:div w:id="1012873836">
      <w:bodyDiv w:val="1"/>
      <w:marLeft w:val="0"/>
      <w:marRight w:val="0"/>
      <w:marTop w:val="0"/>
      <w:marBottom w:val="0"/>
      <w:divBdr>
        <w:top w:val="none" w:sz="0" w:space="0" w:color="auto"/>
        <w:left w:val="none" w:sz="0" w:space="0" w:color="auto"/>
        <w:bottom w:val="none" w:sz="0" w:space="0" w:color="auto"/>
        <w:right w:val="none" w:sz="0" w:space="0" w:color="auto"/>
      </w:divBdr>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18117525">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62943148">
          <w:marLeft w:val="0"/>
          <w:marRight w:val="0"/>
          <w:marTop w:val="0"/>
          <w:marBottom w:val="0"/>
          <w:divBdr>
            <w:top w:val="none" w:sz="0" w:space="0" w:color="auto"/>
            <w:left w:val="none" w:sz="0" w:space="0" w:color="auto"/>
            <w:bottom w:val="none" w:sz="0" w:space="0" w:color="auto"/>
            <w:right w:val="none" w:sz="0" w:space="0" w:color="auto"/>
          </w:divBdr>
        </w:div>
        <w:div w:id="1789809069">
          <w:marLeft w:val="0"/>
          <w:marRight w:val="0"/>
          <w:marTop w:val="0"/>
          <w:marBottom w:val="0"/>
          <w:divBdr>
            <w:top w:val="none" w:sz="0" w:space="0" w:color="auto"/>
            <w:left w:val="none" w:sz="0" w:space="0" w:color="auto"/>
            <w:bottom w:val="none" w:sz="0" w:space="0" w:color="auto"/>
            <w:right w:val="none" w:sz="0" w:space="0" w:color="auto"/>
          </w:divBdr>
        </w:div>
      </w:divsChild>
    </w:div>
    <w:div w:id="1093428552">
      <w:bodyDiv w:val="1"/>
      <w:marLeft w:val="0"/>
      <w:marRight w:val="0"/>
      <w:marTop w:val="0"/>
      <w:marBottom w:val="0"/>
      <w:divBdr>
        <w:top w:val="none" w:sz="0" w:space="0" w:color="auto"/>
        <w:left w:val="none" w:sz="0" w:space="0" w:color="auto"/>
        <w:bottom w:val="none" w:sz="0" w:space="0" w:color="auto"/>
        <w:right w:val="none" w:sz="0" w:space="0" w:color="auto"/>
      </w:divBdr>
    </w:div>
    <w:div w:id="1148088871">
      <w:bodyDiv w:val="1"/>
      <w:marLeft w:val="0"/>
      <w:marRight w:val="0"/>
      <w:marTop w:val="0"/>
      <w:marBottom w:val="0"/>
      <w:divBdr>
        <w:top w:val="none" w:sz="0" w:space="0" w:color="auto"/>
        <w:left w:val="none" w:sz="0" w:space="0" w:color="auto"/>
        <w:bottom w:val="none" w:sz="0" w:space="0" w:color="auto"/>
        <w:right w:val="none" w:sz="0" w:space="0" w:color="auto"/>
      </w:divBdr>
    </w:div>
    <w:div w:id="1180461574">
      <w:bodyDiv w:val="1"/>
      <w:marLeft w:val="0"/>
      <w:marRight w:val="0"/>
      <w:marTop w:val="0"/>
      <w:marBottom w:val="0"/>
      <w:divBdr>
        <w:top w:val="none" w:sz="0" w:space="0" w:color="auto"/>
        <w:left w:val="none" w:sz="0" w:space="0" w:color="auto"/>
        <w:bottom w:val="none" w:sz="0" w:space="0" w:color="auto"/>
        <w:right w:val="none" w:sz="0" w:space="0" w:color="auto"/>
      </w:divBdr>
    </w:div>
    <w:div w:id="1192185733">
      <w:bodyDiv w:val="1"/>
      <w:marLeft w:val="0"/>
      <w:marRight w:val="0"/>
      <w:marTop w:val="0"/>
      <w:marBottom w:val="0"/>
      <w:divBdr>
        <w:top w:val="none" w:sz="0" w:space="0" w:color="auto"/>
        <w:left w:val="none" w:sz="0" w:space="0" w:color="auto"/>
        <w:bottom w:val="none" w:sz="0" w:space="0" w:color="auto"/>
        <w:right w:val="none" w:sz="0" w:space="0" w:color="auto"/>
      </w:divBdr>
    </w:div>
    <w:div w:id="1195457723">
      <w:bodyDiv w:val="1"/>
      <w:marLeft w:val="0"/>
      <w:marRight w:val="0"/>
      <w:marTop w:val="0"/>
      <w:marBottom w:val="0"/>
      <w:divBdr>
        <w:top w:val="none" w:sz="0" w:space="0" w:color="auto"/>
        <w:left w:val="none" w:sz="0" w:space="0" w:color="auto"/>
        <w:bottom w:val="none" w:sz="0" w:space="0" w:color="auto"/>
        <w:right w:val="none" w:sz="0" w:space="0" w:color="auto"/>
      </w:divBdr>
    </w:div>
    <w:div w:id="1197698932">
      <w:bodyDiv w:val="1"/>
      <w:marLeft w:val="0"/>
      <w:marRight w:val="0"/>
      <w:marTop w:val="0"/>
      <w:marBottom w:val="0"/>
      <w:divBdr>
        <w:top w:val="none" w:sz="0" w:space="0" w:color="auto"/>
        <w:left w:val="none" w:sz="0" w:space="0" w:color="auto"/>
        <w:bottom w:val="none" w:sz="0" w:space="0" w:color="auto"/>
        <w:right w:val="none" w:sz="0" w:space="0" w:color="auto"/>
      </w:divBdr>
    </w:div>
    <w:div w:id="1240015692">
      <w:bodyDiv w:val="1"/>
      <w:marLeft w:val="0"/>
      <w:marRight w:val="0"/>
      <w:marTop w:val="0"/>
      <w:marBottom w:val="0"/>
      <w:divBdr>
        <w:top w:val="none" w:sz="0" w:space="0" w:color="auto"/>
        <w:left w:val="none" w:sz="0" w:space="0" w:color="auto"/>
        <w:bottom w:val="none" w:sz="0" w:space="0" w:color="auto"/>
        <w:right w:val="none" w:sz="0" w:space="0" w:color="auto"/>
      </w:divBdr>
    </w:div>
    <w:div w:id="1243217988">
      <w:bodyDiv w:val="1"/>
      <w:marLeft w:val="0"/>
      <w:marRight w:val="0"/>
      <w:marTop w:val="0"/>
      <w:marBottom w:val="0"/>
      <w:divBdr>
        <w:top w:val="none" w:sz="0" w:space="0" w:color="auto"/>
        <w:left w:val="none" w:sz="0" w:space="0" w:color="auto"/>
        <w:bottom w:val="none" w:sz="0" w:space="0" w:color="auto"/>
        <w:right w:val="none" w:sz="0" w:space="0" w:color="auto"/>
      </w:divBdr>
    </w:div>
    <w:div w:id="1244022387">
      <w:bodyDiv w:val="1"/>
      <w:marLeft w:val="0"/>
      <w:marRight w:val="0"/>
      <w:marTop w:val="0"/>
      <w:marBottom w:val="0"/>
      <w:divBdr>
        <w:top w:val="none" w:sz="0" w:space="0" w:color="auto"/>
        <w:left w:val="none" w:sz="0" w:space="0" w:color="auto"/>
        <w:bottom w:val="none" w:sz="0" w:space="0" w:color="auto"/>
        <w:right w:val="none" w:sz="0" w:space="0" w:color="auto"/>
      </w:divBdr>
    </w:div>
    <w:div w:id="1245065114">
      <w:bodyDiv w:val="1"/>
      <w:marLeft w:val="0"/>
      <w:marRight w:val="0"/>
      <w:marTop w:val="0"/>
      <w:marBottom w:val="0"/>
      <w:divBdr>
        <w:top w:val="none" w:sz="0" w:space="0" w:color="auto"/>
        <w:left w:val="none" w:sz="0" w:space="0" w:color="auto"/>
        <w:bottom w:val="none" w:sz="0" w:space="0" w:color="auto"/>
        <w:right w:val="none" w:sz="0" w:space="0" w:color="auto"/>
      </w:divBdr>
    </w:div>
    <w:div w:id="1254238198">
      <w:bodyDiv w:val="1"/>
      <w:marLeft w:val="0"/>
      <w:marRight w:val="0"/>
      <w:marTop w:val="0"/>
      <w:marBottom w:val="0"/>
      <w:divBdr>
        <w:top w:val="none" w:sz="0" w:space="0" w:color="auto"/>
        <w:left w:val="none" w:sz="0" w:space="0" w:color="auto"/>
        <w:bottom w:val="none" w:sz="0" w:space="0" w:color="auto"/>
        <w:right w:val="none" w:sz="0" w:space="0" w:color="auto"/>
      </w:divBdr>
      <w:divsChild>
        <w:div w:id="194853657">
          <w:marLeft w:val="0"/>
          <w:marRight w:val="0"/>
          <w:marTop w:val="240"/>
          <w:marBottom w:val="480"/>
          <w:divBdr>
            <w:top w:val="none" w:sz="0" w:space="0" w:color="auto"/>
            <w:left w:val="none" w:sz="0" w:space="0" w:color="auto"/>
            <w:bottom w:val="none" w:sz="0" w:space="0" w:color="auto"/>
            <w:right w:val="none" w:sz="0" w:space="0" w:color="auto"/>
          </w:divBdr>
          <w:divsChild>
            <w:div w:id="337121989">
              <w:marLeft w:val="0"/>
              <w:marRight w:val="0"/>
              <w:marTop w:val="0"/>
              <w:marBottom w:val="0"/>
              <w:divBdr>
                <w:top w:val="none" w:sz="0" w:space="0" w:color="auto"/>
                <w:left w:val="none" w:sz="0" w:space="0" w:color="auto"/>
                <w:bottom w:val="none" w:sz="0" w:space="0" w:color="auto"/>
                <w:right w:val="none" w:sz="0" w:space="0" w:color="auto"/>
              </w:divBdr>
              <w:divsChild>
                <w:div w:id="1981838111">
                  <w:marLeft w:val="0"/>
                  <w:marRight w:val="0"/>
                  <w:marTop w:val="0"/>
                  <w:marBottom w:val="0"/>
                  <w:divBdr>
                    <w:top w:val="none" w:sz="0" w:space="0" w:color="auto"/>
                    <w:left w:val="none" w:sz="0" w:space="0" w:color="auto"/>
                    <w:bottom w:val="none" w:sz="0" w:space="0" w:color="auto"/>
                    <w:right w:val="none" w:sz="0" w:space="0" w:color="auto"/>
                  </w:divBdr>
                  <w:divsChild>
                    <w:div w:id="1563565298">
                      <w:marLeft w:val="0"/>
                      <w:marRight w:val="0"/>
                      <w:marTop w:val="0"/>
                      <w:marBottom w:val="0"/>
                      <w:divBdr>
                        <w:top w:val="none" w:sz="0" w:space="0" w:color="auto"/>
                        <w:left w:val="none" w:sz="0" w:space="0" w:color="auto"/>
                        <w:bottom w:val="none" w:sz="0" w:space="0" w:color="auto"/>
                        <w:right w:val="none" w:sz="0" w:space="0" w:color="auto"/>
                      </w:divBdr>
                      <w:divsChild>
                        <w:div w:id="2083483365">
                          <w:marLeft w:val="0"/>
                          <w:marRight w:val="0"/>
                          <w:marTop w:val="0"/>
                          <w:marBottom w:val="0"/>
                          <w:divBdr>
                            <w:top w:val="none" w:sz="0" w:space="0" w:color="auto"/>
                            <w:left w:val="none" w:sz="0" w:space="0" w:color="auto"/>
                            <w:bottom w:val="none" w:sz="0" w:space="0" w:color="auto"/>
                            <w:right w:val="none" w:sz="0" w:space="0" w:color="auto"/>
                          </w:divBdr>
                          <w:divsChild>
                            <w:div w:id="696278890">
                              <w:marLeft w:val="0"/>
                              <w:marRight w:val="0"/>
                              <w:marTop w:val="0"/>
                              <w:marBottom w:val="0"/>
                              <w:divBdr>
                                <w:top w:val="none" w:sz="0" w:space="0" w:color="auto"/>
                                <w:left w:val="none" w:sz="0" w:space="0" w:color="auto"/>
                                <w:bottom w:val="none" w:sz="0" w:space="0" w:color="auto"/>
                                <w:right w:val="none" w:sz="0" w:space="0" w:color="auto"/>
                              </w:divBdr>
                              <w:divsChild>
                                <w:div w:id="1318874911">
                                  <w:marLeft w:val="0"/>
                                  <w:marRight w:val="0"/>
                                  <w:marTop w:val="150"/>
                                  <w:marBottom w:val="150"/>
                                  <w:divBdr>
                                    <w:top w:val="none" w:sz="0" w:space="0" w:color="auto"/>
                                    <w:left w:val="none" w:sz="0" w:space="0" w:color="auto"/>
                                    <w:bottom w:val="none" w:sz="0" w:space="0" w:color="auto"/>
                                    <w:right w:val="none" w:sz="0" w:space="0" w:color="auto"/>
                                  </w:divBdr>
                                  <w:divsChild>
                                    <w:div w:id="339435412">
                                      <w:marLeft w:val="0"/>
                                      <w:marRight w:val="0"/>
                                      <w:marTop w:val="0"/>
                                      <w:marBottom w:val="0"/>
                                      <w:divBdr>
                                        <w:top w:val="none" w:sz="0" w:space="0" w:color="auto"/>
                                        <w:left w:val="none" w:sz="0" w:space="0" w:color="auto"/>
                                        <w:bottom w:val="none" w:sz="0" w:space="0" w:color="auto"/>
                                        <w:right w:val="none" w:sz="0" w:space="0" w:color="auto"/>
                                      </w:divBdr>
                                      <w:divsChild>
                                        <w:div w:id="14698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3684456">
      <w:bodyDiv w:val="1"/>
      <w:marLeft w:val="0"/>
      <w:marRight w:val="0"/>
      <w:marTop w:val="0"/>
      <w:marBottom w:val="0"/>
      <w:divBdr>
        <w:top w:val="none" w:sz="0" w:space="0" w:color="auto"/>
        <w:left w:val="none" w:sz="0" w:space="0" w:color="auto"/>
        <w:bottom w:val="none" w:sz="0" w:space="0" w:color="auto"/>
        <w:right w:val="none" w:sz="0" w:space="0" w:color="auto"/>
      </w:divBdr>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15795257">
      <w:bodyDiv w:val="1"/>
      <w:marLeft w:val="0"/>
      <w:marRight w:val="0"/>
      <w:marTop w:val="0"/>
      <w:marBottom w:val="0"/>
      <w:divBdr>
        <w:top w:val="none" w:sz="0" w:space="0" w:color="auto"/>
        <w:left w:val="none" w:sz="0" w:space="0" w:color="auto"/>
        <w:bottom w:val="none" w:sz="0" w:space="0" w:color="auto"/>
        <w:right w:val="none" w:sz="0" w:space="0" w:color="auto"/>
      </w:divBdr>
    </w:div>
    <w:div w:id="1320770132">
      <w:bodyDiv w:val="1"/>
      <w:marLeft w:val="0"/>
      <w:marRight w:val="0"/>
      <w:marTop w:val="0"/>
      <w:marBottom w:val="0"/>
      <w:divBdr>
        <w:top w:val="none" w:sz="0" w:space="0" w:color="auto"/>
        <w:left w:val="none" w:sz="0" w:space="0" w:color="auto"/>
        <w:bottom w:val="none" w:sz="0" w:space="0" w:color="auto"/>
        <w:right w:val="none" w:sz="0" w:space="0" w:color="auto"/>
      </w:divBdr>
    </w:div>
    <w:div w:id="1327710828">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05199030">
              <w:marLeft w:val="0"/>
              <w:marRight w:val="0"/>
              <w:marTop w:val="0"/>
              <w:marBottom w:val="0"/>
              <w:divBdr>
                <w:top w:val="none" w:sz="0" w:space="0" w:color="auto"/>
                <w:left w:val="none" w:sz="0" w:space="0" w:color="auto"/>
                <w:bottom w:val="none" w:sz="0" w:space="0" w:color="auto"/>
                <w:right w:val="none" w:sz="0" w:space="0" w:color="auto"/>
              </w:divBdr>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182354663">
                          <w:marLeft w:val="0"/>
                          <w:marRight w:val="0"/>
                          <w:marTop w:val="0"/>
                          <w:marBottom w:val="0"/>
                          <w:divBdr>
                            <w:top w:val="none" w:sz="0" w:space="0" w:color="auto"/>
                            <w:left w:val="none" w:sz="0" w:space="0" w:color="auto"/>
                            <w:bottom w:val="none" w:sz="0" w:space="0" w:color="auto"/>
                            <w:right w:val="none" w:sz="0" w:space="0" w:color="auto"/>
                          </w:divBdr>
                        </w:div>
                        <w:div w:id="14989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382945735">
      <w:bodyDiv w:val="1"/>
      <w:marLeft w:val="0"/>
      <w:marRight w:val="0"/>
      <w:marTop w:val="0"/>
      <w:marBottom w:val="0"/>
      <w:divBdr>
        <w:top w:val="none" w:sz="0" w:space="0" w:color="auto"/>
        <w:left w:val="none" w:sz="0" w:space="0" w:color="auto"/>
        <w:bottom w:val="none" w:sz="0" w:space="0" w:color="auto"/>
        <w:right w:val="none" w:sz="0" w:space="0" w:color="auto"/>
      </w:divBdr>
    </w:div>
    <w:div w:id="1393501181">
      <w:bodyDiv w:val="1"/>
      <w:marLeft w:val="0"/>
      <w:marRight w:val="0"/>
      <w:marTop w:val="0"/>
      <w:marBottom w:val="0"/>
      <w:divBdr>
        <w:top w:val="none" w:sz="0" w:space="0" w:color="auto"/>
        <w:left w:val="none" w:sz="0" w:space="0" w:color="auto"/>
        <w:bottom w:val="none" w:sz="0" w:space="0" w:color="auto"/>
        <w:right w:val="none" w:sz="0" w:space="0" w:color="auto"/>
      </w:divBdr>
    </w:div>
    <w:div w:id="1443263303">
      <w:bodyDiv w:val="1"/>
      <w:marLeft w:val="0"/>
      <w:marRight w:val="0"/>
      <w:marTop w:val="0"/>
      <w:marBottom w:val="0"/>
      <w:divBdr>
        <w:top w:val="none" w:sz="0" w:space="0" w:color="auto"/>
        <w:left w:val="none" w:sz="0" w:space="0" w:color="auto"/>
        <w:bottom w:val="none" w:sz="0" w:space="0" w:color="auto"/>
        <w:right w:val="none" w:sz="0" w:space="0" w:color="auto"/>
      </w:divBdr>
      <w:divsChild>
        <w:div w:id="618219530">
          <w:marLeft w:val="0"/>
          <w:marRight w:val="0"/>
          <w:marTop w:val="240"/>
          <w:marBottom w:val="480"/>
          <w:divBdr>
            <w:top w:val="none" w:sz="0" w:space="0" w:color="auto"/>
            <w:left w:val="none" w:sz="0" w:space="0" w:color="auto"/>
            <w:bottom w:val="none" w:sz="0" w:space="0" w:color="auto"/>
            <w:right w:val="none" w:sz="0" w:space="0" w:color="auto"/>
          </w:divBdr>
          <w:divsChild>
            <w:div w:id="210466008">
              <w:marLeft w:val="0"/>
              <w:marRight w:val="0"/>
              <w:marTop w:val="0"/>
              <w:marBottom w:val="0"/>
              <w:divBdr>
                <w:top w:val="none" w:sz="0" w:space="0" w:color="auto"/>
                <w:left w:val="none" w:sz="0" w:space="0" w:color="auto"/>
                <w:bottom w:val="none" w:sz="0" w:space="0" w:color="auto"/>
                <w:right w:val="none" w:sz="0" w:space="0" w:color="auto"/>
              </w:divBdr>
              <w:divsChild>
                <w:div w:id="1000473233">
                  <w:marLeft w:val="0"/>
                  <w:marRight w:val="0"/>
                  <w:marTop w:val="0"/>
                  <w:marBottom w:val="0"/>
                  <w:divBdr>
                    <w:top w:val="none" w:sz="0" w:space="0" w:color="auto"/>
                    <w:left w:val="none" w:sz="0" w:space="0" w:color="auto"/>
                    <w:bottom w:val="none" w:sz="0" w:space="0" w:color="auto"/>
                    <w:right w:val="none" w:sz="0" w:space="0" w:color="auto"/>
                  </w:divBdr>
                  <w:divsChild>
                    <w:div w:id="213395680">
                      <w:marLeft w:val="0"/>
                      <w:marRight w:val="0"/>
                      <w:marTop w:val="0"/>
                      <w:marBottom w:val="0"/>
                      <w:divBdr>
                        <w:top w:val="none" w:sz="0" w:space="0" w:color="auto"/>
                        <w:left w:val="none" w:sz="0" w:space="0" w:color="auto"/>
                        <w:bottom w:val="none" w:sz="0" w:space="0" w:color="auto"/>
                        <w:right w:val="none" w:sz="0" w:space="0" w:color="auto"/>
                      </w:divBdr>
                      <w:divsChild>
                        <w:div w:id="589704132">
                          <w:marLeft w:val="0"/>
                          <w:marRight w:val="0"/>
                          <w:marTop w:val="0"/>
                          <w:marBottom w:val="0"/>
                          <w:divBdr>
                            <w:top w:val="none" w:sz="0" w:space="0" w:color="auto"/>
                            <w:left w:val="none" w:sz="0" w:space="0" w:color="auto"/>
                            <w:bottom w:val="none" w:sz="0" w:space="0" w:color="auto"/>
                            <w:right w:val="none" w:sz="0" w:space="0" w:color="auto"/>
                          </w:divBdr>
                          <w:divsChild>
                            <w:div w:id="477038763">
                              <w:marLeft w:val="0"/>
                              <w:marRight w:val="0"/>
                              <w:marTop w:val="0"/>
                              <w:marBottom w:val="0"/>
                              <w:divBdr>
                                <w:top w:val="none" w:sz="0" w:space="0" w:color="auto"/>
                                <w:left w:val="none" w:sz="0" w:space="0" w:color="auto"/>
                                <w:bottom w:val="none" w:sz="0" w:space="0" w:color="auto"/>
                                <w:right w:val="none" w:sz="0" w:space="0" w:color="auto"/>
                              </w:divBdr>
                              <w:divsChild>
                                <w:div w:id="490944366">
                                  <w:marLeft w:val="0"/>
                                  <w:marRight w:val="0"/>
                                  <w:marTop w:val="150"/>
                                  <w:marBottom w:val="150"/>
                                  <w:divBdr>
                                    <w:top w:val="none" w:sz="0" w:space="0" w:color="auto"/>
                                    <w:left w:val="none" w:sz="0" w:space="0" w:color="auto"/>
                                    <w:bottom w:val="none" w:sz="0" w:space="0" w:color="auto"/>
                                    <w:right w:val="none" w:sz="0" w:space="0" w:color="auto"/>
                                  </w:divBdr>
                                  <w:divsChild>
                                    <w:div w:id="1190266354">
                                      <w:marLeft w:val="0"/>
                                      <w:marRight w:val="0"/>
                                      <w:marTop w:val="0"/>
                                      <w:marBottom w:val="0"/>
                                      <w:divBdr>
                                        <w:top w:val="none" w:sz="0" w:space="0" w:color="auto"/>
                                        <w:left w:val="none" w:sz="0" w:space="0" w:color="auto"/>
                                        <w:bottom w:val="none" w:sz="0" w:space="0" w:color="auto"/>
                                        <w:right w:val="none" w:sz="0" w:space="0" w:color="auto"/>
                                      </w:divBdr>
                                      <w:divsChild>
                                        <w:div w:id="20033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480109">
      <w:bodyDiv w:val="1"/>
      <w:marLeft w:val="0"/>
      <w:marRight w:val="0"/>
      <w:marTop w:val="0"/>
      <w:marBottom w:val="0"/>
      <w:divBdr>
        <w:top w:val="none" w:sz="0" w:space="0" w:color="auto"/>
        <w:left w:val="none" w:sz="0" w:space="0" w:color="auto"/>
        <w:bottom w:val="none" w:sz="0" w:space="0" w:color="auto"/>
        <w:right w:val="none" w:sz="0" w:space="0" w:color="auto"/>
      </w:divBdr>
    </w:div>
    <w:div w:id="1456480440">
      <w:bodyDiv w:val="1"/>
      <w:marLeft w:val="0"/>
      <w:marRight w:val="0"/>
      <w:marTop w:val="0"/>
      <w:marBottom w:val="0"/>
      <w:divBdr>
        <w:top w:val="none" w:sz="0" w:space="0" w:color="auto"/>
        <w:left w:val="none" w:sz="0" w:space="0" w:color="auto"/>
        <w:bottom w:val="none" w:sz="0" w:space="0" w:color="auto"/>
        <w:right w:val="none" w:sz="0" w:space="0" w:color="auto"/>
      </w:divBdr>
    </w:div>
    <w:div w:id="1474714588">
      <w:bodyDiv w:val="1"/>
      <w:marLeft w:val="0"/>
      <w:marRight w:val="0"/>
      <w:marTop w:val="0"/>
      <w:marBottom w:val="0"/>
      <w:divBdr>
        <w:top w:val="none" w:sz="0" w:space="0" w:color="auto"/>
        <w:left w:val="none" w:sz="0" w:space="0" w:color="auto"/>
        <w:bottom w:val="none" w:sz="0" w:space="0" w:color="auto"/>
        <w:right w:val="none" w:sz="0" w:space="0" w:color="auto"/>
      </w:divBdr>
    </w:div>
    <w:div w:id="1475413878">
      <w:bodyDiv w:val="1"/>
      <w:marLeft w:val="0"/>
      <w:marRight w:val="0"/>
      <w:marTop w:val="0"/>
      <w:marBottom w:val="0"/>
      <w:divBdr>
        <w:top w:val="none" w:sz="0" w:space="0" w:color="auto"/>
        <w:left w:val="none" w:sz="0" w:space="0" w:color="auto"/>
        <w:bottom w:val="none" w:sz="0" w:space="0" w:color="auto"/>
        <w:right w:val="none" w:sz="0" w:space="0" w:color="auto"/>
      </w:divBdr>
      <w:divsChild>
        <w:div w:id="1459183598">
          <w:marLeft w:val="0"/>
          <w:marRight w:val="0"/>
          <w:marTop w:val="240"/>
          <w:marBottom w:val="480"/>
          <w:divBdr>
            <w:top w:val="none" w:sz="0" w:space="0" w:color="auto"/>
            <w:left w:val="none" w:sz="0" w:space="0" w:color="auto"/>
            <w:bottom w:val="none" w:sz="0" w:space="0" w:color="auto"/>
            <w:right w:val="none" w:sz="0" w:space="0" w:color="auto"/>
          </w:divBdr>
          <w:divsChild>
            <w:div w:id="317611233">
              <w:marLeft w:val="0"/>
              <w:marRight w:val="0"/>
              <w:marTop w:val="0"/>
              <w:marBottom w:val="0"/>
              <w:divBdr>
                <w:top w:val="none" w:sz="0" w:space="0" w:color="auto"/>
                <w:left w:val="none" w:sz="0" w:space="0" w:color="auto"/>
                <w:bottom w:val="none" w:sz="0" w:space="0" w:color="auto"/>
                <w:right w:val="none" w:sz="0" w:space="0" w:color="auto"/>
              </w:divBdr>
              <w:divsChild>
                <w:div w:id="816537347">
                  <w:marLeft w:val="0"/>
                  <w:marRight w:val="0"/>
                  <w:marTop w:val="0"/>
                  <w:marBottom w:val="0"/>
                  <w:divBdr>
                    <w:top w:val="none" w:sz="0" w:space="0" w:color="auto"/>
                    <w:left w:val="none" w:sz="0" w:space="0" w:color="auto"/>
                    <w:bottom w:val="none" w:sz="0" w:space="0" w:color="auto"/>
                    <w:right w:val="none" w:sz="0" w:space="0" w:color="auto"/>
                  </w:divBdr>
                  <w:divsChild>
                    <w:div w:id="37360833">
                      <w:marLeft w:val="0"/>
                      <w:marRight w:val="0"/>
                      <w:marTop w:val="0"/>
                      <w:marBottom w:val="0"/>
                      <w:divBdr>
                        <w:top w:val="none" w:sz="0" w:space="0" w:color="auto"/>
                        <w:left w:val="none" w:sz="0" w:space="0" w:color="auto"/>
                        <w:bottom w:val="none" w:sz="0" w:space="0" w:color="auto"/>
                        <w:right w:val="none" w:sz="0" w:space="0" w:color="auto"/>
                      </w:divBdr>
                      <w:divsChild>
                        <w:div w:id="657534325">
                          <w:marLeft w:val="0"/>
                          <w:marRight w:val="0"/>
                          <w:marTop w:val="0"/>
                          <w:marBottom w:val="0"/>
                          <w:divBdr>
                            <w:top w:val="none" w:sz="0" w:space="0" w:color="auto"/>
                            <w:left w:val="none" w:sz="0" w:space="0" w:color="auto"/>
                            <w:bottom w:val="none" w:sz="0" w:space="0" w:color="auto"/>
                            <w:right w:val="none" w:sz="0" w:space="0" w:color="auto"/>
                          </w:divBdr>
                          <w:divsChild>
                            <w:div w:id="1288661511">
                              <w:marLeft w:val="0"/>
                              <w:marRight w:val="0"/>
                              <w:marTop w:val="0"/>
                              <w:marBottom w:val="0"/>
                              <w:divBdr>
                                <w:top w:val="none" w:sz="0" w:space="0" w:color="auto"/>
                                <w:left w:val="none" w:sz="0" w:space="0" w:color="auto"/>
                                <w:bottom w:val="none" w:sz="0" w:space="0" w:color="auto"/>
                                <w:right w:val="none" w:sz="0" w:space="0" w:color="auto"/>
                              </w:divBdr>
                              <w:divsChild>
                                <w:div w:id="1994333575">
                                  <w:marLeft w:val="0"/>
                                  <w:marRight w:val="0"/>
                                  <w:marTop w:val="150"/>
                                  <w:marBottom w:val="150"/>
                                  <w:divBdr>
                                    <w:top w:val="none" w:sz="0" w:space="0" w:color="auto"/>
                                    <w:left w:val="none" w:sz="0" w:space="0" w:color="auto"/>
                                    <w:bottom w:val="none" w:sz="0" w:space="0" w:color="auto"/>
                                    <w:right w:val="none" w:sz="0" w:space="0" w:color="auto"/>
                                  </w:divBdr>
                                  <w:divsChild>
                                    <w:div w:id="942610106">
                                      <w:marLeft w:val="0"/>
                                      <w:marRight w:val="0"/>
                                      <w:marTop w:val="0"/>
                                      <w:marBottom w:val="0"/>
                                      <w:divBdr>
                                        <w:top w:val="none" w:sz="0" w:space="0" w:color="auto"/>
                                        <w:left w:val="none" w:sz="0" w:space="0" w:color="auto"/>
                                        <w:bottom w:val="none" w:sz="0" w:space="0" w:color="auto"/>
                                        <w:right w:val="none" w:sz="0" w:space="0" w:color="auto"/>
                                      </w:divBdr>
                                      <w:divsChild>
                                        <w:div w:id="20453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259619">
      <w:bodyDiv w:val="1"/>
      <w:marLeft w:val="0"/>
      <w:marRight w:val="0"/>
      <w:marTop w:val="0"/>
      <w:marBottom w:val="0"/>
      <w:divBdr>
        <w:top w:val="none" w:sz="0" w:space="0" w:color="auto"/>
        <w:left w:val="none" w:sz="0" w:space="0" w:color="auto"/>
        <w:bottom w:val="none" w:sz="0" w:space="0" w:color="auto"/>
        <w:right w:val="none" w:sz="0" w:space="0" w:color="auto"/>
      </w:divBdr>
    </w:div>
    <w:div w:id="1497915110">
      <w:bodyDiv w:val="1"/>
      <w:marLeft w:val="0"/>
      <w:marRight w:val="0"/>
      <w:marTop w:val="0"/>
      <w:marBottom w:val="0"/>
      <w:divBdr>
        <w:top w:val="none" w:sz="0" w:space="0" w:color="auto"/>
        <w:left w:val="none" w:sz="0" w:space="0" w:color="auto"/>
        <w:bottom w:val="none" w:sz="0" w:space="0" w:color="auto"/>
        <w:right w:val="none" w:sz="0" w:space="0" w:color="auto"/>
      </w:divBdr>
    </w:div>
    <w:div w:id="1501308615">
      <w:bodyDiv w:val="1"/>
      <w:marLeft w:val="0"/>
      <w:marRight w:val="0"/>
      <w:marTop w:val="0"/>
      <w:marBottom w:val="0"/>
      <w:divBdr>
        <w:top w:val="none" w:sz="0" w:space="0" w:color="auto"/>
        <w:left w:val="none" w:sz="0" w:space="0" w:color="auto"/>
        <w:bottom w:val="none" w:sz="0" w:space="0" w:color="auto"/>
        <w:right w:val="none" w:sz="0" w:space="0" w:color="auto"/>
      </w:divBdr>
    </w:div>
    <w:div w:id="1543863710">
      <w:bodyDiv w:val="1"/>
      <w:marLeft w:val="0"/>
      <w:marRight w:val="0"/>
      <w:marTop w:val="0"/>
      <w:marBottom w:val="0"/>
      <w:divBdr>
        <w:top w:val="none" w:sz="0" w:space="0" w:color="auto"/>
        <w:left w:val="none" w:sz="0" w:space="0" w:color="auto"/>
        <w:bottom w:val="none" w:sz="0" w:space="0" w:color="auto"/>
        <w:right w:val="none" w:sz="0" w:space="0" w:color="auto"/>
      </w:divBdr>
    </w:div>
    <w:div w:id="1546139077">
      <w:bodyDiv w:val="1"/>
      <w:marLeft w:val="0"/>
      <w:marRight w:val="0"/>
      <w:marTop w:val="0"/>
      <w:marBottom w:val="0"/>
      <w:divBdr>
        <w:top w:val="none" w:sz="0" w:space="0" w:color="auto"/>
        <w:left w:val="none" w:sz="0" w:space="0" w:color="auto"/>
        <w:bottom w:val="none" w:sz="0" w:space="0" w:color="auto"/>
        <w:right w:val="none" w:sz="0" w:space="0" w:color="auto"/>
      </w:divBdr>
      <w:divsChild>
        <w:div w:id="465512393">
          <w:marLeft w:val="0"/>
          <w:marRight w:val="0"/>
          <w:marTop w:val="240"/>
          <w:marBottom w:val="480"/>
          <w:divBdr>
            <w:top w:val="none" w:sz="0" w:space="0" w:color="auto"/>
            <w:left w:val="none" w:sz="0" w:space="0" w:color="auto"/>
            <w:bottom w:val="none" w:sz="0" w:space="0" w:color="auto"/>
            <w:right w:val="none" w:sz="0" w:space="0" w:color="auto"/>
          </w:divBdr>
          <w:divsChild>
            <w:div w:id="62607016">
              <w:marLeft w:val="0"/>
              <w:marRight w:val="0"/>
              <w:marTop w:val="0"/>
              <w:marBottom w:val="0"/>
              <w:divBdr>
                <w:top w:val="none" w:sz="0" w:space="0" w:color="auto"/>
                <w:left w:val="none" w:sz="0" w:space="0" w:color="auto"/>
                <w:bottom w:val="none" w:sz="0" w:space="0" w:color="auto"/>
                <w:right w:val="none" w:sz="0" w:space="0" w:color="auto"/>
              </w:divBdr>
              <w:divsChild>
                <w:div w:id="392436478">
                  <w:marLeft w:val="0"/>
                  <w:marRight w:val="0"/>
                  <w:marTop w:val="0"/>
                  <w:marBottom w:val="0"/>
                  <w:divBdr>
                    <w:top w:val="none" w:sz="0" w:space="0" w:color="auto"/>
                    <w:left w:val="none" w:sz="0" w:space="0" w:color="auto"/>
                    <w:bottom w:val="none" w:sz="0" w:space="0" w:color="auto"/>
                    <w:right w:val="none" w:sz="0" w:space="0" w:color="auto"/>
                  </w:divBdr>
                  <w:divsChild>
                    <w:div w:id="1012336014">
                      <w:marLeft w:val="0"/>
                      <w:marRight w:val="0"/>
                      <w:marTop w:val="0"/>
                      <w:marBottom w:val="0"/>
                      <w:divBdr>
                        <w:top w:val="none" w:sz="0" w:space="0" w:color="auto"/>
                        <w:left w:val="none" w:sz="0" w:space="0" w:color="auto"/>
                        <w:bottom w:val="none" w:sz="0" w:space="0" w:color="auto"/>
                        <w:right w:val="none" w:sz="0" w:space="0" w:color="auto"/>
                      </w:divBdr>
                      <w:divsChild>
                        <w:div w:id="101343107">
                          <w:marLeft w:val="0"/>
                          <w:marRight w:val="0"/>
                          <w:marTop w:val="0"/>
                          <w:marBottom w:val="0"/>
                          <w:divBdr>
                            <w:top w:val="none" w:sz="0" w:space="0" w:color="auto"/>
                            <w:left w:val="none" w:sz="0" w:space="0" w:color="auto"/>
                            <w:bottom w:val="none" w:sz="0" w:space="0" w:color="auto"/>
                            <w:right w:val="none" w:sz="0" w:space="0" w:color="auto"/>
                          </w:divBdr>
                          <w:divsChild>
                            <w:div w:id="718287238">
                              <w:marLeft w:val="0"/>
                              <w:marRight w:val="0"/>
                              <w:marTop w:val="0"/>
                              <w:marBottom w:val="0"/>
                              <w:divBdr>
                                <w:top w:val="none" w:sz="0" w:space="0" w:color="auto"/>
                                <w:left w:val="none" w:sz="0" w:space="0" w:color="auto"/>
                                <w:bottom w:val="none" w:sz="0" w:space="0" w:color="auto"/>
                                <w:right w:val="none" w:sz="0" w:space="0" w:color="auto"/>
                              </w:divBdr>
                              <w:divsChild>
                                <w:div w:id="1403721781">
                                  <w:marLeft w:val="0"/>
                                  <w:marRight w:val="0"/>
                                  <w:marTop w:val="150"/>
                                  <w:marBottom w:val="150"/>
                                  <w:divBdr>
                                    <w:top w:val="none" w:sz="0" w:space="0" w:color="auto"/>
                                    <w:left w:val="none" w:sz="0" w:space="0" w:color="auto"/>
                                    <w:bottom w:val="none" w:sz="0" w:space="0" w:color="auto"/>
                                    <w:right w:val="none" w:sz="0" w:space="0" w:color="auto"/>
                                  </w:divBdr>
                                  <w:divsChild>
                                    <w:div w:id="53699977">
                                      <w:marLeft w:val="0"/>
                                      <w:marRight w:val="0"/>
                                      <w:marTop w:val="0"/>
                                      <w:marBottom w:val="0"/>
                                      <w:divBdr>
                                        <w:top w:val="none" w:sz="0" w:space="0" w:color="auto"/>
                                        <w:left w:val="none" w:sz="0" w:space="0" w:color="auto"/>
                                        <w:bottom w:val="none" w:sz="0" w:space="0" w:color="auto"/>
                                        <w:right w:val="none" w:sz="0" w:space="0" w:color="auto"/>
                                      </w:divBdr>
                                      <w:divsChild>
                                        <w:div w:id="15809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675575744">
                                              <w:marLeft w:val="0"/>
                                              <w:marRight w:val="0"/>
                                              <w:marTop w:val="0"/>
                                              <w:marBottom w:val="0"/>
                                              <w:divBdr>
                                                <w:top w:val="none" w:sz="0" w:space="0" w:color="auto"/>
                                                <w:left w:val="none" w:sz="0" w:space="0" w:color="auto"/>
                                                <w:bottom w:val="none" w:sz="0" w:space="0" w:color="auto"/>
                                                <w:right w:val="none" w:sz="0" w:space="0" w:color="auto"/>
                                              </w:divBdr>
                                            </w:div>
                                            <w:div w:id="15657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602563770">
      <w:bodyDiv w:val="1"/>
      <w:marLeft w:val="0"/>
      <w:marRight w:val="0"/>
      <w:marTop w:val="0"/>
      <w:marBottom w:val="0"/>
      <w:divBdr>
        <w:top w:val="none" w:sz="0" w:space="0" w:color="auto"/>
        <w:left w:val="none" w:sz="0" w:space="0" w:color="auto"/>
        <w:bottom w:val="none" w:sz="0" w:space="0" w:color="auto"/>
        <w:right w:val="none" w:sz="0" w:space="0" w:color="auto"/>
      </w:divBdr>
    </w:div>
    <w:div w:id="1605645465">
      <w:bodyDiv w:val="1"/>
      <w:marLeft w:val="0"/>
      <w:marRight w:val="0"/>
      <w:marTop w:val="0"/>
      <w:marBottom w:val="0"/>
      <w:divBdr>
        <w:top w:val="none" w:sz="0" w:space="0" w:color="auto"/>
        <w:left w:val="none" w:sz="0" w:space="0" w:color="auto"/>
        <w:bottom w:val="none" w:sz="0" w:space="0" w:color="auto"/>
        <w:right w:val="none" w:sz="0" w:space="0" w:color="auto"/>
      </w:divBdr>
    </w:div>
    <w:div w:id="1622304155">
      <w:bodyDiv w:val="1"/>
      <w:marLeft w:val="0"/>
      <w:marRight w:val="0"/>
      <w:marTop w:val="0"/>
      <w:marBottom w:val="0"/>
      <w:divBdr>
        <w:top w:val="none" w:sz="0" w:space="0" w:color="auto"/>
        <w:left w:val="none" w:sz="0" w:space="0" w:color="auto"/>
        <w:bottom w:val="none" w:sz="0" w:space="0" w:color="auto"/>
        <w:right w:val="none" w:sz="0" w:space="0" w:color="auto"/>
      </w:divBdr>
    </w:div>
    <w:div w:id="1647735523">
      <w:bodyDiv w:val="1"/>
      <w:marLeft w:val="0"/>
      <w:marRight w:val="0"/>
      <w:marTop w:val="0"/>
      <w:marBottom w:val="0"/>
      <w:divBdr>
        <w:top w:val="none" w:sz="0" w:space="0" w:color="auto"/>
        <w:left w:val="none" w:sz="0" w:space="0" w:color="auto"/>
        <w:bottom w:val="none" w:sz="0" w:space="0" w:color="auto"/>
        <w:right w:val="none" w:sz="0" w:space="0" w:color="auto"/>
      </w:divBdr>
    </w:div>
    <w:div w:id="1649280379">
      <w:bodyDiv w:val="1"/>
      <w:marLeft w:val="0"/>
      <w:marRight w:val="0"/>
      <w:marTop w:val="0"/>
      <w:marBottom w:val="0"/>
      <w:divBdr>
        <w:top w:val="none" w:sz="0" w:space="0" w:color="auto"/>
        <w:left w:val="none" w:sz="0" w:space="0" w:color="auto"/>
        <w:bottom w:val="none" w:sz="0" w:space="0" w:color="auto"/>
        <w:right w:val="none" w:sz="0" w:space="0" w:color="auto"/>
      </w:divBdr>
      <w:divsChild>
        <w:div w:id="1141115300">
          <w:marLeft w:val="0"/>
          <w:marRight w:val="0"/>
          <w:marTop w:val="240"/>
          <w:marBottom w:val="480"/>
          <w:divBdr>
            <w:top w:val="none" w:sz="0" w:space="0" w:color="auto"/>
            <w:left w:val="none" w:sz="0" w:space="0" w:color="auto"/>
            <w:bottom w:val="none" w:sz="0" w:space="0" w:color="auto"/>
            <w:right w:val="none" w:sz="0" w:space="0" w:color="auto"/>
          </w:divBdr>
          <w:divsChild>
            <w:div w:id="17630640">
              <w:marLeft w:val="0"/>
              <w:marRight w:val="0"/>
              <w:marTop w:val="0"/>
              <w:marBottom w:val="0"/>
              <w:divBdr>
                <w:top w:val="none" w:sz="0" w:space="0" w:color="auto"/>
                <w:left w:val="none" w:sz="0" w:space="0" w:color="auto"/>
                <w:bottom w:val="none" w:sz="0" w:space="0" w:color="auto"/>
                <w:right w:val="none" w:sz="0" w:space="0" w:color="auto"/>
              </w:divBdr>
              <w:divsChild>
                <w:div w:id="219874638">
                  <w:marLeft w:val="0"/>
                  <w:marRight w:val="0"/>
                  <w:marTop w:val="0"/>
                  <w:marBottom w:val="0"/>
                  <w:divBdr>
                    <w:top w:val="none" w:sz="0" w:space="0" w:color="auto"/>
                    <w:left w:val="none" w:sz="0" w:space="0" w:color="auto"/>
                    <w:bottom w:val="none" w:sz="0" w:space="0" w:color="auto"/>
                    <w:right w:val="none" w:sz="0" w:space="0" w:color="auto"/>
                  </w:divBdr>
                  <w:divsChild>
                    <w:div w:id="1373580184">
                      <w:marLeft w:val="0"/>
                      <w:marRight w:val="0"/>
                      <w:marTop w:val="0"/>
                      <w:marBottom w:val="0"/>
                      <w:divBdr>
                        <w:top w:val="none" w:sz="0" w:space="0" w:color="auto"/>
                        <w:left w:val="none" w:sz="0" w:space="0" w:color="auto"/>
                        <w:bottom w:val="none" w:sz="0" w:space="0" w:color="auto"/>
                        <w:right w:val="none" w:sz="0" w:space="0" w:color="auto"/>
                      </w:divBdr>
                      <w:divsChild>
                        <w:div w:id="768309715">
                          <w:marLeft w:val="0"/>
                          <w:marRight w:val="0"/>
                          <w:marTop w:val="0"/>
                          <w:marBottom w:val="0"/>
                          <w:divBdr>
                            <w:top w:val="none" w:sz="0" w:space="0" w:color="auto"/>
                            <w:left w:val="none" w:sz="0" w:space="0" w:color="auto"/>
                            <w:bottom w:val="none" w:sz="0" w:space="0" w:color="auto"/>
                            <w:right w:val="none" w:sz="0" w:space="0" w:color="auto"/>
                          </w:divBdr>
                          <w:divsChild>
                            <w:div w:id="1077023042">
                              <w:marLeft w:val="0"/>
                              <w:marRight w:val="0"/>
                              <w:marTop w:val="0"/>
                              <w:marBottom w:val="0"/>
                              <w:divBdr>
                                <w:top w:val="none" w:sz="0" w:space="0" w:color="auto"/>
                                <w:left w:val="none" w:sz="0" w:space="0" w:color="auto"/>
                                <w:bottom w:val="none" w:sz="0" w:space="0" w:color="auto"/>
                                <w:right w:val="none" w:sz="0" w:space="0" w:color="auto"/>
                              </w:divBdr>
                              <w:divsChild>
                                <w:div w:id="1517160063">
                                  <w:marLeft w:val="0"/>
                                  <w:marRight w:val="0"/>
                                  <w:marTop w:val="150"/>
                                  <w:marBottom w:val="150"/>
                                  <w:divBdr>
                                    <w:top w:val="none" w:sz="0" w:space="0" w:color="auto"/>
                                    <w:left w:val="none" w:sz="0" w:space="0" w:color="auto"/>
                                    <w:bottom w:val="none" w:sz="0" w:space="0" w:color="auto"/>
                                    <w:right w:val="none" w:sz="0" w:space="0" w:color="auto"/>
                                  </w:divBdr>
                                  <w:divsChild>
                                    <w:div w:id="1079980738">
                                      <w:marLeft w:val="0"/>
                                      <w:marRight w:val="0"/>
                                      <w:marTop w:val="0"/>
                                      <w:marBottom w:val="0"/>
                                      <w:divBdr>
                                        <w:top w:val="none" w:sz="0" w:space="0" w:color="auto"/>
                                        <w:left w:val="none" w:sz="0" w:space="0" w:color="auto"/>
                                        <w:bottom w:val="none" w:sz="0" w:space="0" w:color="auto"/>
                                        <w:right w:val="none" w:sz="0" w:space="0" w:color="auto"/>
                                      </w:divBdr>
                                      <w:divsChild>
                                        <w:div w:id="4287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280601">
      <w:bodyDiv w:val="1"/>
      <w:marLeft w:val="0"/>
      <w:marRight w:val="0"/>
      <w:marTop w:val="0"/>
      <w:marBottom w:val="0"/>
      <w:divBdr>
        <w:top w:val="none" w:sz="0" w:space="0" w:color="auto"/>
        <w:left w:val="none" w:sz="0" w:space="0" w:color="auto"/>
        <w:bottom w:val="none" w:sz="0" w:space="0" w:color="auto"/>
        <w:right w:val="none" w:sz="0" w:space="0" w:color="auto"/>
      </w:divBdr>
    </w:div>
    <w:div w:id="1662198236">
      <w:bodyDiv w:val="1"/>
      <w:marLeft w:val="0"/>
      <w:marRight w:val="0"/>
      <w:marTop w:val="0"/>
      <w:marBottom w:val="0"/>
      <w:divBdr>
        <w:top w:val="none" w:sz="0" w:space="0" w:color="auto"/>
        <w:left w:val="none" w:sz="0" w:space="0" w:color="auto"/>
        <w:bottom w:val="none" w:sz="0" w:space="0" w:color="auto"/>
        <w:right w:val="none" w:sz="0" w:space="0" w:color="auto"/>
      </w:divBdr>
    </w:div>
    <w:div w:id="1662539554">
      <w:bodyDiv w:val="1"/>
      <w:marLeft w:val="0"/>
      <w:marRight w:val="0"/>
      <w:marTop w:val="0"/>
      <w:marBottom w:val="0"/>
      <w:divBdr>
        <w:top w:val="none" w:sz="0" w:space="0" w:color="auto"/>
        <w:left w:val="none" w:sz="0" w:space="0" w:color="auto"/>
        <w:bottom w:val="none" w:sz="0" w:space="0" w:color="auto"/>
        <w:right w:val="none" w:sz="0" w:space="0" w:color="auto"/>
      </w:divBdr>
    </w:div>
    <w:div w:id="1682465760">
      <w:bodyDiv w:val="1"/>
      <w:marLeft w:val="0"/>
      <w:marRight w:val="0"/>
      <w:marTop w:val="0"/>
      <w:marBottom w:val="0"/>
      <w:divBdr>
        <w:top w:val="none" w:sz="0" w:space="0" w:color="auto"/>
        <w:left w:val="none" w:sz="0" w:space="0" w:color="auto"/>
        <w:bottom w:val="none" w:sz="0" w:space="0" w:color="auto"/>
        <w:right w:val="none" w:sz="0" w:space="0" w:color="auto"/>
      </w:divBdr>
    </w:div>
    <w:div w:id="1701395042">
      <w:bodyDiv w:val="1"/>
      <w:marLeft w:val="0"/>
      <w:marRight w:val="0"/>
      <w:marTop w:val="0"/>
      <w:marBottom w:val="0"/>
      <w:divBdr>
        <w:top w:val="none" w:sz="0" w:space="0" w:color="auto"/>
        <w:left w:val="none" w:sz="0" w:space="0" w:color="auto"/>
        <w:bottom w:val="none" w:sz="0" w:space="0" w:color="auto"/>
        <w:right w:val="none" w:sz="0" w:space="0" w:color="auto"/>
      </w:divBdr>
    </w:div>
    <w:div w:id="1706563615">
      <w:bodyDiv w:val="1"/>
      <w:marLeft w:val="0"/>
      <w:marRight w:val="0"/>
      <w:marTop w:val="0"/>
      <w:marBottom w:val="0"/>
      <w:divBdr>
        <w:top w:val="none" w:sz="0" w:space="0" w:color="auto"/>
        <w:left w:val="none" w:sz="0" w:space="0" w:color="auto"/>
        <w:bottom w:val="none" w:sz="0" w:space="0" w:color="auto"/>
        <w:right w:val="none" w:sz="0" w:space="0" w:color="auto"/>
      </w:divBdr>
      <w:divsChild>
        <w:div w:id="310402394">
          <w:marLeft w:val="0"/>
          <w:marRight w:val="0"/>
          <w:marTop w:val="240"/>
          <w:marBottom w:val="480"/>
          <w:divBdr>
            <w:top w:val="none" w:sz="0" w:space="0" w:color="auto"/>
            <w:left w:val="none" w:sz="0" w:space="0" w:color="auto"/>
            <w:bottom w:val="none" w:sz="0" w:space="0" w:color="auto"/>
            <w:right w:val="none" w:sz="0" w:space="0" w:color="auto"/>
          </w:divBdr>
          <w:divsChild>
            <w:div w:id="2090613301">
              <w:marLeft w:val="0"/>
              <w:marRight w:val="0"/>
              <w:marTop w:val="0"/>
              <w:marBottom w:val="0"/>
              <w:divBdr>
                <w:top w:val="none" w:sz="0" w:space="0" w:color="auto"/>
                <w:left w:val="none" w:sz="0" w:space="0" w:color="auto"/>
                <w:bottom w:val="none" w:sz="0" w:space="0" w:color="auto"/>
                <w:right w:val="none" w:sz="0" w:space="0" w:color="auto"/>
              </w:divBdr>
              <w:divsChild>
                <w:div w:id="1178345961">
                  <w:marLeft w:val="0"/>
                  <w:marRight w:val="0"/>
                  <w:marTop w:val="0"/>
                  <w:marBottom w:val="0"/>
                  <w:divBdr>
                    <w:top w:val="none" w:sz="0" w:space="0" w:color="auto"/>
                    <w:left w:val="none" w:sz="0" w:space="0" w:color="auto"/>
                    <w:bottom w:val="none" w:sz="0" w:space="0" w:color="auto"/>
                    <w:right w:val="none" w:sz="0" w:space="0" w:color="auto"/>
                  </w:divBdr>
                  <w:divsChild>
                    <w:div w:id="1684360539">
                      <w:marLeft w:val="0"/>
                      <w:marRight w:val="0"/>
                      <w:marTop w:val="0"/>
                      <w:marBottom w:val="0"/>
                      <w:divBdr>
                        <w:top w:val="none" w:sz="0" w:space="0" w:color="auto"/>
                        <w:left w:val="none" w:sz="0" w:space="0" w:color="auto"/>
                        <w:bottom w:val="none" w:sz="0" w:space="0" w:color="auto"/>
                        <w:right w:val="none" w:sz="0" w:space="0" w:color="auto"/>
                      </w:divBdr>
                      <w:divsChild>
                        <w:div w:id="385102007">
                          <w:marLeft w:val="0"/>
                          <w:marRight w:val="0"/>
                          <w:marTop w:val="0"/>
                          <w:marBottom w:val="0"/>
                          <w:divBdr>
                            <w:top w:val="none" w:sz="0" w:space="0" w:color="auto"/>
                            <w:left w:val="none" w:sz="0" w:space="0" w:color="auto"/>
                            <w:bottom w:val="none" w:sz="0" w:space="0" w:color="auto"/>
                            <w:right w:val="none" w:sz="0" w:space="0" w:color="auto"/>
                          </w:divBdr>
                          <w:divsChild>
                            <w:div w:id="2071658707">
                              <w:marLeft w:val="0"/>
                              <w:marRight w:val="0"/>
                              <w:marTop w:val="0"/>
                              <w:marBottom w:val="0"/>
                              <w:divBdr>
                                <w:top w:val="none" w:sz="0" w:space="0" w:color="auto"/>
                                <w:left w:val="none" w:sz="0" w:space="0" w:color="auto"/>
                                <w:bottom w:val="none" w:sz="0" w:space="0" w:color="auto"/>
                                <w:right w:val="none" w:sz="0" w:space="0" w:color="auto"/>
                              </w:divBdr>
                              <w:divsChild>
                                <w:div w:id="155147447">
                                  <w:marLeft w:val="0"/>
                                  <w:marRight w:val="0"/>
                                  <w:marTop w:val="150"/>
                                  <w:marBottom w:val="150"/>
                                  <w:divBdr>
                                    <w:top w:val="none" w:sz="0" w:space="0" w:color="auto"/>
                                    <w:left w:val="none" w:sz="0" w:space="0" w:color="auto"/>
                                    <w:bottom w:val="none" w:sz="0" w:space="0" w:color="auto"/>
                                    <w:right w:val="none" w:sz="0" w:space="0" w:color="auto"/>
                                  </w:divBdr>
                                  <w:divsChild>
                                    <w:div w:id="318728760">
                                      <w:marLeft w:val="0"/>
                                      <w:marRight w:val="0"/>
                                      <w:marTop w:val="0"/>
                                      <w:marBottom w:val="0"/>
                                      <w:divBdr>
                                        <w:top w:val="none" w:sz="0" w:space="0" w:color="auto"/>
                                        <w:left w:val="none" w:sz="0" w:space="0" w:color="auto"/>
                                        <w:bottom w:val="none" w:sz="0" w:space="0" w:color="auto"/>
                                        <w:right w:val="none" w:sz="0" w:space="0" w:color="auto"/>
                                      </w:divBdr>
                                      <w:divsChild>
                                        <w:div w:id="2093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8557">
      <w:bodyDiv w:val="1"/>
      <w:marLeft w:val="0"/>
      <w:marRight w:val="0"/>
      <w:marTop w:val="0"/>
      <w:marBottom w:val="0"/>
      <w:divBdr>
        <w:top w:val="none" w:sz="0" w:space="0" w:color="auto"/>
        <w:left w:val="none" w:sz="0" w:space="0" w:color="auto"/>
        <w:bottom w:val="none" w:sz="0" w:space="0" w:color="auto"/>
        <w:right w:val="none" w:sz="0" w:space="0" w:color="auto"/>
      </w:divBdr>
    </w:div>
    <w:div w:id="1712073366">
      <w:bodyDiv w:val="1"/>
      <w:marLeft w:val="0"/>
      <w:marRight w:val="0"/>
      <w:marTop w:val="0"/>
      <w:marBottom w:val="0"/>
      <w:divBdr>
        <w:top w:val="none" w:sz="0" w:space="0" w:color="auto"/>
        <w:left w:val="none" w:sz="0" w:space="0" w:color="auto"/>
        <w:bottom w:val="none" w:sz="0" w:space="0" w:color="auto"/>
        <w:right w:val="none" w:sz="0" w:space="0" w:color="auto"/>
      </w:divBdr>
    </w:div>
    <w:div w:id="1735082364">
      <w:bodyDiv w:val="1"/>
      <w:marLeft w:val="0"/>
      <w:marRight w:val="0"/>
      <w:marTop w:val="0"/>
      <w:marBottom w:val="0"/>
      <w:divBdr>
        <w:top w:val="none" w:sz="0" w:space="0" w:color="auto"/>
        <w:left w:val="none" w:sz="0" w:space="0" w:color="auto"/>
        <w:bottom w:val="none" w:sz="0" w:space="0" w:color="auto"/>
        <w:right w:val="none" w:sz="0" w:space="0" w:color="auto"/>
      </w:divBdr>
    </w:div>
    <w:div w:id="1735740970">
      <w:bodyDiv w:val="1"/>
      <w:marLeft w:val="0"/>
      <w:marRight w:val="0"/>
      <w:marTop w:val="0"/>
      <w:marBottom w:val="0"/>
      <w:divBdr>
        <w:top w:val="none" w:sz="0" w:space="0" w:color="auto"/>
        <w:left w:val="none" w:sz="0" w:space="0" w:color="auto"/>
        <w:bottom w:val="none" w:sz="0" w:space="0" w:color="auto"/>
        <w:right w:val="none" w:sz="0" w:space="0" w:color="auto"/>
      </w:divBdr>
    </w:div>
    <w:div w:id="1761565339">
      <w:bodyDiv w:val="1"/>
      <w:marLeft w:val="0"/>
      <w:marRight w:val="0"/>
      <w:marTop w:val="0"/>
      <w:marBottom w:val="0"/>
      <w:divBdr>
        <w:top w:val="none" w:sz="0" w:space="0" w:color="auto"/>
        <w:left w:val="none" w:sz="0" w:space="0" w:color="auto"/>
        <w:bottom w:val="none" w:sz="0" w:space="0" w:color="auto"/>
        <w:right w:val="none" w:sz="0" w:space="0" w:color="auto"/>
      </w:divBdr>
    </w:div>
    <w:div w:id="1766001230">
      <w:bodyDiv w:val="1"/>
      <w:marLeft w:val="0"/>
      <w:marRight w:val="0"/>
      <w:marTop w:val="0"/>
      <w:marBottom w:val="0"/>
      <w:divBdr>
        <w:top w:val="none" w:sz="0" w:space="0" w:color="auto"/>
        <w:left w:val="none" w:sz="0" w:space="0" w:color="auto"/>
        <w:bottom w:val="none" w:sz="0" w:space="0" w:color="auto"/>
        <w:right w:val="none" w:sz="0" w:space="0" w:color="auto"/>
      </w:divBdr>
    </w:div>
    <w:div w:id="1775633003">
      <w:bodyDiv w:val="1"/>
      <w:marLeft w:val="0"/>
      <w:marRight w:val="0"/>
      <w:marTop w:val="0"/>
      <w:marBottom w:val="0"/>
      <w:divBdr>
        <w:top w:val="none" w:sz="0" w:space="0" w:color="auto"/>
        <w:left w:val="none" w:sz="0" w:space="0" w:color="auto"/>
        <w:bottom w:val="none" w:sz="0" w:space="0" w:color="auto"/>
        <w:right w:val="none" w:sz="0" w:space="0" w:color="auto"/>
      </w:divBdr>
    </w:div>
    <w:div w:id="1776711918">
      <w:bodyDiv w:val="1"/>
      <w:marLeft w:val="0"/>
      <w:marRight w:val="0"/>
      <w:marTop w:val="0"/>
      <w:marBottom w:val="0"/>
      <w:divBdr>
        <w:top w:val="none" w:sz="0" w:space="0" w:color="auto"/>
        <w:left w:val="none" w:sz="0" w:space="0" w:color="auto"/>
        <w:bottom w:val="none" w:sz="0" w:space="0" w:color="auto"/>
        <w:right w:val="none" w:sz="0" w:space="0" w:color="auto"/>
      </w:divBdr>
    </w:div>
    <w:div w:id="1800488417">
      <w:bodyDiv w:val="1"/>
      <w:marLeft w:val="0"/>
      <w:marRight w:val="0"/>
      <w:marTop w:val="0"/>
      <w:marBottom w:val="0"/>
      <w:divBdr>
        <w:top w:val="none" w:sz="0" w:space="0" w:color="auto"/>
        <w:left w:val="none" w:sz="0" w:space="0" w:color="auto"/>
        <w:bottom w:val="none" w:sz="0" w:space="0" w:color="auto"/>
        <w:right w:val="none" w:sz="0" w:space="0" w:color="auto"/>
      </w:divBdr>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 w:id="1885290348">
      <w:bodyDiv w:val="1"/>
      <w:marLeft w:val="0"/>
      <w:marRight w:val="0"/>
      <w:marTop w:val="0"/>
      <w:marBottom w:val="0"/>
      <w:divBdr>
        <w:top w:val="none" w:sz="0" w:space="0" w:color="auto"/>
        <w:left w:val="none" w:sz="0" w:space="0" w:color="auto"/>
        <w:bottom w:val="none" w:sz="0" w:space="0" w:color="auto"/>
        <w:right w:val="none" w:sz="0" w:space="0" w:color="auto"/>
      </w:divBdr>
    </w:div>
    <w:div w:id="1890801206">
      <w:bodyDiv w:val="1"/>
      <w:marLeft w:val="0"/>
      <w:marRight w:val="0"/>
      <w:marTop w:val="0"/>
      <w:marBottom w:val="0"/>
      <w:divBdr>
        <w:top w:val="none" w:sz="0" w:space="0" w:color="auto"/>
        <w:left w:val="none" w:sz="0" w:space="0" w:color="auto"/>
        <w:bottom w:val="none" w:sz="0" w:space="0" w:color="auto"/>
        <w:right w:val="none" w:sz="0" w:space="0" w:color="auto"/>
      </w:divBdr>
    </w:div>
    <w:div w:id="1937135487">
      <w:bodyDiv w:val="1"/>
      <w:marLeft w:val="0"/>
      <w:marRight w:val="0"/>
      <w:marTop w:val="0"/>
      <w:marBottom w:val="0"/>
      <w:divBdr>
        <w:top w:val="none" w:sz="0" w:space="0" w:color="auto"/>
        <w:left w:val="none" w:sz="0" w:space="0" w:color="auto"/>
        <w:bottom w:val="none" w:sz="0" w:space="0" w:color="auto"/>
        <w:right w:val="none" w:sz="0" w:space="0" w:color="auto"/>
      </w:divBdr>
    </w:div>
    <w:div w:id="1938321549">
      <w:bodyDiv w:val="1"/>
      <w:marLeft w:val="0"/>
      <w:marRight w:val="0"/>
      <w:marTop w:val="0"/>
      <w:marBottom w:val="0"/>
      <w:divBdr>
        <w:top w:val="none" w:sz="0" w:space="0" w:color="auto"/>
        <w:left w:val="none" w:sz="0" w:space="0" w:color="auto"/>
        <w:bottom w:val="none" w:sz="0" w:space="0" w:color="auto"/>
        <w:right w:val="none" w:sz="0" w:space="0" w:color="auto"/>
      </w:divBdr>
    </w:div>
    <w:div w:id="1948149299">
      <w:bodyDiv w:val="1"/>
      <w:marLeft w:val="0"/>
      <w:marRight w:val="0"/>
      <w:marTop w:val="0"/>
      <w:marBottom w:val="0"/>
      <w:divBdr>
        <w:top w:val="none" w:sz="0" w:space="0" w:color="auto"/>
        <w:left w:val="none" w:sz="0" w:space="0" w:color="auto"/>
        <w:bottom w:val="none" w:sz="0" w:space="0" w:color="auto"/>
        <w:right w:val="none" w:sz="0" w:space="0" w:color="auto"/>
      </w:divBdr>
      <w:divsChild>
        <w:div w:id="1691569444">
          <w:marLeft w:val="0"/>
          <w:marRight w:val="0"/>
          <w:marTop w:val="240"/>
          <w:marBottom w:val="480"/>
          <w:divBdr>
            <w:top w:val="none" w:sz="0" w:space="0" w:color="auto"/>
            <w:left w:val="none" w:sz="0" w:space="0" w:color="auto"/>
            <w:bottom w:val="none" w:sz="0" w:space="0" w:color="auto"/>
            <w:right w:val="none" w:sz="0" w:space="0" w:color="auto"/>
          </w:divBdr>
          <w:divsChild>
            <w:div w:id="203181431">
              <w:marLeft w:val="0"/>
              <w:marRight w:val="0"/>
              <w:marTop w:val="0"/>
              <w:marBottom w:val="0"/>
              <w:divBdr>
                <w:top w:val="none" w:sz="0" w:space="0" w:color="auto"/>
                <w:left w:val="none" w:sz="0" w:space="0" w:color="auto"/>
                <w:bottom w:val="none" w:sz="0" w:space="0" w:color="auto"/>
                <w:right w:val="none" w:sz="0" w:space="0" w:color="auto"/>
              </w:divBdr>
              <w:divsChild>
                <w:div w:id="1847010884">
                  <w:marLeft w:val="0"/>
                  <w:marRight w:val="0"/>
                  <w:marTop w:val="0"/>
                  <w:marBottom w:val="0"/>
                  <w:divBdr>
                    <w:top w:val="none" w:sz="0" w:space="0" w:color="auto"/>
                    <w:left w:val="none" w:sz="0" w:space="0" w:color="auto"/>
                    <w:bottom w:val="none" w:sz="0" w:space="0" w:color="auto"/>
                    <w:right w:val="none" w:sz="0" w:space="0" w:color="auto"/>
                  </w:divBdr>
                  <w:divsChild>
                    <w:div w:id="480774067">
                      <w:marLeft w:val="0"/>
                      <w:marRight w:val="0"/>
                      <w:marTop w:val="0"/>
                      <w:marBottom w:val="0"/>
                      <w:divBdr>
                        <w:top w:val="none" w:sz="0" w:space="0" w:color="auto"/>
                        <w:left w:val="none" w:sz="0" w:space="0" w:color="auto"/>
                        <w:bottom w:val="none" w:sz="0" w:space="0" w:color="auto"/>
                        <w:right w:val="none" w:sz="0" w:space="0" w:color="auto"/>
                      </w:divBdr>
                      <w:divsChild>
                        <w:div w:id="1554267047">
                          <w:marLeft w:val="0"/>
                          <w:marRight w:val="0"/>
                          <w:marTop w:val="0"/>
                          <w:marBottom w:val="0"/>
                          <w:divBdr>
                            <w:top w:val="none" w:sz="0" w:space="0" w:color="auto"/>
                            <w:left w:val="none" w:sz="0" w:space="0" w:color="auto"/>
                            <w:bottom w:val="none" w:sz="0" w:space="0" w:color="auto"/>
                            <w:right w:val="none" w:sz="0" w:space="0" w:color="auto"/>
                          </w:divBdr>
                          <w:divsChild>
                            <w:div w:id="591203361">
                              <w:marLeft w:val="0"/>
                              <w:marRight w:val="0"/>
                              <w:marTop w:val="0"/>
                              <w:marBottom w:val="0"/>
                              <w:divBdr>
                                <w:top w:val="none" w:sz="0" w:space="0" w:color="auto"/>
                                <w:left w:val="none" w:sz="0" w:space="0" w:color="auto"/>
                                <w:bottom w:val="none" w:sz="0" w:space="0" w:color="auto"/>
                                <w:right w:val="none" w:sz="0" w:space="0" w:color="auto"/>
                              </w:divBdr>
                              <w:divsChild>
                                <w:div w:id="740951485">
                                  <w:marLeft w:val="0"/>
                                  <w:marRight w:val="0"/>
                                  <w:marTop w:val="150"/>
                                  <w:marBottom w:val="150"/>
                                  <w:divBdr>
                                    <w:top w:val="none" w:sz="0" w:space="0" w:color="auto"/>
                                    <w:left w:val="none" w:sz="0" w:space="0" w:color="auto"/>
                                    <w:bottom w:val="none" w:sz="0" w:space="0" w:color="auto"/>
                                    <w:right w:val="none" w:sz="0" w:space="0" w:color="auto"/>
                                  </w:divBdr>
                                  <w:divsChild>
                                    <w:div w:id="366833836">
                                      <w:marLeft w:val="0"/>
                                      <w:marRight w:val="0"/>
                                      <w:marTop w:val="0"/>
                                      <w:marBottom w:val="0"/>
                                      <w:divBdr>
                                        <w:top w:val="none" w:sz="0" w:space="0" w:color="auto"/>
                                        <w:left w:val="none" w:sz="0" w:space="0" w:color="auto"/>
                                        <w:bottom w:val="none" w:sz="0" w:space="0" w:color="auto"/>
                                        <w:right w:val="none" w:sz="0" w:space="0" w:color="auto"/>
                                      </w:divBdr>
                                      <w:divsChild>
                                        <w:div w:id="3646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696602">
      <w:bodyDiv w:val="1"/>
      <w:marLeft w:val="0"/>
      <w:marRight w:val="0"/>
      <w:marTop w:val="0"/>
      <w:marBottom w:val="0"/>
      <w:divBdr>
        <w:top w:val="none" w:sz="0" w:space="0" w:color="auto"/>
        <w:left w:val="none" w:sz="0" w:space="0" w:color="auto"/>
        <w:bottom w:val="none" w:sz="0" w:space="0" w:color="auto"/>
        <w:right w:val="none" w:sz="0" w:space="0" w:color="auto"/>
      </w:divBdr>
      <w:divsChild>
        <w:div w:id="760295784">
          <w:marLeft w:val="0"/>
          <w:marRight w:val="0"/>
          <w:marTop w:val="240"/>
          <w:marBottom w:val="480"/>
          <w:divBdr>
            <w:top w:val="none" w:sz="0" w:space="0" w:color="auto"/>
            <w:left w:val="none" w:sz="0" w:space="0" w:color="auto"/>
            <w:bottom w:val="none" w:sz="0" w:space="0" w:color="auto"/>
            <w:right w:val="none" w:sz="0" w:space="0" w:color="auto"/>
          </w:divBdr>
          <w:divsChild>
            <w:div w:id="525950774">
              <w:marLeft w:val="0"/>
              <w:marRight w:val="0"/>
              <w:marTop w:val="0"/>
              <w:marBottom w:val="0"/>
              <w:divBdr>
                <w:top w:val="none" w:sz="0" w:space="0" w:color="auto"/>
                <w:left w:val="none" w:sz="0" w:space="0" w:color="auto"/>
                <w:bottom w:val="none" w:sz="0" w:space="0" w:color="auto"/>
                <w:right w:val="none" w:sz="0" w:space="0" w:color="auto"/>
              </w:divBdr>
              <w:divsChild>
                <w:div w:id="1909420798">
                  <w:marLeft w:val="0"/>
                  <w:marRight w:val="0"/>
                  <w:marTop w:val="0"/>
                  <w:marBottom w:val="0"/>
                  <w:divBdr>
                    <w:top w:val="none" w:sz="0" w:space="0" w:color="auto"/>
                    <w:left w:val="none" w:sz="0" w:space="0" w:color="auto"/>
                    <w:bottom w:val="none" w:sz="0" w:space="0" w:color="auto"/>
                    <w:right w:val="none" w:sz="0" w:space="0" w:color="auto"/>
                  </w:divBdr>
                  <w:divsChild>
                    <w:div w:id="236792671">
                      <w:marLeft w:val="0"/>
                      <w:marRight w:val="0"/>
                      <w:marTop w:val="0"/>
                      <w:marBottom w:val="0"/>
                      <w:divBdr>
                        <w:top w:val="none" w:sz="0" w:space="0" w:color="auto"/>
                        <w:left w:val="none" w:sz="0" w:space="0" w:color="auto"/>
                        <w:bottom w:val="none" w:sz="0" w:space="0" w:color="auto"/>
                        <w:right w:val="none" w:sz="0" w:space="0" w:color="auto"/>
                      </w:divBdr>
                      <w:divsChild>
                        <w:div w:id="1140732625">
                          <w:marLeft w:val="0"/>
                          <w:marRight w:val="0"/>
                          <w:marTop w:val="0"/>
                          <w:marBottom w:val="0"/>
                          <w:divBdr>
                            <w:top w:val="none" w:sz="0" w:space="0" w:color="auto"/>
                            <w:left w:val="none" w:sz="0" w:space="0" w:color="auto"/>
                            <w:bottom w:val="none" w:sz="0" w:space="0" w:color="auto"/>
                            <w:right w:val="none" w:sz="0" w:space="0" w:color="auto"/>
                          </w:divBdr>
                          <w:divsChild>
                            <w:div w:id="1006445282">
                              <w:marLeft w:val="0"/>
                              <w:marRight w:val="0"/>
                              <w:marTop w:val="0"/>
                              <w:marBottom w:val="0"/>
                              <w:divBdr>
                                <w:top w:val="none" w:sz="0" w:space="0" w:color="auto"/>
                                <w:left w:val="none" w:sz="0" w:space="0" w:color="auto"/>
                                <w:bottom w:val="none" w:sz="0" w:space="0" w:color="auto"/>
                                <w:right w:val="none" w:sz="0" w:space="0" w:color="auto"/>
                              </w:divBdr>
                              <w:divsChild>
                                <w:div w:id="2042433372">
                                  <w:marLeft w:val="0"/>
                                  <w:marRight w:val="0"/>
                                  <w:marTop w:val="150"/>
                                  <w:marBottom w:val="150"/>
                                  <w:divBdr>
                                    <w:top w:val="none" w:sz="0" w:space="0" w:color="auto"/>
                                    <w:left w:val="none" w:sz="0" w:space="0" w:color="auto"/>
                                    <w:bottom w:val="none" w:sz="0" w:space="0" w:color="auto"/>
                                    <w:right w:val="none" w:sz="0" w:space="0" w:color="auto"/>
                                  </w:divBdr>
                                  <w:divsChild>
                                    <w:div w:id="1307934031">
                                      <w:marLeft w:val="0"/>
                                      <w:marRight w:val="0"/>
                                      <w:marTop w:val="0"/>
                                      <w:marBottom w:val="0"/>
                                      <w:divBdr>
                                        <w:top w:val="none" w:sz="0" w:space="0" w:color="auto"/>
                                        <w:left w:val="none" w:sz="0" w:space="0" w:color="auto"/>
                                        <w:bottom w:val="none" w:sz="0" w:space="0" w:color="auto"/>
                                        <w:right w:val="none" w:sz="0" w:space="0" w:color="auto"/>
                                      </w:divBdr>
                                      <w:divsChild>
                                        <w:div w:id="199066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812549">
      <w:bodyDiv w:val="1"/>
      <w:marLeft w:val="0"/>
      <w:marRight w:val="0"/>
      <w:marTop w:val="0"/>
      <w:marBottom w:val="0"/>
      <w:divBdr>
        <w:top w:val="none" w:sz="0" w:space="0" w:color="auto"/>
        <w:left w:val="none" w:sz="0" w:space="0" w:color="auto"/>
        <w:bottom w:val="none" w:sz="0" w:space="0" w:color="auto"/>
        <w:right w:val="none" w:sz="0" w:space="0" w:color="auto"/>
      </w:divBdr>
      <w:divsChild>
        <w:div w:id="1533423649">
          <w:marLeft w:val="0"/>
          <w:marRight w:val="0"/>
          <w:marTop w:val="0"/>
          <w:marBottom w:val="0"/>
          <w:divBdr>
            <w:top w:val="none" w:sz="0" w:space="0" w:color="auto"/>
            <w:left w:val="none" w:sz="0" w:space="0" w:color="auto"/>
            <w:bottom w:val="none" w:sz="0" w:space="0" w:color="auto"/>
            <w:right w:val="none" w:sz="0" w:space="0" w:color="auto"/>
          </w:divBdr>
          <w:divsChild>
            <w:div w:id="390234010">
              <w:marLeft w:val="0"/>
              <w:marRight w:val="0"/>
              <w:marTop w:val="0"/>
              <w:marBottom w:val="0"/>
              <w:divBdr>
                <w:top w:val="none" w:sz="0" w:space="0" w:color="auto"/>
                <w:left w:val="none" w:sz="0" w:space="0" w:color="auto"/>
                <w:bottom w:val="none" w:sz="0" w:space="0" w:color="auto"/>
                <w:right w:val="none" w:sz="0" w:space="0" w:color="auto"/>
              </w:divBdr>
              <w:divsChild>
                <w:div w:id="802843079">
                  <w:marLeft w:val="0"/>
                  <w:marRight w:val="0"/>
                  <w:marTop w:val="0"/>
                  <w:marBottom w:val="0"/>
                  <w:divBdr>
                    <w:top w:val="none" w:sz="0" w:space="0" w:color="auto"/>
                    <w:left w:val="none" w:sz="0" w:space="0" w:color="auto"/>
                    <w:bottom w:val="none" w:sz="0" w:space="0" w:color="auto"/>
                    <w:right w:val="none" w:sz="0" w:space="0" w:color="auto"/>
                  </w:divBdr>
                  <w:divsChild>
                    <w:div w:id="1707830174">
                      <w:marLeft w:val="0"/>
                      <w:marRight w:val="0"/>
                      <w:marTop w:val="0"/>
                      <w:marBottom w:val="0"/>
                      <w:divBdr>
                        <w:top w:val="none" w:sz="0" w:space="0" w:color="auto"/>
                        <w:left w:val="none" w:sz="0" w:space="0" w:color="auto"/>
                        <w:bottom w:val="none" w:sz="0" w:space="0" w:color="auto"/>
                        <w:right w:val="none" w:sz="0" w:space="0" w:color="auto"/>
                      </w:divBdr>
                      <w:divsChild>
                        <w:div w:id="1731492929">
                          <w:marLeft w:val="0"/>
                          <w:marRight w:val="0"/>
                          <w:marTop w:val="0"/>
                          <w:marBottom w:val="0"/>
                          <w:divBdr>
                            <w:top w:val="none" w:sz="0" w:space="0" w:color="auto"/>
                            <w:left w:val="none" w:sz="0" w:space="0" w:color="auto"/>
                            <w:bottom w:val="none" w:sz="0" w:space="0" w:color="auto"/>
                            <w:right w:val="none" w:sz="0" w:space="0" w:color="auto"/>
                          </w:divBdr>
                          <w:divsChild>
                            <w:div w:id="1682512430">
                              <w:marLeft w:val="0"/>
                              <w:marRight w:val="0"/>
                              <w:marTop w:val="0"/>
                              <w:marBottom w:val="0"/>
                              <w:divBdr>
                                <w:top w:val="none" w:sz="0" w:space="0" w:color="auto"/>
                                <w:left w:val="none" w:sz="0" w:space="0" w:color="auto"/>
                                <w:bottom w:val="none" w:sz="0" w:space="0" w:color="auto"/>
                                <w:right w:val="none" w:sz="0" w:space="0" w:color="auto"/>
                              </w:divBdr>
                              <w:divsChild>
                                <w:div w:id="2058890960">
                                  <w:marLeft w:val="0"/>
                                  <w:marRight w:val="0"/>
                                  <w:marTop w:val="0"/>
                                  <w:marBottom w:val="0"/>
                                  <w:divBdr>
                                    <w:top w:val="none" w:sz="0" w:space="0" w:color="auto"/>
                                    <w:left w:val="none" w:sz="0" w:space="0" w:color="auto"/>
                                    <w:bottom w:val="none" w:sz="0" w:space="0" w:color="auto"/>
                                    <w:right w:val="none" w:sz="0" w:space="0" w:color="auto"/>
                                  </w:divBdr>
                                  <w:divsChild>
                                    <w:div w:id="1221096359">
                                      <w:marLeft w:val="0"/>
                                      <w:marRight w:val="0"/>
                                      <w:marTop w:val="0"/>
                                      <w:marBottom w:val="360"/>
                                      <w:divBdr>
                                        <w:top w:val="none" w:sz="0" w:space="0" w:color="auto"/>
                                        <w:left w:val="none" w:sz="0" w:space="0" w:color="auto"/>
                                        <w:bottom w:val="none" w:sz="0" w:space="0" w:color="auto"/>
                                        <w:right w:val="none" w:sz="0" w:space="0" w:color="auto"/>
                                      </w:divBdr>
                                      <w:divsChild>
                                        <w:div w:id="196238384">
                                          <w:marLeft w:val="0"/>
                                          <w:marRight w:val="0"/>
                                          <w:marTop w:val="0"/>
                                          <w:marBottom w:val="0"/>
                                          <w:divBdr>
                                            <w:top w:val="none" w:sz="0" w:space="0" w:color="auto"/>
                                            <w:left w:val="none" w:sz="0" w:space="0" w:color="auto"/>
                                            <w:bottom w:val="none" w:sz="0" w:space="0" w:color="auto"/>
                                            <w:right w:val="none" w:sz="0" w:space="0" w:color="auto"/>
                                          </w:divBdr>
                                          <w:divsChild>
                                            <w:div w:id="1215582928">
                                              <w:marLeft w:val="0"/>
                                              <w:marRight w:val="0"/>
                                              <w:marTop w:val="0"/>
                                              <w:marBottom w:val="0"/>
                                              <w:divBdr>
                                                <w:top w:val="none" w:sz="0" w:space="0" w:color="auto"/>
                                                <w:left w:val="none" w:sz="0" w:space="0" w:color="auto"/>
                                                <w:bottom w:val="none" w:sz="0" w:space="0" w:color="auto"/>
                                                <w:right w:val="none" w:sz="0" w:space="0" w:color="auto"/>
                                              </w:divBdr>
                                              <w:divsChild>
                                                <w:div w:id="23485707">
                                                  <w:marLeft w:val="0"/>
                                                  <w:marRight w:val="0"/>
                                                  <w:marTop w:val="0"/>
                                                  <w:marBottom w:val="0"/>
                                                  <w:divBdr>
                                                    <w:top w:val="none" w:sz="0" w:space="0" w:color="auto"/>
                                                    <w:left w:val="none" w:sz="0" w:space="0" w:color="auto"/>
                                                    <w:bottom w:val="none" w:sz="0" w:space="0" w:color="auto"/>
                                                    <w:right w:val="none" w:sz="0" w:space="0" w:color="auto"/>
                                                  </w:divBdr>
                                                </w:div>
                                                <w:div w:id="1396318392">
                                                  <w:marLeft w:val="0"/>
                                                  <w:marRight w:val="0"/>
                                                  <w:marTop w:val="0"/>
                                                  <w:marBottom w:val="0"/>
                                                  <w:divBdr>
                                                    <w:top w:val="none" w:sz="0" w:space="0" w:color="auto"/>
                                                    <w:left w:val="none" w:sz="0" w:space="0" w:color="auto"/>
                                                    <w:bottom w:val="none" w:sz="0" w:space="0" w:color="auto"/>
                                                    <w:right w:val="none" w:sz="0" w:space="0" w:color="auto"/>
                                                  </w:divBdr>
                                                  <w:divsChild>
                                                    <w:div w:id="217133595">
                                                      <w:marLeft w:val="0"/>
                                                      <w:marRight w:val="0"/>
                                                      <w:marTop w:val="0"/>
                                                      <w:marBottom w:val="0"/>
                                                      <w:divBdr>
                                                        <w:top w:val="single" w:sz="2" w:space="3" w:color="008000"/>
                                                        <w:left w:val="single" w:sz="2" w:space="0" w:color="008000"/>
                                                        <w:bottom w:val="single" w:sz="2" w:space="0" w:color="008000"/>
                                                        <w:right w:val="single" w:sz="2" w:space="0" w:color="008000"/>
                                                      </w:divBdr>
                                                      <w:divsChild>
                                                        <w:div w:id="556861694">
                                                          <w:marLeft w:val="0"/>
                                                          <w:marRight w:val="0"/>
                                                          <w:marTop w:val="0"/>
                                                          <w:marBottom w:val="0"/>
                                                          <w:divBdr>
                                                            <w:top w:val="none" w:sz="0" w:space="0" w:color="auto"/>
                                                            <w:left w:val="none" w:sz="0" w:space="0" w:color="auto"/>
                                                            <w:bottom w:val="none" w:sz="0" w:space="0" w:color="auto"/>
                                                            <w:right w:val="none" w:sz="0" w:space="0" w:color="auto"/>
                                                          </w:divBdr>
                                                          <w:divsChild>
                                                            <w:div w:id="2017078069">
                                                              <w:marLeft w:val="0"/>
                                                              <w:marRight w:val="0"/>
                                                              <w:marTop w:val="0"/>
                                                              <w:marBottom w:val="0"/>
                                                              <w:divBdr>
                                                                <w:top w:val="none" w:sz="0" w:space="0" w:color="auto"/>
                                                                <w:left w:val="none" w:sz="0" w:space="0" w:color="auto"/>
                                                                <w:bottom w:val="none" w:sz="0" w:space="0" w:color="auto"/>
                                                                <w:right w:val="none" w:sz="0" w:space="0" w:color="auto"/>
                                                              </w:divBdr>
                                                              <w:divsChild>
                                                                <w:div w:id="21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6861151">
      <w:bodyDiv w:val="1"/>
      <w:marLeft w:val="0"/>
      <w:marRight w:val="0"/>
      <w:marTop w:val="0"/>
      <w:marBottom w:val="0"/>
      <w:divBdr>
        <w:top w:val="none" w:sz="0" w:space="0" w:color="auto"/>
        <w:left w:val="none" w:sz="0" w:space="0" w:color="auto"/>
        <w:bottom w:val="none" w:sz="0" w:space="0" w:color="auto"/>
        <w:right w:val="none" w:sz="0" w:space="0" w:color="auto"/>
      </w:divBdr>
      <w:divsChild>
        <w:div w:id="462891758">
          <w:marLeft w:val="0"/>
          <w:marRight w:val="0"/>
          <w:marTop w:val="240"/>
          <w:marBottom w:val="480"/>
          <w:divBdr>
            <w:top w:val="none" w:sz="0" w:space="0" w:color="auto"/>
            <w:left w:val="none" w:sz="0" w:space="0" w:color="auto"/>
            <w:bottom w:val="none" w:sz="0" w:space="0" w:color="auto"/>
            <w:right w:val="none" w:sz="0" w:space="0" w:color="auto"/>
          </w:divBdr>
          <w:divsChild>
            <w:div w:id="666326056">
              <w:marLeft w:val="0"/>
              <w:marRight w:val="0"/>
              <w:marTop w:val="0"/>
              <w:marBottom w:val="0"/>
              <w:divBdr>
                <w:top w:val="none" w:sz="0" w:space="0" w:color="auto"/>
                <w:left w:val="none" w:sz="0" w:space="0" w:color="auto"/>
                <w:bottom w:val="none" w:sz="0" w:space="0" w:color="auto"/>
                <w:right w:val="none" w:sz="0" w:space="0" w:color="auto"/>
              </w:divBdr>
              <w:divsChild>
                <w:div w:id="1663047339">
                  <w:marLeft w:val="0"/>
                  <w:marRight w:val="0"/>
                  <w:marTop w:val="0"/>
                  <w:marBottom w:val="0"/>
                  <w:divBdr>
                    <w:top w:val="none" w:sz="0" w:space="0" w:color="auto"/>
                    <w:left w:val="none" w:sz="0" w:space="0" w:color="auto"/>
                    <w:bottom w:val="none" w:sz="0" w:space="0" w:color="auto"/>
                    <w:right w:val="none" w:sz="0" w:space="0" w:color="auto"/>
                  </w:divBdr>
                  <w:divsChild>
                    <w:div w:id="1179657007">
                      <w:marLeft w:val="0"/>
                      <w:marRight w:val="0"/>
                      <w:marTop w:val="0"/>
                      <w:marBottom w:val="0"/>
                      <w:divBdr>
                        <w:top w:val="none" w:sz="0" w:space="0" w:color="auto"/>
                        <w:left w:val="none" w:sz="0" w:space="0" w:color="auto"/>
                        <w:bottom w:val="none" w:sz="0" w:space="0" w:color="auto"/>
                        <w:right w:val="none" w:sz="0" w:space="0" w:color="auto"/>
                      </w:divBdr>
                      <w:divsChild>
                        <w:div w:id="303701920">
                          <w:marLeft w:val="0"/>
                          <w:marRight w:val="0"/>
                          <w:marTop w:val="0"/>
                          <w:marBottom w:val="0"/>
                          <w:divBdr>
                            <w:top w:val="none" w:sz="0" w:space="0" w:color="auto"/>
                            <w:left w:val="none" w:sz="0" w:space="0" w:color="auto"/>
                            <w:bottom w:val="none" w:sz="0" w:space="0" w:color="auto"/>
                            <w:right w:val="none" w:sz="0" w:space="0" w:color="auto"/>
                          </w:divBdr>
                          <w:divsChild>
                            <w:div w:id="812219107">
                              <w:marLeft w:val="0"/>
                              <w:marRight w:val="0"/>
                              <w:marTop w:val="0"/>
                              <w:marBottom w:val="0"/>
                              <w:divBdr>
                                <w:top w:val="none" w:sz="0" w:space="0" w:color="auto"/>
                                <w:left w:val="none" w:sz="0" w:space="0" w:color="auto"/>
                                <w:bottom w:val="none" w:sz="0" w:space="0" w:color="auto"/>
                                <w:right w:val="none" w:sz="0" w:space="0" w:color="auto"/>
                              </w:divBdr>
                              <w:divsChild>
                                <w:div w:id="1019699642">
                                  <w:marLeft w:val="0"/>
                                  <w:marRight w:val="0"/>
                                  <w:marTop w:val="150"/>
                                  <w:marBottom w:val="150"/>
                                  <w:divBdr>
                                    <w:top w:val="none" w:sz="0" w:space="0" w:color="auto"/>
                                    <w:left w:val="none" w:sz="0" w:space="0" w:color="auto"/>
                                    <w:bottom w:val="none" w:sz="0" w:space="0" w:color="auto"/>
                                    <w:right w:val="none" w:sz="0" w:space="0" w:color="auto"/>
                                  </w:divBdr>
                                  <w:divsChild>
                                    <w:div w:id="1664777543">
                                      <w:marLeft w:val="0"/>
                                      <w:marRight w:val="0"/>
                                      <w:marTop w:val="0"/>
                                      <w:marBottom w:val="0"/>
                                      <w:divBdr>
                                        <w:top w:val="none" w:sz="0" w:space="0" w:color="auto"/>
                                        <w:left w:val="none" w:sz="0" w:space="0" w:color="auto"/>
                                        <w:bottom w:val="none" w:sz="0" w:space="0" w:color="auto"/>
                                        <w:right w:val="none" w:sz="0" w:space="0" w:color="auto"/>
                                      </w:divBdr>
                                      <w:divsChild>
                                        <w:div w:id="17853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799478">
      <w:bodyDiv w:val="1"/>
      <w:marLeft w:val="0"/>
      <w:marRight w:val="0"/>
      <w:marTop w:val="0"/>
      <w:marBottom w:val="0"/>
      <w:divBdr>
        <w:top w:val="none" w:sz="0" w:space="0" w:color="auto"/>
        <w:left w:val="none" w:sz="0" w:space="0" w:color="auto"/>
        <w:bottom w:val="none" w:sz="0" w:space="0" w:color="auto"/>
        <w:right w:val="none" w:sz="0" w:space="0" w:color="auto"/>
      </w:divBdr>
    </w:div>
    <w:div w:id="2031032676">
      <w:bodyDiv w:val="1"/>
      <w:marLeft w:val="0"/>
      <w:marRight w:val="0"/>
      <w:marTop w:val="0"/>
      <w:marBottom w:val="0"/>
      <w:divBdr>
        <w:top w:val="none" w:sz="0" w:space="0" w:color="auto"/>
        <w:left w:val="none" w:sz="0" w:space="0" w:color="auto"/>
        <w:bottom w:val="none" w:sz="0" w:space="0" w:color="auto"/>
        <w:right w:val="none" w:sz="0" w:space="0" w:color="auto"/>
      </w:divBdr>
    </w:div>
    <w:div w:id="2043901669">
      <w:bodyDiv w:val="1"/>
      <w:marLeft w:val="0"/>
      <w:marRight w:val="0"/>
      <w:marTop w:val="0"/>
      <w:marBottom w:val="0"/>
      <w:divBdr>
        <w:top w:val="none" w:sz="0" w:space="0" w:color="auto"/>
        <w:left w:val="none" w:sz="0" w:space="0" w:color="auto"/>
        <w:bottom w:val="none" w:sz="0" w:space="0" w:color="auto"/>
        <w:right w:val="none" w:sz="0" w:space="0" w:color="auto"/>
      </w:divBdr>
    </w:div>
    <w:div w:id="2117476584">
      <w:bodyDiv w:val="1"/>
      <w:marLeft w:val="0"/>
      <w:marRight w:val="0"/>
      <w:marTop w:val="0"/>
      <w:marBottom w:val="0"/>
      <w:divBdr>
        <w:top w:val="none" w:sz="0" w:space="0" w:color="auto"/>
        <w:left w:val="none" w:sz="0" w:space="0" w:color="auto"/>
        <w:bottom w:val="none" w:sz="0" w:space="0" w:color="auto"/>
        <w:right w:val="none" w:sz="0" w:space="0" w:color="auto"/>
      </w:divBdr>
    </w:div>
    <w:div w:id="21432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bs.gov.au/pbs/industry/listing/elements/pbac-meetings/psd" TargetMode="External"/><Relationship Id="rId18" Type="http://schemas.openxmlformats.org/officeDocument/2006/relationships/hyperlink" Target="https://www.humanservices.gov.au/corporate/statistical-information-and-data/medicare-statistics" TargetMode="External"/><Relationship Id="rId26" Type="http://schemas.openxmlformats.org/officeDocument/2006/relationships/chart" Target="charts/chart7.xm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pbs.gov.au/info/industry/listing/elements/pbac-meetings/psd/public-summary-documents-by-product" TargetMode="External"/><Relationship Id="rId17" Type="http://schemas.openxmlformats.org/officeDocument/2006/relationships/hyperlink" Target="http://www.pbs.gov.au/general/changes-to-certain-s100-programs/botulinum-toxin-program-frequently-asked-questions.pdf" TargetMode="External"/><Relationship Id="rId25" Type="http://schemas.openxmlformats.org/officeDocument/2006/relationships/image" Target="media/image1.png"/><Relationship Id="rId33" Type="http://schemas.openxmlformats.org/officeDocument/2006/relationships/hyperlink" Target="https://rmsanz.net/uploads/Updates/RMSANZ%20Position%20Statement%20Botulinum%20Toxin%20Confidential%20(Final%20Draft%2014April2017).pdf" TargetMode="External"/><Relationship Id="rId38" Type="http://schemas.openxmlformats.org/officeDocument/2006/relationships/image" Target="media/image6.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bs.gov.au/browse/publications" TargetMode="External"/><Relationship Id="rId20" Type="http://schemas.openxmlformats.org/officeDocument/2006/relationships/chart" Target="charts/chart2.xml"/><Relationship Id="rId29" Type="http://schemas.openxmlformats.org/officeDocument/2006/relationships/chart" Target="charts/chart10.xm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bs.tga.gov.au/"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bs.gov.au/info/industry/listing/elements/dusc-meetings/dos" TargetMode="Externa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image" Target="media/image4.png"/><Relationship Id="rId49" Type="http://schemas.openxmlformats.org/officeDocument/2006/relationships/footer" Target="footer2.xml"/><Relationship Id="rId10" Type="http://schemas.openxmlformats.org/officeDocument/2006/relationships/hyperlink" Target="http://www.pbs.gov.au/pbs/home" TargetMode="External"/><Relationship Id="rId19" Type="http://schemas.openxmlformats.org/officeDocument/2006/relationships/chart" Target="charts/chart1.xml"/><Relationship Id="rId31" Type="http://schemas.openxmlformats.org/officeDocument/2006/relationships/chart" Target="charts/chart12.xml"/><Relationship Id="rId44" Type="http://schemas.openxmlformats.org/officeDocument/2006/relationships/image" Target="media/image12.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ebs.tga.gov.au/" TargetMode="External"/><Relationship Id="rId14" Type="http://schemas.openxmlformats.org/officeDocument/2006/relationships/hyperlink" Target="http://www.pbs.gov.au/info/industry/listing/participants/public-release-docs/2017-06/botulinum-toxin-chronic-migraine-june-2017-meeting" TargetMode="Externa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getmedia/c420f6f1-0464-4f43-b55a-62f995a0f8f3/ah16-3-6-stroke.pdf.aspx" TargetMode="External"/><Relationship Id="rId2" Type="http://schemas.openxmlformats.org/officeDocument/2006/relationships/hyperlink" Target="https://www.cpregister.com/pubs/pdf/ACPR-Report_Web_2016.pdf" TargetMode="External"/><Relationship Id="rId1" Type="http://schemas.openxmlformats.org/officeDocument/2006/relationships/hyperlink" Target="http://www9.health.gov.au/mbs/search.cfm?cat1=32&amp;cat2=267&amp;cat3=&amp;adv=" TargetMode="External"/><Relationship Id="rId5" Type="http://schemas.openxmlformats.org/officeDocument/2006/relationships/hyperlink" Target="http://www.pbs.gov.au/info/industry/listing/participants/public-release-docs/2017-06/botulinum-toxin-chronic-migraine-june-2017-meeting" TargetMode="External"/><Relationship Id="rId4" Type="http://schemas.openxmlformats.org/officeDocument/2006/relationships/hyperlink" Target="https://www.ncbi.nlm.nih.gov/pmc/articles/PMC481475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20MBS%20LBL%20SUM,%20v4%20-%20back%20to%20Dec1991,%20changed%20graph%20colour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Spreadsheets%20used%20in%20reports\D1060%20-%20SCRPT_SUM%20by%20enhanced%20indication,%20fig11,%20confidentialised.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entral.health\DFSApps\ServerApps\Staging\DUSC\DUSC%20database\Data%20Requests\Requests%202018\D1060%20-%20botulinum%20toxin%20review%20June%202018\D1060%20-%20SCRPT_SUM%20by%20enhanced%20indication%20+%20ratio%20MBSPBS%20Table7,%20changed%20graph%20colors.xlsx" TargetMode="External"/><Relationship Id="rId1" Type="http://schemas.openxmlformats.org/officeDocument/2006/relationships/themeOverride" Target="../theme/themeOverride2.xml"/></Relationships>
</file>

<file path=word/charts/_rels/chart12.xml.rels><?xml version="1.0" encoding="UTF-8" standalone="yes"?>
<Relationships xmlns="http://schemas.openxmlformats.org/package/2006/relationships"><Relationship Id="rId2" Type="http://schemas.openxmlformats.org/officeDocument/2006/relationships/oleObject" Target="file:///\\central.health\DFSApps\ServerApps\Staging\DUSC\DUSC%20database\Data%20Requests\Requests%202018\D1060%20-%20botulinum%20toxin%20review%20June%202018\D1060%20-%20SCRPT_SUM%20by%20enhanced%20indication%20+%20ratio%20MBSPBS%20Table7,%20changed%20graph%20colors.xlsx" TargetMode="External"/><Relationship Id="rId1" Type="http://schemas.openxmlformats.org/officeDocument/2006/relationships/themeOverride" Target="../theme/themeOverride3.xml"/></Relationships>
</file>

<file path=word/charts/_rels/chart1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20-%20PACKS_PER_SCRIPT_FREQ.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entral.health\DFSApps\ServerApps\Staging\DUSC\DUSC%20database\Data%20Requests\Requests%202018\D1060%20-%20botulinum%20toxin%20review%20June%202018\D1060%20-%20SCRPT_SUM%20by%20enhanced%20indication%20+%20ratio%20MBSPBS%20Table7,%20changed%20graph%20colors.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20-%20SCRPT_SUM%20by%20enhanced%20indication%20+%20exp%20per%20scrip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_PATCNTBY_MBS_IN_SERV_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_PATCNTBY_MBS_IN_SERV_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_PATCNTBY_MBS_IN_SERV_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20-%20MBS%20services%20per%20patient,%20stroke%20inits%20prior%20to%201jan2016.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H:\Requests%202018\D1060%20-%20botulinum%20toxin%20review%20June%202018\Spreadsheets%20used%20in%20reports\D1060_PATCNTBY_INDICA_SUPP_Y,%20by%20age,%20gender,%20state%20&amp;%20ind,%20age%20adj,%20changed%20graph%20colours,fig9,%20confidentialis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0%20-%20botulinum%20toxin%20review%20June%202018\D1060_PATCNTBY_INDICA_SUPP_Y,%20by%20age,%20gender,%20state%20&amp;%20ind,%20age%20adj.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 MBS LBL SUM, v4 - back to Dec1991, changed graph colours.xlsx]Sheet1 (2)!PivotTable1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s>
    <c:plotArea>
      <c:layout>
        <c:manualLayout>
          <c:layoutTarget val="inner"/>
          <c:xMode val="edge"/>
          <c:yMode val="edge"/>
          <c:x val="0.12001645657863159"/>
          <c:y val="3.799812545240034E-2"/>
          <c:w val="0.85551502387364897"/>
          <c:h val="0.55592747514103535"/>
        </c:manualLayout>
      </c:layout>
      <c:lineChart>
        <c:grouping val="standard"/>
        <c:varyColors val="0"/>
        <c:ser>
          <c:idx val="0"/>
          <c:order val="0"/>
          <c:tx>
            <c:strRef>
              <c:f>'Sheet1 (2)'!$B$1:$B$2</c:f>
              <c:strCache>
                <c:ptCount val="1"/>
                <c:pt idx="0">
                  <c:v>Blepharospasm</c:v>
                </c:pt>
              </c:strCache>
            </c:strRef>
          </c:tx>
          <c:marker>
            <c:symbol val="none"/>
          </c:marker>
          <c:cat>
            <c:strRef>
              <c:f>'Sheet1 (2)'!$A$3:$A$108</c:f>
              <c:strCache>
                <c:ptCount val="105"/>
                <c:pt idx="0">
                  <c:v>1991Q4</c:v>
                </c:pt>
                <c:pt idx="1">
                  <c:v>1992Q1</c:v>
                </c:pt>
                <c:pt idx="2">
                  <c:v>1992Q2</c:v>
                </c:pt>
                <c:pt idx="3">
                  <c:v>1992Q3</c:v>
                </c:pt>
                <c:pt idx="4">
                  <c:v>1992Q4</c:v>
                </c:pt>
                <c:pt idx="5">
                  <c:v>1993Q1</c:v>
                </c:pt>
                <c:pt idx="6">
                  <c:v>1993Q2</c:v>
                </c:pt>
                <c:pt idx="7">
                  <c:v>1993Q3</c:v>
                </c:pt>
                <c:pt idx="8">
                  <c:v>1993Q4</c:v>
                </c:pt>
                <c:pt idx="9">
                  <c:v>1994Q1</c:v>
                </c:pt>
                <c:pt idx="10">
                  <c:v>1994Q2</c:v>
                </c:pt>
                <c:pt idx="11">
                  <c:v>1994Q3</c:v>
                </c:pt>
                <c:pt idx="12">
                  <c:v>1994Q4</c:v>
                </c:pt>
                <c:pt idx="13">
                  <c:v>1995Q1</c:v>
                </c:pt>
                <c:pt idx="14">
                  <c:v>1995Q2</c:v>
                </c:pt>
                <c:pt idx="15">
                  <c:v>1995Q3</c:v>
                </c:pt>
                <c:pt idx="16">
                  <c:v>1995Q4</c:v>
                </c:pt>
                <c:pt idx="17">
                  <c:v>1996Q1</c:v>
                </c:pt>
                <c:pt idx="18">
                  <c:v>1996Q2</c:v>
                </c:pt>
                <c:pt idx="19">
                  <c:v>1996Q3</c:v>
                </c:pt>
                <c:pt idx="20">
                  <c:v>1996Q4</c:v>
                </c:pt>
                <c:pt idx="21">
                  <c:v>1997Q1</c:v>
                </c:pt>
                <c:pt idx="22">
                  <c:v>1997Q2</c:v>
                </c:pt>
                <c:pt idx="23">
                  <c:v>1997Q3</c:v>
                </c:pt>
                <c:pt idx="24">
                  <c:v>1997Q4</c:v>
                </c:pt>
                <c:pt idx="25">
                  <c:v>1998Q1</c:v>
                </c:pt>
                <c:pt idx="26">
                  <c:v>1998Q2</c:v>
                </c:pt>
                <c:pt idx="27">
                  <c:v>1998Q3</c:v>
                </c:pt>
                <c:pt idx="28">
                  <c:v>1998Q4</c:v>
                </c:pt>
                <c:pt idx="29">
                  <c:v>1999Q1</c:v>
                </c:pt>
                <c:pt idx="30">
                  <c:v>1999Q2</c:v>
                </c:pt>
                <c:pt idx="31">
                  <c:v>1999Q3</c:v>
                </c:pt>
                <c:pt idx="32">
                  <c:v>1999Q4</c:v>
                </c:pt>
                <c:pt idx="33">
                  <c:v>2000Q1</c:v>
                </c:pt>
                <c:pt idx="34">
                  <c:v>2000Q2</c:v>
                </c:pt>
                <c:pt idx="35">
                  <c:v>2000Q3</c:v>
                </c:pt>
                <c:pt idx="36">
                  <c:v>2000Q4</c:v>
                </c:pt>
                <c:pt idx="37">
                  <c:v>2001Q1</c:v>
                </c:pt>
                <c:pt idx="38">
                  <c:v>2001Q2</c:v>
                </c:pt>
                <c:pt idx="39">
                  <c:v>2001Q3</c:v>
                </c:pt>
                <c:pt idx="40">
                  <c:v>2001Q4</c:v>
                </c:pt>
                <c:pt idx="41">
                  <c:v>2002Q1</c:v>
                </c:pt>
                <c:pt idx="42">
                  <c:v>2002Q2</c:v>
                </c:pt>
                <c:pt idx="43">
                  <c:v>2002Q3</c:v>
                </c:pt>
                <c:pt idx="44">
                  <c:v>2002Q4</c:v>
                </c:pt>
                <c:pt idx="45">
                  <c:v>2003Q1</c:v>
                </c:pt>
                <c:pt idx="46">
                  <c:v>2003Q2</c:v>
                </c:pt>
                <c:pt idx="47">
                  <c:v>2003Q3</c:v>
                </c:pt>
                <c:pt idx="48">
                  <c:v>2003Q4</c:v>
                </c:pt>
                <c:pt idx="49">
                  <c:v>2004Q1</c:v>
                </c:pt>
                <c:pt idx="50">
                  <c:v>2004Q2</c:v>
                </c:pt>
                <c:pt idx="51">
                  <c:v>2004Q3</c:v>
                </c:pt>
                <c:pt idx="52">
                  <c:v>2004Q4</c:v>
                </c:pt>
                <c:pt idx="53">
                  <c:v>2005Q1</c:v>
                </c:pt>
                <c:pt idx="54">
                  <c:v>2005Q2</c:v>
                </c:pt>
                <c:pt idx="55">
                  <c:v>2005Q3</c:v>
                </c:pt>
                <c:pt idx="56">
                  <c:v>2005Q4</c:v>
                </c:pt>
                <c:pt idx="57">
                  <c:v>2006Q1</c:v>
                </c:pt>
                <c:pt idx="58">
                  <c:v>2006Q2</c:v>
                </c:pt>
                <c:pt idx="59">
                  <c:v>2006Q3</c:v>
                </c:pt>
                <c:pt idx="60">
                  <c:v>2006Q4</c:v>
                </c:pt>
                <c:pt idx="61">
                  <c:v>2007Q1</c:v>
                </c:pt>
                <c:pt idx="62">
                  <c:v>2007Q2</c:v>
                </c:pt>
                <c:pt idx="63">
                  <c:v>2007Q3</c:v>
                </c:pt>
                <c:pt idx="64">
                  <c:v>2007Q4</c:v>
                </c:pt>
                <c:pt idx="65">
                  <c:v>2008Q1</c:v>
                </c:pt>
                <c:pt idx="66">
                  <c:v>2008Q2</c:v>
                </c:pt>
                <c:pt idx="67">
                  <c:v>2008Q3</c:v>
                </c:pt>
                <c:pt idx="68">
                  <c:v>2008Q4</c:v>
                </c:pt>
                <c:pt idx="69">
                  <c:v>2009Q1</c:v>
                </c:pt>
                <c:pt idx="70">
                  <c:v>2009Q2</c:v>
                </c:pt>
                <c:pt idx="71">
                  <c:v>2009Q3</c:v>
                </c:pt>
                <c:pt idx="72">
                  <c:v>2009Q4</c:v>
                </c:pt>
                <c:pt idx="73">
                  <c:v>2010Q1</c:v>
                </c:pt>
                <c:pt idx="74">
                  <c:v>2010Q2</c:v>
                </c:pt>
                <c:pt idx="75">
                  <c:v>2010Q3</c:v>
                </c:pt>
                <c:pt idx="76">
                  <c:v>2010Q4</c:v>
                </c:pt>
                <c:pt idx="77">
                  <c:v>2011Q1</c:v>
                </c:pt>
                <c:pt idx="78">
                  <c:v>2011Q2</c:v>
                </c:pt>
                <c:pt idx="79">
                  <c:v>2011Q3</c:v>
                </c:pt>
                <c:pt idx="80">
                  <c:v>2011Q4</c:v>
                </c:pt>
                <c:pt idx="81">
                  <c:v>2012Q1</c:v>
                </c:pt>
                <c:pt idx="82">
                  <c:v>2012Q2</c:v>
                </c:pt>
                <c:pt idx="83">
                  <c:v>2012Q3</c:v>
                </c:pt>
                <c:pt idx="84">
                  <c:v>2012Q4</c:v>
                </c:pt>
                <c:pt idx="85">
                  <c:v>2013Q1</c:v>
                </c:pt>
                <c:pt idx="86">
                  <c:v>2013Q2</c:v>
                </c:pt>
                <c:pt idx="87">
                  <c:v>2013Q3</c:v>
                </c:pt>
                <c:pt idx="88">
                  <c:v>2013Q4</c:v>
                </c:pt>
                <c:pt idx="89">
                  <c:v>2014Q1</c:v>
                </c:pt>
                <c:pt idx="90">
                  <c:v>2014Q2</c:v>
                </c:pt>
                <c:pt idx="91">
                  <c:v>2014Q3</c:v>
                </c:pt>
                <c:pt idx="92">
                  <c:v>2014Q4</c:v>
                </c:pt>
                <c:pt idx="93">
                  <c:v>2015Q1</c:v>
                </c:pt>
                <c:pt idx="94">
                  <c:v>2015Q2</c:v>
                </c:pt>
                <c:pt idx="95">
                  <c:v>2015Q3</c:v>
                </c:pt>
                <c:pt idx="96">
                  <c:v>2015Q4</c:v>
                </c:pt>
                <c:pt idx="97">
                  <c:v>2016Q1</c:v>
                </c:pt>
                <c:pt idx="98">
                  <c:v>2016Q2</c:v>
                </c:pt>
                <c:pt idx="99">
                  <c:v>2016Q3</c:v>
                </c:pt>
                <c:pt idx="100">
                  <c:v>2016Q4</c:v>
                </c:pt>
                <c:pt idx="101">
                  <c:v>2017Q1</c:v>
                </c:pt>
                <c:pt idx="102">
                  <c:v>2017Q2</c:v>
                </c:pt>
                <c:pt idx="103">
                  <c:v>2017Q3</c:v>
                </c:pt>
                <c:pt idx="104">
                  <c:v>2017Q4</c:v>
                </c:pt>
              </c:strCache>
            </c:strRef>
          </c:cat>
          <c:val>
            <c:numRef>
              <c:f>'Sheet1 (2)'!$B$3:$B$108</c:f>
              <c:numCache>
                <c:formatCode>General</c:formatCode>
                <c:ptCount val="105"/>
                <c:pt idx="0">
                  <c:v>68</c:v>
                </c:pt>
                <c:pt idx="1">
                  <c:v>166</c:v>
                </c:pt>
                <c:pt idx="2">
                  <c:v>172</c:v>
                </c:pt>
                <c:pt idx="3">
                  <c:v>162</c:v>
                </c:pt>
                <c:pt idx="4">
                  <c:v>180</c:v>
                </c:pt>
                <c:pt idx="5">
                  <c:v>187</c:v>
                </c:pt>
                <c:pt idx="6">
                  <c:v>183</c:v>
                </c:pt>
                <c:pt idx="7">
                  <c:v>198</c:v>
                </c:pt>
                <c:pt idx="8">
                  <c:v>211</c:v>
                </c:pt>
                <c:pt idx="9">
                  <c:v>167</c:v>
                </c:pt>
                <c:pt idx="10">
                  <c:v>152</c:v>
                </c:pt>
                <c:pt idx="11">
                  <c:v>155</c:v>
                </c:pt>
                <c:pt idx="12">
                  <c:v>186</c:v>
                </c:pt>
                <c:pt idx="13">
                  <c:v>313</c:v>
                </c:pt>
                <c:pt idx="14">
                  <c:v>322</c:v>
                </c:pt>
                <c:pt idx="15">
                  <c:v>377</c:v>
                </c:pt>
                <c:pt idx="16">
                  <c:v>443</c:v>
                </c:pt>
                <c:pt idx="17">
                  <c:v>428</c:v>
                </c:pt>
                <c:pt idx="18">
                  <c:v>443</c:v>
                </c:pt>
                <c:pt idx="19">
                  <c:v>461</c:v>
                </c:pt>
                <c:pt idx="20">
                  <c:v>566</c:v>
                </c:pt>
                <c:pt idx="21">
                  <c:v>577</c:v>
                </c:pt>
                <c:pt idx="22">
                  <c:v>611</c:v>
                </c:pt>
                <c:pt idx="23">
                  <c:v>596</c:v>
                </c:pt>
                <c:pt idx="24">
                  <c:v>693</c:v>
                </c:pt>
                <c:pt idx="25">
                  <c:v>611</c:v>
                </c:pt>
                <c:pt idx="26">
                  <c:v>638</c:v>
                </c:pt>
                <c:pt idx="27">
                  <c:v>696</c:v>
                </c:pt>
                <c:pt idx="28">
                  <c:v>669</c:v>
                </c:pt>
                <c:pt idx="29">
                  <c:v>676</c:v>
                </c:pt>
                <c:pt idx="30">
                  <c:v>638</c:v>
                </c:pt>
                <c:pt idx="31">
                  <c:v>761</c:v>
                </c:pt>
                <c:pt idx="32">
                  <c:v>756</c:v>
                </c:pt>
                <c:pt idx="33">
                  <c:v>698</c:v>
                </c:pt>
                <c:pt idx="34">
                  <c:v>735</c:v>
                </c:pt>
                <c:pt idx="35">
                  <c:v>761</c:v>
                </c:pt>
                <c:pt idx="36">
                  <c:v>798</c:v>
                </c:pt>
                <c:pt idx="37">
                  <c:v>785</c:v>
                </c:pt>
                <c:pt idx="38">
                  <c:v>835</c:v>
                </c:pt>
                <c:pt idx="39">
                  <c:v>862</c:v>
                </c:pt>
                <c:pt idx="40">
                  <c:v>923</c:v>
                </c:pt>
                <c:pt idx="41">
                  <c:v>930</c:v>
                </c:pt>
                <c:pt idx="42">
                  <c:v>925</c:v>
                </c:pt>
                <c:pt idx="43">
                  <c:v>1019</c:v>
                </c:pt>
                <c:pt idx="44">
                  <c:v>1050</c:v>
                </c:pt>
                <c:pt idx="45">
                  <c:v>991</c:v>
                </c:pt>
                <c:pt idx="46">
                  <c:v>749</c:v>
                </c:pt>
                <c:pt idx="47">
                  <c:v>644</c:v>
                </c:pt>
                <c:pt idx="48">
                  <c:v>705</c:v>
                </c:pt>
                <c:pt idx="49">
                  <c:v>685</c:v>
                </c:pt>
                <c:pt idx="50">
                  <c:v>637</c:v>
                </c:pt>
                <c:pt idx="51">
                  <c:v>703</c:v>
                </c:pt>
                <c:pt idx="52">
                  <c:v>743</c:v>
                </c:pt>
                <c:pt idx="53">
                  <c:v>681</c:v>
                </c:pt>
                <c:pt idx="54">
                  <c:v>736</c:v>
                </c:pt>
                <c:pt idx="55">
                  <c:v>716</c:v>
                </c:pt>
                <c:pt idx="56">
                  <c:v>758</c:v>
                </c:pt>
                <c:pt idx="57">
                  <c:v>749</c:v>
                </c:pt>
                <c:pt idx="58">
                  <c:v>769</c:v>
                </c:pt>
                <c:pt idx="59">
                  <c:v>791</c:v>
                </c:pt>
                <c:pt idx="60">
                  <c:v>844</c:v>
                </c:pt>
                <c:pt idx="61">
                  <c:v>793</c:v>
                </c:pt>
                <c:pt idx="62">
                  <c:v>810</c:v>
                </c:pt>
                <c:pt idx="63">
                  <c:v>826</c:v>
                </c:pt>
                <c:pt idx="64">
                  <c:v>865</c:v>
                </c:pt>
                <c:pt idx="65">
                  <c:v>866</c:v>
                </c:pt>
                <c:pt idx="66">
                  <c:v>870</c:v>
                </c:pt>
                <c:pt idx="67">
                  <c:v>877</c:v>
                </c:pt>
                <c:pt idx="68">
                  <c:v>937</c:v>
                </c:pt>
                <c:pt idx="69">
                  <c:v>909</c:v>
                </c:pt>
                <c:pt idx="70">
                  <c:v>931</c:v>
                </c:pt>
                <c:pt idx="71">
                  <c:v>976</c:v>
                </c:pt>
                <c:pt idx="72">
                  <c:v>973</c:v>
                </c:pt>
                <c:pt idx="73">
                  <c:v>963</c:v>
                </c:pt>
                <c:pt idx="74">
                  <c:v>1001</c:v>
                </c:pt>
                <c:pt idx="75">
                  <c:v>1001</c:v>
                </c:pt>
                <c:pt idx="76">
                  <c:v>1056</c:v>
                </c:pt>
                <c:pt idx="77">
                  <c:v>1067</c:v>
                </c:pt>
                <c:pt idx="78">
                  <c:v>1070</c:v>
                </c:pt>
                <c:pt idx="79">
                  <c:v>1131</c:v>
                </c:pt>
                <c:pt idx="80">
                  <c:v>1109</c:v>
                </c:pt>
                <c:pt idx="81">
                  <c:v>1192</c:v>
                </c:pt>
                <c:pt idx="82">
                  <c:v>1132</c:v>
                </c:pt>
                <c:pt idx="83">
                  <c:v>1225</c:v>
                </c:pt>
                <c:pt idx="84">
                  <c:v>1194</c:v>
                </c:pt>
                <c:pt idx="85">
                  <c:v>1164</c:v>
                </c:pt>
                <c:pt idx="86">
                  <c:v>1206</c:v>
                </c:pt>
                <c:pt idx="87">
                  <c:v>1241</c:v>
                </c:pt>
                <c:pt idx="88">
                  <c:v>1235</c:v>
                </c:pt>
                <c:pt idx="89">
                  <c:v>1240</c:v>
                </c:pt>
                <c:pt idx="90">
                  <c:v>1278</c:v>
                </c:pt>
                <c:pt idx="91">
                  <c:v>1279</c:v>
                </c:pt>
                <c:pt idx="92">
                  <c:v>1316</c:v>
                </c:pt>
                <c:pt idx="93">
                  <c:v>1308</c:v>
                </c:pt>
                <c:pt idx="94">
                  <c:v>1311</c:v>
                </c:pt>
                <c:pt idx="95">
                  <c:v>1339</c:v>
                </c:pt>
                <c:pt idx="96">
                  <c:v>1423</c:v>
                </c:pt>
                <c:pt idx="97">
                  <c:v>1342</c:v>
                </c:pt>
                <c:pt idx="98">
                  <c:v>1391</c:v>
                </c:pt>
                <c:pt idx="99">
                  <c:v>1412</c:v>
                </c:pt>
                <c:pt idx="100">
                  <c:v>1407</c:v>
                </c:pt>
                <c:pt idx="101">
                  <c:v>1439</c:v>
                </c:pt>
                <c:pt idx="102">
                  <c:v>1414</c:v>
                </c:pt>
                <c:pt idx="103">
                  <c:v>1471</c:v>
                </c:pt>
                <c:pt idx="104">
                  <c:v>1530</c:v>
                </c:pt>
              </c:numCache>
            </c:numRef>
          </c:val>
          <c:smooth val="0"/>
          <c:extLst xmlns:c16r2="http://schemas.microsoft.com/office/drawing/2015/06/chart">
            <c:ext xmlns:c16="http://schemas.microsoft.com/office/drawing/2014/chart" uri="{C3380CC4-5D6E-409C-BE32-E72D297353CC}">
              <c16:uniqueId val="{00000000-C6A9-4853-9AEE-8D3800E3861B}"/>
            </c:ext>
          </c:extLst>
        </c:ser>
        <c:ser>
          <c:idx val="1"/>
          <c:order val="1"/>
          <c:tx>
            <c:strRef>
              <c:f>'Sheet1 (2)'!$C$1:$C$2</c:f>
              <c:strCache>
                <c:ptCount val="1"/>
                <c:pt idx="0">
                  <c:v>Dynamic equinus foot deformity</c:v>
                </c:pt>
              </c:strCache>
            </c:strRef>
          </c:tx>
          <c:marker>
            <c:symbol val="none"/>
          </c:marker>
          <c:cat>
            <c:strRef>
              <c:f>'Sheet1 (2)'!$A$3:$A$108</c:f>
              <c:strCache>
                <c:ptCount val="105"/>
                <c:pt idx="0">
                  <c:v>1991Q4</c:v>
                </c:pt>
                <c:pt idx="1">
                  <c:v>1992Q1</c:v>
                </c:pt>
                <c:pt idx="2">
                  <c:v>1992Q2</c:v>
                </c:pt>
                <c:pt idx="3">
                  <c:v>1992Q3</c:v>
                </c:pt>
                <c:pt idx="4">
                  <c:v>1992Q4</c:v>
                </c:pt>
                <c:pt idx="5">
                  <c:v>1993Q1</c:v>
                </c:pt>
                <c:pt idx="6">
                  <c:v>1993Q2</c:v>
                </c:pt>
                <c:pt idx="7">
                  <c:v>1993Q3</c:v>
                </c:pt>
                <c:pt idx="8">
                  <c:v>1993Q4</c:v>
                </c:pt>
                <c:pt idx="9">
                  <c:v>1994Q1</c:v>
                </c:pt>
                <c:pt idx="10">
                  <c:v>1994Q2</c:v>
                </c:pt>
                <c:pt idx="11">
                  <c:v>1994Q3</c:v>
                </c:pt>
                <c:pt idx="12">
                  <c:v>1994Q4</c:v>
                </c:pt>
                <c:pt idx="13">
                  <c:v>1995Q1</c:v>
                </c:pt>
                <c:pt idx="14">
                  <c:v>1995Q2</c:v>
                </c:pt>
                <c:pt idx="15">
                  <c:v>1995Q3</c:v>
                </c:pt>
                <c:pt idx="16">
                  <c:v>1995Q4</c:v>
                </c:pt>
                <c:pt idx="17">
                  <c:v>1996Q1</c:v>
                </c:pt>
                <c:pt idx="18">
                  <c:v>1996Q2</c:v>
                </c:pt>
                <c:pt idx="19">
                  <c:v>1996Q3</c:v>
                </c:pt>
                <c:pt idx="20">
                  <c:v>1996Q4</c:v>
                </c:pt>
                <c:pt idx="21">
                  <c:v>1997Q1</c:v>
                </c:pt>
                <c:pt idx="22">
                  <c:v>1997Q2</c:v>
                </c:pt>
                <c:pt idx="23">
                  <c:v>1997Q3</c:v>
                </c:pt>
                <c:pt idx="24">
                  <c:v>1997Q4</c:v>
                </c:pt>
                <c:pt idx="25">
                  <c:v>1998Q1</c:v>
                </c:pt>
                <c:pt idx="26">
                  <c:v>1998Q2</c:v>
                </c:pt>
                <c:pt idx="27">
                  <c:v>1998Q3</c:v>
                </c:pt>
                <c:pt idx="28">
                  <c:v>1998Q4</c:v>
                </c:pt>
                <c:pt idx="29">
                  <c:v>1999Q1</c:v>
                </c:pt>
                <c:pt idx="30">
                  <c:v>1999Q2</c:v>
                </c:pt>
                <c:pt idx="31">
                  <c:v>1999Q3</c:v>
                </c:pt>
                <c:pt idx="32">
                  <c:v>1999Q4</c:v>
                </c:pt>
                <c:pt idx="33">
                  <c:v>2000Q1</c:v>
                </c:pt>
                <c:pt idx="34">
                  <c:v>2000Q2</c:v>
                </c:pt>
                <c:pt idx="35">
                  <c:v>2000Q3</c:v>
                </c:pt>
                <c:pt idx="36">
                  <c:v>2000Q4</c:v>
                </c:pt>
                <c:pt idx="37">
                  <c:v>2001Q1</c:v>
                </c:pt>
                <c:pt idx="38">
                  <c:v>2001Q2</c:v>
                </c:pt>
                <c:pt idx="39">
                  <c:v>2001Q3</c:v>
                </c:pt>
                <c:pt idx="40">
                  <c:v>2001Q4</c:v>
                </c:pt>
                <c:pt idx="41">
                  <c:v>2002Q1</c:v>
                </c:pt>
                <c:pt idx="42">
                  <c:v>2002Q2</c:v>
                </c:pt>
                <c:pt idx="43">
                  <c:v>2002Q3</c:v>
                </c:pt>
                <c:pt idx="44">
                  <c:v>2002Q4</c:v>
                </c:pt>
                <c:pt idx="45">
                  <c:v>2003Q1</c:v>
                </c:pt>
                <c:pt idx="46">
                  <c:v>2003Q2</c:v>
                </c:pt>
                <c:pt idx="47">
                  <c:v>2003Q3</c:v>
                </c:pt>
                <c:pt idx="48">
                  <c:v>2003Q4</c:v>
                </c:pt>
                <c:pt idx="49">
                  <c:v>2004Q1</c:v>
                </c:pt>
                <c:pt idx="50">
                  <c:v>2004Q2</c:v>
                </c:pt>
                <c:pt idx="51">
                  <c:v>2004Q3</c:v>
                </c:pt>
                <c:pt idx="52">
                  <c:v>2004Q4</c:v>
                </c:pt>
                <c:pt idx="53">
                  <c:v>2005Q1</c:v>
                </c:pt>
                <c:pt idx="54">
                  <c:v>2005Q2</c:v>
                </c:pt>
                <c:pt idx="55">
                  <c:v>2005Q3</c:v>
                </c:pt>
                <c:pt idx="56">
                  <c:v>2005Q4</c:v>
                </c:pt>
                <c:pt idx="57">
                  <c:v>2006Q1</c:v>
                </c:pt>
                <c:pt idx="58">
                  <c:v>2006Q2</c:v>
                </c:pt>
                <c:pt idx="59">
                  <c:v>2006Q3</c:v>
                </c:pt>
                <c:pt idx="60">
                  <c:v>2006Q4</c:v>
                </c:pt>
                <c:pt idx="61">
                  <c:v>2007Q1</c:v>
                </c:pt>
                <c:pt idx="62">
                  <c:v>2007Q2</c:v>
                </c:pt>
                <c:pt idx="63">
                  <c:v>2007Q3</c:v>
                </c:pt>
                <c:pt idx="64">
                  <c:v>2007Q4</c:v>
                </c:pt>
                <c:pt idx="65">
                  <c:v>2008Q1</c:v>
                </c:pt>
                <c:pt idx="66">
                  <c:v>2008Q2</c:v>
                </c:pt>
                <c:pt idx="67">
                  <c:v>2008Q3</c:v>
                </c:pt>
                <c:pt idx="68">
                  <c:v>2008Q4</c:v>
                </c:pt>
                <c:pt idx="69">
                  <c:v>2009Q1</c:v>
                </c:pt>
                <c:pt idx="70">
                  <c:v>2009Q2</c:v>
                </c:pt>
                <c:pt idx="71">
                  <c:v>2009Q3</c:v>
                </c:pt>
                <c:pt idx="72">
                  <c:v>2009Q4</c:v>
                </c:pt>
                <c:pt idx="73">
                  <c:v>2010Q1</c:v>
                </c:pt>
                <c:pt idx="74">
                  <c:v>2010Q2</c:v>
                </c:pt>
                <c:pt idx="75">
                  <c:v>2010Q3</c:v>
                </c:pt>
                <c:pt idx="76">
                  <c:v>2010Q4</c:v>
                </c:pt>
                <c:pt idx="77">
                  <c:v>2011Q1</c:v>
                </c:pt>
                <c:pt idx="78">
                  <c:v>2011Q2</c:v>
                </c:pt>
                <c:pt idx="79">
                  <c:v>2011Q3</c:v>
                </c:pt>
                <c:pt idx="80">
                  <c:v>2011Q4</c:v>
                </c:pt>
                <c:pt idx="81">
                  <c:v>2012Q1</c:v>
                </c:pt>
                <c:pt idx="82">
                  <c:v>2012Q2</c:v>
                </c:pt>
                <c:pt idx="83">
                  <c:v>2012Q3</c:v>
                </c:pt>
                <c:pt idx="84">
                  <c:v>2012Q4</c:v>
                </c:pt>
                <c:pt idx="85">
                  <c:v>2013Q1</c:v>
                </c:pt>
                <c:pt idx="86">
                  <c:v>2013Q2</c:v>
                </c:pt>
                <c:pt idx="87">
                  <c:v>2013Q3</c:v>
                </c:pt>
                <c:pt idx="88">
                  <c:v>2013Q4</c:v>
                </c:pt>
                <c:pt idx="89">
                  <c:v>2014Q1</c:v>
                </c:pt>
                <c:pt idx="90">
                  <c:v>2014Q2</c:v>
                </c:pt>
                <c:pt idx="91">
                  <c:v>2014Q3</c:v>
                </c:pt>
                <c:pt idx="92">
                  <c:v>2014Q4</c:v>
                </c:pt>
                <c:pt idx="93">
                  <c:v>2015Q1</c:v>
                </c:pt>
                <c:pt idx="94">
                  <c:v>2015Q2</c:v>
                </c:pt>
                <c:pt idx="95">
                  <c:v>2015Q3</c:v>
                </c:pt>
                <c:pt idx="96">
                  <c:v>2015Q4</c:v>
                </c:pt>
                <c:pt idx="97">
                  <c:v>2016Q1</c:v>
                </c:pt>
                <c:pt idx="98">
                  <c:v>2016Q2</c:v>
                </c:pt>
                <c:pt idx="99">
                  <c:v>2016Q3</c:v>
                </c:pt>
                <c:pt idx="100">
                  <c:v>2016Q4</c:v>
                </c:pt>
                <c:pt idx="101">
                  <c:v>2017Q1</c:v>
                </c:pt>
                <c:pt idx="102">
                  <c:v>2017Q2</c:v>
                </c:pt>
                <c:pt idx="103">
                  <c:v>2017Q3</c:v>
                </c:pt>
                <c:pt idx="104">
                  <c:v>2017Q4</c:v>
                </c:pt>
              </c:strCache>
            </c:strRef>
          </c:cat>
          <c:val>
            <c:numRef>
              <c:f>'Sheet1 (2)'!$C$3:$C$108</c:f>
              <c:numCache>
                <c:formatCode>General</c:formatCode>
                <c:ptCount val="105"/>
                <c:pt idx="46">
                  <c:v>161</c:v>
                </c:pt>
                <c:pt idx="47">
                  <c:v>287</c:v>
                </c:pt>
                <c:pt idx="48">
                  <c:v>298</c:v>
                </c:pt>
                <c:pt idx="49">
                  <c:v>353</c:v>
                </c:pt>
                <c:pt idx="50">
                  <c:v>342</c:v>
                </c:pt>
                <c:pt idx="51">
                  <c:v>378</c:v>
                </c:pt>
                <c:pt idx="52">
                  <c:v>385</c:v>
                </c:pt>
                <c:pt idx="53">
                  <c:v>352</c:v>
                </c:pt>
                <c:pt idx="54">
                  <c:v>473</c:v>
                </c:pt>
                <c:pt idx="55">
                  <c:v>516</c:v>
                </c:pt>
                <c:pt idx="56">
                  <c:v>460</c:v>
                </c:pt>
                <c:pt idx="57">
                  <c:v>504</c:v>
                </c:pt>
                <c:pt idx="58">
                  <c:v>585</c:v>
                </c:pt>
                <c:pt idx="59">
                  <c:v>530</c:v>
                </c:pt>
                <c:pt idx="60">
                  <c:v>574</c:v>
                </c:pt>
                <c:pt idx="61">
                  <c:v>593</c:v>
                </c:pt>
                <c:pt idx="62">
                  <c:v>664</c:v>
                </c:pt>
                <c:pt idx="63">
                  <c:v>587</c:v>
                </c:pt>
                <c:pt idx="64">
                  <c:v>464</c:v>
                </c:pt>
                <c:pt idx="65">
                  <c:v>595</c:v>
                </c:pt>
                <c:pt idx="66">
                  <c:v>602</c:v>
                </c:pt>
                <c:pt idx="67">
                  <c:v>650</c:v>
                </c:pt>
                <c:pt idx="68">
                  <c:v>637</c:v>
                </c:pt>
                <c:pt idx="69">
                  <c:v>443</c:v>
                </c:pt>
                <c:pt idx="70">
                  <c:v>506</c:v>
                </c:pt>
                <c:pt idx="71">
                  <c:v>539</c:v>
                </c:pt>
                <c:pt idx="72">
                  <c:v>546</c:v>
                </c:pt>
                <c:pt idx="73">
                  <c:v>633</c:v>
                </c:pt>
                <c:pt idx="74">
                  <c:v>598</c:v>
                </c:pt>
                <c:pt idx="75">
                  <c:v>728</c:v>
                </c:pt>
                <c:pt idx="76">
                  <c:v>600</c:v>
                </c:pt>
                <c:pt idx="77">
                  <c:v>668</c:v>
                </c:pt>
                <c:pt idx="78">
                  <c:v>675</c:v>
                </c:pt>
                <c:pt idx="79">
                  <c:v>648</c:v>
                </c:pt>
                <c:pt idx="80">
                  <c:v>552</c:v>
                </c:pt>
                <c:pt idx="81">
                  <c:v>824</c:v>
                </c:pt>
                <c:pt idx="82">
                  <c:v>646</c:v>
                </c:pt>
                <c:pt idx="83">
                  <c:v>855</c:v>
                </c:pt>
                <c:pt idx="84">
                  <c:v>772</c:v>
                </c:pt>
                <c:pt idx="85">
                  <c:v>714</c:v>
                </c:pt>
                <c:pt idx="86">
                  <c:v>833</c:v>
                </c:pt>
                <c:pt idx="87">
                  <c:v>867</c:v>
                </c:pt>
                <c:pt idx="88">
                  <c:v>793</c:v>
                </c:pt>
                <c:pt idx="89">
                  <c:v>720</c:v>
                </c:pt>
                <c:pt idx="90">
                  <c:v>979</c:v>
                </c:pt>
                <c:pt idx="91">
                  <c:v>930</c:v>
                </c:pt>
                <c:pt idx="92">
                  <c:v>870</c:v>
                </c:pt>
                <c:pt idx="93">
                  <c:v>772</c:v>
                </c:pt>
                <c:pt idx="94">
                  <c:v>967</c:v>
                </c:pt>
                <c:pt idx="95">
                  <c:v>968</c:v>
                </c:pt>
                <c:pt idx="96">
                  <c:v>1043</c:v>
                </c:pt>
                <c:pt idx="97">
                  <c:v>948</c:v>
                </c:pt>
                <c:pt idx="98">
                  <c:v>1225</c:v>
                </c:pt>
                <c:pt idx="99">
                  <c:v>1143</c:v>
                </c:pt>
                <c:pt idx="100">
                  <c:v>1157</c:v>
                </c:pt>
                <c:pt idx="101">
                  <c:v>1106</c:v>
                </c:pt>
                <c:pt idx="102">
                  <c:v>1150</c:v>
                </c:pt>
                <c:pt idx="103">
                  <c:v>1026</c:v>
                </c:pt>
                <c:pt idx="104">
                  <c:v>1121</c:v>
                </c:pt>
              </c:numCache>
            </c:numRef>
          </c:val>
          <c:smooth val="0"/>
          <c:extLst xmlns:c16r2="http://schemas.microsoft.com/office/drawing/2015/06/chart">
            <c:ext xmlns:c16="http://schemas.microsoft.com/office/drawing/2014/chart" uri="{C3380CC4-5D6E-409C-BE32-E72D297353CC}">
              <c16:uniqueId val="{00000001-C6A9-4853-9AEE-8D3800E3861B}"/>
            </c:ext>
          </c:extLst>
        </c:ser>
        <c:ser>
          <c:idx val="2"/>
          <c:order val="2"/>
          <c:tx>
            <c:strRef>
              <c:f>'Sheet1 (2)'!$D$1:$D$2</c:f>
              <c:strCache>
                <c:ptCount val="1"/>
                <c:pt idx="0">
                  <c:v>Hemifacial spasm</c:v>
                </c:pt>
              </c:strCache>
            </c:strRef>
          </c:tx>
          <c:marker>
            <c:symbol val="none"/>
          </c:marker>
          <c:cat>
            <c:strRef>
              <c:f>'Sheet1 (2)'!$A$3:$A$108</c:f>
              <c:strCache>
                <c:ptCount val="105"/>
                <c:pt idx="0">
                  <c:v>1991Q4</c:v>
                </c:pt>
                <c:pt idx="1">
                  <c:v>1992Q1</c:v>
                </c:pt>
                <c:pt idx="2">
                  <c:v>1992Q2</c:v>
                </c:pt>
                <c:pt idx="3">
                  <c:v>1992Q3</c:v>
                </c:pt>
                <c:pt idx="4">
                  <c:v>1992Q4</c:v>
                </c:pt>
                <c:pt idx="5">
                  <c:v>1993Q1</c:v>
                </c:pt>
                <c:pt idx="6">
                  <c:v>1993Q2</c:v>
                </c:pt>
                <c:pt idx="7">
                  <c:v>1993Q3</c:v>
                </c:pt>
                <c:pt idx="8">
                  <c:v>1993Q4</c:v>
                </c:pt>
                <c:pt idx="9">
                  <c:v>1994Q1</c:v>
                </c:pt>
                <c:pt idx="10">
                  <c:v>1994Q2</c:v>
                </c:pt>
                <c:pt idx="11">
                  <c:v>1994Q3</c:v>
                </c:pt>
                <c:pt idx="12">
                  <c:v>1994Q4</c:v>
                </c:pt>
                <c:pt idx="13">
                  <c:v>1995Q1</c:v>
                </c:pt>
                <c:pt idx="14">
                  <c:v>1995Q2</c:v>
                </c:pt>
                <c:pt idx="15">
                  <c:v>1995Q3</c:v>
                </c:pt>
                <c:pt idx="16">
                  <c:v>1995Q4</c:v>
                </c:pt>
                <c:pt idx="17">
                  <c:v>1996Q1</c:v>
                </c:pt>
                <c:pt idx="18">
                  <c:v>1996Q2</c:v>
                </c:pt>
                <c:pt idx="19">
                  <c:v>1996Q3</c:v>
                </c:pt>
                <c:pt idx="20">
                  <c:v>1996Q4</c:v>
                </c:pt>
                <c:pt idx="21">
                  <c:v>1997Q1</c:v>
                </c:pt>
                <c:pt idx="22">
                  <c:v>1997Q2</c:v>
                </c:pt>
                <c:pt idx="23">
                  <c:v>1997Q3</c:v>
                </c:pt>
                <c:pt idx="24">
                  <c:v>1997Q4</c:v>
                </c:pt>
                <c:pt idx="25">
                  <c:v>1998Q1</c:v>
                </c:pt>
                <c:pt idx="26">
                  <c:v>1998Q2</c:v>
                </c:pt>
                <c:pt idx="27">
                  <c:v>1998Q3</c:v>
                </c:pt>
                <c:pt idx="28">
                  <c:v>1998Q4</c:v>
                </c:pt>
                <c:pt idx="29">
                  <c:v>1999Q1</c:v>
                </c:pt>
                <c:pt idx="30">
                  <c:v>1999Q2</c:v>
                </c:pt>
                <c:pt idx="31">
                  <c:v>1999Q3</c:v>
                </c:pt>
                <c:pt idx="32">
                  <c:v>1999Q4</c:v>
                </c:pt>
                <c:pt idx="33">
                  <c:v>2000Q1</c:v>
                </c:pt>
                <c:pt idx="34">
                  <c:v>2000Q2</c:v>
                </c:pt>
                <c:pt idx="35">
                  <c:v>2000Q3</c:v>
                </c:pt>
                <c:pt idx="36">
                  <c:v>2000Q4</c:v>
                </c:pt>
                <c:pt idx="37">
                  <c:v>2001Q1</c:v>
                </c:pt>
                <c:pt idx="38">
                  <c:v>2001Q2</c:v>
                </c:pt>
                <c:pt idx="39">
                  <c:v>2001Q3</c:v>
                </c:pt>
                <c:pt idx="40">
                  <c:v>2001Q4</c:v>
                </c:pt>
                <c:pt idx="41">
                  <c:v>2002Q1</c:v>
                </c:pt>
                <c:pt idx="42">
                  <c:v>2002Q2</c:v>
                </c:pt>
                <c:pt idx="43">
                  <c:v>2002Q3</c:v>
                </c:pt>
                <c:pt idx="44">
                  <c:v>2002Q4</c:v>
                </c:pt>
                <c:pt idx="45">
                  <c:v>2003Q1</c:v>
                </c:pt>
                <c:pt idx="46">
                  <c:v>2003Q2</c:v>
                </c:pt>
                <c:pt idx="47">
                  <c:v>2003Q3</c:v>
                </c:pt>
                <c:pt idx="48">
                  <c:v>2003Q4</c:v>
                </c:pt>
                <c:pt idx="49">
                  <c:v>2004Q1</c:v>
                </c:pt>
                <c:pt idx="50">
                  <c:v>2004Q2</c:v>
                </c:pt>
                <c:pt idx="51">
                  <c:v>2004Q3</c:v>
                </c:pt>
                <c:pt idx="52">
                  <c:v>2004Q4</c:v>
                </c:pt>
                <c:pt idx="53">
                  <c:v>2005Q1</c:v>
                </c:pt>
                <c:pt idx="54">
                  <c:v>2005Q2</c:v>
                </c:pt>
                <c:pt idx="55">
                  <c:v>2005Q3</c:v>
                </c:pt>
                <c:pt idx="56">
                  <c:v>2005Q4</c:v>
                </c:pt>
                <c:pt idx="57">
                  <c:v>2006Q1</c:v>
                </c:pt>
                <c:pt idx="58">
                  <c:v>2006Q2</c:v>
                </c:pt>
                <c:pt idx="59">
                  <c:v>2006Q3</c:v>
                </c:pt>
                <c:pt idx="60">
                  <c:v>2006Q4</c:v>
                </c:pt>
                <c:pt idx="61">
                  <c:v>2007Q1</c:v>
                </c:pt>
                <c:pt idx="62">
                  <c:v>2007Q2</c:v>
                </c:pt>
                <c:pt idx="63">
                  <c:v>2007Q3</c:v>
                </c:pt>
                <c:pt idx="64">
                  <c:v>2007Q4</c:v>
                </c:pt>
                <c:pt idx="65">
                  <c:v>2008Q1</c:v>
                </c:pt>
                <c:pt idx="66">
                  <c:v>2008Q2</c:v>
                </c:pt>
                <c:pt idx="67">
                  <c:v>2008Q3</c:v>
                </c:pt>
                <c:pt idx="68">
                  <c:v>2008Q4</c:v>
                </c:pt>
                <c:pt idx="69">
                  <c:v>2009Q1</c:v>
                </c:pt>
                <c:pt idx="70">
                  <c:v>2009Q2</c:v>
                </c:pt>
                <c:pt idx="71">
                  <c:v>2009Q3</c:v>
                </c:pt>
                <c:pt idx="72">
                  <c:v>2009Q4</c:v>
                </c:pt>
                <c:pt idx="73">
                  <c:v>2010Q1</c:v>
                </c:pt>
                <c:pt idx="74">
                  <c:v>2010Q2</c:v>
                </c:pt>
                <c:pt idx="75">
                  <c:v>2010Q3</c:v>
                </c:pt>
                <c:pt idx="76">
                  <c:v>2010Q4</c:v>
                </c:pt>
                <c:pt idx="77">
                  <c:v>2011Q1</c:v>
                </c:pt>
                <c:pt idx="78">
                  <c:v>2011Q2</c:v>
                </c:pt>
                <c:pt idx="79">
                  <c:v>2011Q3</c:v>
                </c:pt>
                <c:pt idx="80">
                  <c:v>2011Q4</c:v>
                </c:pt>
                <c:pt idx="81">
                  <c:v>2012Q1</c:v>
                </c:pt>
                <c:pt idx="82">
                  <c:v>2012Q2</c:v>
                </c:pt>
                <c:pt idx="83">
                  <c:v>2012Q3</c:v>
                </c:pt>
                <c:pt idx="84">
                  <c:v>2012Q4</c:v>
                </c:pt>
                <c:pt idx="85">
                  <c:v>2013Q1</c:v>
                </c:pt>
                <c:pt idx="86">
                  <c:v>2013Q2</c:v>
                </c:pt>
                <c:pt idx="87">
                  <c:v>2013Q3</c:v>
                </c:pt>
                <c:pt idx="88">
                  <c:v>2013Q4</c:v>
                </c:pt>
                <c:pt idx="89">
                  <c:v>2014Q1</c:v>
                </c:pt>
                <c:pt idx="90">
                  <c:v>2014Q2</c:v>
                </c:pt>
                <c:pt idx="91">
                  <c:v>2014Q3</c:v>
                </c:pt>
                <c:pt idx="92">
                  <c:v>2014Q4</c:v>
                </c:pt>
                <c:pt idx="93">
                  <c:v>2015Q1</c:v>
                </c:pt>
                <c:pt idx="94">
                  <c:v>2015Q2</c:v>
                </c:pt>
                <c:pt idx="95">
                  <c:v>2015Q3</c:v>
                </c:pt>
                <c:pt idx="96">
                  <c:v>2015Q4</c:v>
                </c:pt>
                <c:pt idx="97">
                  <c:v>2016Q1</c:v>
                </c:pt>
                <c:pt idx="98">
                  <c:v>2016Q2</c:v>
                </c:pt>
                <c:pt idx="99">
                  <c:v>2016Q3</c:v>
                </c:pt>
                <c:pt idx="100">
                  <c:v>2016Q4</c:v>
                </c:pt>
                <c:pt idx="101">
                  <c:v>2017Q1</c:v>
                </c:pt>
                <c:pt idx="102">
                  <c:v>2017Q2</c:v>
                </c:pt>
                <c:pt idx="103">
                  <c:v>2017Q3</c:v>
                </c:pt>
                <c:pt idx="104">
                  <c:v>2017Q4</c:v>
                </c:pt>
              </c:strCache>
            </c:strRef>
          </c:cat>
          <c:val>
            <c:numRef>
              <c:f>'Sheet1 (2)'!$D$3:$D$108</c:f>
              <c:numCache>
                <c:formatCode>General</c:formatCode>
                <c:ptCount val="105"/>
                <c:pt idx="46">
                  <c:v>685</c:v>
                </c:pt>
                <c:pt idx="47">
                  <c:v>1034</c:v>
                </c:pt>
                <c:pt idx="48">
                  <c:v>1143</c:v>
                </c:pt>
                <c:pt idx="49">
                  <c:v>1144</c:v>
                </c:pt>
                <c:pt idx="50">
                  <c:v>1132</c:v>
                </c:pt>
                <c:pt idx="51">
                  <c:v>1177</c:v>
                </c:pt>
                <c:pt idx="52">
                  <c:v>1283</c:v>
                </c:pt>
                <c:pt idx="53">
                  <c:v>1215</c:v>
                </c:pt>
                <c:pt idx="54">
                  <c:v>1290</c:v>
                </c:pt>
                <c:pt idx="55">
                  <c:v>1329</c:v>
                </c:pt>
                <c:pt idx="56">
                  <c:v>1391</c:v>
                </c:pt>
                <c:pt idx="57">
                  <c:v>1375</c:v>
                </c:pt>
                <c:pt idx="58">
                  <c:v>1417</c:v>
                </c:pt>
                <c:pt idx="59">
                  <c:v>1395</c:v>
                </c:pt>
                <c:pt idx="60">
                  <c:v>1495</c:v>
                </c:pt>
                <c:pt idx="61">
                  <c:v>1429</c:v>
                </c:pt>
                <c:pt idx="62">
                  <c:v>1481</c:v>
                </c:pt>
                <c:pt idx="63">
                  <c:v>1460</c:v>
                </c:pt>
                <c:pt idx="64">
                  <c:v>1564</c:v>
                </c:pt>
                <c:pt idx="65">
                  <c:v>1473</c:v>
                </c:pt>
                <c:pt idx="66">
                  <c:v>1605</c:v>
                </c:pt>
                <c:pt idx="67">
                  <c:v>1606</c:v>
                </c:pt>
                <c:pt idx="68">
                  <c:v>1741</c:v>
                </c:pt>
                <c:pt idx="69">
                  <c:v>1700</c:v>
                </c:pt>
                <c:pt idx="70">
                  <c:v>1717</c:v>
                </c:pt>
                <c:pt idx="71">
                  <c:v>1842</c:v>
                </c:pt>
                <c:pt idx="72">
                  <c:v>1971</c:v>
                </c:pt>
                <c:pt idx="73">
                  <c:v>1901</c:v>
                </c:pt>
                <c:pt idx="74">
                  <c:v>1875</c:v>
                </c:pt>
                <c:pt idx="75">
                  <c:v>1953</c:v>
                </c:pt>
                <c:pt idx="76">
                  <c:v>2074</c:v>
                </c:pt>
                <c:pt idx="77">
                  <c:v>2031</c:v>
                </c:pt>
                <c:pt idx="78">
                  <c:v>1993</c:v>
                </c:pt>
                <c:pt idx="79">
                  <c:v>2089</c:v>
                </c:pt>
                <c:pt idx="80">
                  <c:v>2096</c:v>
                </c:pt>
                <c:pt idx="81">
                  <c:v>2129</c:v>
                </c:pt>
                <c:pt idx="82">
                  <c:v>1994</c:v>
                </c:pt>
                <c:pt idx="83">
                  <c:v>2158</c:v>
                </c:pt>
                <c:pt idx="84">
                  <c:v>2156</c:v>
                </c:pt>
                <c:pt idx="85">
                  <c:v>2159</c:v>
                </c:pt>
                <c:pt idx="86">
                  <c:v>2173</c:v>
                </c:pt>
                <c:pt idx="87">
                  <c:v>2429</c:v>
                </c:pt>
                <c:pt idx="88">
                  <c:v>2413</c:v>
                </c:pt>
                <c:pt idx="89">
                  <c:v>2360</c:v>
                </c:pt>
                <c:pt idx="90">
                  <c:v>2179</c:v>
                </c:pt>
                <c:pt idx="91">
                  <c:v>2286</c:v>
                </c:pt>
                <c:pt idx="92">
                  <c:v>2428</c:v>
                </c:pt>
                <c:pt idx="93">
                  <c:v>2315</c:v>
                </c:pt>
                <c:pt idx="94">
                  <c:v>2276</c:v>
                </c:pt>
                <c:pt idx="95">
                  <c:v>2429</c:v>
                </c:pt>
                <c:pt idx="96">
                  <c:v>2428</c:v>
                </c:pt>
                <c:pt idx="97">
                  <c:v>2367</c:v>
                </c:pt>
                <c:pt idx="98">
                  <c:v>2427</c:v>
                </c:pt>
                <c:pt idx="99">
                  <c:v>2438</c:v>
                </c:pt>
                <c:pt idx="100">
                  <c:v>2580</c:v>
                </c:pt>
                <c:pt idx="101">
                  <c:v>2537</c:v>
                </c:pt>
                <c:pt idx="102">
                  <c:v>2494</c:v>
                </c:pt>
                <c:pt idx="103">
                  <c:v>2556</c:v>
                </c:pt>
                <c:pt idx="104">
                  <c:v>2657</c:v>
                </c:pt>
              </c:numCache>
            </c:numRef>
          </c:val>
          <c:smooth val="0"/>
          <c:extLst xmlns:c16r2="http://schemas.microsoft.com/office/drawing/2015/06/chart">
            <c:ext xmlns:c16="http://schemas.microsoft.com/office/drawing/2014/chart" uri="{C3380CC4-5D6E-409C-BE32-E72D297353CC}">
              <c16:uniqueId val="{00000002-C6A9-4853-9AEE-8D3800E3861B}"/>
            </c:ext>
          </c:extLst>
        </c:ser>
        <c:ser>
          <c:idx val="3"/>
          <c:order val="3"/>
          <c:tx>
            <c:strRef>
              <c:f>'Sheet1 (2)'!$E$1:$E$2</c:f>
              <c:strCache>
                <c:ptCount val="1"/>
                <c:pt idx="0">
                  <c:v>Moderate to severe focal spasticity</c:v>
                </c:pt>
              </c:strCache>
            </c:strRef>
          </c:tx>
          <c:marker>
            <c:symbol val="none"/>
          </c:marker>
          <c:cat>
            <c:strRef>
              <c:f>'Sheet1 (2)'!$A$3:$A$108</c:f>
              <c:strCache>
                <c:ptCount val="105"/>
                <c:pt idx="0">
                  <c:v>1991Q4</c:v>
                </c:pt>
                <c:pt idx="1">
                  <c:v>1992Q1</c:v>
                </c:pt>
                <c:pt idx="2">
                  <c:v>1992Q2</c:v>
                </c:pt>
                <c:pt idx="3">
                  <c:v>1992Q3</c:v>
                </c:pt>
                <c:pt idx="4">
                  <c:v>1992Q4</c:v>
                </c:pt>
                <c:pt idx="5">
                  <c:v>1993Q1</c:v>
                </c:pt>
                <c:pt idx="6">
                  <c:v>1993Q2</c:v>
                </c:pt>
                <c:pt idx="7">
                  <c:v>1993Q3</c:v>
                </c:pt>
                <c:pt idx="8">
                  <c:v>1993Q4</c:v>
                </c:pt>
                <c:pt idx="9">
                  <c:v>1994Q1</c:v>
                </c:pt>
                <c:pt idx="10">
                  <c:v>1994Q2</c:v>
                </c:pt>
                <c:pt idx="11">
                  <c:v>1994Q3</c:v>
                </c:pt>
                <c:pt idx="12">
                  <c:v>1994Q4</c:v>
                </c:pt>
                <c:pt idx="13">
                  <c:v>1995Q1</c:v>
                </c:pt>
                <c:pt idx="14">
                  <c:v>1995Q2</c:v>
                </c:pt>
                <c:pt idx="15">
                  <c:v>1995Q3</c:v>
                </c:pt>
                <c:pt idx="16">
                  <c:v>1995Q4</c:v>
                </c:pt>
                <c:pt idx="17">
                  <c:v>1996Q1</c:v>
                </c:pt>
                <c:pt idx="18">
                  <c:v>1996Q2</c:v>
                </c:pt>
                <c:pt idx="19">
                  <c:v>1996Q3</c:v>
                </c:pt>
                <c:pt idx="20">
                  <c:v>1996Q4</c:v>
                </c:pt>
                <c:pt idx="21">
                  <c:v>1997Q1</c:v>
                </c:pt>
                <c:pt idx="22">
                  <c:v>1997Q2</c:v>
                </c:pt>
                <c:pt idx="23">
                  <c:v>1997Q3</c:v>
                </c:pt>
                <c:pt idx="24">
                  <c:v>1997Q4</c:v>
                </c:pt>
                <c:pt idx="25">
                  <c:v>1998Q1</c:v>
                </c:pt>
                <c:pt idx="26">
                  <c:v>1998Q2</c:v>
                </c:pt>
                <c:pt idx="27">
                  <c:v>1998Q3</c:v>
                </c:pt>
                <c:pt idx="28">
                  <c:v>1998Q4</c:v>
                </c:pt>
                <c:pt idx="29">
                  <c:v>1999Q1</c:v>
                </c:pt>
                <c:pt idx="30">
                  <c:v>1999Q2</c:v>
                </c:pt>
                <c:pt idx="31">
                  <c:v>1999Q3</c:v>
                </c:pt>
                <c:pt idx="32">
                  <c:v>1999Q4</c:v>
                </c:pt>
                <c:pt idx="33">
                  <c:v>2000Q1</c:v>
                </c:pt>
                <c:pt idx="34">
                  <c:v>2000Q2</c:v>
                </c:pt>
                <c:pt idx="35">
                  <c:v>2000Q3</c:v>
                </c:pt>
                <c:pt idx="36">
                  <c:v>2000Q4</c:v>
                </c:pt>
                <c:pt idx="37">
                  <c:v>2001Q1</c:v>
                </c:pt>
                <c:pt idx="38">
                  <c:v>2001Q2</c:v>
                </c:pt>
                <c:pt idx="39">
                  <c:v>2001Q3</c:v>
                </c:pt>
                <c:pt idx="40">
                  <c:v>2001Q4</c:v>
                </c:pt>
                <c:pt idx="41">
                  <c:v>2002Q1</c:v>
                </c:pt>
                <c:pt idx="42">
                  <c:v>2002Q2</c:v>
                </c:pt>
                <c:pt idx="43">
                  <c:v>2002Q3</c:v>
                </c:pt>
                <c:pt idx="44">
                  <c:v>2002Q4</c:v>
                </c:pt>
                <c:pt idx="45">
                  <c:v>2003Q1</c:v>
                </c:pt>
                <c:pt idx="46">
                  <c:v>2003Q2</c:v>
                </c:pt>
                <c:pt idx="47">
                  <c:v>2003Q3</c:v>
                </c:pt>
                <c:pt idx="48">
                  <c:v>2003Q4</c:v>
                </c:pt>
                <c:pt idx="49">
                  <c:v>2004Q1</c:v>
                </c:pt>
                <c:pt idx="50">
                  <c:v>2004Q2</c:v>
                </c:pt>
                <c:pt idx="51">
                  <c:v>2004Q3</c:v>
                </c:pt>
                <c:pt idx="52">
                  <c:v>2004Q4</c:v>
                </c:pt>
                <c:pt idx="53">
                  <c:v>2005Q1</c:v>
                </c:pt>
                <c:pt idx="54">
                  <c:v>2005Q2</c:v>
                </c:pt>
                <c:pt idx="55">
                  <c:v>2005Q3</c:v>
                </c:pt>
                <c:pt idx="56">
                  <c:v>2005Q4</c:v>
                </c:pt>
                <c:pt idx="57">
                  <c:v>2006Q1</c:v>
                </c:pt>
                <c:pt idx="58">
                  <c:v>2006Q2</c:v>
                </c:pt>
                <c:pt idx="59">
                  <c:v>2006Q3</c:v>
                </c:pt>
                <c:pt idx="60">
                  <c:v>2006Q4</c:v>
                </c:pt>
                <c:pt idx="61">
                  <c:v>2007Q1</c:v>
                </c:pt>
                <c:pt idx="62">
                  <c:v>2007Q2</c:v>
                </c:pt>
                <c:pt idx="63">
                  <c:v>2007Q3</c:v>
                </c:pt>
                <c:pt idx="64">
                  <c:v>2007Q4</c:v>
                </c:pt>
                <c:pt idx="65">
                  <c:v>2008Q1</c:v>
                </c:pt>
                <c:pt idx="66">
                  <c:v>2008Q2</c:v>
                </c:pt>
                <c:pt idx="67">
                  <c:v>2008Q3</c:v>
                </c:pt>
                <c:pt idx="68">
                  <c:v>2008Q4</c:v>
                </c:pt>
                <c:pt idx="69">
                  <c:v>2009Q1</c:v>
                </c:pt>
                <c:pt idx="70">
                  <c:v>2009Q2</c:v>
                </c:pt>
                <c:pt idx="71">
                  <c:v>2009Q3</c:v>
                </c:pt>
                <c:pt idx="72">
                  <c:v>2009Q4</c:v>
                </c:pt>
                <c:pt idx="73">
                  <c:v>2010Q1</c:v>
                </c:pt>
                <c:pt idx="74">
                  <c:v>2010Q2</c:v>
                </c:pt>
                <c:pt idx="75">
                  <c:v>2010Q3</c:v>
                </c:pt>
                <c:pt idx="76">
                  <c:v>2010Q4</c:v>
                </c:pt>
                <c:pt idx="77">
                  <c:v>2011Q1</c:v>
                </c:pt>
                <c:pt idx="78">
                  <c:v>2011Q2</c:v>
                </c:pt>
                <c:pt idx="79">
                  <c:v>2011Q3</c:v>
                </c:pt>
                <c:pt idx="80">
                  <c:v>2011Q4</c:v>
                </c:pt>
                <c:pt idx="81">
                  <c:v>2012Q1</c:v>
                </c:pt>
                <c:pt idx="82">
                  <c:v>2012Q2</c:v>
                </c:pt>
                <c:pt idx="83">
                  <c:v>2012Q3</c:v>
                </c:pt>
                <c:pt idx="84">
                  <c:v>2012Q4</c:v>
                </c:pt>
                <c:pt idx="85">
                  <c:v>2013Q1</c:v>
                </c:pt>
                <c:pt idx="86">
                  <c:v>2013Q2</c:v>
                </c:pt>
                <c:pt idx="87">
                  <c:v>2013Q3</c:v>
                </c:pt>
                <c:pt idx="88">
                  <c:v>2013Q4</c:v>
                </c:pt>
                <c:pt idx="89">
                  <c:v>2014Q1</c:v>
                </c:pt>
                <c:pt idx="90">
                  <c:v>2014Q2</c:v>
                </c:pt>
                <c:pt idx="91">
                  <c:v>2014Q3</c:v>
                </c:pt>
                <c:pt idx="92">
                  <c:v>2014Q4</c:v>
                </c:pt>
                <c:pt idx="93">
                  <c:v>2015Q1</c:v>
                </c:pt>
                <c:pt idx="94">
                  <c:v>2015Q2</c:v>
                </c:pt>
                <c:pt idx="95">
                  <c:v>2015Q3</c:v>
                </c:pt>
                <c:pt idx="96">
                  <c:v>2015Q4</c:v>
                </c:pt>
                <c:pt idx="97">
                  <c:v>2016Q1</c:v>
                </c:pt>
                <c:pt idx="98">
                  <c:v>2016Q2</c:v>
                </c:pt>
                <c:pt idx="99">
                  <c:v>2016Q3</c:v>
                </c:pt>
                <c:pt idx="100">
                  <c:v>2016Q4</c:v>
                </c:pt>
                <c:pt idx="101">
                  <c:v>2017Q1</c:v>
                </c:pt>
                <c:pt idx="102">
                  <c:v>2017Q2</c:v>
                </c:pt>
                <c:pt idx="103">
                  <c:v>2017Q3</c:v>
                </c:pt>
                <c:pt idx="104">
                  <c:v>2017Q4</c:v>
                </c:pt>
              </c:strCache>
            </c:strRef>
          </c:cat>
          <c:val>
            <c:numRef>
              <c:f>'Sheet1 (2)'!$E$3:$E$108</c:f>
              <c:numCache>
                <c:formatCode>General</c:formatCode>
                <c:ptCount val="105"/>
                <c:pt idx="46">
                  <c:v>52</c:v>
                </c:pt>
                <c:pt idx="47">
                  <c:v>133</c:v>
                </c:pt>
                <c:pt idx="48">
                  <c:v>170</c:v>
                </c:pt>
                <c:pt idx="49">
                  <c:v>195</c:v>
                </c:pt>
                <c:pt idx="50">
                  <c:v>169</c:v>
                </c:pt>
                <c:pt idx="51">
                  <c:v>183</c:v>
                </c:pt>
                <c:pt idx="52">
                  <c:v>195</c:v>
                </c:pt>
                <c:pt idx="53">
                  <c:v>213</c:v>
                </c:pt>
                <c:pt idx="54">
                  <c:v>187</c:v>
                </c:pt>
                <c:pt idx="55">
                  <c:v>273</c:v>
                </c:pt>
                <c:pt idx="56">
                  <c:v>280</c:v>
                </c:pt>
                <c:pt idx="57">
                  <c:v>313</c:v>
                </c:pt>
                <c:pt idx="58">
                  <c:v>356</c:v>
                </c:pt>
                <c:pt idx="59">
                  <c:v>373</c:v>
                </c:pt>
                <c:pt idx="60">
                  <c:v>307</c:v>
                </c:pt>
                <c:pt idx="61">
                  <c:v>322</c:v>
                </c:pt>
                <c:pt idx="62">
                  <c:v>379</c:v>
                </c:pt>
                <c:pt idx="63">
                  <c:v>405</c:v>
                </c:pt>
                <c:pt idx="64">
                  <c:v>354</c:v>
                </c:pt>
                <c:pt idx="65">
                  <c:v>395</c:v>
                </c:pt>
                <c:pt idx="66">
                  <c:v>373</c:v>
                </c:pt>
                <c:pt idx="67">
                  <c:v>431</c:v>
                </c:pt>
                <c:pt idx="68">
                  <c:v>491</c:v>
                </c:pt>
                <c:pt idx="69">
                  <c:v>463</c:v>
                </c:pt>
                <c:pt idx="70">
                  <c:v>524</c:v>
                </c:pt>
                <c:pt idx="71">
                  <c:v>662</c:v>
                </c:pt>
                <c:pt idx="72">
                  <c:v>606</c:v>
                </c:pt>
                <c:pt idx="73">
                  <c:v>621</c:v>
                </c:pt>
                <c:pt idx="74">
                  <c:v>673</c:v>
                </c:pt>
                <c:pt idx="75">
                  <c:v>717</c:v>
                </c:pt>
                <c:pt idx="76">
                  <c:v>791</c:v>
                </c:pt>
                <c:pt idx="77">
                  <c:v>832</c:v>
                </c:pt>
                <c:pt idx="78">
                  <c:v>738</c:v>
                </c:pt>
                <c:pt idx="79">
                  <c:v>769</c:v>
                </c:pt>
                <c:pt idx="80">
                  <c:v>782</c:v>
                </c:pt>
                <c:pt idx="81">
                  <c:v>716</c:v>
                </c:pt>
                <c:pt idx="82">
                  <c:v>867</c:v>
                </c:pt>
                <c:pt idx="83">
                  <c:v>915</c:v>
                </c:pt>
                <c:pt idx="84">
                  <c:v>790</c:v>
                </c:pt>
                <c:pt idx="85">
                  <c:v>794</c:v>
                </c:pt>
                <c:pt idx="86">
                  <c:v>855</c:v>
                </c:pt>
                <c:pt idx="87">
                  <c:v>838</c:v>
                </c:pt>
                <c:pt idx="88">
                  <c:v>859</c:v>
                </c:pt>
                <c:pt idx="89">
                  <c:v>896</c:v>
                </c:pt>
                <c:pt idx="90">
                  <c:v>920</c:v>
                </c:pt>
                <c:pt idx="91">
                  <c:v>947</c:v>
                </c:pt>
                <c:pt idx="92">
                  <c:v>1120</c:v>
                </c:pt>
                <c:pt idx="93">
                  <c:v>936</c:v>
                </c:pt>
                <c:pt idx="94">
                  <c:v>992</c:v>
                </c:pt>
                <c:pt idx="95">
                  <c:v>1030</c:v>
                </c:pt>
                <c:pt idx="96">
                  <c:v>981</c:v>
                </c:pt>
                <c:pt idx="97">
                  <c:v>926</c:v>
                </c:pt>
                <c:pt idx="98">
                  <c:v>1140</c:v>
                </c:pt>
                <c:pt idx="99">
                  <c:v>1072</c:v>
                </c:pt>
                <c:pt idx="100">
                  <c:v>1013</c:v>
                </c:pt>
                <c:pt idx="101">
                  <c:v>1222</c:v>
                </c:pt>
                <c:pt idx="102">
                  <c:v>1187</c:v>
                </c:pt>
                <c:pt idx="103">
                  <c:v>1251</c:v>
                </c:pt>
                <c:pt idx="104">
                  <c:v>1318</c:v>
                </c:pt>
              </c:numCache>
            </c:numRef>
          </c:val>
          <c:smooth val="0"/>
          <c:extLst xmlns:c16r2="http://schemas.microsoft.com/office/drawing/2015/06/chart">
            <c:ext xmlns:c16="http://schemas.microsoft.com/office/drawing/2014/chart" uri="{C3380CC4-5D6E-409C-BE32-E72D297353CC}">
              <c16:uniqueId val="{00000003-C6A9-4853-9AEE-8D3800E3861B}"/>
            </c:ext>
          </c:extLst>
        </c:ser>
        <c:ser>
          <c:idx val="4"/>
          <c:order val="4"/>
          <c:tx>
            <c:strRef>
              <c:f>'Sheet1 (2)'!$F$1:$F$2</c:f>
              <c:strCache>
                <c:ptCount val="1"/>
                <c:pt idx="0">
                  <c:v>Moderate to severe spasticity - upper limb, cerebral palsy</c:v>
                </c:pt>
              </c:strCache>
            </c:strRef>
          </c:tx>
          <c:marker>
            <c:symbol val="none"/>
          </c:marker>
          <c:cat>
            <c:strRef>
              <c:f>'Sheet1 (2)'!$A$3:$A$108</c:f>
              <c:strCache>
                <c:ptCount val="105"/>
                <c:pt idx="0">
                  <c:v>1991Q4</c:v>
                </c:pt>
                <c:pt idx="1">
                  <c:v>1992Q1</c:v>
                </c:pt>
                <c:pt idx="2">
                  <c:v>1992Q2</c:v>
                </c:pt>
                <c:pt idx="3">
                  <c:v>1992Q3</c:v>
                </c:pt>
                <c:pt idx="4">
                  <c:v>1992Q4</c:v>
                </c:pt>
                <c:pt idx="5">
                  <c:v>1993Q1</c:v>
                </c:pt>
                <c:pt idx="6">
                  <c:v>1993Q2</c:v>
                </c:pt>
                <c:pt idx="7">
                  <c:v>1993Q3</c:v>
                </c:pt>
                <c:pt idx="8">
                  <c:v>1993Q4</c:v>
                </c:pt>
                <c:pt idx="9">
                  <c:v>1994Q1</c:v>
                </c:pt>
                <c:pt idx="10">
                  <c:v>1994Q2</c:v>
                </c:pt>
                <c:pt idx="11">
                  <c:v>1994Q3</c:v>
                </c:pt>
                <c:pt idx="12">
                  <c:v>1994Q4</c:v>
                </c:pt>
                <c:pt idx="13">
                  <c:v>1995Q1</c:v>
                </c:pt>
                <c:pt idx="14">
                  <c:v>1995Q2</c:v>
                </c:pt>
                <c:pt idx="15">
                  <c:v>1995Q3</c:v>
                </c:pt>
                <c:pt idx="16">
                  <c:v>1995Q4</c:v>
                </c:pt>
                <c:pt idx="17">
                  <c:v>1996Q1</c:v>
                </c:pt>
                <c:pt idx="18">
                  <c:v>1996Q2</c:v>
                </c:pt>
                <c:pt idx="19">
                  <c:v>1996Q3</c:v>
                </c:pt>
                <c:pt idx="20">
                  <c:v>1996Q4</c:v>
                </c:pt>
                <c:pt idx="21">
                  <c:v>1997Q1</c:v>
                </c:pt>
                <c:pt idx="22">
                  <c:v>1997Q2</c:v>
                </c:pt>
                <c:pt idx="23">
                  <c:v>1997Q3</c:v>
                </c:pt>
                <c:pt idx="24">
                  <c:v>1997Q4</c:v>
                </c:pt>
                <c:pt idx="25">
                  <c:v>1998Q1</c:v>
                </c:pt>
                <c:pt idx="26">
                  <c:v>1998Q2</c:v>
                </c:pt>
                <c:pt idx="27">
                  <c:v>1998Q3</c:v>
                </c:pt>
                <c:pt idx="28">
                  <c:v>1998Q4</c:v>
                </c:pt>
                <c:pt idx="29">
                  <c:v>1999Q1</c:v>
                </c:pt>
                <c:pt idx="30">
                  <c:v>1999Q2</c:v>
                </c:pt>
                <c:pt idx="31">
                  <c:v>1999Q3</c:v>
                </c:pt>
                <c:pt idx="32">
                  <c:v>1999Q4</c:v>
                </c:pt>
                <c:pt idx="33">
                  <c:v>2000Q1</c:v>
                </c:pt>
                <c:pt idx="34">
                  <c:v>2000Q2</c:v>
                </c:pt>
                <c:pt idx="35">
                  <c:v>2000Q3</c:v>
                </c:pt>
                <c:pt idx="36">
                  <c:v>2000Q4</c:v>
                </c:pt>
                <c:pt idx="37">
                  <c:v>2001Q1</c:v>
                </c:pt>
                <c:pt idx="38">
                  <c:v>2001Q2</c:v>
                </c:pt>
                <c:pt idx="39">
                  <c:v>2001Q3</c:v>
                </c:pt>
                <c:pt idx="40">
                  <c:v>2001Q4</c:v>
                </c:pt>
                <c:pt idx="41">
                  <c:v>2002Q1</c:v>
                </c:pt>
                <c:pt idx="42">
                  <c:v>2002Q2</c:v>
                </c:pt>
                <c:pt idx="43">
                  <c:v>2002Q3</c:v>
                </c:pt>
                <c:pt idx="44">
                  <c:v>2002Q4</c:v>
                </c:pt>
                <c:pt idx="45">
                  <c:v>2003Q1</c:v>
                </c:pt>
                <c:pt idx="46">
                  <c:v>2003Q2</c:v>
                </c:pt>
                <c:pt idx="47">
                  <c:v>2003Q3</c:v>
                </c:pt>
                <c:pt idx="48">
                  <c:v>2003Q4</c:v>
                </c:pt>
                <c:pt idx="49">
                  <c:v>2004Q1</c:v>
                </c:pt>
                <c:pt idx="50">
                  <c:v>2004Q2</c:v>
                </c:pt>
                <c:pt idx="51">
                  <c:v>2004Q3</c:v>
                </c:pt>
                <c:pt idx="52">
                  <c:v>2004Q4</c:v>
                </c:pt>
                <c:pt idx="53">
                  <c:v>2005Q1</c:v>
                </c:pt>
                <c:pt idx="54">
                  <c:v>2005Q2</c:v>
                </c:pt>
                <c:pt idx="55">
                  <c:v>2005Q3</c:v>
                </c:pt>
                <c:pt idx="56">
                  <c:v>2005Q4</c:v>
                </c:pt>
                <c:pt idx="57">
                  <c:v>2006Q1</c:v>
                </c:pt>
                <c:pt idx="58">
                  <c:v>2006Q2</c:v>
                </c:pt>
                <c:pt idx="59">
                  <c:v>2006Q3</c:v>
                </c:pt>
                <c:pt idx="60">
                  <c:v>2006Q4</c:v>
                </c:pt>
                <c:pt idx="61">
                  <c:v>2007Q1</c:v>
                </c:pt>
                <c:pt idx="62">
                  <c:v>2007Q2</c:v>
                </c:pt>
                <c:pt idx="63">
                  <c:v>2007Q3</c:v>
                </c:pt>
                <c:pt idx="64">
                  <c:v>2007Q4</c:v>
                </c:pt>
                <c:pt idx="65">
                  <c:v>2008Q1</c:v>
                </c:pt>
                <c:pt idx="66">
                  <c:v>2008Q2</c:v>
                </c:pt>
                <c:pt idx="67">
                  <c:v>2008Q3</c:v>
                </c:pt>
                <c:pt idx="68">
                  <c:v>2008Q4</c:v>
                </c:pt>
                <c:pt idx="69">
                  <c:v>2009Q1</c:v>
                </c:pt>
                <c:pt idx="70">
                  <c:v>2009Q2</c:v>
                </c:pt>
                <c:pt idx="71">
                  <c:v>2009Q3</c:v>
                </c:pt>
                <c:pt idx="72">
                  <c:v>2009Q4</c:v>
                </c:pt>
                <c:pt idx="73">
                  <c:v>2010Q1</c:v>
                </c:pt>
                <c:pt idx="74">
                  <c:v>2010Q2</c:v>
                </c:pt>
                <c:pt idx="75">
                  <c:v>2010Q3</c:v>
                </c:pt>
                <c:pt idx="76">
                  <c:v>2010Q4</c:v>
                </c:pt>
                <c:pt idx="77">
                  <c:v>2011Q1</c:v>
                </c:pt>
                <c:pt idx="78">
                  <c:v>2011Q2</c:v>
                </c:pt>
                <c:pt idx="79">
                  <c:v>2011Q3</c:v>
                </c:pt>
                <c:pt idx="80">
                  <c:v>2011Q4</c:v>
                </c:pt>
                <c:pt idx="81">
                  <c:v>2012Q1</c:v>
                </c:pt>
                <c:pt idx="82">
                  <c:v>2012Q2</c:v>
                </c:pt>
                <c:pt idx="83">
                  <c:v>2012Q3</c:v>
                </c:pt>
                <c:pt idx="84">
                  <c:v>2012Q4</c:v>
                </c:pt>
                <c:pt idx="85">
                  <c:v>2013Q1</c:v>
                </c:pt>
                <c:pt idx="86">
                  <c:v>2013Q2</c:v>
                </c:pt>
                <c:pt idx="87">
                  <c:v>2013Q3</c:v>
                </c:pt>
                <c:pt idx="88">
                  <c:v>2013Q4</c:v>
                </c:pt>
                <c:pt idx="89">
                  <c:v>2014Q1</c:v>
                </c:pt>
                <c:pt idx="90">
                  <c:v>2014Q2</c:v>
                </c:pt>
                <c:pt idx="91">
                  <c:v>2014Q3</c:v>
                </c:pt>
                <c:pt idx="92">
                  <c:v>2014Q4</c:v>
                </c:pt>
                <c:pt idx="93">
                  <c:v>2015Q1</c:v>
                </c:pt>
                <c:pt idx="94">
                  <c:v>2015Q2</c:v>
                </c:pt>
                <c:pt idx="95">
                  <c:v>2015Q3</c:v>
                </c:pt>
                <c:pt idx="96">
                  <c:v>2015Q4</c:v>
                </c:pt>
                <c:pt idx="97">
                  <c:v>2016Q1</c:v>
                </c:pt>
                <c:pt idx="98">
                  <c:v>2016Q2</c:v>
                </c:pt>
                <c:pt idx="99">
                  <c:v>2016Q3</c:v>
                </c:pt>
                <c:pt idx="100">
                  <c:v>2016Q4</c:v>
                </c:pt>
                <c:pt idx="101">
                  <c:v>2017Q1</c:v>
                </c:pt>
                <c:pt idx="102">
                  <c:v>2017Q2</c:v>
                </c:pt>
                <c:pt idx="103">
                  <c:v>2017Q3</c:v>
                </c:pt>
                <c:pt idx="104">
                  <c:v>2017Q4</c:v>
                </c:pt>
              </c:strCache>
            </c:strRef>
          </c:cat>
          <c:val>
            <c:numRef>
              <c:f>'Sheet1 (2)'!$F$3:$F$108</c:f>
              <c:numCache>
                <c:formatCode>General</c:formatCode>
                <c:ptCount val="105"/>
                <c:pt idx="79">
                  <c:v>233</c:v>
                </c:pt>
                <c:pt idx="80">
                  <c:v>173</c:v>
                </c:pt>
                <c:pt idx="81">
                  <c:v>273</c:v>
                </c:pt>
                <c:pt idx="82">
                  <c:v>251</c:v>
                </c:pt>
                <c:pt idx="83">
                  <c:v>379</c:v>
                </c:pt>
                <c:pt idx="84">
                  <c:v>327</c:v>
                </c:pt>
                <c:pt idx="85">
                  <c:v>294</c:v>
                </c:pt>
                <c:pt idx="86">
                  <c:v>289</c:v>
                </c:pt>
                <c:pt idx="87">
                  <c:v>372</c:v>
                </c:pt>
                <c:pt idx="88">
                  <c:v>289</c:v>
                </c:pt>
                <c:pt idx="89">
                  <c:v>376</c:v>
                </c:pt>
                <c:pt idx="90">
                  <c:v>379</c:v>
                </c:pt>
                <c:pt idx="91">
                  <c:v>395</c:v>
                </c:pt>
                <c:pt idx="92">
                  <c:v>400</c:v>
                </c:pt>
                <c:pt idx="93">
                  <c:v>299</c:v>
                </c:pt>
                <c:pt idx="94">
                  <c:v>399</c:v>
                </c:pt>
                <c:pt idx="95">
                  <c:v>437</c:v>
                </c:pt>
                <c:pt idx="96">
                  <c:v>414</c:v>
                </c:pt>
                <c:pt idx="97">
                  <c:v>460</c:v>
                </c:pt>
                <c:pt idx="98">
                  <c:v>553</c:v>
                </c:pt>
                <c:pt idx="99">
                  <c:v>571</c:v>
                </c:pt>
                <c:pt idx="100">
                  <c:v>512</c:v>
                </c:pt>
                <c:pt idx="101">
                  <c:v>536</c:v>
                </c:pt>
                <c:pt idx="102">
                  <c:v>513</c:v>
                </c:pt>
                <c:pt idx="103">
                  <c:v>499</c:v>
                </c:pt>
                <c:pt idx="104">
                  <c:v>494</c:v>
                </c:pt>
              </c:numCache>
            </c:numRef>
          </c:val>
          <c:smooth val="0"/>
          <c:extLst xmlns:c16r2="http://schemas.microsoft.com/office/drawing/2015/06/chart">
            <c:ext xmlns:c16="http://schemas.microsoft.com/office/drawing/2014/chart" uri="{C3380CC4-5D6E-409C-BE32-E72D297353CC}">
              <c16:uniqueId val="{00000004-C6A9-4853-9AEE-8D3800E3861B}"/>
            </c:ext>
          </c:extLst>
        </c:ser>
        <c:ser>
          <c:idx val="5"/>
          <c:order val="5"/>
          <c:tx>
            <c:strRef>
              <c:f>'Sheet1 (2)'!$G$1:$G$2</c:f>
              <c:strCache>
                <c:ptCount val="1"/>
                <c:pt idx="0">
                  <c:v>Moderate to severe spasticity - upper limb, stroke</c:v>
                </c:pt>
              </c:strCache>
            </c:strRef>
          </c:tx>
          <c:marker>
            <c:symbol val="none"/>
          </c:marker>
          <c:cat>
            <c:strRef>
              <c:f>'Sheet1 (2)'!$A$3:$A$108</c:f>
              <c:strCache>
                <c:ptCount val="105"/>
                <c:pt idx="0">
                  <c:v>1991Q4</c:v>
                </c:pt>
                <c:pt idx="1">
                  <c:v>1992Q1</c:v>
                </c:pt>
                <c:pt idx="2">
                  <c:v>1992Q2</c:v>
                </c:pt>
                <c:pt idx="3">
                  <c:v>1992Q3</c:v>
                </c:pt>
                <c:pt idx="4">
                  <c:v>1992Q4</c:v>
                </c:pt>
                <c:pt idx="5">
                  <c:v>1993Q1</c:v>
                </c:pt>
                <c:pt idx="6">
                  <c:v>1993Q2</c:v>
                </c:pt>
                <c:pt idx="7">
                  <c:v>1993Q3</c:v>
                </c:pt>
                <c:pt idx="8">
                  <c:v>1993Q4</c:v>
                </c:pt>
                <c:pt idx="9">
                  <c:v>1994Q1</c:v>
                </c:pt>
                <c:pt idx="10">
                  <c:v>1994Q2</c:v>
                </c:pt>
                <c:pt idx="11">
                  <c:v>1994Q3</c:v>
                </c:pt>
                <c:pt idx="12">
                  <c:v>1994Q4</c:v>
                </c:pt>
                <c:pt idx="13">
                  <c:v>1995Q1</c:v>
                </c:pt>
                <c:pt idx="14">
                  <c:v>1995Q2</c:v>
                </c:pt>
                <c:pt idx="15">
                  <c:v>1995Q3</c:v>
                </c:pt>
                <c:pt idx="16">
                  <c:v>1995Q4</c:v>
                </c:pt>
                <c:pt idx="17">
                  <c:v>1996Q1</c:v>
                </c:pt>
                <c:pt idx="18">
                  <c:v>1996Q2</c:v>
                </c:pt>
                <c:pt idx="19">
                  <c:v>1996Q3</c:v>
                </c:pt>
                <c:pt idx="20">
                  <c:v>1996Q4</c:v>
                </c:pt>
                <c:pt idx="21">
                  <c:v>1997Q1</c:v>
                </c:pt>
                <c:pt idx="22">
                  <c:v>1997Q2</c:v>
                </c:pt>
                <c:pt idx="23">
                  <c:v>1997Q3</c:v>
                </c:pt>
                <c:pt idx="24">
                  <c:v>1997Q4</c:v>
                </c:pt>
                <c:pt idx="25">
                  <c:v>1998Q1</c:v>
                </c:pt>
                <c:pt idx="26">
                  <c:v>1998Q2</c:v>
                </c:pt>
                <c:pt idx="27">
                  <c:v>1998Q3</c:v>
                </c:pt>
                <c:pt idx="28">
                  <c:v>1998Q4</c:v>
                </c:pt>
                <c:pt idx="29">
                  <c:v>1999Q1</c:v>
                </c:pt>
                <c:pt idx="30">
                  <c:v>1999Q2</c:v>
                </c:pt>
                <c:pt idx="31">
                  <c:v>1999Q3</c:v>
                </c:pt>
                <c:pt idx="32">
                  <c:v>1999Q4</c:v>
                </c:pt>
                <c:pt idx="33">
                  <c:v>2000Q1</c:v>
                </c:pt>
                <c:pt idx="34">
                  <c:v>2000Q2</c:v>
                </c:pt>
                <c:pt idx="35">
                  <c:v>2000Q3</c:v>
                </c:pt>
                <c:pt idx="36">
                  <c:v>2000Q4</c:v>
                </c:pt>
                <c:pt idx="37">
                  <c:v>2001Q1</c:v>
                </c:pt>
                <c:pt idx="38">
                  <c:v>2001Q2</c:v>
                </c:pt>
                <c:pt idx="39">
                  <c:v>2001Q3</c:v>
                </c:pt>
                <c:pt idx="40">
                  <c:v>2001Q4</c:v>
                </c:pt>
                <c:pt idx="41">
                  <c:v>2002Q1</c:v>
                </c:pt>
                <c:pt idx="42">
                  <c:v>2002Q2</c:v>
                </c:pt>
                <c:pt idx="43">
                  <c:v>2002Q3</c:v>
                </c:pt>
                <c:pt idx="44">
                  <c:v>2002Q4</c:v>
                </c:pt>
                <c:pt idx="45">
                  <c:v>2003Q1</c:v>
                </c:pt>
                <c:pt idx="46">
                  <c:v>2003Q2</c:v>
                </c:pt>
                <c:pt idx="47">
                  <c:v>2003Q3</c:v>
                </c:pt>
                <c:pt idx="48">
                  <c:v>2003Q4</c:v>
                </c:pt>
                <c:pt idx="49">
                  <c:v>2004Q1</c:v>
                </c:pt>
                <c:pt idx="50">
                  <c:v>2004Q2</c:v>
                </c:pt>
                <c:pt idx="51">
                  <c:v>2004Q3</c:v>
                </c:pt>
                <c:pt idx="52">
                  <c:v>2004Q4</c:v>
                </c:pt>
                <c:pt idx="53">
                  <c:v>2005Q1</c:v>
                </c:pt>
                <c:pt idx="54">
                  <c:v>2005Q2</c:v>
                </c:pt>
                <c:pt idx="55">
                  <c:v>2005Q3</c:v>
                </c:pt>
                <c:pt idx="56">
                  <c:v>2005Q4</c:v>
                </c:pt>
                <c:pt idx="57">
                  <c:v>2006Q1</c:v>
                </c:pt>
                <c:pt idx="58">
                  <c:v>2006Q2</c:v>
                </c:pt>
                <c:pt idx="59">
                  <c:v>2006Q3</c:v>
                </c:pt>
                <c:pt idx="60">
                  <c:v>2006Q4</c:v>
                </c:pt>
                <c:pt idx="61">
                  <c:v>2007Q1</c:v>
                </c:pt>
                <c:pt idx="62">
                  <c:v>2007Q2</c:v>
                </c:pt>
                <c:pt idx="63">
                  <c:v>2007Q3</c:v>
                </c:pt>
                <c:pt idx="64">
                  <c:v>2007Q4</c:v>
                </c:pt>
                <c:pt idx="65">
                  <c:v>2008Q1</c:v>
                </c:pt>
                <c:pt idx="66">
                  <c:v>2008Q2</c:v>
                </c:pt>
                <c:pt idx="67">
                  <c:v>2008Q3</c:v>
                </c:pt>
                <c:pt idx="68">
                  <c:v>2008Q4</c:v>
                </c:pt>
                <c:pt idx="69">
                  <c:v>2009Q1</c:v>
                </c:pt>
                <c:pt idx="70">
                  <c:v>2009Q2</c:v>
                </c:pt>
                <c:pt idx="71">
                  <c:v>2009Q3</c:v>
                </c:pt>
                <c:pt idx="72">
                  <c:v>2009Q4</c:v>
                </c:pt>
                <c:pt idx="73">
                  <c:v>2010Q1</c:v>
                </c:pt>
                <c:pt idx="74">
                  <c:v>2010Q2</c:v>
                </c:pt>
                <c:pt idx="75">
                  <c:v>2010Q3</c:v>
                </c:pt>
                <c:pt idx="76">
                  <c:v>2010Q4</c:v>
                </c:pt>
                <c:pt idx="77">
                  <c:v>2011Q1</c:v>
                </c:pt>
                <c:pt idx="78">
                  <c:v>2011Q2</c:v>
                </c:pt>
                <c:pt idx="79">
                  <c:v>2011Q3</c:v>
                </c:pt>
                <c:pt idx="80">
                  <c:v>2011Q4</c:v>
                </c:pt>
                <c:pt idx="81">
                  <c:v>2012Q1</c:v>
                </c:pt>
                <c:pt idx="82">
                  <c:v>2012Q2</c:v>
                </c:pt>
                <c:pt idx="83">
                  <c:v>2012Q3</c:v>
                </c:pt>
                <c:pt idx="84">
                  <c:v>2012Q4</c:v>
                </c:pt>
                <c:pt idx="85">
                  <c:v>2013Q1</c:v>
                </c:pt>
                <c:pt idx="86">
                  <c:v>2013Q2</c:v>
                </c:pt>
                <c:pt idx="87">
                  <c:v>2013Q3</c:v>
                </c:pt>
                <c:pt idx="88">
                  <c:v>2013Q4</c:v>
                </c:pt>
                <c:pt idx="89">
                  <c:v>2014Q1</c:v>
                </c:pt>
                <c:pt idx="90">
                  <c:v>2014Q2</c:v>
                </c:pt>
                <c:pt idx="91">
                  <c:v>2014Q3</c:v>
                </c:pt>
                <c:pt idx="92">
                  <c:v>2014Q4</c:v>
                </c:pt>
                <c:pt idx="93">
                  <c:v>2015Q1</c:v>
                </c:pt>
                <c:pt idx="94">
                  <c:v>2015Q2</c:v>
                </c:pt>
                <c:pt idx="95">
                  <c:v>2015Q3</c:v>
                </c:pt>
                <c:pt idx="96">
                  <c:v>2015Q4</c:v>
                </c:pt>
                <c:pt idx="97">
                  <c:v>2016Q1</c:v>
                </c:pt>
                <c:pt idx="98">
                  <c:v>2016Q2</c:v>
                </c:pt>
                <c:pt idx="99">
                  <c:v>2016Q3</c:v>
                </c:pt>
                <c:pt idx="100">
                  <c:v>2016Q4</c:v>
                </c:pt>
                <c:pt idx="101">
                  <c:v>2017Q1</c:v>
                </c:pt>
                <c:pt idx="102">
                  <c:v>2017Q2</c:v>
                </c:pt>
                <c:pt idx="103">
                  <c:v>2017Q3</c:v>
                </c:pt>
                <c:pt idx="104">
                  <c:v>2017Q4</c:v>
                </c:pt>
              </c:strCache>
            </c:strRef>
          </c:cat>
          <c:val>
            <c:numRef>
              <c:f>'Sheet1 (2)'!$G$3:$G$108</c:f>
              <c:numCache>
                <c:formatCode>General</c:formatCode>
                <c:ptCount val="105"/>
                <c:pt idx="46">
                  <c:v>14</c:v>
                </c:pt>
                <c:pt idx="47">
                  <c:v>22</c:v>
                </c:pt>
                <c:pt idx="48">
                  <c:v>30</c:v>
                </c:pt>
                <c:pt idx="49">
                  <c:v>18</c:v>
                </c:pt>
                <c:pt idx="50">
                  <c:v>28</c:v>
                </c:pt>
                <c:pt idx="51">
                  <c:v>16</c:v>
                </c:pt>
                <c:pt idx="52">
                  <c:v>19</c:v>
                </c:pt>
                <c:pt idx="53">
                  <c:v>19</c:v>
                </c:pt>
                <c:pt idx="54">
                  <c:v>11</c:v>
                </c:pt>
                <c:pt idx="55">
                  <c:v>20</c:v>
                </c:pt>
                <c:pt idx="56">
                  <c:v>17</c:v>
                </c:pt>
                <c:pt idx="57">
                  <c:v>28</c:v>
                </c:pt>
                <c:pt idx="58">
                  <c:v>26</c:v>
                </c:pt>
                <c:pt idx="59">
                  <c:v>21</c:v>
                </c:pt>
                <c:pt idx="60">
                  <c:v>30</c:v>
                </c:pt>
                <c:pt idx="61">
                  <c:v>31</c:v>
                </c:pt>
                <c:pt idx="62">
                  <c:v>26</c:v>
                </c:pt>
                <c:pt idx="63">
                  <c:v>28</c:v>
                </c:pt>
                <c:pt idx="64">
                  <c:v>32</c:v>
                </c:pt>
                <c:pt idx="65">
                  <c:v>43</c:v>
                </c:pt>
                <c:pt idx="66">
                  <c:v>61</c:v>
                </c:pt>
                <c:pt idx="67">
                  <c:v>62</c:v>
                </c:pt>
                <c:pt idx="68">
                  <c:v>63</c:v>
                </c:pt>
                <c:pt idx="69">
                  <c:v>90</c:v>
                </c:pt>
                <c:pt idx="70">
                  <c:v>129</c:v>
                </c:pt>
                <c:pt idx="71">
                  <c:v>182</c:v>
                </c:pt>
                <c:pt idx="72">
                  <c:v>148</c:v>
                </c:pt>
                <c:pt idx="73">
                  <c:v>144</c:v>
                </c:pt>
                <c:pt idx="74">
                  <c:v>160</c:v>
                </c:pt>
                <c:pt idx="75">
                  <c:v>122</c:v>
                </c:pt>
                <c:pt idx="76">
                  <c:v>106</c:v>
                </c:pt>
                <c:pt idx="77">
                  <c:v>121</c:v>
                </c:pt>
                <c:pt idx="78">
                  <c:v>181</c:v>
                </c:pt>
                <c:pt idx="79">
                  <c:v>158</c:v>
                </c:pt>
                <c:pt idx="80">
                  <c:v>171</c:v>
                </c:pt>
                <c:pt idx="81">
                  <c:v>126</c:v>
                </c:pt>
                <c:pt idx="82">
                  <c:v>174</c:v>
                </c:pt>
                <c:pt idx="83">
                  <c:v>162</c:v>
                </c:pt>
                <c:pt idx="84">
                  <c:v>132</c:v>
                </c:pt>
                <c:pt idx="85">
                  <c:v>122</c:v>
                </c:pt>
                <c:pt idx="86">
                  <c:v>151</c:v>
                </c:pt>
                <c:pt idx="87">
                  <c:v>210</c:v>
                </c:pt>
                <c:pt idx="88">
                  <c:v>181</c:v>
                </c:pt>
                <c:pt idx="89">
                  <c:v>156</c:v>
                </c:pt>
                <c:pt idx="90">
                  <c:v>161</c:v>
                </c:pt>
                <c:pt idx="91">
                  <c:v>166</c:v>
                </c:pt>
                <c:pt idx="92">
                  <c:v>167</c:v>
                </c:pt>
                <c:pt idx="93">
                  <c:v>181</c:v>
                </c:pt>
                <c:pt idx="94">
                  <c:v>218</c:v>
                </c:pt>
                <c:pt idx="95">
                  <c:v>183</c:v>
                </c:pt>
                <c:pt idx="96">
                  <c:v>141</c:v>
                </c:pt>
                <c:pt idx="97">
                  <c:v>187</c:v>
                </c:pt>
                <c:pt idx="98">
                  <c:v>233</c:v>
                </c:pt>
                <c:pt idx="99">
                  <c:v>199</c:v>
                </c:pt>
                <c:pt idx="100">
                  <c:v>213</c:v>
                </c:pt>
                <c:pt idx="101">
                  <c:v>190</c:v>
                </c:pt>
                <c:pt idx="102">
                  <c:v>214</c:v>
                </c:pt>
                <c:pt idx="103">
                  <c:v>225</c:v>
                </c:pt>
                <c:pt idx="104">
                  <c:v>222</c:v>
                </c:pt>
              </c:numCache>
            </c:numRef>
          </c:val>
          <c:smooth val="0"/>
          <c:extLst xmlns:c16r2="http://schemas.microsoft.com/office/drawing/2015/06/chart">
            <c:ext xmlns:c16="http://schemas.microsoft.com/office/drawing/2014/chart" uri="{C3380CC4-5D6E-409C-BE32-E72D297353CC}">
              <c16:uniqueId val="{00000005-C6A9-4853-9AEE-8D3800E3861B}"/>
            </c:ext>
          </c:extLst>
        </c:ser>
        <c:ser>
          <c:idx val="6"/>
          <c:order val="6"/>
          <c:tx>
            <c:strRef>
              <c:f>'Sheet1 (2)'!$H$1:$H$2</c:f>
              <c:strCache>
                <c:ptCount val="1"/>
                <c:pt idx="0">
                  <c:v>Spasmodic torticollis</c:v>
                </c:pt>
              </c:strCache>
            </c:strRef>
          </c:tx>
          <c:marker>
            <c:symbol val="none"/>
          </c:marker>
          <c:cat>
            <c:strRef>
              <c:f>'Sheet1 (2)'!$A$3:$A$108</c:f>
              <c:strCache>
                <c:ptCount val="105"/>
                <c:pt idx="0">
                  <c:v>1991Q4</c:v>
                </c:pt>
                <c:pt idx="1">
                  <c:v>1992Q1</c:v>
                </c:pt>
                <c:pt idx="2">
                  <c:v>1992Q2</c:v>
                </c:pt>
                <c:pt idx="3">
                  <c:v>1992Q3</c:v>
                </c:pt>
                <c:pt idx="4">
                  <c:v>1992Q4</c:v>
                </c:pt>
                <c:pt idx="5">
                  <c:v>1993Q1</c:v>
                </c:pt>
                <c:pt idx="6">
                  <c:v>1993Q2</c:v>
                </c:pt>
                <c:pt idx="7">
                  <c:v>1993Q3</c:v>
                </c:pt>
                <c:pt idx="8">
                  <c:v>1993Q4</c:v>
                </c:pt>
                <c:pt idx="9">
                  <c:v>1994Q1</c:v>
                </c:pt>
                <c:pt idx="10">
                  <c:v>1994Q2</c:v>
                </c:pt>
                <c:pt idx="11">
                  <c:v>1994Q3</c:v>
                </c:pt>
                <c:pt idx="12">
                  <c:v>1994Q4</c:v>
                </c:pt>
                <c:pt idx="13">
                  <c:v>1995Q1</c:v>
                </c:pt>
                <c:pt idx="14">
                  <c:v>1995Q2</c:v>
                </c:pt>
                <c:pt idx="15">
                  <c:v>1995Q3</c:v>
                </c:pt>
                <c:pt idx="16">
                  <c:v>1995Q4</c:v>
                </c:pt>
                <c:pt idx="17">
                  <c:v>1996Q1</c:v>
                </c:pt>
                <c:pt idx="18">
                  <c:v>1996Q2</c:v>
                </c:pt>
                <c:pt idx="19">
                  <c:v>1996Q3</c:v>
                </c:pt>
                <c:pt idx="20">
                  <c:v>1996Q4</c:v>
                </c:pt>
                <c:pt idx="21">
                  <c:v>1997Q1</c:v>
                </c:pt>
                <c:pt idx="22">
                  <c:v>1997Q2</c:v>
                </c:pt>
                <c:pt idx="23">
                  <c:v>1997Q3</c:v>
                </c:pt>
                <c:pt idx="24">
                  <c:v>1997Q4</c:v>
                </c:pt>
                <c:pt idx="25">
                  <c:v>1998Q1</c:v>
                </c:pt>
                <c:pt idx="26">
                  <c:v>1998Q2</c:v>
                </c:pt>
                <c:pt idx="27">
                  <c:v>1998Q3</c:v>
                </c:pt>
                <c:pt idx="28">
                  <c:v>1998Q4</c:v>
                </c:pt>
                <c:pt idx="29">
                  <c:v>1999Q1</c:v>
                </c:pt>
                <c:pt idx="30">
                  <c:v>1999Q2</c:v>
                </c:pt>
                <c:pt idx="31">
                  <c:v>1999Q3</c:v>
                </c:pt>
                <c:pt idx="32">
                  <c:v>1999Q4</c:v>
                </c:pt>
                <c:pt idx="33">
                  <c:v>2000Q1</c:v>
                </c:pt>
                <c:pt idx="34">
                  <c:v>2000Q2</c:v>
                </c:pt>
                <c:pt idx="35">
                  <c:v>2000Q3</c:v>
                </c:pt>
                <c:pt idx="36">
                  <c:v>2000Q4</c:v>
                </c:pt>
                <c:pt idx="37">
                  <c:v>2001Q1</c:v>
                </c:pt>
                <c:pt idx="38">
                  <c:v>2001Q2</c:v>
                </c:pt>
                <c:pt idx="39">
                  <c:v>2001Q3</c:v>
                </c:pt>
                <c:pt idx="40">
                  <c:v>2001Q4</c:v>
                </c:pt>
                <c:pt idx="41">
                  <c:v>2002Q1</c:v>
                </c:pt>
                <c:pt idx="42">
                  <c:v>2002Q2</c:v>
                </c:pt>
                <c:pt idx="43">
                  <c:v>2002Q3</c:v>
                </c:pt>
                <c:pt idx="44">
                  <c:v>2002Q4</c:v>
                </c:pt>
                <c:pt idx="45">
                  <c:v>2003Q1</c:v>
                </c:pt>
                <c:pt idx="46">
                  <c:v>2003Q2</c:v>
                </c:pt>
                <c:pt idx="47">
                  <c:v>2003Q3</c:v>
                </c:pt>
                <c:pt idx="48">
                  <c:v>2003Q4</c:v>
                </c:pt>
                <c:pt idx="49">
                  <c:v>2004Q1</c:v>
                </c:pt>
                <c:pt idx="50">
                  <c:v>2004Q2</c:v>
                </c:pt>
                <c:pt idx="51">
                  <c:v>2004Q3</c:v>
                </c:pt>
                <c:pt idx="52">
                  <c:v>2004Q4</c:v>
                </c:pt>
                <c:pt idx="53">
                  <c:v>2005Q1</c:v>
                </c:pt>
                <c:pt idx="54">
                  <c:v>2005Q2</c:v>
                </c:pt>
                <c:pt idx="55">
                  <c:v>2005Q3</c:v>
                </c:pt>
                <c:pt idx="56">
                  <c:v>2005Q4</c:v>
                </c:pt>
                <c:pt idx="57">
                  <c:v>2006Q1</c:v>
                </c:pt>
                <c:pt idx="58">
                  <c:v>2006Q2</c:v>
                </c:pt>
                <c:pt idx="59">
                  <c:v>2006Q3</c:v>
                </c:pt>
                <c:pt idx="60">
                  <c:v>2006Q4</c:v>
                </c:pt>
                <c:pt idx="61">
                  <c:v>2007Q1</c:v>
                </c:pt>
                <c:pt idx="62">
                  <c:v>2007Q2</c:v>
                </c:pt>
                <c:pt idx="63">
                  <c:v>2007Q3</c:v>
                </c:pt>
                <c:pt idx="64">
                  <c:v>2007Q4</c:v>
                </c:pt>
                <c:pt idx="65">
                  <c:v>2008Q1</c:v>
                </c:pt>
                <c:pt idx="66">
                  <c:v>2008Q2</c:v>
                </c:pt>
                <c:pt idx="67">
                  <c:v>2008Q3</c:v>
                </c:pt>
                <c:pt idx="68">
                  <c:v>2008Q4</c:v>
                </c:pt>
                <c:pt idx="69">
                  <c:v>2009Q1</c:v>
                </c:pt>
                <c:pt idx="70">
                  <c:v>2009Q2</c:v>
                </c:pt>
                <c:pt idx="71">
                  <c:v>2009Q3</c:v>
                </c:pt>
                <c:pt idx="72">
                  <c:v>2009Q4</c:v>
                </c:pt>
                <c:pt idx="73">
                  <c:v>2010Q1</c:v>
                </c:pt>
                <c:pt idx="74">
                  <c:v>2010Q2</c:v>
                </c:pt>
                <c:pt idx="75">
                  <c:v>2010Q3</c:v>
                </c:pt>
                <c:pt idx="76">
                  <c:v>2010Q4</c:v>
                </c:pt>
                <c:pt idx="77">
                  <c:v>2011Q1</c:v>
                </c:pt>
                <c:pt idx="78">
                  <c:v>2011Q2</c:v>
                </c:pt>
                <c:pt idx="79">
                  <c:v>2011Q3</c:v>
                </c:pt>
                <c:pt idx="80">
                  <c:v>2011Q4</c:v>
                </c:pt>
                <c:pt idx="81">
                  <c:v>2012Q1</c:v>
                </c:pt>
                <c:pt idx="82">
                  <c:v>2012Q2</c:v>
                </c:pt>
                <c:pt idx="83">
                  <c:v>2012Q3</c:v>
                </c:pt>
                <c:pt idx="84">
                  <c:v>2012Q4</c:v>
                </c:pt>
                <c:pt idx="85">
                  <c:v>2013Q1</c:v>
                </c:pt>
                <c:pt idx="86">
                  <c:v>2013Q2</c:v>
                </c:pt>
                <c:pt idx="87">
                  <c:v>2013Q3</c:v>
                </c:pt>
                <c:pt idx="88">
                  <c:v>2013Q4</c:v>
                </c:pt>
                <c:pt idx="89">
                  <c:v>2014Q1</c:v>
                </c:pt>
                <c:pt idx="90">
                  <c:v>2014Q2</c:v>
                </c:pt>
                <c:pt idx="91">
                  <c:v>2014Q3</c:v>
                </c:pt>
                <c:pt idx="92">
                  <c:v>2014Q4</c:v>
                </c:pt>
                <c:pt idx="93">
                  <c:v>2015Q1</c:v>
                </c:pt>
                <c:pt idx="94">
                  <c:v>2015Q2</c:v>
                </c:pt>
                <c:pt idx="95">
                  <c:v>2015Q3</c:v>
                </c:pt>
                <c:pt idx="96">
                  <c:v>2015Q4</c:v>
                </c:pt>
                <c:pt idx="97">
                  <c:v>2016Q1</c:v>
                </c:pt>
                <c:pt idx="98">
                  <c:v>2016Q2</c:v>
                </c:pt>
                <c:pt idx="99">
                  <c:v>2016Q3</c:v>
                </c:pt>
                <c:pt idx="100">
                  <c:v>2016Q4</c:v>
                </c:pt>
                <c:pt idx="101">
                  <c:v>2017Q1</c:v>
                </c:pt>
                <c:pt idx="102">
                  <c:v>2017Q2</c:v>
                </c:pt>
                <c:pt idx="103">
                  <c:v>2017Q3</c:v>
                </c:pt>
                <c:pt idx="104">
                  <c:v>2017Q4</c:v>
                </c:pt>
              </c:strCache>
            </c:strRef>
          </c:cat>
          <c:val>
            <c:numRef>
              <c:f>'Sheet1 (2)'!$H$3:$H$108</c:f>
              <c:numCache>
                <c:formatCode>General</c:formatCode>
                <c:ptCount val="105"/>
                <c:pt idx="46">
                  <c:v>352</c:v>
                </c:pt>
                <c:pt idx="47">
                  <c:v>572</c:v>
                </c:pt>
                <c:pt idx="48">
                  <c:v>623</c:v>
                </c:pt>
                <c:pt idx="49">
                  <c:v>638</c:v>
                </c:pt>
                <c:pt idx="50">
                  <c:v>629</c:v>
                </c:pt>
                <c:pt idx="51">
                  <c:v>715</c:v>
                </c:pt>
                <c:pt idx="52">
                  <c:v>738</c:v>
                </c:pt>
                <c:pt idx="53">
                  <c:v>762</c:v>
                </c:pt>
                <c:pt idx="54">
                  <c:v>798</c:v>
                </c:pt>
                <c:pt idx="55">
                  <c:v>785</c:v>
                </c:pt>
                <c:pt idx="56">
                  <c:v>884</c:v>
                </c:pt>
                <c:pt idx="57">
                  <c:v>946</c:v>
                </c:pt>
                <c:pt idx="58">
                  <c:v>934</c:v>
                </c:pt>
                <c:pt idx="59">
                  <c:v>895</c:v>
                </c:pt>
                <c:pt idx="60">
                  <c:v>988</c:v>
                </c:pt>
                <c:pt idx="61">
                  <c:v>962</c:v>
                </c:pt>
                <c:pt idx="62">
                  <c:v>936</c:v>
                </c:pt>
                <c:pt idx="63">
                  <c:v>1074</c:v>
                </c:pt>
                <c:pt idx="64">
                  <c:v>1069</c:v>
                </c:pt>
                <c:pt idx="65">
                  <c:v>1053</c:v>
                </c:pt>
                <c:pt idx="66">
                  <c:v>1098</c:v>
                </c:pt>
                <c:pt idx="67">
                  <c:v>1152</c:v>
                </c:pt>
                <c:pt idx="68">
                  <c:v>1237</c:v>
                </c:pt>
                <c:pt idx="69">
                  <c:v>1277</c:v>
                </c:pt>
                <c:pt idx="70">
                  <c:v>1236</c:v>
                </c:pt>
                <c:pt idx="71">
                  <c:v>1374</c:v>
                </c:pt>
                <c:pt idx="72">
                  <c:v>1448</c:v>
                </c:pt>
                <c:pt idx="73">
                  <c:v>1507</c:v>
                </c:pt>
                <c:pt idx="74">
                  <c:v>1416</c:v>
                </c:pt>
                <c:pt idx="75">
                  <c:v>1555</c:v>
                </c:pt>
                <c:pt idx="76">
                  <c:v>1561</c:v>
                </c:pt>
                <c:pt idx="77">
                  <c:v>1681</c:v>
                </c:pt>
                <c:pt idx="78">
                  <c:v>1586</c:v>
                </c:pt>
                <c:pt idx="79">
                  <c:v>1762</c:v>
                </c:pt>
                <c:pt idx="80">
                  <c:v>1742</c:v>
                </c:pt>
                <c:pt idx="81">
                  <c:v>1824</c:v>
                </c:pt>
                <c:pt idx="82">
                  <c:v>1707</c:v>
                </c:pt>
                <c:pt idx="83">
                  <c:v>1926</c:v>
                </c:pt>
                <c:pt idx="84">
                  <c:v>1954</c:v>
                </c:pt>
                <c:pt idx="85">
                  <c:v>1906</c:v>
                </c:pt>
                <c:pt idx="86">
                  <c:v>1981</c:v>
                </c:pt>
                <c:pt idx="87">
                  <c:v>2117</c:v>
                </c:pt>
                <c:pt idx="88">
                  <c:v>2115</c:v>
                </c:pt>
                <c:pt idx="89">
                  <c:v>2143</c:v>
                </c:pt>
                <c:pt idx="90">
                  <c:v>2157</c:v>
                </c:pt>
                <c:pt idx="91">
                  <c:v>2256</c:v>
                </c:pt>
                <c:pt idx="92">
                  <c:v>2329</c:v>
                </c:pt>
                <c:pt idx="93">
                  <c:v>2314</c:v>
                </c:pt>
                <c:pt idx="94">
                  <c:v>2256</c:v>
                </c:pt>
                <c:pt idx="95">
                  <c:v>2370</c:v>
                </c:pt>
                <c:pt idx="96">
                  <c:v>2357</c:v>
                </c:pt>
                <c:pt idx="97">
                  <c:v>2422</c:v>
                </c:pt>
                <c:pt idx="98">
                  <c:v>2381</c:v>
                </c:pt>
                <c:pt idx="99">
                  <c:v>2563</c:v>
                </c:pt>
                <c:pt idx="100">
                  <c:v>2712</c:v>
                </c:pt>
                <c:pt idx="101">
                  <c:v>2691</c:v>
                </c:pt>
                <c:pt idx="102">
                  <c:v>2760</c:v>
                </c:pt>
                <c:pt idx="103">
                  <c:v>2861</c:v>
                </c:pt>
                <c:pt idx="104">
                  <c:v>3039</c:v>
                </c:pt>
              </c:numCache>
            </c:numRef>
          </c:val>
          <c:smooth val="0"/>
          <c:extLst xmlns:c16r2="http://schemas.microsoft.com/office/drawing/2015/06/chart">
            <c:ext xmlns:c16="http://schemas.microsoft.com/office/drawing/2014/chart" uri="{C3380CC4-5D6E-409C-BE32-E72D297353CC}">
              <c16:uniqueId val="{00000006-C6A9-4853-9AEE-8D3800E3861B}"/>
            </c:ext>
          </c:extLst>
        </c:ser>
        <c:dLbls>
          <c:showLegendKey val="0"/>
          <c:showVal val="0"/>
          <c:showCatName val="0"/>
          <c:showSerName val="0"/>
          <c:showPercent val="0"/>
          <c:showBubbleSize val="0"/>
        </c:dLbls>
        <c:marker val="1"/>
        <c:smooth val="0"/>
        <c:axId val="412240896"/>
        <c:axId val="414323072"/>
      </c:lineChart>
      <c:catAx>
        <c:axId val="412240896"/>
        <c:scaling>
          <c:orientation val="minMax"/>
        </c:scaling>
        <c:delete val="0"/>
        <c:axPos val="b"/>
        <c:title>
          <c:tx>
            <c:rich>
              <a:bodyPr/>
              <a:lstStyle/>
              <a:p>
                <a:pPr>
                  <a:defRPr b="0"/>
                </a:pPr>
                <a:r>
                  <a:rPr lang="en-US" b="0"/>
                  <a:t>Quarter of service</a:t>
                </a:r>
              </a:p>
            </c:rich>
          </c:tx>
          <c:overlay val="0"/>
        </c:title>
        <c:numFmt formatCode="General" sourceLinked="0"/>
        <c:majorTickMark val="none"/>
        <c:minorTickMark val="none"/>
        <c:tickLblPos val="nextTo"/>
        <c:crossAx val="414323072"/>
        <c:crosses val="autoZero"/>
        <c:auto val="1"/>
        <c:lblAlgn val="ctr"/>
        <c:lblOffset val="100"/>
        <c:noMultiLvlLbl val="0"/>
      </c:catAx>
      <c:valAx>
        <c:axId val="414323072"/>
        <c:scaling>
          <c:orientation val="minMax"/>
        </c:scaling>
        <c:delete val="0"/>
        <c:axPos val="l"/>
        <c:majorGridlines/>
        <c:title>
          <c:tx>
            <c:rich>
              <a:bodyPr/>
              <a:lstStyle/>
              <a:p>
                <a:pPr>
                  <a:defRPr b="0"/>
                </a:pPr>
                <a:r>
                  <a:rPr lang="en-US" b="0"/>
                  <a:t>Services</a:t>
                </a:r>
              </a:p>
            </c:rich>
          </c:tx>
          <c:overlay val="0"/>
        </c:title>
        <c:numFmt formatCode="#,##0" sourceLinked="0"/>
        <c:majorTickMark val="none"/>
        <c:minorTickMark val="none"/>
        <c:tickLblPos val="nextTo"/>
        <c:crossAx val="412240896"/>
        <c:crosses val="autoZero"/>
        <c:crossBetween val="between"/>
      </c:valAx>
    </c:plotArea>
    <c:legend>
      <c:legendPos val="b"/>
      <c:overlay val="0"/>
      <c:txPr>
        <a:bodyPr/>
        <a:lstStyle/>
        <a:p>
          <a:pPr>
            <a:defRPr sz="7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92597079211253"/>
          <c:y val="3.6311999606496823E-2"/>
          <c:w val="0.65368261899231916"/>
          <c:h val="0.78893859470434335"/>
        </c:manualLayout>
      </c:layout>
      <c:barChart>
        <c:barDir val="col"/>
        <c:grouping val="clustered"/>
        <c:varyColors val="0"/>
        <c:ser>
          <c:idx val="0"/>
          <c:order val="0"/>
          <c:tx>
            <c:strRef>
              <c:f>'Sheet1 (4)'!$O$4</c:f>
              <c:strCache>
                <c:ptCount val="1"/>
                <c:pt idx="0">
                  <c:v>Neurology</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(4)'!$O$5:$O$9</c:f>
              <c:numCache>
                <c:formatCode>General</c:formatCode>
                <c:ptCount val="5"/>
                <c:pt idx="0">
                  <c:v>9311</c:v>
                </c:pt>
                <c:pt idx="1">
                  <c:v>9975</c:v>
                </c:pt>
                <c:pt idx="2">
                  <c:v>161</c:v>
                </c:pt>
                <c:pt idx="3">
                  <c:v>120</c:v>
                </c:pt>
                <c:pt idx="4">
                  <c:v>238</c:v>
                </c:pt>
              </c:numCache>
            </c:numRef>
          </c:val>
        </c:ser>
        <c:ser>
          <c:idx val="1"/>
          <c:order val="1"/>
          <c:tx>
            <c:strRef>
              <c:f>'Sheet1 (4)'!$P$4</c:f>
              <c:strCache>
                <c:ptCount val="1"/>
                <c:pt idx="0">
                  <c:v>Ophthalmology</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(4)'!$P$5:$P$9</c:f>
              <c:numCache>
                <c:formatCode>General</c:formatCode>
                <c:ptCount val="5"/>
                <c:pt idx="0">
                  <c:v>4612</c:v>
                </c:pt>
                <c:pt idx="1">
                  <c:v>8</c:v>
                </c:pt>
                <c:pt idx="2">
                  <c:v>#N/A</c:v>
                </c:pt>
                <c:pt idx="3">
                  <c:v>5</c:v>
                </c:pt>
                <c:pt idx="4">
                  <c:v>8</c:v>
                </c:pt>
              </c:numCache>
            </c:numRef>
          </c:val>
        </c:ser>
        <c:ser>
          <c:idx val="2"/>
          <c:order val="2"/>
          <c:tx>
            <c:strRef>
              <c:f>'Sheet1 (4)'!$Q$4</c:f>
              <c:strCache>
                <c:ptCount val="1"/>
                <c:pt idx="0">
                  <c:v>Paediatric Medicine</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(4)'!$Q$5:$Q$9</c:f>
              <c:numCache>
                <c:formatCode>General</c:formatCode>
                <c:ptCount val="5"/>
                <c:pt idx="0">
                  <c:v>#N/A</c:v>
                </c:pt>
                <c:pt idx="1">
                  <c:v>5</c:v>
                </c:pt>
                <c:pt idx="2">
                  <c:v>1577</c:v>
                </c:pt>
                <c:pt idx="3">
                  <c:v>707</c:v>
                </c:pt>
                <c:pt idx="4">
                  <c:v>5</c:v>
                </c:pt>
              </c:numCache>
            </c:numRef>
          </c:val>
        </c:ser>
        <c:ser>
          <c:idx val="3"/>
          <c:order val="3"/>
          <c:tx>
            <c:strRef>
              <c:f>'Sheet1 (4)'!$R$4</c:f>
              <c:strCache>
                <c:ptCount val="1"/>
                <c:pt idx="0">
                  <c:v>Rehabilitation Medicine</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(4)'!$R$5:$R$9</c:f>
              <c:numCache>
                <c:formatCode>General</c:formatCode>
                <c:ptCount val="5"/>
                <c:pt idx="0">
                  <c:v>5</c:v>
                </c:pt>
                <c:pt idx="1">
                  <c:v>153</c:v>
                </c:pt>
                <c:pt idx="2">
                  <c:v>604</c:v>
                </c:pt>
                <c:pt idx="3">
                  <c:v>462</c:v>
                </c:pt>
                <c:pt idx="4">
                  <c:v>661</c:v>
                </c:pt>
              </c:numCache>
            </c:numRef>
          </c:val>
        </c:ser>
        <c:ser>
          <c:idx val="4"/>
          <c:order val="4"/>
          <c:tx>
            <c:strRef>
              <c:f>'Sheet1 (4)'!$S$4</c:f>
              <c:strCache>
                <c:ptCount val="1"/>
                <c:pt idx="0">
                  <c:v>GP</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(4)'!$S$5:$S$9</c:f>
              <c:numCache>
                <c:formatCode>General</c:formatCode>
                <c:ptCount val="5"/>
                <c:pt idx="0">
                  <c:v>376</c:v>
                </c:pt>
                <c:pt idx="1">
                  <c:v>270</c:v>
                </c:pt>
                <c:pt idx="2">
                  <c:v>419</c:v>
                </c:pt>
                <c:pt idx="3">
                  <c:v>212</c:v>
                </c:pt>
                <c:pt idx="4">
                  <c:v>55</c:v>
                </c:pt>
              </c:numCache>
            </c:numRef>
          </c:val>
        </c:ser>
        <c:ser>
          <c:idx val="5"/>
          <c:order val="5"/>
          <c:tx>
            <c:strRef>
              <c:f>'Sheet1 (4)'!$T$4</c:f>
              <c:strCache>
                <c:ptCount val="1"/>
                <c:pt idx="0">
                  <c:v>Internal Medicine</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(4)'!$T$5:$T$9</c:f>
              <c:numCache>
                <c:formatCode>General</c:formatCode>
                <c:ptCount val="5"/>
                <c:pt idx="0">
                  <c:v>232</c:v>
                </c:pt>
                <c:pt idx="1">
                  <c:v>767</c:v>
                </c:pt>
                <c:pt idx="2">
                  <c:v>#N/A</c:v>
                </c:pt>
                <c:pt idx="3">
                  <c:v>5</c:v>
                </c:pt>
                <c:pt idx="4">
                  <c:v>#N/A</c:v>
                </c:pt>
              </c:numCache>
            </c:numRef>
          </c:val>
        </c:ser>
        <c:ser>
          <c:idx val="6"/>
          <c:order val="6"/>
          <c:tx>
            <c:strRef>
              <c:f>'Sheet1 (4)'!$U$4</c:f>
              <c:strCache>
                <c:ptCount val="1"/>
                <c:pt idx="0">
                  <c:v>Other</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(4)'!$U$5:$U$9</c:f>
              <c:numCache>
                <c:formatCode>General</c:formatCode>
                <c:ptCount val="5"/>
                <c:pt idx="0">
                  <c:v>86</c:v>
                </c:pt>
                <c:pt idx="1">
                  <c:v>212</c:v>
                </c:pt>
                <c:pt idx="2">
                  <c:v>29</c:v>
                </c:pt>
                <c:pt idx="3">
                  <c:v>15</c:v>
                </c:pt>
                <c:pt idx="4">
                  <c:v>35</c:v>
                </c:pt>
              </c:numCache>
            </c:numRef>
          </c:val>
        </c:ser>
        <c:ser>
          <c:idx val="7"/>
          <c:order val="7"/>
          <c:tx>
            <c:strRef>
              <c:f>'Sheet1 (4)'!$V$4</c:f>
              <c:strCache>
                <c:ptCount val="1"/>
                <c:pt idx="0">
                  <c:v>Orthopaedic Surgery</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(4)'!$V$5:$V$9</c:f>
              <c:numCache>
                <c:formatCode>General</c:formatCode>
                <c:ptCount val="5"/>
                <c:pt idx="0">
                  <c:v>5</c:v>
                </c:pt>
                <c:pt idx="1">
                  <c:v>#N/A</c:v>
                </c:pt>
                <c:pt idx="2">
                  <c:v>141</c:v>
                </c:pt>
                <c:pt idx="3">
                  <c:v>5</c:v>
                </c:pt>
                <c:pt idx="4">
                  <c:v>5</c:v>
                </c:pt>
              </c:numCache>
            </c:numRef>
          </c:val>
        </c:ser>
        <c:ser>
          <c:idx val="8"/>
          <c:order val="8"/>
          <c:tx>
            <c:strRef>
              <c:f>'Sheet1 (4)'!$W$4</c:f>
              <c:strCache>
                <c:ptCount val="1"/>
                <c:pt idx="0">
                  <c:v>ENT</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(4)'!$W$5:$W$9</c:f>
              <c:numCache>
                <c:formatCode>General</c:formatCode>
                <c:ptCount val="5"/>
                <c:pt idx="0">
                  <c:v>117</c:v>
                </c:pt>
                <c:pt idx="1">
                  <c:v>5</c:v>
                </c:pt>
                <c:pt idx="2">
                  <c:v>#N/A</c:v>
                </c:pt>
                <c:pt idx="3">
                  <c:v>#N/A</c:v>
                </c:pt>
                <c:pt idx="4">
                  <c:v>#N/A</c:v>
                </c:pt>
              </c:numCache>
            </c:numRef>
          </c:val>
        </c:ser>
        <c:ser>
          <c:idx val="9"/>
          <c:order val="9"/>
          <c:tx>
            <c:strRef>
              <c:f>'Sheet1 (4)'!$X$4</c:f>
              <c:strCache>
                <c:ptCount val="1"/>
                <c:pt idx="0">
                  <c:v>Plastic and Reconstructive Surgery</c:v>
                </c:pt>
              </c:strCache>
            </c:strRef>
          </c:tx>
          <c:invertIfNegative val="0"/>
          <c:cat>
            <c:strRef>
              <c:f>'Sheet1 (4)'!$N$5:$N$9</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(4)'!$X$5:$X$9</c:f>
              <c:numCache>
                <c:formatCode>General</c:formatCode>
                <c:ptCount val="5"/>
                <c:pt idx="0">
                  <c:v>75</c:v>
                </c:pt>
                <c:pt idx="1">
                  <c:v>#N/A</c:v>
                </c:pt>
                <c:pt idx="2">
                  <c:v>#N/A</c:v>
                </c:pt>
                <c:pt idx="3">
                  <c:v>5</c:v>
                </c:pt>
                <c:pt idx="4">
                  <c:v>5</c:v>
                </c:pt>
              </c:numCache>
            </c:numRef>
          </c:val>
        </c:ser>
        <c:dLbls>
          <c:showLegendKey val="0"/>
          <c:showVal val="0"/>
          <c:showCatName val="0"/>
          <c:showSerName val="0"/>
          <c:showPercent val="0"/>
          <c:showBubbleSize val="0"/>
        </c:dLbls>
        <c:gapWidth val="150"/>
        <c:axId val="414361088"/>
        <c:axId val="414362624"/>
      </c:barChart>
      <c:catAx>
        <c:axId val="414361088"/>
        <c:scaling>
          <c:orientation val="minMax"/>
        </c:scaling>
        <c:delete val="0"/>
        <c:axPos val="b"/>
        <c:majorTickMark val="out"/>
        <c:minorTickMark val="none"/>
        <c:tickLblPos val="nextTo"/>
        <c:txPr>
          <a:bodyPr/>
          <a:lstStyle/>
          <a:p>
            <a:pPr>
              <a:defRPr sz="800"/>
            </a:pPr>
            <a:endParaRPr lang="en-US"/>
          </a:p>
        </c:txPr>
        <c:crossAx val="414362624"/>
        <c:crosses val="autoZero"/>
        <c:auto val="1"/>
        <c:lblAlgn val="ctr"/>
        <c:lblOffset val="100"/>
        <c:noMultiLvlLbl val="0"/>
      </c:catAx>
      <c:valAx>
        <c:axId val="414362624"/>
        <c:scaling>
          <c:orientation val="minMax"/>
          <c:max val="10000"/>
        </c:scaling>
        <c:delete val="0"/>
        <c:axPos val="l"/>
        <c:majorGridlines/>
        <c:title>
          <c:tx>
            <c:rich>
              <a:bodyPr rot="-5400000" vert="horz"/>
              <a:lstStyle/>
              <a:p>
                <a:pPr>
                  <a:defRPr b="0"/>
                </a:pPr>
                <a:r>
                  <a:rPr lang="en-US" b="0"/>
                  <a:t>Prescriptions</a:t>
                </a:r>
              </a:p>
            </c:rich>
          </c:tx>
          <c:layout/>
          <c:overlay val="0"/>
        </c:title>
        <c:numFmt formatCode="#,##0" sourceLinked="0"/>
        <c:majorTickMark val="out"/>
        <c:minorTickMark val="none"/>
        <c:tickLblPos val="nextTo"/>
        <c:crossAx val="414361088"/>
        <c:crosses val="autoZero"/>
        <c:crossBetween val="between"/>
      </c:valAx>
    </c:plotArea>
    <c:legend>
      <c:legendPos val="r"/>
      <c:layout>
        <c:manualLayout>
          <c:xMode val="edge"/>
          <c:yMode val="edge"/>
          <c:x val="0.78484815667360641"/>
          <c:y val="0.1064096754092789"/>
          <c:w val="0.19796316092551255"/>
          <c:h val="0.70527307137730488"/>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[D1060 - SCRPT_SUM by enhanced indication + ratio MBSPBS Table7, changed graph colors.xlsx]Sheet1!PivotTable1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pivotFmt>
      <c:pivotFmt>
        <c:idx val="12"/>
        <c:marker>
          <c:symbol val="none"/>
        </c:marker>
      </c:pivotFmt>
      <c:pivotFmt>
        <c:idx val="13"/>
      </c:pivotFmt>
      <c:pivotFmt>
        <c:idx val="14"/>
      </c:pivotFmt>
      <c:pivotFmt>
        <c:idx val="15"/>
      </c:pivotFmt>
      <c:pivotFmt>
        <c:idx val="16"/>
        <c:marker>
          <c:symbol val="none"/>
        </c:marker>
      </c:pivotFmt>
      <c:pivotFmt>
        <c:idx val="17"/>
        <c:marker>
          <c:symbol val="none"/>
        </c:marker>
      </c:pivotFmt>
      <c:pivotFmt>
        <c:idx val="18"/>
      </c:pivotFmt>
      <c:pivotFmt>
        <c:idx val="19"/>
        <c:marker>
          <c:symbol val="none"/>
        </c:marker>
      </c:pivotFmt>
      <c:pivotFmt>
        <c:idx val="20"/>
        <c:marker>
          <c:symbol val="none"/>
        </c:marker>
      </c:pivotFmt>
      <c:pivotFmt>
        <c:idx val="21"/>
        <c:marker>
          <c:symbol val="none"/>
        </c:marker>
      </c:pivotFmt>
      <c:pivotFmt>
        <c:idx val="22"/>
        <c:marker>
          <c:symbol val="star"/>
          <c:size val="7"/>
        </c:marker>
      </c:pivotFmt>
      <c:pivotFmt>
        <c:idx val="23"/>
        <c:marker>
          <c:symbol val="plus"/>
          <c:size val="7"/>
        </c:marker>
      </c:pivotFmt>
      <c:pivotFmt>
        <c:idx val="24"/>
      </c:pivotFmt>
      <c:pivotFmt>
        <c:idx val="25"/>
      </c:pivotFmt>
      <c:pivotFmt>
        <c:idx val="26"/>
        <c:marker>
          <c:symbol val="star"/>
          <c:size val="7"/>
        </c:marker>
      </c:pivotFmt>
      <c:pivotFmt>
        <c:idx val="27"/>
      </c:pivotFmt>
      <c:pivotFmt>
        <c:idx val="28"/>
        <c:marker>
          <c:symbol val="plus"/>
          <c:size val="7"/>
        </c:marker>
      </c:pivotFmt>
      <c:pivotFmt>
        <c:idx val="29"/>
      </c:pivotFmt>
      <c:pivotFmt>
        <c:idx val="30"/>
      </c:pivotFmt>
      <c:pivotFmt>
        <c:idx val="31"/>
        <c:marker>
          <c:symbol val="star"/>
          <c:size val="7"/>
        </c:marker>
      </c:pivotFmt>
      <c:pivotFmt>
        <c:idx val="32"/>
      </c:pivotFmt>
      <c:pivotFmt>
        <c:idx val="33"/>
        <c:marker>
          <c:symbol val="plus"/>
          <c:size val="7"/>
        </c:marker>
      </c:pivotFmt>
    </c:pivotFmts>
    <c:plotArea>
      <c:layout>
        <c:manualLayout>
          <c:layoutTarget val="inner"/>
          <c:xMode val="edge"/>
          <c:yMode val="edge"/>
          <c:x val="0.15482588761453375"/>
          <c:y val="3.8056182544011621E-2"/>
          <c:w val="0.82061484315118105"/>
          <c:h val="0.65191232303788749"/>
        </c:manualLayout>
      </c:layout>
      <c:lineChart>
        <c:grouping val="standard"/>
        <c:varyColors val="0"/>
        <c:ser>
          <c:idx val="0"/>
          <c:order val="0"/>
          <c:tx>
            <c:strRef>
              <c:f>Sheet1!$B$1:$B$2</c:f>
              <c:strCache>
                <c:ptCount val="1"/>
                <c:pt idx="0">
                  <c:v>Blepharospasm or hemifacial spasm</c:v>
                </c:pt>
              </c:strCache>
            </c:strRef>
          </c:tx>
          <c:cat>
            <c:strRef>
              <c:f>Sheet1!$A$3:$A$13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Sheet1!$B$3:$B$13</c:f>
              <c:numCache>
                <c:formatCode>_-"$"* #,##0_-;\-"$"* #,##0_-;_-"$"* "-"??_-;_-@_-</c:formatCode>
                <c:ptCount val="10"/>
                <c:pt idx="0">
                  <c:v>428.66207865168536</c:v>
                </c:pt>
                <c:pt idx="1">
                  <c:v>427.67802678863109</c:v>
                </c:pt>
                <c:pt idx="2">
                  <c:v>445.46437158469877</c:v>
                </c:pt>
                <c:pt idx="3">
                  <c:v>422.60567437923243</c:v>
                </c:pt>
                <c:pt idx="4">
                  <c:v>412.00642092746733</c:v>
                </c:pt>
                <c:pt idx="5">
                  <c:v>416.26730741366839</c:v>
                </c:pt>
                <c:pt idx="6">
                  <c:v>417.13236163521964</c:v>
                </c:pt>
                <c:pt idx="7">
                  <c:v>421.06793193717243</c:v>
                </c:pt>
                <c:pt idx="8">
                  <c:v>438.41760892953238</c:v>
                </c:pt>
                <c:pt idx="9">
                  <c:v>433.44231558378141</c:v>
                </c:pt>
              </c:numCache>
            </c:numRef>
          </c:val>
          <c:smooth val="0"/>
          <c:extLst xmlns:c16r2="http://schemas.microsoft.com/office/drawing/2015/06/chart">
            <c:ext xmlns:c16="http://schemas.microsoft.com/office/drawing/2014/chart" uri="{C3380CC4-5D6E-409C-BE32-E72D297353CC}">
              <c16:uniqueId val="{00000000-1985-4F3B-9739-0BA806DCAB6A}"/>
            </c:ext>
          </c:extLst>
        </c:ser>
        <c:ser>
          <c:idx val="1"/>
          <c:order val="1"/>
          <c:tx>
            <c:strRef>
              <c:f>Sheet1!$C$1:$C$2</c:f>
              <c:strCache>
                <c:ptCount val="1"/>
                <c:pt idx="0">
                  <c:v>Dynamic equinus foot deformity</c:v>
                </c:pt>
              </c:strCache>
            </c:strRef>
          </c:tx>
          <c:cat>
            <c:strRef>
              <c:f>Sheet1!$A$3:$A$13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Sheet1!$C$3:$C$13</c:f>
              <c:numCache>
                <c:formatCode>_-"$"* #,##0_-;\-"$"* #,##0_-;_-"$"* "-"??_-;_-@_-</c:formatCode>
                <c:ptCount val="10"/>
                <c:pt idx="0">
                  <c:v>912.79621621621641</c:v>
                </c:pt>
                <c:pt idx="1">
                  <c:v>1020.0861994609168</c:v>
                </c:pt>
                <c:pt idx="2">
                  <c:v>964.67946774193592</c:v>
                </c:pt>
                <c:pt idx="3">
                  <c:v>961.6110960757776</c:v>
                </c:pt>
                <c:pt idx="4">
                  <c:v>952.48675889328138</c:v>
                </c:pt>
                <c:pt idx="5">
                  <c:v>1015.6141647058829</c:v>
                </c:pt>
                <c:pt idx="6">
                  <c:v>959.7069452449573</c:v>
                </c:pt>
                <c:pt idx="7">
                  <c:v>967.20622002820937</c:v>
                </c:pt>
                <c:pt idx="8">
                  <c:v>948.55936671575842</c:v>
                </c:pt>
                <c:pt idx="9">
                  <c:v>963.06471142520684</c:v>
                </c:pt>
              </c:numCache>
            </c:numRef>
          </c:val>
          <c:smooth val="0"/>
          <c:extLst xmlns:c16r2="http://schemas.microsoft.com/office/drawing/2015/06/chart">
            <c:ext xmlns:c16="http://schemas.microsoft.com/office/drawing/2014/chart" uri="{C3380CC4-5D6E-409C-BE32-E72D297353CC}">
              <c16:uniqueId val="{00000001-1985-4F3B-9739-0BA806DCAB6A}"/>
            </c:ext>
          </c:extLst>
        </c:ser>
        <c:ser>
          <c:idx val="2"/>
          <c:order val="2"/>
          <c:tx>
            <c:strRef>
              <c:f>Sheet1!$D$1:$D$2</c:f>
              <c:strCache>
                <c:ptCount val="1"/>
                <c:pt idx="0">
                  <c:v>Moderate to severe spasticity - upper limb, cerebral palsy</c:v>
                </c:pt>
              </c:strCache>
            </c:strRef>
          </c:tx>
          <c:marker>
            <c:symbol val="star"/>
            <c:size val="7"/>
          </c:marker>
          <c:cat>
            <c:strRef>
              <c:f>Sheet1!$A$3:$A$13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Sheet1!$D$3:$D$13</c:f>
              <c:numCache>
                <c:formatCode>_-"$"* #,##0_-;\-"$"* #,##0_-;_-"$"* "-"??_-;_-@_-</c:formatCode>
                <c:ptCount val="10"/>
                <c:pt idx="0">
                  <c:v>810.37756097560987</c:v>
                </c:pt>
                <c:pt idx="1">
                  <c:v>846.54561194029839</c:v>
                </c:pt>
                <c:pt idx="2">
                  <c:v>888.30728434504829</c:v>
                </c:pt>
                <c:pt idx="3">
                  <c:v>848.47732997481046</c:v>
                </c:pt>
                <c:pt idx="4">
                  <c:v>871.80483460559822</c:v>
                </c:pt>
                <c:pt idx="5">
                  <c:v>913.24612745098023</c:v>
                </c:pt>
                <c:pt idx="6">
                  <c:v>864.46294294294307</c:v>
                </c:pt>
                <c:pt idx="7">
                  <c:v>843.38527845036276</c:v>
                </c:pt>
                <c:pt idx="8">
                  <c:v>852.03743093922606</c:v>
                </c:pt>
                <c:pt idx="9">
                  <c:v>831.22632458233852</c:v>
                </c:pt>
              </c:numCache>
            </c:numRef>
          </c:val>
          <c:smooth val="0"/>
          <c:extLst xmlns:c16r2="http://schemas.microsoft.com/office/drawing/2015/06/chart">
            <c:ext xmlns:c16="http://schemas.microsoft.com/office/drawing/2014/chart" uri="{C3380CC4-5D6E-409C-BE32-E72D297353CC}">
              <c16:uniqueId val="{00000002-1985-4F3B-9739-0BA806DCAB6A}"/>
            </c:ext>
          </c:extLst>
        </c:ser>
        <c:ser>
          <c:idx val="3"/>
          <c:order val="3"/>
          <c:tx>
            <c:strRef>
              <c:f>Sheet1!$E$1:$E$2</c:f>
              <c:strCache>
                <c:ptCount val="1"/>
                <c:pt idx="0">
                  <c:v>Moderate to severe spasticity - upper limb, stroke</c:v>
                </c:pt>
              </c:strCache>
            </c:strRef>
          </c:tx>
          <c:cat>
            <c:strRef>
              <c:f>Sheet1!$A$3:$A$13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Sheet1!$E$3:$E$13</c:f>
              <c:numCache>
                <c:formatCode>_-"$"* #,##0_-;\-"$"* #,##0_-;_-"$"* "-"??_-;_-@_-</c:formatCode>
                <c:ptCount val="10"/>
                <c:pt idx="0">
                  <c:v>1085.0474999999999</c:v>
                </c:pt>
                <c:pt idx="1">
                  <c:v>1097.4205172413799</c:v>
                </c:pt>
                <c:pt idx="2">
                  <c:v>1073.6583838383835</c:v>
                </c:pt>
                <c:pt idx="3">
                  <c:v>1034.3912500000001</c:v>
                </c:pt>
                <c:pt idx="4">
                  <c:v>1025.0927403846151</c:v>
                </c:pt>
                <c:pt idx="5">
                  <c:v>1049.893580786026</c:v>
                </c:pt>
                <c:pt idx="6">
                  <c:v>1037.7833333333338</c:v>
                </c:pt>
                <c:pt idx="7">
                  <c:v>1086.7695217391304</c:v>
                </c:pt>
                <c:pt idx="8">
                  <c:v>1085.7694565217389</c:v>
                </c:pt>
                <c:pt idx="9">
                  <c:v>1071.294731543624</c:v>
                </c:pt>
              </c:numCache>
            </c:numRef>
          </c:val>
          <c:smooth val="0"/>
          <c:extLst xmlns:c16r2="http://schemas.microsoft.com/office/drawing/2015/06/chart">
            <c:ext xmlns:c16="http://schemas.microsoft.com/office/drawing/2014/chart" uri="{C3380CC4-5D6E-409C-BE32-E72D297353CC}">
              <c16:uniqueId val="{00000003-1985-4F3B-9739-0BA806DCAB6A}"/>
            </c:ext>
          </c:extLst>
        </c:ser>
        <c:ser>
          <c:idx val="4"/>
          <c:order val="4"/>
          <c:tx>
            <c:strRef>
              <c:f>Sheet1!$F$1:$F$2</c:f>
              <c:strCache>
                <c:ptCount val="1"/>
                <c:pt idx="0">
                  <c:v>Spasmodic torticollis</c:v>
                </c:pt>
              </c:strCache>
            </c:strRef>
          </c:tx>
          <c:marker>
            <c:symbol val="plus"/>
            <c:size val="7"/>
          </c:marker>
          <c:cat>
            <c:strRef>
              <c:f>Sheet1!$A$3:$A$13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Sheet1!$F$3:$F$13</c:f>
              <c:numCache>
                <c:formatCode>_-"$"* #,##0_-;\-"$"* #,##0_-;_-"$"* "-"??_-;_-@_-</c:formatCode>
                <c:ptCount val="10"/>
                <c:pt idx="0">
                  <c:v>835.69703470031516</c:v>
                </c:pt>
                <c:pt idx="1">
                  <c:v>834.21352240228759</c:v>
                </c:pt>
                <c:pt idx="2">
                  <c:v>839.09901639344162</c:v>
                </c:pt>
                <c:pt idx="3">
                  <c:v>801.71865763546816</c:v>
                </c:pt>
                <c:pt idx="4">
                  <c:v>799.60044660194183</c:v>
                </c:pt>
                <c:pt idx="5">
                  <c:v>793.63562581063582</c:v>
                </c:pt>
                <c:pt idx="6">
                  <c:v>801.7026443514643</c:v>
                </c:pt>
                <c:pt idx="7">
                  <c:v>807.65642233856909</c:v>
                </c:pt>
                <c:pt idx="8">
                  <c:v>853.36103460207664</c:v>
                </c:pt>
                <c:pt idx="9">
                  <c:v>841.31455891425082</c:v>
                </c:pt>
              </c:numCache>
            </c:numRef>
          </c:val>
          <c:smooth val="0"/>
          <c:extLst xmlns:c16r2="http://schemas.microsoft.com/office/drawing/2015/06/chart">
            <c:ext xmlns:c16="http://schemas.microsoft.com/office/drawing/2014/chart" uri="{C3380CC4-5D6E-409C-BE32-E72D297353CC}">
              <c16:uniqueId val="{00000004-1985-4F3B-9739-0BA806DCAB6A}"/>
            </c:ext>
          </c:extLst>
        </c:ser>
        <c:dLbls>
          <c:showLegendKey val="0"/>
          <c:showVal val="0"/>
          <c:showCatName val="0"/>
          <c:showSerName val="0"/>
          <c:showPercent val="0"/>
          <c:showBubbleSize val="0"/>
        </c:dLbls>
        <c:marker val="1"/>
        <c:smooth val="0"/>
        <c:axId val="416231808"/>
        <c:axId val="416233728"/>
      </c:lineChart>
      <c:catAx>
        <c:axId val="416231808"/>
        <c:scaling>
          <c:orientation val="minMax"/>
        </c:scaling>
        <c:delete val="0"/>
        <c:axPos val="b"/>
        <c:title>
          <c:tx>
            <c:rich>
              <a:bodyPr/>
              <a:lstStyle/>
              <a:p>
                <a:pPr>
                  <a:defRPr b="0"/>
                </a:pPr>
                <a:r>
                  <a:rPr lang="en-US" b="0"/>
                  <a:t>Quarter or supply</a:t>
                </a:r>
              </a:p>
            </c:rich>
          </c:tx>
          <c:overlay val="0"/>
        </c:title>
        <c:numFmt formatCode="General" sourceLinked="0"/>
        <c:majorTickMark val="out"/>
        <c:minorTickMark val="none"/>
        <c:tickLblPos val="nextTo"/>
        <c:crossAx val="416233728"/>
        <c:crosses val="autoZero"/>
        <c:auto val="1"/>
        <c:lblAlgn val="ctr"/>
        <c:lblOffset val="100"/>
        <c:noMultiLvlLbl val="0"/>
      </c:catAx>
      <c:valAx>
        <c:axId val="416233728"/>
        <c:scaling>
          <c:orientation val="minMax"/>
        </c:scaling>
        <c:delete val="0"/>
        <c:axPos val="l"/>
        <c:majorGridlines/>
        <c:title>
          <c:tx>
            <c:rich>
              <a:bodyPr rot="-5400000" vert="horz"/>
              <a:lstStyle/>
              <a:p>
                <a:pPr>
                  <a:defRPr b="0"/>
                </a:pPr>
                <a:r>
                  <a:rPr lang="en-US" b="0"/>
                  <a:t>Government expenditure per prescription</a:t>
                </a:r>
              </a:p>
            </c:rich>
          </c:tx>
          <c:overlay val="0"/>
        </c:title>
        <c:numFmt formatCode="_-&quot;$&quot;* #,##0_-;\-&quot;$&quot;* #,##0_-;_-&quot;$&quot;* &quot;-&quot;??_-;_-@_-" sourceLinked="1"/>
        <c:majorTickMark val="out"/>
        <c:minorTickMark val="none"/>
        <c:tickLblPos val="nextTo"/>
        <c:crossAx val="416231808"/>
        <c:crosses val="autoZero"/>
        <c:crossBetween val="between"/>
      </c:valAx>
    </c:plotArea>
    <c:legend>
      <c:legendPos val="b"/>
      <c:layout>
        <c:manualLayout>
          <c:xMode val="edge"/>
          <c:yMode val="edge"/>
          <c:x val="1.1368111274409837E-2"/>
          <c:y val="0.83588706488703002"/>
          <c:w val="0.97066562113474786"/>
          <c:h val="0.1435466941387023"/>
        </c:manualLayout>
      </c:layout>
      <c:overlay val="0"/>
      <c:txPr>
        <a:bodyPr/>
        <a:lstStyle/>
        <a:p>
          <a:pPr>
            <a:defRPr sz="800"/>
          </a:pPr>
          <a:endParaRPr lang="en-US"/>
        </a:p>
      </c:txPr>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[D1060 - SCRPT_SUM by enhanced indication + ratio MBSPBS Table7, changed graph colors.xlsx]Sheet1 (7)!PivotTable1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pivotFmt>
      <c:pivotFmt>
        <c:idx val="12"/>
        <c:marker>
          <c:symbol val="none"/>
        </c:marker>
      </c:pivotFmt>
      <c:pivotFmt>
        <c:idx val="13"/>
      </c:pivotFmt>
      <c:pivotFmt>
        <c:idx val="14"/>
      </c:pivotFmt>
      <c:pivotFmt>
        <c:idx val="15"/>
      </c:pivotFmt>
      <c:pivotFmt>
        <c:idx val="16"/>
        <c:marker>
          <c:symbol val="none"/>
        </c:marker>
      </c:pivotFmt>
      <c:pivotFmt>
        <c:idx val="17"/>
        <c:marker>
          <c:symbol val="none"/>
        </c:marker>
      </c:pivotFmt>
      <c:pivotFmt>
        <c:idx val="18"/>
      </c:pivotFmt>
      <c:pivotFmt>
        <c:idx val="19"/>
        <c:marker>
          <c:symbol val="none"/>
        </c:marker>
      </c:pivotFmt>
      <c:pivotFmt>
        <c:idx val="20"/>
        <c:marker>
          <c:symbol val="none"/>
        </c:marker>
      </c:pivotFmt>
      <c:pivotFmt>
        <c:idx val="21"/>
        <c:marker>
          <c:symbol val="none"/>
        </c:marker>
      </c:pivotFmt>
      <c:pivotFmt>
        <c:idx val="22"/>
      </c:pivotFmt>
      <c:pivotFmt>
        <c:idx val="23"/>
      </c:pivotFmt>
      <c:pivotFmt>
        <c:idx val="24"/>
      </c:pivotFmt>
      <c:pivotFmt>
        <c:idx val="25"/>
      </c:pivotFmt>
      <c:pivotFmt>
        <c:idx val="26"/>
      </c:pivotFmt>
      <c:pivotFmt>
        <c:idx val="27"/>
      </c:pivotFmt>
      <c:pivotFmt>
        <c:idx val="28"/>
        <c:marker>
          <c:symbol val="plus"/>
          <c:size val="7"/>
        </c:marker>
      </c:pivotFmt>
      <c:pivotFmt>
        <c:idx val="29"/>
      </c:pivotFmt>
      <c:pivotFmt>
        <c:idx val="30"/>
        <c:marker>
          <c:symbol val="star"/>
          <c:size val="7"/>
        </c:marker>
      </c:pivotFmt>
      <c:pivotFmt>
        <c:idx val="31"/>
      </c:pivotFmt>
      <c:pivotFmt>
        <c:idx val="32"/>
      </c:pivotFmt>
      <c:pivotFmt>
        <c:idx val="33"/>
      </c:pivotFmt>
      <c:pivotFmt>
        <c:idx val="34"/>
        <c:marker>
          <c:symbol val="star"/>
          <c:size val="7"/>
        </c:marker>
      </c:pivotFmt>
      <c:pivotFmt>
        <c:idx val="35"/>
      </c:pivotFmt>
      <c:pivotFmt>
        <c:idx val="36"/>
        <c:marker>
          <c:symbol val="plus"/>
          <c:size val="7"/>
        </c:marker>
      </c:pivotFmt>
      <c:pivotFmt>
        <c:idx val="37"/>
      </c:pivotFmt>
      <c:pivotFmt>
        <c:idx val="38"/>
      </c:pivotFmt>
      <c:pivotFmt>
        <c:idx val="39"/>
        <c:marker>
          <c:symbol val="star"/>
          <c:size val="7"/>
        </c:marker>
      </c:pivotFmt>
      <c:pivotFmt>
        <c:idx val="40"/>
      </c:pivotFmt>
      <c:pivotFmt>
        <c:idx val="41"/>
        <c:marker>
          <c:symbol val="plus"/>
          <c:size val="7"/>
        </c:marker>
      </c:pivotFmt>
    </c:pivotFmts>
    <c:plotArea>
      <c:layout>
        <c:manualLayout>
          <c:layoutTarget val="inner"/>
          <c:xMode val="edge"/>
          <c:yMode val="edge"/>
          <c:x val="9.7410814046815092E-2"/>
          <c:y val="6.668141149144452E-2"/>
          <c:w val="0.88347549698678685"/>
          <c:h val="0.64403336063266825"/>
        </c:manualLayout>
      </c:layout>
      <c:lineChart>
        <c:grouping val="standard"/>
        <c:varyColors val="0"/>
        <c:ser>
          <c:idx val="0"/>
          <c:order val="0"/>
          <c:tx>
            <c:strRef>
              <c:f>'Sheet1 (7)'!$B$1:$B$2</c:f>
              <c:strCache>
                <c:ptCount val="1"/>
                <c:pt idx="0">
                  <c:v>Blepharospasm or hemifacial spasm</c:v>
                </c:pt>
              </c:strCache>
            </c:strRef>
          </c:tx>
          <c:cat>
            <c:strRef>
              <c:f>'Sheet1 (7)'!$A$3:$A$13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 (7)'!$B$3:$B$13</c:f>
              <c:numCache>
                <c:formatCode>_(* #,##0.00_);_(* \(#,##0.00\);_(* "-"??_);_(@_)</c:formatCode>
                <c:ptCount val="10"/>
                <c:pt idx="0">
                  <c:v>1.047752808988764</c:v>
                </c:pt>
                <c:pt idx="1">
                  <c:v>1.0414897092453446</c:v>
                </c:pt>
                <c:pt idx="2">
                  <c:v>1.0810028929604629</c:v>
                </c:pt>
                <c:pt idx="3">
                  <c:v>1.068002257336343</c:v>
                </c:pt>
                <c:pt idx="4">
                  <c:v>1.0434007134363852</c:v>
                </c:pt>
                <c:pt idx="5">
                  <c:v>1.0531272639459068</c:v>
                </c:pt>
                <c:pt idx="6">
                  <c:v>1.0578616352201258</c:v>
                </c:pt>
                <c:pt idx="7">
                  <c:v>1.0698952879581152</c:v>
                </c:pt>
                <c:pt idx="8">
                  <c:v>1.1108122646584184</c:v>
                </c:pt>
                <c:pt idx="9">
                  <c:v>1.0967269174401564</c:v>
                </c:pt>
              </c:numCache>
            </c:numRef>
          </c:val>
          <c:smooth val="0"/>
          <c:extLst xmlns:c16r2="http://schemas.microsoft.com/office/drawing/2015/06/chart">
            <c:ext xmlns:c16="http://schemas.microsoft.com/office/drawing/2014/chart" uri="{C3380CC4-5D6E-409C-BE32-E72D297353CC}">
              <c16:uniqueId val="{00000000-02FD-42DE-A7F2-8512C86E0BD0}"/>
            </c:ext>
          </c:extLst>
        </c:ser>
        <c:ser>
          <c:idx val="1"/>
          <c:order val="1"/>
          <c:tx>
            <c:strRef>
              <c:f>'Sheet1 (7)'!$C$1:$C$2</c:f>
              <c:strCache>
                <c:ptCount val="1"/>
                <c:pt idx="0">
                  <c:v>Dynamic equinus foot deformity</c:v>
                </c:pt>
              </c:strCache>
            </c:strRef>
          </c:tx>
          <c:cat>
            <c:strRef>
              <c:f>'Sheet1 (7)'!$A$3:$A$13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 (7)'!$C$3:$C$13</c:f>
              <c:numCache>
                <c:formatCode>_(* #,##0.00_);_(* \(#,##0.00\);_(* "-"??_);_(@_)</c:formatCode>
                <c:ptCount val="10"/>
                <c:pt idx="0">
                  <c:v>2.1621621621621623</c:v>
                </c:pt>
                <c:pt idx="1">
                  <c:v>2.4380053908355794</c:v>
                </c:pt>
                <c:pt idx="2">
                  <c:v>2.3080645161290323</c:v>
                </c:pt>
                <c:pt idx="3">
                  <c:v>2.4154262516914748</c:v>
                </c:pt>
                <c:pt idx="4">
                  <c:v>2.3781291172595522</c:v>
                </c:pt>
                <c:pt idx="5">
                  <c:v>2.56</c:v>
                </c:pt>
                <c:pt idx="6">
                  <c:v>2.4178674351585014</c:v>
                </c:pt>
                <c:pt idx="7">
                  <c:v>2.4273624823695346</c:v>
                </c:pt>
                <c:pt idx="8">
                  <c:v>2.4050073637702503</c:v>
                </c:pt>
                <c:pt idx="9">
                  <c:v>2.3792697290930507</c:v>
                </c:pt>
              </c:numCache>
            </c:numRef>
          </c:val>
          <c:smooth val="0"/>
          <c:extLst xmlns:c16r2="http://schemas.microsoft.com/office/drawing/2015/06/chart">
            <c:ext xmlns:c16="http://schemas.microsoft.com/office/drawing/2014/chart" uri="{C3380CC4-5D6E-409C-BE32-E72D297353CC}">
              <c16:uniqueId val="{00000001-02FD-42DE-A7F2-8512C86E0BD0}"/>
            </c:ext>
          </c:extLst>
        </c:ser>
        <c:ser>
          <c:idx val="2"/>
          <c:order val="2"/>
          <c:tx>
            <c:strRef>
              <c:f>'Sheet1 (7)'!$D$1:$D$2</c:f>
              <c:strCache>
                <c:ptCount val="1"/>
                <c:pt idx="0">
                  <c:v>Moderate to severe spasticity - upper limb, cerebral palsy</c:v>
                </c:pt>
              </c:strCache>
            </c:strRef>
          </c:tx>
          <c:marker>
            <c:symbol val="star"/>
            <c:size val="7"/>
          </c:marker>
          <c:cat>
            <c:strRef>
              <c:f>'Sheet1 (7)'!$A$3:$A$13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 (7)'!$D$3:$D$13</c:f>
              <c:numCache>
                <c:formatCode>_(* #,##0.00_);_(* \(#,##0.00\);_(* "-"??_);_(@_)</c:formatCode>
                <c:ptCount val="10"/>
                <c:pt idx="0">
                  <c:v>1.975609756097561</c:v>
                </c:pt>
                <c:pt idx="1">
                  <c:v>2.0507462686567166</c:v>
                </c:pt>
                <c:pt idx="2">
                  <c:v>2.1373801916932909</c:v>
                </c:pt>
                <c:pt idx="3">
                  <c:v>2.1511335012594457</c:v>
                </c:pt>
                <c:pt idx="4">
                  <c:v>2.2086513994910941</c:v>
                </c:pt>
                <c:pt idx="5">
                  <c:v>2.3088235294117645</c:v>
                </c:pt>
                <c:pt idx="6">
                  <c:v>2.1921921921921923</c:v>
                </c:pt>
                <c:pt idx="7">
                  <c:v>2.1404358353510897</c:v>
                </c:pt>
                <c:pt idx="8">
                  <c:v>2.1546961325966851</c:v>
                </c:pt>
                <c:pt idx="9">
                  <c:v>2.1026252983293556</c:v>
                </c:pt>
              </c:numCache>
            </c:numRef>
          </c:val>
          <c:smooth val="0"/>
          <c:extLst xmlns:c16r2="http://schemas.microsoft.com/office/drawing/2015/06/chart">
            <c:ext xmlns:c16="http://schemas.microsoft.com/office/drawing/2014/chart" uri="{C3380CC4-5D6E-409C-BE32-E72D297353CC}">
              <c16:uniqueId val="{00000002-02FD-42DE-A7F2-8512C86E0BD0}"/>
            </c:ext>
          </c:extLst>
        </c:ser>
        <c:ser>
          <c:idx val="3"/>
          <c:order val="3"/>
          <c:tx>
            <c:strRef>
              <c:f>'Sheet1 (7)'!$E$1:$E$2</c:f>
              <c:strCache>
                <c:ptCount val="1"/>
                <c:pt idx="0">
                  <c:v>Moderate to severe spasticity - upper limb, stroke</c:v>
                </c:pt>
              </c:strCache>
            </c:strRef>
          </c:tx>
          <c:cat>
            <c:strRef>
              <c:f>'Sheet1 (7)'!$A$3:$A$13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 (7)'!$E$3:$E$13</c:f>
              <c:numCache>
                <c:formatCode>_(* #,##0.00_);_(* \(#,##0.00\);_(* "-"??_);_(@_)</c:formatCode>
                <c:ptCount val="10"/>
                <c:pt idx="0">
                  <c:v>2.5416666666666665</c:v>
                </c:pt>
                <c:pt idx="1">
                  <c:v>2.5517241379310347</c:v>
                </c:pt>
                <c:pt idx="2">
                  <c:v>2.4696969696969697</c:v>
                </c:pt>
                <c:pt idx="3">
                  <c:v>2.4821428571428572</c:v>
                </c:pt>
                <c:pt idx="4">
                  <c:v>2.4519230769230771</c:v>
                </c:pt>
                <c:pt idx="5">
                  <c:v>2.4061135371179039</c:v>
                </c:pt>
                <c:pt idx="6">
                  <c:v>2.4494949494949494</c:v>
                </c:pt>
                <c:pt idx="7">
                  <c:v>2.6173913043478261</c:v>
                </c:pt>
                <c:pt idx="8">
                  <c:v>2.6195652173913042</c:v>
                </c:pt>
                <c:pt idx="9">
                  <c:v>2.6140939597315436</c:v>
                </c:pt>
              </c:numCache>
            </c:numRef>
          </c:val>
          <c:smooth val="0"/>
          <c:extLst xmlns:c16r2="http://schemas.microsoft.com/office/drawing/2015/06/chart">
            <c:ext xmlns:c16="http://schemas.microsoft.com/office/drawing/2014/chart" uri="{C3380CC4-5D6E-409C-BE32-E72D297353CC}">
              <c16:uniqueId val="{00000003-02FD-42DE-A7F2-8512C86E0BD0}"/>
            </c:ext>
          </c:extLst>
        </c:ser>
        <c:ser>
          <c:idx val="4"/>
          <c:order val="4"/>
          <c:tx>
            <c:strRef>
              <c:f>'Sheet1 (7)'!$F$1:$F$2</c:f>
              <c:strCache>
                <c:ptCount val="1"/>
                <c:pt idx="0">
                  <c:v>Spasmodic torticollis</c:v>
                </c:pt>
              </c:strCache>
            </c:strRef>
          </c:tx>
          <c:marker>
            <c:symbol val="plus"/>
            <c:size val="7"/>
          </c:marker>
          <c:cat>
            <c:strRef>
              <c:f>'Sheet1 (7)'!$A$3:$A$13</c:f>
              <c:strCache>
                <c:ptCount val="10"/>
                <c:pt idx="0">
                  <c:v>2015Q3</c:v>
                </c:pt>
                <c:pt idx="1">
                  <c:v>2015Q4</c:v>
                </c:pt>
                <c:pt idx="2">
                  <c:v>2016Q1</c:v>
                </c:pt>
                <c:pt idx="3">
                  <c:v>2016Q2</c:v>
                </c:pt>
                <c:pt idx="4">
                  <c:v>2016Q3</c:v>
                </c:pt>
                <c:pt idx="5">
                  <c:v>2016Q4</c:v>
                </c:pt>
                <c:pt idx="6">
                  <c:v>2017Q1</c:v>
                </c:pt>
                <c:pt idx="7">
                  <c:v>2017Q2</c:v>
                </c:pt>
                <c:pt idx="8">
                  <c:v>2017Q3</c:v>
                </c:pt>
                <c:pt idx="9">
                  <c:v>2017Q4</c:v>
                </c:pt>
              </c:strCache>
            </c:strRef>
          </c:cat>
          <c:val>
            <c:numRef>
              <c:f>'Sheet1 (7)'!$F$3:$F$13</c:f>
              <c:numCache>
                <c:formatCode>_(* #,##0.00_);_(* \(#,##0.00\);_(* "-"??_);_(@_)</c:formatCode>
                <c:ptCount val="10"/>
                <c:pt idx="0">
                  <c:v>1.8706624605678233</c:v>
                </c:pt>
                <c:pt idx="1">
                  <c:v>1.8365109628217351</c:v>
                </c:pt>
                <c:pt idx="2">
                  <c:v>1.8320779796189632</c:v>
                </c:pt>
                <c:pt idx="3">
                  <c:v>1.8493431855500821</c:v>
                </c:pt>
                <c:pt idx="4">
                  <c:v>1.818252427184466</c:v>
                </c:pt>
                <c:pt idx="5">
                  <c:v>1.809662775616083</c:v>
                </c:pt>
                <c:pt idx="6">
                  <c:v>1.8422594142259414</c:v>
                </c:pt>
                <c:pt idx="7">
                  <c:v>1.8715532286212915</c:v>
                </c:pt>
                <c:pt idx="8">
                  <c:v>1.9979238754325259</c:v>
                </c:pt>
                <c:pt idx="9">
                  <c:v>1.9515731030228254</c:v>
                </c:pt>
              </c:numCache>
            </c:numRef>
          </c:val>
          <c:smooth val="0"/>
          <c:extLst xmlns:c16r2="http://schemas.microsoft.com/office/drawing/2015/06/chart">
            <c:ext xmlns:c16="http://schemas.microsoft.com/office/drawing/2014/chart" uri="{C3380CC4-5D6E-409C-BE32-E72D297353CC}">
              <c16:uniqueId val="{00000004-02FD-42DE-A7F2-8512C86E0BD0}"/>
            </c:ext>
          </c:extLst>
        </c:ser>
        <c:dLbls>
          <c:showLegendKey val="0"/>
          <c:showVal val="0"/>
          <c:showCatName val="0"/>
          <c:showSerName val="0"/>
          <c:showPercent val="0"/>
          <c:showBubbleSize val="0"/>
        </c:dLbls>
        <c:marker val="1"/>
        <c:smooth val="0"/>
        <c:axId val="416263552"/>
        <c:axId val="416708096"/>
      </c:lineChart>
      <c:catAx>
        <c:axId val="416263552"/>
        <c:scaling>
          <c:orientation val="minMax"/>
        </c:scaling>
        <c:delete val="0"/>
        <c:axPos val="b"/>
        <c:title>
          <c:tx>
            <c:rich>
              <a:bodyPr/>
              <a:lstStyle/>
              <a:p>
                <a:pPr>
                  <a:defRPr b="0"/>
                </a:pPr>
                <a:r>
                  <a:rPr lang="en-US" b="0"/>
                  <a:t>Quarter or supply</a:t>
                </a:r>
              </a:p>
            </c:rich>
          </c:tx>
          <c:overlay val="0"/>
        </c:title>
        <c:numFmt formatCode="General" sourceLinked="0"/>
        <c:majorTickMark val="out"/>
        <c:minorTickMark val="none"/>
        <c:tickLblPos val="nextTo"/>
        <c:crossAx val="416708096"/>
        <c:crosses val="autoZero"/>
        <c:auto val="1"/>
        <c:lblAlgn val="ctr"/>
        <c:lblOffset val="100"/>
        <c:noMultiLvlLbl val="0"/>
      </c:catAx>
      <c:valAx>
        <c:axId val="416708096"/>
        <c:scaling>
          <c:orientation val="minMax"/>
        </c:scaling>
        <c:delete val="0"/>
        <c:axPos val="l"/>
        <c:majorGridlines/>
        <c:title>
          <c:tx>
            <c:rich>
              <a:bodyPr rot="-5400000" vert="horz"/>
              <a:lstStyle/>
              <a:p>
                <a:pPr>
                  <a:defRPr b="0"/>
                </a:pPr>
                <a:r>
                  <a:rPr lang="en-US" b="0"/>
                  <a:t>Packs per prescription</a:t>
                </a:r>
              </a:p>
            </c:rich>
          </c:tx>
          <c:overlay val="0"/>
        </c:title>
        <c:numFmt formatCode="#,##0.00" sourceLinked="0"/>
        <c:majorTickMark val="out"/>
        <c:minorTickMark val="none"/>
        <c:tickLblPos val="nextTo"/>
        <c:crossAx val="416263552"/>
        <c:crosses val="autoZero"/>
        <c:crossBetween val="between"/>
      </c:valAx>
    </c:plotArea>
    <c:legend>
      <c:legendPos val="b"/>
      <c:layout>
        <c:manualLayout>
          <c:xMode val="edge"/>
          <c:yMode val="edge"/>
          <c:x val="1.3600772113890313E-2"/>
          <c:y val="0.83588706488703002"/>
          <c:w val="0.97512429064673334"/>
          <c:h val="0.1435466941387023"/>
        </c:manualLayout>
      </c:layout>
      <c:overlay val="0"/>
      <c:txPr>
        <a:bodyPr/>
        <a:lstStyle/>
        <a:p>
          <a:pPr>
            <a:defRPr sz="800"/>
          </a:pPr>
          <a:endParaRPr lang="en-US"/>
        </a:p>
      </c:txPr>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[D1060 - PACKS_PER_SCRIPT_FREQ.xlsx]Sheet1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s>
    <c:plotArea>
      <c:layout/>
      <c:barChart>
        <c:barDir val="col"/>
        <c:grouping val="clustered"/>
        <c:varyColors val="0"/>
        <c:ser>
          <c:idx val="0"/>
          <c:order val="0"/>
          <c:tx>
            <c:strRef>
              <c:f>'Sheet1 (2)'!$B$1</c:f>
              <c:strCache>
                <c:ptCount val="1"/>
                <c:pt idx="0">
                  <c:v>Total</c:v>
                </c:pt>
              </c:strCache>
            </c:strRef>
          </c:tx>
          <c:invertIfNegative val="0"/>
          <c:cat>
            <c:multiLvlStrRef>
              <c:f>'Sheet1 (2)'!$B$1</c:f>
              <c:multiLvlStrCache>
                <c:ptCount val="20"/>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lvl>
                <c:lvl>
                  <c:pt idx="0">
                    <c:v>Blepharospasm or hemifacial spasm</c:v>
                  </c:pt>
                  <c:pt idx="4">
                    <c:v>Spasmodic torticollis</c:v>
                  </c:pt>
                  <c:pt idx="8">
                    <c:v>Dynamic equinus foot deformity</c:v>
                  </c:pt>
                  <c:pt idx="12">
                    <c:v>Moderate to severe spasticity - upper limb, cerebral palsy</c:v>
                  </c:pt>
                  <c:pt idx="16">
                    <c:v>Moderate to severe spasticity - upper limb, stroke</c:v>
                  </c:pt>
                </c:lvl>
              </c:multiLvlStrCache>
            </c:multiLvlStrRef>
          </c:cat>
          <c:val>
            <c:numRef>
              <c:f>'Sheet1 (2)'!$B$1</c:f>
              <c:numCache>
                <c:formatCode>0.00%</c:formatCode>
                <c:ptCount val="20"/>
                <c:pt idx="0">
                  <c:v>0.95822268881615513</c:v>
                </c:pt>
                <c:pt idx="1">
                  <c:v>2.5998888408571605E-2</c:v>
                </c:pt>
                <c:pt idx="2">
                  <c:v>3.8596924597048107E-3</c:v>
                </c:pt>
                <c:pt idx="3">
                  <c:v>1.1918730315568456E-2</c:v>
                </c:pt>
                <c:pt idx="4">
                  <c:v>0.36589720169393009</c:v>
                </c:pt>
                <c:pt idx="5">
                  <c:v>0.45283567217470733</c:v>
                </c:pt>
                <c:pt idx="6">
                  <c:v>0.13451797724819398</c:v>
                </c:pt>
                <c:pt idx="7">
                  <c:v>4.6749148883168647E-2</c:v>
                </c:pt>
                <c:pt idx="8">
                  <c:v>0.18706423379320575</c:v>
                </c:pt>
                <c:pt idx="9">
                  <c:v>0.40290758047767394</c:v>
                </c:pt>
                <c:pt idx="10">
                  <c:v>0.22518914107699153</c:v>
                </c:pt>
                <c:pt idx="11">
                  <c:v>0.18483904465212878</c:v>
                </c:pt>
                <c:pt idx="12">
                  <c:v>0.35383714118336262</c:v>
                </c:pt>
                <c:pt idx="13">
                  <c:v>0.30316344463971878</c:v>
                </c:pt>
                <c:pt idx="14">
                  <c:v>0.17164616285881665</c:v>
                </c:pt>
                <c:pt idx="15">
                  <c:v>0.17135325131810195</c:v>
                </c:pt>
                <c:pt idx="16">
                  <c:v>0.24037981009495252</c:v>
                </c:pt>
                <c:pt idx="17">
                  <c:v>0.29685157421289354</c:v>
                </c:pt>
                <c:pt idx="18">
                  <c:v>0.16041979010494753</c:v>
                </c:pt>
                <c:pt idx="19">
                  <c:v>0.30234882558720638</c:v>
                </c:pt>
              </c:numCache>
            </c:numRef>
          </c:val>
          <c:extLst xmlns:c16r2="http://schemas.microsoft.com/office/drawing/2015/06/chart">
            <c:ext xmlns:c16="http://schemas.microsoft.com/office/drawing/2014/chart" uri="{C3380CC4-5D6E-409C-BE32-E72D297353CC}">
              <c16:uniqueId val="{00000000-08EF-4BFF-BDE8-F19FA6E99BFC}"/>
            </c:ext>
          </c:extLst>
        </c:ser>
        <c:dLbls>
          <c:showLegendKey val="0"/>
          <c:showVal val="0"/>
          <c:showCatName val="0"/>
          <c:showSerName val="0"/>
          <c:showPercent val="0"/>
          <c:showBubbleSize val="0"/>
        </c:dLbls>
        <c:gapWidth val="150"/>
        <c:axId val="417085696"/>
        <c:axId val="417107968"/>
      </c:barChart>
      <c:catAx>
        <c:axId val="417085696"/>
        <c:scaling>
          <c:orientation val="minMax"/>
        </c:scaling>
        <c:delete val="0"/>
        <c:axPos val="b"/>
        <c:numFmt formatCode="General" sourceLinked="0"/>
        <c:majorTickMark val="none"/>
        <c:minorTickMark val="none"/>
        <c:tickLblPos val="nextTo"/>
        <c:crossAx val="417107968"/>
        <c:crosses val="autoZero"/>
        <c:auto val="1"/>
        <c:lblAlgn val="ctr"/>
        <c:lblOffset val="100"/>
        <c:noMultiLvlLbl val="0"/>
      </c:catAx>
      <c:valAx>
        <c:axId val="417107968"/>
        <c:scaling>
          <c:orientation val="minMax"/>
          <c:max val="1"/>
        </c:scaling>
        <c:delete val="0"/>
        <c:axPos val="l"/>
        <c:majorGridlines/>
        <c:title>
          <c:tx>
            <c:rich>
              <a:bodyPr rot="-5400000" vert="horz"/>
              <a:lstStyle/>
              <a:p>
                <a:pPr>
                  <a:defRPr b="0"/>
                </a:pPr>
                <a:r>
                  <a:rPr lang="en-US" b="0"/>
                  <a:t>% Prescriptions</a:t>
                </a:r>
              </a:p>
            </c:rich>
          </c:tx>
          <c:overlay val="0"/>
        </c:title>
        <c:numFmt formatCode="0%" sourceLinked="0"/>
        <c:majorTickMark val="none"/>
        <c:minorTickMark val="none"/>
        <c:tickLblPos val="nextTo"/>
        <c:crossAx val="417085696"/>
        <c:crosses val="autoZero"/>
        <c:crossBetween val="between"/>
      </c:valAx>
    </c:plotArea>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[D1060 - SCRPT_SUM by enhanced indication + ratio MBSPBS Table7, changed graph colors.xlsx]Sheet1 (5)!PivotTable1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pivotFmt>
      <c:pivotFmt>
        <c:idx val="95"/>
      </c:pivotFmt>
      <c:pivotFmt>
        <c:idx val="96"/>
      </c:pivotFmt>
      <c:pivotFmt>
        <c:idx val="97"/>
      </c:pivotFmt>
      <c:pivotFmt>
        <c:idx val="98"/>
      </c:pivotFmt>
      <c:pivotFmt>
        <c:idx val="99"/>
      </c:pivotFmt>
      <c:pivotFmt>
        <c:idx val="100"/>
      </c:pivotFmt>
      <c:pivotFmt>
        <c:idx val="101"/>
        <c:marker>
          <c:symbol val="plus"/>
          <c:size val="7"/>
        </c:marker>
      </c:pivotFmt>
      <c:pivotFmt>
        <c:idx val="102"/>
      </c:pivotFmt>
      <c:pivotFmt>
        <c:idx val="103"/>
        <c:marker>
          <c:symbol val="star"/>
          <c:size val="7"/>
        </c:marker>
      </c:pivotFmt>
      <c:pivotFmt>
        <c:idx val="104"/>
        <c:marker>
          <c:symbol val="circle"/>
          <c:size val="7"/>
        </c:marker>
      </c:pivotFmt>
      <c:pivotFmt>
        <c:idx val="105"/>
        <c:marker>
          <c:symbol val="dash"/>
          <c:size val="7"/>
        </c:marker>
      </c:pivotFmt>
      <c:pivotFmt>
        <c:idx val="106"/>
      </c:pivotFmt>
      <c:pivotFmt>
        <c:idx val="107"/>
      </c:pivotFmt>
      <c:pivotFmt>
        <c:idx val="108"/>
        <c:marker>
          <c:symbol val="star"/>
          <c:size val="7"/>
        </c:marker>
      </c:pivotFmt>
      <c:pivotFmt>
        <c:idx val="109"/>
        <c:marker>
          <c:symbol val="circle"/>
          <c:size val="7"/>
        </c:marker>
      </c:pivotFmt>
      <c:pivotFmt>
        <c:idx val="110"/>
        <c:marker>
          <c:symbol val="dash"/>
          <c:size val="7"/>
        </c:marker>
      </c:pivotFmt>
      <c:pivotFmt>
        <c:idx val="111"/>
        <c:marker>
          <c:symbol val="plus"/>
          <c:size val="7"/>
        </c:marker>
      </c:pivotFmt>
      <c:pivotFmt>
        <c:idx val="112"/>
      </c:pivotFmt>
      <c:pivotFmt>
        <c:idx val="113"/>
      </c:pivotFmt>
      <c:pivotFmt>
        <c:idx val="114"/>
        <c:marker>
          <c:symbol val="star"/>
          <c:size val="7"/>
        </c:marker>
      </c:pivotFmt>
      <c:pivotFmt>
        <c:idx val="115"/>
        <c:marker>
          <c:symbol val="circle"/>
          <c:size val="7"/>
        </c:marker>
      </c:pivotFmt>
      <c:pivotFmt>
        <c:idx val="116"/>
        <c:marker>
          <c:symbol val="dash"/>
          <c:size val="7"/>
        </c:marker>
      </c:pivotFmt>
      <c:pivotFmt>
        <c:idx val="117"/>
        <c:marker>
          <c:symbol val="plus"/>
          <c:size val="7"/>
        </c:marker>
      </c:pivotFmt>
    </c:pivotFmts>
    <c:plotArea>
      <c:layout>
        <c:manualLayout>
          <c:layoutTarget val="inner"/>
          <c:xMode val="edge"/>
          <c:yMode val="edge"/>
          <c:x val="0.13398185092334311"/>
          <c:y val="3.7107351888500568E-2"/>
          <c:w val="0.84135447194661206"/>
          <c:h val="0.66498142027032714"/>
        </c:manualLayout>
      </c:layout>
      <c:lineChart>
        <c:grouping val="standard"/>
        <c:varyColors val="0"/>
        <c:ser>
          <c:idx val="0"/>
          <c:order val="0"/>
          <c:tx>
            <c:strRef>
              <c:f>'Sheet1 (5)'!$B$3:$B$4</c:f>
              <c:strCache>
                <c:ptCount val="1"/>
                <c:pt idx="0">
                  <c:v>Blepharospasm or hemifacial spasm</c:v>
                </c:pt>
              </c:strCache>
            </c:strRef>
          </c:tx>
          <c:cat>
            <c:strRef>
              <c:f>'Sheet1 (5)'!$A$5:$A$14</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(5)'!$B$5:$B$14</c:f>
              <c:numCache>
                <c:formatCode>General</c:formatCode>
                <c:ptCount val="9"/>
                <c:pt idx="0">
                  <c:v>3061</c:v>
                </c:pt>
                <c:pt idx="1">
                  <c:v>3111</c:v>
                </c:pt>
                <c:pt idx="2">
                  <c:v>3544</c:v>
                </c:pt>
                <c:pt idx="3">
                  <c:v>3364</c:v>
                </c:pt>
                <c:pt idx="4">
                  <c:v>4141</c:v>
                </c:pt>
                <c:pt idx="5">
                  <c:v>3180</c:v>
                </c:pt>
                <c:pt idx="6">
                  <c:v>3820</c:v>
                </c:pt>
                <c:pt idx="7">
                  <c:v>3718</c:v>
                </c:pt>
                <c:pt idx="8">
                  <c:v>4094</c:v>
                </c:pt>
              </c:numCache>
            </c:numRef>
          </c:val>
          <c:smooth val="0"/>
          <c:extLst xmlns:c16r2="http://schemas.microsoft.com/office/drawing/2015/06/chart">
            <c:ext xmlns:c16="http://schemas.microsoft.com/office/drawing/2014/chart" uri="{C3380CC4-5D6E-409C-BE32-E72D297353CC}">
              <c16:uniqueId val="{00000000-9042-470B-9C34-316A48B9719E}"/>
            </c:ext>
          </c:extLst>
        </c:ser>
        <c:ser>
          <c:idx val="1"/>
          <c:order val="1"/>
          <c:tx>
            <c:strRef>
              <c:f>'Sheet1 (5)'!$C$3:$C$4</c:f>
              <c:strCache>
                <c:ptCount val="1"/>
                <c:pt idx="0">
                  <c:v>Dynamic equinus foot deformity</c:v>
                </c:pt>
              </c:strCache>
            </c:strRef>
          </c:tx>
          <c:cat>
            <c:strRef>
              <c:f>'Sheet1 (5)'!$A$5:$A$14</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(5)'!$C$5:$C$14</c:f>
              <c:numCache>
                <c:formatCode>General</c:formatCode>
                <c:ptCount val="9"/>
                <c:pt idx="0">
                  <c:v>742</c:v>
                </c:pt>
                <c:pt idx="1">
                  <c:v>620</c:v>
                </c:pt>
                <c:pt idx="2">
                  <c:v>739</c:v>
                </c:pt>
                <c:pt idx="3">
                  <c:v>759</c:v>
                </c:pt>
                <c:pt idx="4">
                  <c:v>850</c:v>
                </c:pt>
                <c:pt idx="5">
                  <c:v>694</c:v>
                </c:pt>
                <c:pt idx="6">
                  <c:v>709</c:v>
                </c:pt>
                <c:pt idx="7">
                  <c:v>679</c:v>
                </c:pt>
                <c:pt idx="8">
                  <c:v>849</c:v>
                </c:pt>
              </c:numCache>
            </c:numRef>
          </c:val>
          <c:smooth val="0"/>
          <c:extLst xmlns:c16r2="http://schemas.microsoft.com/office/drawing/2015/06/chart">
            <c:ext xmlns:c16="http://schemas.microsoft.com/office/drawing/2014/chart" uri="{C3380CC4-5D6E-409C-BE32-E72D297353CC}">
              <c16:uniqueId val="{00000001-9042-470B-9C34-316A48B9719E}"/>
            </c:ext>
          </c:extLst>
        </c:ser>
        <c:ser>
          <c:idx val="2"/>
          <c:order val="2"/>
          <c:tx>
            <c:strRef>
              <c:f>'Sheet1 (5)'!$D$3:$D$4</c:f>
              <c:strCache>
                <c:ptCount val="1"/>
                <c:pt idx="0">
                  <c:v>Moderate to severe spasticity - upper limb, cerebral palsy</c:v>
                </c:pt>
              </c:strCache>
            </c:strRef>
          </c:tx>
          <c:marker>
            <c:symbol val="star"/>
            <c:size val="7"/>
          </c:marker>
          <c:cat>
            <c:strRef>
              <c:f>'Sheet1 (5)'!$A$5:$A$14</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(5)'!$D$5:$D$14</c:f>
              <c:numCache>
                <c:formatCode>General</c:formatCode>
                <c:ptCount val="9"/>
                <c:pt idx="0">
                  <c:v>335</c:v>
                </c:pt>
                <c:pt idx="1">
                  <c:v>313</c:v>
                </c:pt>
                <c:pt idx="2">
                  <c:v>397</c:v>
                </c:pt>
                <c:pt idx="3">
                  <c:v>393</c:v>
                </c:pt>
                <c:pt idx="4">
                  <c:v>408</c:v>
                </c:pt>
                <c:pt idx="5">
                  <c:v>333</c:v>
                </c:pt>
                <c:pt idx="6">
                  <c:v>413</c:v>
                </c:pt>
                <c:pt idx="7">
                  <c:v>362</c:v>
                </c:pt>
                <c:pt idx="8">
                  <c:v>419</c:v>
                </c:pt>
              </c:numCache>
            </c:numRef>
          </c:val>
          <c:smooth val="0"/>
          <c:extLst xmlns:c16r2="http://schemas.microsoft.com/office/drawing/2015/06/chart">
            <c:ext xmlns:c16="http://schemas.microsoft.com/office/drawing/2014/chart" uri="{C3380CC4-5D6E-409C-BE32-E72D297353CC}">
              <c16:uniqueId val="{00000002-9042-470B-9C34-316A48B9719E}"/>
            </c:ext>
          </c:extLst>
        </c:ser>
        <c:ser>
          <c:idx val="3"/>
          <c:order val="3"/>
          <c:tx>
            <c:strRef>
              <c:f>'Sheet1 (5)'!$E$3:$E$4</c:f>
              <c:strCache>
                <c:ptCount val="1"/>
                <c:pt idx="0">
                  <c:v>Moderate to severe spasticity - upper limb, stroke</c:v>
                </c:pt>
              </c:strCache>
            </c:strRef>
          </c:tx>
          <c:marker>
            <c:symbol val="circle"/>
            <c:size val="7"/>
          </c:marker>
          <c:cat>
            <c:strRef>
              <c:f>'Sheet1 (5)'!$A$5:$A$14</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(5)'!$E$5:$E$14</c:f>
              <c:numCache>
                <c:formatCode>General</c:formatCode>
                <c:ptCount val="9"/>
                <c:pt idx="0">
                  <c:v>116</c:v>
                </c:pt>
                <c:pt idx="1">
                  <c:v>198</c:v>
                </c:pt>
                <c:pt idx="2">
                  <c:v>224</c:v>
                </c:pt>
                <c:pt idx="3">
                  <c:v>208</c:v>
                </c:pt>
                <c:pt idx="4">
                  <c:v>229</c:v>
                </c:pt>
                <c:pt idx="5">
                  <c:v>198</c:v>
                </c:pt>
                <c:pt idx="6">
                  <c:v>230</c:v>
                </c:pt>
                <c:pt idx="7">
                  <c:v>276</c:v>
                </c:pt>
                <c:pt idx="8">
                  <c:v>298</c:v>
                </c:pt>
              </c:numCache>
            </c:numRef>
          </c:val>
          <c:smooth val="0"/>
          <c:extLst xmlns:c16r2="http://schemas.microsoft.com/office/drawing/2015/06/chart">
            <c:ext xmlns:c16="http://schemas.microsoft.com/office/drawing/2014/chart" uri="{C3380CC4-5D6E-409C-BE32-E72D297353CC}">
              <c16:uniqueId val="{00000003-9042-470B-9C34-316A48B9719E}"/>
            </c:ext>
          </c:extLst>
        </c:ser>
        <c:ser>
          <c:idx val="4"/>
          <c:order val="4"/>
          <c:tx>
            <c:strRef>
              <c:f>'Sheet1 (5)'!$F$3:$F$4</c:f>
              <c:strCache>
                <c:ptCount val="1"/>
                <c:pt idx="0">
                  <c:v>Moderate to severe spasticity - upper limb, unknown</c:v>
                </c:pt>
              </c:strCache>
            </c:strRef>
          </c:tx>
          <c:marker>
            <c:symbol val="dash"/>
            <c:size val="7"/>
          </c:marker>
          <c:cat>
            <c:strRef>
              <c:f>'Sheet1 (5)'!$A$5:$A$14</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(5)'!$F$5:$F$14</c:f>
              <c:numCache>
                <c:formatCode>General</c:formatCode>
                <c:ptCount val="9"/>
                <c:pt idx="5">
                  <c:v>6</c:v>
                </c:pt>
                <c:pt idx="6">
                  <c:v>9</c:v>
                </c:pt>
                <c:pt idx="7">
                  <c:v>13</c:v>
                </c:pt>
                <c:pt idx="8">
                  <c:v>10</c:v>
                </c:pt>
              </c:numCache>
            </c:numRef>
          </c:val>
          <c:smooth val="0"/>
          <c:extLst xmlns:c16r2="http://schemas.microsoft.com/office/drawing/2015/06/chart">
            <c:ext xmlns:c16="http://schemas.microsoft.com/office/drawing/2014/chart" uri="{C3380CC4-5D6E-409C-BE32-E72D297353CC}">
              <c16:uniqueId val="{00000004-9042-470B-9C34-316A48B9719E}"/>
            </c:ext>
          </c:extLst>
        </c:ser>
        <c:ser>
          <c:idx val="5"/>
          <c:order val="5"/>
          <c:tx>
            <c:strRef>
              <c:f>'Sheet1 (5)'!$G$3:$G$4</c:f>
              <c:strCache>
                <c:ptCount val="1"/>
                <c:pt idx="0">
                  <c:v>Spasmodic torticollis</c:v>
                </c:pt>
              </c:strCache>
            </c:strRef>
          </c:tx>
          <c:marker>
            <c:symbol val="plus"/>
            <c:size val="7"/>
          </c:marker>
          <c:cat>
            <c:strRef>
              <c:f>'Sheet1 (5)'!$A$5:$A$14</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(5)'!$G$5:$G$14</c:f>
              <c:numCache>
                <c:formatCode>General</c:formatCode>
                <c:ptCount val="9"/>
                <c:pt idx="0">
                  <c:v>2098</c:v>
                </c:pt>
                <c:pt idx="1">
                  <c:v>2257</c:v>
                </c:pt>
                <c:pt idx="2">
                  <c:v>2436</c:v>
                </c:pt>
                <c:pt idx="3">
                  <c:v>2575</c:v>
                </c:pt>
                <c:pt idx="4">
                  <c:v>3084</c:v>
                </c:pt>
                <c:pt idx="5">
                  <c:v>2390</c:v>
                </c:pt>
                <c:pt idx="6">
                  <c:v>2865</c:v>
                </c:pt>
                <c:pt idx="7">
                  <c:v>2890</c:v>
                </c:pt>
                <c:pt idx="8">
                  <c:v>3242</c:v>
                </c:pt>
              </c:numCache>
            </c:numRef>
          </c:val>
          <c:smooth val="0"/>
          <c:extLst xmlns:c16r2="http://schemas.microsoft.com/office/drawing/2015/06/chart">
            <c:ext xmlns:c16="http://schemas.microsoft.com/office/drawing/2014/chart" uri="{C3380CC4-5D6E-409C-BE32-E72D297353CC}">
              <c16:uniqueId val="{00000005-9042-470B-9C34-316A48B9719E}"/>
            </c:ext>
          </c:extLst>
        </c:ser>
        <c:dLbls>
          <c:showLegendKey val="0"/>
          <c:showVal val="0"/>
          <c:showCatName val="0"/>
          <c:showSerName val="0"/>
          <c:showPercent val="0"/>
          <c:showBubbleSize val="0"/>
        </c:dLbls>
        <c:marker val="1"/>
        <c:smooth val="0"/>
        <c:axId val="417211520"/>
        <c:axId val="417226752"/>
      </c:lineChart>
      <c:catAx>
        <c:axId val="417211520"/>
        <c:scaling>
          <c:orientation val="minMax"/>
        </c:scaling>
        <c:delete val="0"/>
        <c:axPos val="b"/>
        <c:title>
          <c:tx>
            <c:rich>
              <a:bodyPr/>
              <a:lstStyle/>
              <a:p>
                <a:pPr>
                  <a:defRPr b="0"/>
                </a:pPr>
                <a:r>
                  <a:rPr lang="en-US" b="0"/>
                  <a:t>Quarter of Supply</a:t>
                </a:r>
              </a:p>
            </c:rich>
          </c:tx>
          <c:overlay val="0"/>
        </c:title>
        <c:numFmt formatCode="General" sourceLinked="0"/>
        <c:majorTickMark val="out"/>
        <c:minorTickMark val="none"/>
        <c:tickLblPos val="nextTo"/>
        <c:crossAx val="417226752"/>
        <c:crosses val="autoZero"/>
        <c:auto val="1"/>
        <c:lblAlgn val="ctr"/>
        <c:lblOffset val="100"/>
        <c:noMultiLvlLbl val="0"/>
      </c:catAx>
      <c:valAx>
        <c:axId val="417226752"/>
        <c:scaling>
          <c:orientation val="minMax"/>
        </c:scaling>
        <c:delete val="0"/>
        <c:axPos val="l"/>
        <c:majorGridlines/>
        <c:title>
          <c:tx>
            <c:rich>
              <a:bodyPr rot="-5400000" vert="horz"/>
              <a:lstStyle/>
              <a:p>
                <a:pPr>
                  <a:defRPr b="0"/>
                </a:pPr>
                <a:r>
                  <a:rPr lang="en-US" b="0"/>
                  <a:t>Prescriptions</a:t>
                </a:r>
              </a:p>
            </c:rich>
          </c:tx>
          <c:overlay val="0"/>
        </c:title>
        <c:numFmt formatCode="#,##0" sourceLinked="0"/>
        <c:majorTickMark val="out"/>
        <c:minorTickMark val="none"/>
        <c:tickLblPos val="nextTo"/>
        <c:crossAx val="417211520"/>
        <c:crosses val="autoZero"/>
        <c:crossBetween val="between"/>
      </c:valAx>
    </c:plotArea>
    <c:legend>
      <c:legendPos val="b"/>
      <c:overlay val="0"/>
      <c:txPr>
        <a:bodyPr/>
        <a:lstStyle/>
        <a:p>
          <a:pPr>
            <a:defRPr sz="700"/>
          </a:pPr>
          <a:endParaRPr lang="en-US"/>
        </a:p>
      </c:txPr>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[D1060 - SCRPT_SUM by enhanced indication + exp per script.xlsx]Sheet1 (8)!PivotTable1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s>
    <c:plotArea>
      <c:layout>
        <c:manualLayout>
          <c:layoutTarget val="inner"/>
          <c:xMode val="edge"/>
          <c:yMode val="edge"/>
          <c:x val="0.13344899264386387"/>
          <c:y val="3.8029465135296668E-2"/>
          <c:w val="0.8419854199633996"/>
          <c:h val="0.71239802314316358"/>
        </c:manualLayout>
      </c:layout>
      <c:lineChart>
        <c:grouping val="standard"/>
        <c:varyColors val="0"/>
        <c:ser>
          <c:idx val="0"/>
          <c:order val="0"/>
          <c:tx>
            <c:strRef>
              <c:f>'Sheet1 (8)'!$B$3:$B$5</c:f>
              <c:strCache>
                <c:ptCount val="1"/>
                <c:pt idx="0">
                  <c:v>Botox - Lyophilised powder for injection 100 units</c:v>
                </c:pt>
              </c:strCache>
            </c:strRef>
          </c:tx>
          <c:cat>
            <c:strRef>
              <c:f>'Sheet1 (8)'!$A$6:$A$15</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(8)'!$B$6:$B$15</c:f>
              <c:numCache>
                <c:formatCode>General</c:formatCode>
                <c:ptCount val="9"/>
                <c:pt idx="0">
                  <c:v>5749</c:v>
                </c:pt>
                <c:pt idx="1">
                  <c:v>5751</c:v>
                </c:pt>
                <c:pt idx="2">
                  <c:v>6440</c:v>
                </c:pt>
                <c:pt idx="3">
                  <c:v>6221</c:v>
                </c:pt>
                <c:pt idx="4">
                  <c:v>7509</c:v>
                </c:pt>
                <c:pt idx="5">
                  <c:v>5861</c:v>
                </c:pt>
                <c:pt idx="6">
                  <c:v>7044</c:v>
                </c:pt>
                <c:pt idx="7">
                  <c:v>6891</c:v>
                </c:pt>
                <c:pt idx="8">
                  <c:v>7691</c:v>
                </c:pt>
              </c:numCache>
            </c:numRef>
          </c:val>
          <c:smooth val="0"/>
          <c:extLst xmlns:c16r2="http://schemas.microsoft.com/office/drawing/2015/06/chart">
            <c:ext xmlns:c16="http://schemas.microsoft.com/office/drawing/2014/chart" uri="{C3380CC4-5D6E-409C-BE32-E72D297353CC}">
              <c16:uniqueId val="{00000000-6B55-40C7-A470-74963E1B7C45}"/>
            </c:ext>
          </c:extLst>
        </c:ser>
        <c:ser>
          <c:idx val="1"/>
          <c:order val="1"/>
          <c:tx>
            <c:strRef>
              <c:f>'Sheet1 (8)'!$C$3:$C$5</c:f>
              <c:strCache>
                <c:ptCount val="1"/>
                <c:pt idx="0">
                  <c:v>Dysport - Lyophilised powder for I.M. injection 300 units</c:v>
                </c:pt>
              </c:strCache>
            </c:strRef>
          </c:tx>
          <c:cat>
            <c:strRef>
              <c:f>'Sheet1 (8)'!$A$6:$A$15</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(8)'!$C$6:$C$15</c:f>
              <c:numCache>
                <c:formatCode>General</c:formatCode>
                <c:ptCount val="9"/>
                <c:pt idx="0">
                  <c:v>37</c:v>
                </c:pt>
                <c:pt idx="1">
                  <c:v>68</c:v>
                </c:pt>
                <c:pt idx="2">
                  <c:v>75</c:v>
                </c:pt>
                <c:pt idx="3">
                  <c:v>111</c:v>
                </c:pt>
                <c:pt idx="4">
                  <c:v>114</c:v>
                </c:pt>
                <c:pt idx="5">
                  <c:v>84</c:v>
                </c:pt>
                <c:pt idx="6">
                  <c:v>118</c:v>
                </c:pt>
                <c:pt idx="7">
                  <c:v>99</c:v>
                </c:pt>
                <c:pt idx="8">
                  <c:v>95</c:v>
                </c:pt>
              </c:numCache>
            </c:numRef>
          </c:val>
          <c:smooth val="0"/>
          <c:extLst xmlns:c16r2="http://schemas.microsoft.com/office/drawing/2015/06/chart">
            <c:ext xmlns:c16="http://schemas.microsoft.com/office/drawing/2014/chart" uri="{C3380CC4-5D6E-409C-BE32-E72D297353CC}">
              <c16:uniqueId val="{00000001-6B55-40C7-A470-74963E1B7C45}"/>
            </c:ext>
          </c:extLst>
        </c:ser>
        <c:ser>
          <c:idx val="2"/>
          <c:order val="2"/>
          <c:tx>
            <c:strRef>
              <c:f>'Sheet1 (8)'!$D$3:$D$5</c:f>
              <c:strCache>
                <c:ptCount val="1"/>
                <c:pt idx="0">
                  <c:v>Dysport - Lyophilised powder for I.M. injection 500 units</c:v>
                </c:pt>
              </c:strCache>
            </c:strRef>
          </c:tx>
          <c:cat>
            <c:strRef>
              <c:f>'Sheet1 (8)'!$A$6:$A$15</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(8)'!$D$6:$D$15</c:f>
              <c:numCache>
                <c:formatCode>General</c:formatCode>
                <c:ptCount val="9"/>
                <c:pt idx="0">
                  <c:v>519</c:v>
                </c:pt>
                <c:pt idx="1">
                  <c:v>589</c:v>
                </c:pt>
                <c:pt idx="2">
                  <c:v>674</c:v>
                </c:pt>
                <c:pt idx="3">
                  <c:v>811</c:v>
                </c:pt>
                <c:pt idx="4">
                  <c:v>918</c:v>
                </c:pt>
                <c:pt idx="5">
                  <c:v>668</c:v>
                </c:pt>
                <c:pt idx="6">
                  <c:v>739</c:v>
                </c:pt>
                <c:pt idx="7">
                  <c:v>695</c:v>
                </c:pt>
                <c:pt idx="8">
                  <c:v>870</c:v>
                </c:pt>
              </c:numCache>
            </c:numRef>
          </c:val>
          <c:smooth val="0"/>
          <c:extLst xmlns:c16r2="http://schemas.microsoft.com/office/drawing/2015/06/chart">
            <c:ext xmlns:c16="http://schemas.microsoft.com/office/drawing/2014/chart" uri="{C3380CC4-5D6E-409C-BE32-E72D297353CC}">
              <c16:uniqueId val="{00000002-6B55-40C7-A470-74963E1B7C45}"/>
            </c:ext>
          </c:extLst>
        </c:ser>
        <c:ser>
          <c:idx val="3"/>
          <c:order val="3"/>
          <c:tx>
            <c:strRef>
              <c:f>'Sheet1 (8)'!$E$3:$E$5</c:f>
              <c:strCache>
                <c:ptCount val="1"/>
                <c:pt idx="0">
                  <c:v>Xeomin - Lyophilised powder for injection 100 units</c:v>
                </c:pt>
              </c:strCache>
            </c:strRef>
          </c:tx>
          <c:cat>
            <c:strRef>
              <c:f>'Sheet1 (8)'!$A$6:$A$15</c:f>
              <c:strCache>
                <c:ptCount val="9"/>
                <c:pt idx="0">
                  <c:v>2015Q4</c:v>
                </c:pt>
                <c:pt idx="1">
                  <c:v>2016Q1</c:v>
                </c:pt>
                <c:pt idx="2">
                  <c:v>2016Q2</c:v>
                </c:pt>
                <c:pt idx="3">
                  <c:v>2016Q3</c:v>
                </c:pt>
                <c:pt idx="4">
                  <c:v>2016Q4</c:v>
                </c:pt>
                <c:pt idx="5">
                  <c:v>2017Q1</c:v>
                </c:pt>
                <c:pt idx="6">
                  <c:v>2017Q2</c:v>
                </c:pt>
                <c:pt idx="7">
                  <c:v>2017Q3</c:v>
                </c:pt>
                <c:pt idx="8">
                  <c:v>2017Q4</c:v>
                </c:pt>
              </c:strCache>
            </c:strRef>
          </c:cat>
          <c:val>
            <c:numRef>
              <c:f>'Sheet1 (8)'!$E$6:$E$15</c:f>
              <c:numCache>
                <c:formatCode>General</c:formatCode>
                <c:ptCount val="9"/>
                <c:pt idx="0">
                  <c:v>47</c:v>
                </c:pt>
                <c:pt idx="1">
                  <c:v>91</c:v>
                </c:pt>
                <c:pt idx="2">
                  <c:v>151</c:v>
                </c:pt>
                <c:pt idx="3">
                  <c:v>156</c:v>
                </c:pt>
                <c:pt idx="4">
                  <c:v>171</c:v>
                </c:pt>
                <c:pt idx="5">
                  <c:v>188</c:v>
                </c:pt>
                <c:pt idx="6">
                  <c:v>145</c:v>
                </c:pt>
                <c:pt idx="7">
                  <c:v>253</c:v>
                </c:pt>
                <c:pt idx="8">
                  <c:v>256</c:v>
                </c:pt>
              </c:numCache>
            </c:numRef>
          </c:val>
          <c:smooth val="0"/>
          <c:extLst xmlns:c16r2="http://schemas.microsoft.com/office/drawing/2015/06/chart">
            <c:ext xmlns:c16="http://schemas.microsoft.com/office/drawing/2014/chart" uri="{C3380CC4-5D6E-409C-BE32-E72D297353CC}">
              <c16:uniqueId val="{00000003-6B55-40C7-A470-74963E1B7C45}"/>
            </c:ext>
          </c:extLst>
        </c:ser>
        <c:dLbls>
          <c:showLegendKey val="0"/>
          <c:showVal val="0"/>
          <c:showCatName val="0"/>
          <c:showSerName val="0"/>
          <c:showPercent val="0"/>
          <c:showBubbleSize val="0"/>
        </c:dLbls>
        <c:marker val="1"/>
        <c:smooth val="0"/>
        <c:axId val="544679808"/>
        <c:axId val="544735232"/>
      </c:lineChart>
      <c:catAx>
        <c:axId val="544679808"/>
        <c:scaling>
          <c:orientation val="minMax"/>
        </c:scaling>
        <c:delete val="0"/>
        <c:axPos val="b"/>
        <c:title>
          <c:tx>
            <c:rich>
              <a:bodyPr/>
              <a:lstStyle/>
              <a:p>
                <a:pPr>
                  <a:defRPr b="0"/>
                </a:pPr>
                <a:r>
                  <a:rPr lang="en-US" b="0"/>
                  <a:t>Quarter of Supply</a:t>
                </a:r>
              </a:p>
            </c:rich>
          </c:tx>
          <c:overlay val="0"/>
        </c:title>
        <c:numFmt formatCode="General" sourceLinked="0"/>
        <c:majorTickMark val="out"/>
        <c:minorTickMark val="none"/>
        <c:tickLblPos val="nextTo"/>
        <c:crossAx val="544735232"/>
        <c:crosses val="autoZero"/>
        <c:auto val="1"/>
        <c:lblAlgn val="ctr"/>
        <c:lblOffset val="100"/>
        <c:noMultiLvlLbl val="0"/>
      </c:catAx>
      <c:valAx>
        <c:axId val="544735232"/>
        <c:scaling>
          <c:orientation val="minMax"/>
        </c:scaling>
        <c:delete val="0"/>
        <c:axPos val="l"/>
        <c:majorGridlines/>
        <c:title>
          <c:tx>
            <c:rich>
              <a:bodyPr rot="-5400000" vert="horz"/>
              <a:lstStyle/>
              <a:p>
                <a:pPr>
                  <a:defRPr b="0"/>
                </a:pPr>
                <a:r>
                  <a:rPr lang="en-US" b="0"/>
                  <a:t>Prescriptions</a:t>
                </a:r>
              </a:p>
            </c:rich>
          </c:tx>
          <c:overlay val="0"/>
        </c:title>
        <c:numFmt formatCode="#,##0" sourceLinked="0"/>
        <c:majorTickMark val="out"/>
        <c:minorTickMark val="none"/>
        <c:tickLblPos val="nextTo"/>
        <c:crossAx val="544679808"/>
        <c:crosses val="autoZero"/>
        <c:crossBetween val="between"/>
      </c:valAx>
    </c:plotArea>
    <c:legend>
      <c:legendPos val="b"/>
      <c:overlay val="0"/>
      <c:txPr>
        <a:bodyPr/>
        <a:lstStyle/>
        <a:p>
          <a:pPr>
            <a:defRPr sz="7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[D1060_PATCNTBY_MBS_IN_SERV_Y.xlsx]Sheet1!PivotTable3</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pivotFmt>
      <c:pivotFmt>
        <c:idx val="111"/>
      </c:pivotFmt>
      <c:pivotFmt>
        <c:idx val="112"/>
      </c:pivotFmt>
      <c:pivotFmt>
        <c:idx val="113"/>
      </c:pivotFmt>
    </c:pivotFmts>
    <c:plotArea>
      <c:layout/>
      <c:lineChart>
        <c:grouping val="standard"/>
        <c:varyColors val="0"/>
        <c:ser>
          <c:idx val="0"/>
          <c:order val="0"/>
          <c:tx>
            <c:strRef>
              <c:f>Sheet1!$B$3:$B$4</c:f>
              <c:strCache>
                <c:ptCount val="1"/>
                <c:pt idx="0">
                  <c:v>prevalent patients</c:v>
                </c:pt>
              </c:strCache>
            </c:strRef>
          </c:tx>
          <c:cat>
            <c:strRef>
              <c:f>Sheet1!$A$5:$A$32</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Sheet1!$B$5:$B$32</c:f>
              <c:numCache>
                <c:formatCode>General</c:formatCode>
                <c:ptCount val="27"/>
                <c:pt idx="0">
                  <c:v>68</c:v>
                </c:pt>
                <c:pt idx="1">
                  <c:v>302</c:v>
                </c:pt>
                <c:pt idx="2">
                  <c:v>336</c:v>
                </c:pt>
                <c:pt idx="3">
                  <c:v>332</c:v>
                </c:pt>
                <c:pt idx="4">
                  <c:v>605</c:v>
                </c:pt>
                <c:pt idx="5">
                  <c:v>784</c:v>
                </c:pt>
                <c:pt idx="6">
                  <c:v>978</c:v>
                </c:pt>
                <c:pt idx="7">
                  <c:v>973</c:v>
                </c:pt>
                <c:pt idx="8">
                  <c:v>1098</c:v>
                </c:pt>
                <c:pt idx="9">
                  <c:v>1168</c:v>
                </c:pt>
                <c:pt idx="10">
                  <c:v>1336</c:v>
                </c:pt>
                <c:pt idx="11">
                  <c:v>1510</c:v>
                </c:pt>
                <c:pt idx="12">
                  <c:v>3786</c:v>
                </c:pt>
                <c:pt idx="13">
                  <c:v>4697</c:v>
                </c:pt>
                <c:pt idx="14">
                  <c:v>5180</c:v>
                </c:pt>
                <c:pt idx="15">
                  <c:v>5842</c:v>
                </c:pt>
                <c:pt idx="16">
                  <c:v>6197</c:v>
                </c:pt>
                <c:pt idx="17">
                  <c:v>6793</c:v>
                </c:pt>
                <c:pt idx="18">
                  <c:v>7653</c:v>
                </c:pt>
                <c:pt idx="19">
                  <c:v>8225</c:v>
                </c:pt>
                <c:pt idx="20">
                  <c:v>8902</c:v>
                </c:pt>
                <c:pt idx="21">
                  <c:v>9661</c:v>
                </c:pt>
                <c:pt idx="22">
                  <c:v>10297</c:v>
                </c:pt>
                <c:pt idx="23">
                  <c:v>10843</c:v>
                </c:pt>
                <c:pt idx="24">
                  <c:v>11104</c:v>
                </c:pt>
                <c:pt idx="25">
                  <c:v>11808</c:v>
                </c:pt>
                <c:pt idx="26">
                  <c:v>12614</c:v>
                </c:pt>
              </c:numCache>
            </c:numRef>
          </c:val>
          <c:smooth val="0"/>
          <c:extLst xmlns:c16r2="http://schemas.microsoft.com/office/drawing/2015/06/chart">
            <c:ext xmlns:c16="http://schemas.microsoft.com/office/drawing/2014/chart" uri="{C3380CC4-5D6E-409C-BE32-E72D297353CC}">
              <c16:uniqueId val="{00000000-D3E6-4F98-BC03-DEC0344A76C9}"/>
            </c:ext>
          </c:extLst>
        </c:ser>
        <c:ser>
          <c:idx val="1"/>
          <c:order val="1"/>
          <c:tx>
            <c:strRef>
              <c:f>Sheet1!$C$3:$C$4</c:f>
              <c:strCache>
                <c:ptCount val="1"/>
                <c:pt idx="0">
                  <c:v>initiating patients</c:v>
                </c:pt>
              </c:strCache>
            </c:strRef>
          </c:tx>
          <c:cat>
            <c:strRef>
              <c:f>Sheet1!$A$5:$A$32</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Sheet1!$C$5:$C$32</c:f>
              <c:numCache>
                <c:formatCode>General</c:formatCode>
                <c:ptCount val="27"/>
                <c:pt idx="0">
                  <c:v>68</c:v>
                </c:pt>
                <c:pt idx="1">
                  <c:v>262</c:v>
                </c:pt>
                <c:pt idx="2">
                  <c:v>121</c:v>
                </c:pt>
                <c:pt idx="3">
                  <c:v>150</c:v>
                </c:pt>
                <c:pt idx="4">
                  <c:v>352</c:v>
                </c:pt>
                <c:pt idx="5">
                  <c:v>311</c:v>
                </c:pt>
                <c:pt idx="6">
                  <c:v>328</c:v>
                </c:pt>
                <c:pt idx="7">
                  <c:v>269</c:v>
                </c:pt>
                <c:pt idx="8">
                  <c:v>287</c:v>
                </c:pt>
                <c:pt idx="9">
                  <c:v>300</c:v>
                </c:pt>
                <c:pt idx="10">
                  <c:v>360</c:v>
                </c:pt>
                <c:pt idx="11">
                  <c:v>394</c:v>
                </c:pt>
                <c:pt idx="12">
                  <c:v>2332</c:v>
                </c:pt>
                <c:pt idx="13">
                  <c:v>1635</c:v>
                </c:pt>
                <c:pt idx="14">
                  <c:v>1538</c:v>
                </c:pt>
                <c:pt idx="15">
                  <c:v>1553</c:v>
                </c:pt>
                <c:pt idx="16">
                  <c:v>1607</c:v>
                </c:pt>
                <c:pt idx="17">
                  <c:v>1661</c:v>
                </c:pt>
                <c:pt idx="18">
                  <c:v>2053</c:v>
                </c:pt>
                <c:pt idx="19">
                  <c:v>2041</c:v>
                </c:pt>
                <c:pt idx="20">
                  <c:v>2210</c:v>
                </c:pt>
                <c:pt idx="21">
                  <c:v>2308</c:v>
                </c:pt>
                <c:pt idx="22">
                  <c:v>2400</c:v>
                </c:pt>
                <c:pt idx="23">
                  <c:v>2441</c:v>
                </c:pt>
                <c:pt idx="24">
                  <c:v>2305</c:v>
                </c:pt>
                <c:pt idx="25">
                  <c:v>2535</c:v>
                </c:pt>
                <c:pt idx="26">
                  <c:v>2784</c:v>
                </c:pt>
              </c:numCache>
            </c:numRef>
          </c:val>
          <c:smooth val="0"/>
          <c:extLst xmlns:c16r2="http://schemas.microsoft.com/office/drawing/2015/06/chart">
            <c:ext xmlns:c16="http://schemas.microsoft.com/office/drawing/2014/chart" uri="{C3380CC4-5D6E-409C-BE32-E72D297353CC}">
              <c16:uniqueId val="{00000001-D3E6-4F98-BC03-DEC0344A76C9}"/>
            </c:ext>
          </c:extLst>
        </c:ser>
        <c:dLbls>
          <c:showLegendKey val="0"/>
          <c:showVal val="0"/>
          <c:showCatName val="0"/>
          <c:showSerName val="0"/>
          <c:showPercent val="0"/>
          <c:showBubbleSize val="0"/>
        </c:dLbls>
        <c:marker val="1"/>
        <c:smooth val="0"/>
        <c:axId val="544763264"/>
        <c:axId val="558553344"/>
      </c:lineChart>
      <c:catAx>
        <c:axId val="544763264"/>
        <c:scaling>
          <c:orientation val="minMax"/>
        </c:scaling>
        <c:delete val="0"/>
        <c:axPos val="b"/>
        <c:title>
          <c:tx>
            <c:rich>
              <a:bodyPr/>
              <a:lstStyle/>
              <a:p>
                <a:pPr>
                  <a:defRPr b="0"/>
                </a:pPr>
                <a:r>
                  <a:rPr lang="en-US" b="0"/>
                  <a:t>Year of service</a:t>
                </a:r>
              </a:p>
            </c:rich>
          </c:tx>
          <c:overlay val="0"/>
        </c:title>
        <c:numFmt formatCode="General" sourceLinked="0"/>
        <c:majorTickMark val="out"/>
        <c:minorTickMark val="none"/>
        <c:tickLblPos val="nextTo"/>
        <c:crossAx val="558553344"/>
        <c:crosses val="autoZero"/>
        <c:auto val="1"/>
        <c:lblAlgn val="ctr"/>
        <c:lblOffset val="100"/>
        <c:noMultiLvlLbl val="0"/>
      </c:catAx>
      <c:valAx>
        <c:axId val="558553344"/>
        <c:scaling>
          <c:orientation val="minMax"/>
        </c:scaling>
        <c:delete val="0"/>
        <c:axPos val="l"/>
        <c:majorGridlines/>
        <c:title>
          <c:tx>
            <c:rich>
              <a:bodyPr rot="-5400000" vert="horz"/>
              <a:lstStyle/>
              <a:p>
                <a:pPr>
                  <a:defRPr b="0"/>
                </a:pPr>
                <a:r>
                  <a:rPr lang="en-US" b="0"/>
                  <a:t>Patients</a:t>
                </a:r>
              </a:p>
            </c:rich>
          </c:tx>
          <c:overlay val="0"/>
        </c:title>
        <c:numFmt formatCode="#,##0" sourceLinked="0"/>
        <c:majorTickMark val="out"/>
        <c:minorTickMark val="none"/>
        <c:tickLblPos val="nextTo"/>
        <c:crossAx val="544763264"/>
        <c:crosses val="autoZero"/>
        <c:crossBetween val="between"/>
      </c:valAx>
    </c:plotArea>
    <c:legend>
      <c:legendPos val="b"/>
      <c:overlay val="0"/>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[D1060_PATCNTBY_MBS_IN_SERV_Y.xlsx]Sheet1 (2)!PivotTable3</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s>
    <c:plotArea>
      <c:layout>
        <c:manualLayout>
          <c:layoutTarget val="inner"/>
          <c:xMode val="edge"/>
          <c:yMode val="edge"/>
          <c:x val="0.13345819209784707"/>
          <c:y val="3.7571978629574856E-2"/>
          <c:w val="0.84197452705346509"/>
          <c:h val="0.6076172016959418"/>
        </c:manualLayout>
      </c:layout>
      <c:lineChart>
        <c:grouping val="standard"/>
        <c:varyColors val="0"/>
        <c:ser>
          <c:idx val="0"/>
          <c:order val="0"/>
          <c:tx>
            <c:strRef>
              <c:f>'Sheet1 (2)'!$B$4:$B$5</c:f>
              <c:strCache>
                <c:ptCount val="1"/>
                <c:pt idx="0">
                  <c:v>Blepharospasm</c:v>
                </c:pt>
              </c:strCache>
            </c:strRef>
          </c:tx>
          <c:cat>
            <c:strRef>
              <c:f>'Sheet1 (2)'!$A$6:$A$33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(2)'!$B$6:$B$33</c:f>
              <c:numCache>
                <c:formatCode>General</c:formatCode>
                <c:ptCount val="27"/>
                <c:pt idx="0">
                  <c:v>68</c:v>
                </c:pt>
                <c:pt idx="1">
                  <c:v>303</c:v>
                </c:pt>
                <c:pt idx="2">
                  <c:v>336</c:v>
                </c:pt>
                <c:pt idx="3">
                  <c:v>332</c:v>
                </c:pt>
                <c:pt idx="4">
                  <c:v>606</c:v>
                </c:pt>
                <c:pt idx="5">
                  <c:v>784</c:v>
                </c:pt>
                <c:pt idx="6">
                  <c:v>979</c:v>
                </c:pt>
                <c:pt idx="7">
                  <c:v>976</c:v>
                </c:pt>
                <c:pt idx="8">
                  <c:v>1100</c:v>
                </c:pt>
                <c:pt idx="9">
                  <c:v>1172</c:v>
                </c:pt>
                <c:pt idx="10">
                  <c:v>1341</c:v>
                </c:pt>
                <c:pt idx="11">
                  <c:v>1514</c:v>
                </c:pt>
                <c:pt idx="12">
                  <c:v>1511</c:v>
                </c:pt>
                <c:pt idx="13">
                  <c:v>1061</c:v>
                </c:pt>
                <c:pt idx="14">
                  <c:v>1081</c:v>
                </c:pt>
                <c:pt idx="15">
                  <c:v>1154</c:v>
                </c:pt>
                <c:pt idx="16">
                  <c:v>1211</c:v>
                </c:pt>
                <c:pt idx="17">
                  <c:v>1306</c:v>
                </c:pt>
                <c:pt idx="18">
                  <c:v>1412</c:v>
                </c:pt>
                <c:pt idx="19">
                  <c:v>1480</c:v>
                </c:pt>
                <c:pt idx="20">
                  <c:v>1603</c:v>
                </c:pt>
                <c:pt idx="21">
                  <c:v>1730</c:v>
                </c:pt>
                <c:pt idx="22">
                  <c:v>1785</c:v>
                </c:pt>
                <c:pt idx="23">
                  <c:v>1870</c:v>
                </c:pt>
                <c:pt idx="24">
                  <c:v>2015</c:v>
                </c:pt>
                <c:pt idx="25">
                  <c:v>2057</c:v>
                </c:pt>
                <c:pt idx="26">
                  <c:v>2187</c:v>
                </c:pt>
              </c:numCache>
            </c:numRef>
          </c:val>
          <c:smooth val="0"/>
          <c:extLst xmlns:c16r2="http://schemas.microsoft.com/office/drawing/2015/06/chart">
            <c:ext xmlns:c16="http://schemas.microsoft.com/office/drawing/2014/chart" uri="{C3380CC4-5D6E-409C-BE32-E72D297353CC}">
              <c16:uniqueId val="{00000000-FF63-4B1B-8945-BE9FFD8A18D6}"/>
            </c:ext>
          </c:extLst>
        </c:ser>
        <c:ser>
          <c:idx val="1"/>
          <c:order val="1"/>
          <c:tx>
            <c:strRef>
              <c:f>'Sheet1 (2)'!$C$4:$C$5</c:f>
              <c:strCache>
                <c:ptCount val="1"/>
                <c:pt idx="0">
                  <c:v>Dynamic equinus foot deformity</c:v>
                </c:pt>
              </c:strCache>
            </c:strRef>
          </c:tx>
          <c:cat>
            <c:strRef>
              <c:f>'Sheet1 (2)'!$A$6:$A$33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(2)'!$C$6:$C$33</c:f>
              <c:numCache>
                <c:formatCode>General</c:formatCode>
                <c:ptCount val="27"/>
                <c:pt idx="12">
                  <c:v>279</c:v>
                </c:pt>
                <c:pt idx="13">
                  <c:v>465</c:v>
                </c:pt>
                <c:pt idx="14">
                  <c:v>609</c:v>
                </c:pt>
                <c:pt idx="15">
                  <c:v>714</c:v>
                </c:pt>
                <c:pt idx="16">
                  <c:v>797</c:v>
                </c:pt>
                <c:pt idx="17">
                  <c:v>815</c:v>
                </c:pt>
                <c:pt idx="18">
                  <c:v>786</c:v>
                </c:pt>
                <c:pt idx="19">
                  <c:v>875</c:v>
                </c:pt>
                <c:pt idx="20">
                  <c:v>859</c:v>
                </c:pt>
                <c:pt idx="21">
                  <c:v>998</c:v>
                </c:pt>
                <c:pt idx="22">
                  <c:v>1054</c:v>
                </c:pt>
                <c:pt idx="23">
                  <c:v>1078</c:v>
                </c:pt>
                <c:pt idx="24">
                  <c:v>1122</c:v>
                </c:pt>
                <c:pt idx="25">
                  <c:v>1286</c:v>
                </c:pt>
                <c:pt idx="26">
                  <c:v>1288</c:v>
                </c:pt>
              </c:numCache>
            </c:numRef>
          </c:val>
          <c:smooth val="0"/>
          <c:extLst xmlns:c16r2="http://schemas.microsoft.com/office/drawing/2015/06/chart">
            <c:ext xmlns:c16="http://schemas.microsoft.com/office/drawing/2014/chart" uri="{C3380CC4-5D6E-409C-BE32-E72D297353CC}">
              <c16:uniqueId val="{00000001-FF63-4B1B-8945-BE9FFD8A18D6}"/>
            </c:ext>
          </c:extLst>
        </c:ser>
        <c:ser>
          <c:idx val="2"/>
          <c:order val="2"/>
          <c:tx>
            <c:strRef>
              <c:f>'Sheet1 (2)'!$D$4:$D$5</c:f>
              <c:strCache>
                <c:ptCount val="1"/>
                <c:pt idx="0">
                  <c:v>Hemifacial spasm</c:v>
                </c:pt>
              </c:strCache>
            </c:strRef>
          </c:tx>
          <c:cat>
            <c:strRef>
              <c:f>'Sheet1 (2)'!$A$6:$A$33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(2)'!$D$6:$D$33</c:f>
              <c:numCache>
                <c:formatCode>General</c:formatCode>
                <c:ptCount val="27"/>
                <c:pt idx="12">
                  <c:v>1548</c:v>
                </c:pt>
                <c:pt idx="13">
                  <c:v>1981</c:v>
                </c:pt>
                <c:pt idx="14">
                  <c:v>2109</c:v>
                </c:pt>
                <c:pt idx="15">
                  <c:v>2255</c:v>
                </c:pt>
                <c:pt idx="16">
                  <c:v>2344</c:v>
                </c:pt>
                <c:pt idx="17">
                  <c:v>2518</c:v>
                </c:pt>
                <c:pt idx="18">
                  <c:v>2822</c:v>
                </c:pt>
                <c:pt idx="19">
                  <c:v>2973</c:v>
                </c:pt>
                <c:pt idx="20">
                  <c:v>3119</c:v>
                </c:pt>
                <c:pt idx="21">
                  <c:v>3195</c:v>
                </c:pt>
                <c:pt idx="22">
                  <c:v>3445</c:v>
                </c:pt>
                <c:pt idx="23">
                  <c:v>3488</c:v>
                </c:pt>
                <c:pt idx="24">
                  <c:v>3494</c:v>
                </c:pt>
                <c:pt idx="25">
                  <c:v>3641</c:v>
                </c:pt>
                <c:pt idx="26">
                  <c:v>3799</c:v>
                </c:pt>
              </c:numCache>
            </c:numRef>
          </c:val>
          <c:smooth val="0"/>
          <c:extLst xmlns:c16r2="http://schemas.microsoft.com/office/drawing/2015/06/chart">
            <c:ext xmlns:c16="http://schemas.microsoft.com/office/drawing/2014/chart" uri="{C3380CC4-5D6E-409C-BE32-E72D297353CC}">
              <c16:uniqueId val="{00000002-FF63-4B1B-8945-BE9FFD8A18D6}"/>
            </c:ext>
          </c:extLst>
        </c:ser>
        <c:ser>
          <c:idx val="3"/>
          <c:order val="3"/>
          <c:tx>
            <c:strRef>
              <c:f>'Sheet1 (2)'!$E$4:$E$5</c:f>
              <c:strCache>
                <c:ptCount val="1"/>
                <c:pt idx="0">
                  <c:v>Moderate to severe focal spasticity</c:v>
                </c:pt>
              </c:strCache>
            </c:strRef>
          </c:tx>
          <c:cat>
            <c:strRef>
              <c:f>'Sheet1 (2)'!$A$6:$A$33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(2)'!$E$6:$E$33</c:f>
              <c:numCache>
                <c:formatCode>General</c:formatCode>
                <c:ptCount val="27"/>
                <c:pt idx="12">
                  <c:v>221</c:v>
                </c:pt>
                <c:pt idx="13">
                  <c:v>374</c:v>
                </c:pt>
                <c:pt idx="14">
                  <c:v>427</c:v>
                </c:pt>
                <c:pt idx="15">
                  <c:v>585</c:v>
                </c:pt>
                <c:pt idx="16">
                  <c:v>621</c:v>
                </c:pt>
                <c:pt idx="17">
                  <c:v>709</c:v>
                </c:pt>
                <c:pt idx="18">
                  <c:v>935</c:v>
                </c:pt>
                <c:pt idx="19">
                  <c:v>1060</c:v>
                </c:pt>
                <c:pt idx="20">
                  <c:v>1215</c:v>
                </c:pt>
                <c:pt idx="21">
                  <c:v>1316</c:v>
                </c:pt>
                <c:pt idx="22">
                  <c:v>1331</c:v>
                </c:pt>
                <c:pt idx="23">
                  <c:v>1530</c:v>
                </c:pt>
                <c:pt idx="24">
                  <c:v>1471</c:v>
                </c:pt>
                <c:pt idx="25">
                  <c:v>1480</c:v>
                </c:pt>
                <c:pt idx="26">
                  <c:v>1646</c:v>
                </c:pt>
              </c:numCache>
            </c:numRef>
          </c:val>
          <c:smooth val="0"/>
          <c:extLst xmlns:c16r2="http://schemas.microsoft.com/office/drawing/2015/06/chart">
            <c:ext xmlns:c16="http://schemas.microsoft.com/office/drawing/2014/chart" uri="{C3380CC4-5D6E-409C-BE32-E72D297353CC}">
              <c16:uniqueId val="{00000003-FF63-4B1B-8945-BE9FFD8A18D6}"/>
            </c:ext>
          </c:extLst>
        </c:ser>
        <c:ser>
          <c:idx val="4"/>
          <c:order val="4"/>
          <c:tx>
            <c:strRef>
              <c:f>'Sheet1 (2)'!$F$4:$F$5</c:f>
              <c:strCache>
                <c:ptCount val="1"/>
                <c:pt idx="0">
                  <c:v>Moderate to severe spasticity - upper limb, cerebral palsy</c:v>
                </c:pt>
              </c:strCache>
            </c:strRef>
          </c:tx>
          <c:cat>
            <c:strRef>
              <c:f>'Sheet1 (2)'!$A$6:$A$33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(2)'!$F$6:$F$33</c:f>
              <c:numCache>
                <c:formatCode>General</c:formatCode>
                <c:ptCount val="27"/>
                <c:pt idx="20">
                  <c:v>185</c:v>
                </c:pt>
                <c:pt idx="21">
                  <c:v>422</c:v>
                </c:pt>
                <c:pt idx="22">
                  <c:v>435</c:v>
                </c:pt>
                <c:pt idx="23">
                  <c:v>508</c:v>
                </c:pt>
                <c:pt idx="24">
                  <c:v>514</c:v>
                </c:pt>
                <c:pt idx="25">
                  <c:v>663</c:v>
                </c:pt>
                <c:pt idx="26">
                  <c:v>649</c:v>
                </c:pt>
              </c:numCache>
            </c:numRef>
          </c:val>
          <c:smooth val="0"/>
          <c:extLst xmlns:c16r2="http://schemas.microsoft.com/office/drawing/2015/06/chart">
            <c:ext xmlns:c16="http://schemas.microsoft.com/office/drawing/2014/chart" uri="{C3380CC4-5D6E-409C-BE32-E72D297353CC}">
              <c16:uniqueId val="{00000004-FF63-4B1B-8945-BE9FFD8A18D6}"/>
            </c:ext>
          </c:extLst>
        </c:ser>
        <c:ser>
          <c:idx val="5"/>
          <c:order val="5"/>
          <c:tx>
            <c:strRef>
              <c:f>'Sheet1 (2)'!$G$4:$G$5</c:f>
              <c:strCache>
                <c:ptCount val="1"/>
                <c:pt idx="0">
                  <c:v>Moderate to severe spasticity - upper limb, stroke</c:v>
                </c:pt>
              </c:strCache>
            </c:strRef>
          </c:tx>
          <c:cat>
            <c:strRef>
              <c:f>'Sheet1 (2)'!$A$6:$A$33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(2)'!$G$6:$G$33</c:f>
              <c:numCache>
                <c:formatCode>General</c:formatCode>
                <c:ptCount val="27"/>
                <c:pt idx="12">
                  <c:v>40</c:v>
                </c:pt>
                <c:pt idx="13">
                  <c:v>43</c:v>
                </c:pt>
                <c:pt idx="14">
                  <c:v>30</c:v>
                </c:pt>
                <c:pt idx="15">
                  <c:v>68</c:v>
                </c:pt>
                <c:pt idx="16">
                  <c:v>61</c:v>
                </c:pt>
                <c:pt idx="17">
                  <c:v>123</c:v>
                </c:pt>
                <c:pt idx="18">
                  <c:v>287</c:v>
                </c:pt>
                <c:pt idx="19">
                  <c:v>281</c:v>
                </c:pt>
                <c:pt idx="20">
                  <c:v>301</c:v>
                </c:pt>
                <c:pt idx="21">
                  <c:v>297</c:v>
                </c:pt>
                <c:pt idx="22">
                  <c:v>324</c:v>
                </c:pt>
                <c:pt idx="23">
                  <c:v>304</c:v>
                </c:pt>
                <c:pt idx="24">
                  <c:v>342</c:v>
                </c:pt>
                <c:pt idx="25">
                  <c:v>378</c:v>
                </c:pt>
                <c:pt idx="26">
                  <c:v>367</c:v>
                </c:pt>
              </c:numCache>
            </c:numRef>
          </c:val>
          <c:smooth val="0"/>
          <c:extLst xmlns:c16r2="http://schemas.microsoft.com/office/drawing/2015/06/chart">
            <c:ext xmlns:c16="http://schemas.microsoft.com/office/drawing/2014/chart" uri="{C3380CC4-5D6E-409C-BE32-E72D297353CC}">
              <c16:uniqueId val="{00000005-FF63-4B1B-8945-BE9FFD8A18D6}"/>
            </c:ext>
          </c:extLst>
        </c:ser>
        <c:ser>
          <c:idx val="6"/>
          <c:order val="6"/>
          <c:tx>
            <c:strRef>
              <c:f>'Sheet1 (2)'!$H$4:$H$5</c:f>
              <c:strCache>
                <c:ptCount val="1"/>
                <c:pt idx="0">
                  <c:v>Spasmodic torticollis</c:v>
                </c:pt>
              </c:strCache>
            </c:strRef>
          </c:tx>
          <c:cat>
            <c:strRef>
              <c:f>'Sheet1 (2)'!$A$6:$A$33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(2)'!$H$6:$H$33</c:f>
              <c:numCache>
                <c:formatCode>General</c:formatCode>
                <c:ptCount val="27"/>
                <c:pt idx="12">
                  <c:v>797</c:v>
                </c:pt>
                <c:pt idx="13">
                  <c:v>1050</c:v>
                </c:pt>
                <c:pt idx="14">
                  <c:v>1205</c:v>
                </c:pt>
                <c:pt idx="15">
                  <c:v>1380</c:v>
                </c:pt>
                <c:pt idx="16">
                  <c:v>1479</c:v>
                </c:pt>
                <c:pt idx="17">
                  <c:v>1694</c:v>
                </c:pt>
                <c:pt idx="18">
                  <c:v>1896</c:v>
                </c:pt>
                <c:pt idx="19">
                  <c:v>2081</c:v>
                </c:pt>
                <c:pt idx="20">
                  <c:v>2314</c:v>
                </c:pt>
                <c:pt idx="21">
                  <c:v>2574</c:v>
                </c:pt>
                <c:pt idx="22">
                  <c:v>2860</c:v>
                </c:pt>
                <c:pt idx="23">
                  <c:v>3057</c:v>
                </c:pt>
                <c:pt idx="24">
                  <c:v>3188</c:v>
                </c:pt>
                <c:pt idx="25">
                  <c:v>3515</c:v>
                </c:pt>
                <c:pt idx="26">
                  <c:v>3975</c:v>
                </c:pt>
              </c:numCache>
            </c:numRef>
          </c:val>
          <c:smooth val="0"/>
          <c:extLst xmlns:c16r2="http://schemas.microsoft.com/office/drawing/2015/06/chart">
            <c:ext xmlns:c16="http://schemas.microsoft.com/office/drawing/2014/chart" uri="{C3380CC4-5D6E-409C-BE32-E72D297353CC}">
              <c16:uniqueId val="{00000006-FF63-4B1B-8945-BE9FFD8A18D6}"/>
            </c:ext>
          </c:extLst>
        </c:ser>
        <c:dLbls>
          <c:showLegendKey val="0"/>
          <c:showVal val="0"/>
          <c:showCatName val="0"/>
          <c:showSerName val="0"/>
          <c:showPercent val="0"/>
          <c:showBubbleSize val="0"/>
        </c:dLbls>
        <c:marker val="1"/>
        <c:smooth val="0"/>
        <c:axId val="43771776"/>
        <c:axId val="73752576"/>
      </c:lineChart>
      <c:catAx>
        <c:axId val="43771776"/>
        <c:scaling>
          <c:orientation val="minMax"/>
        </c:scaling>
        <c:delete val="0"/>
        <c:axPos val="b"/>
        <c:title>
          <c:tx>
            <c:rich>
              <a:bodyPr/>
              <a:lstStyle/>
              <a:p>
                <a:pPr>
                  <a:defRPr b="0"/>
                </a:pPr>
                <a:r>
                  <a:rPr lang="en-US" b="0"/>
                  <a:t>Year of Service</a:t>
                </a:r>
              </a:p>
            </c:rich>
          </c:tx>
          <c:overlay val="0"/>
        </c:title>
        <c:numFmt formatCode="General" sourceLinked="0"/>
        <c:majorTickMark val="none"/>
        <c:minorTickMark val="none"/>
        <c:tickLblPos val="nextTo"/>
        <c:crossAx val="73752576"/>
        <c:crosses val="autoZero"/>
        <c:auto val="1"/>
        <c:lblAlgn val="ctr"/>
        <c:lblOffset val="100"/>
        <c:noMultiLvlLbl val="0"/>
      </c:catAx>
      <c:valAx>
        <c:axId val="73752576"/>
        <c:scaling>
          <c:orientation val="minMax"/>
        </c:scaling>
        <c:delete val="0"/>
        <c:axPos val="l"/>
        <c:majorGridlines/>
        <c:title>
          <c:tx>
            <c:rich>
              <a:bodyPr rot="-5400000" vert="horz"/>
              <a:lstStyle/>
              <a:p>
                <a:pPr>
                  <a:defRPr b="0"/>
                </a:pPr>
                <a:r>
                  <a:rPr lang="en-US" b="0"/>
                  <a:t>Patients</a:t>
                </a:r>
              </a:p>
            </c:rich>
          </c:tx>
          <c:overlay val="0"/>
        </c:title>
        <c:numFmt formatCode="#,##0" sourceLinked="0"/>
        <c:majorTickMark val="none"/>
        <c:minorTickMark val="none"/>
        <c:tickLblPos val="nextTo"/>
        <c:spPr>
          <a:ln w="9525">
            <a:noFill/>
          </a:ln>
        </c:spPr>
        <c:crossAx val="43771776"/>
        <c:crosses val="autoZero"/>
        <c:crossBetween val="between"/>
      </c:valAx>
    </c:plotArea>
    <c:legend>
      <c:legendPos val="b"/>
      <c:overlay val="0"/>
      <c:txPr>
        <a:bodyPr/>
        <a:lstStyle/>
        <a:p>
          <a:pPr>
            <a:defRPr sz="7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[D1060_PATCNTBY_MBS_IN_SERV_Y.xlsx]Sheet1 (3)!PivotTable3</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s>
    <c:plotArea>
      <c:layout>
        <c:manualLayout>
          <c:layoutTarget val="inner"/>
          <c:xMode val="edge"/>
          <c:yMode val="edge"/>
          <c:x val="0.13341141009479085"/>
          <c:y val="3.7461416616585981E-2"/>
          <c:w val="0.8420299207916998"/>
          <c:h val="0.59953835436722192"/>
        </c:manualLayout>
      </c:layout>
      <c:lineChart>
        <c:grouping val="standard"/>
        <c:varyColors val="0"/>
        <c:ser>
          <c:idx val="0"/>
          <c:order val="0"/>
          <c:tx>
            <c:strRef>
              <c:f>'Sheet1 (3)'!$B$4:$B$5</c:f>
              <c:strCache>
                <c:ptCount val="1"/>
                <c:pt idx="0">
                  <c:v>Blepharospasm</c:v>
                </c:pt>
              </c:strCache>
            </c:strRef>
          </c:tx>
          <c:cat>
            <c:strRef>
              <c:f>'Sheet1 (3)'!$A$6:$A$33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(3)'!$B$6:$B$33</c:f>
              <c:numCache>
                <c:formatCode>General</c:formatCode>
                <c:ptCount val="27"/>
                <c:pt idx="0">
                  <c:v>68</c:v>
                </c:pt>
                <c:pt idx="1">
                  <c:v>263</c:v>
                </c:pt>
                <c:pt idx="2">
                  <c:v>122</c:v>
                </c:pt>
                <c:pt idx="3">
                  <c:v>150</c:v>
                </c:pt>
                <c:pt idx="4">
                  <c:v>355</c:v>
                </c:pt>
                <c:pt idx="5">
                  <c:v>311</c:v>
                </c:pt>
                <c:pt idx="6">
                  <c:v>328</c:v>
                </c:pt>
                <c:pt idx="7">
                  <c:v>270</c:v>
                </c:pt>
                <c:pt idx="8">
                  <c:v>290</c:v>
                </c:pt>
                <c:pt idx="9">
                  <c:v>304</c:v>
                </c:pt>
                <c:pt idx="10">
                  <c:v>366</c:v>
                </c:pt>
                <c:pt idx="11">
                  <c:v>396</c:v>
                </c:pt>
                <c:pt idx="12">
                  <c:v>401</c:v>
                </c:pt>
                <c:pt idx="13">
                  <c:v>284</c:v>
                </c:pt>
                <c:pt idx="14">
                  <c:v>282</c:v>
                </c:pt>
                <c:pt idx="15">
                  <c:v>273</c:v>
                </c:pt>
                <c:pt idx="16">
                  <c:v>279</c:v>
                </c:pt>
                <c:pt idx="17">
                  <c:v>311</c:v>
                </c:pt>
                <c:pt idx="18">
                  <c:v>325</c:v>
                </c:pt>
                <c:pt idx="19">
                  <c:v>316</c:v>
                </c:pt>
                <c:pt idx="20">
                  <c:v>388</c:v>
                </c:pt>
                <c:pt idx="21">
                  <c:v>411</c:v>
                </c:pt>
                <c:pt idx="22">
                  <c:v>398</c:v>
                </c:pt>
                <c:pt idx="23">
                  <c:v>422</c:v>
                </c:pt>
                <c:pt idx="24">
                  <c:v>478</c:v>
                </c:pt>
                <c:pt idx="25">
                  <c:v>475</c:v>
                </c:pt>
                <c:pt idx="26">
                  <c:v>549</c:v>
                </c:pt>
              </c:numCache>
            </c:numRef>
          </c:val>
          <c:smooth val="0"/>
          <c:extLst xmlns:c16r2="http://schemas.microsoft.com/office/drawing/2015/06/chart">
            <c:ext xmlns:c16="http://schemas.microsoft.com/office/drawing/2014/chart" uri="{C3380CC4-5D6E-409C-BE32-E72D297353CC}">
              <c16:uniqueId val="{00000000-3B1E-436C-A79B-34D72400DEA3}"/>
            </c:ext>
          </c:extLst>
        </c:ser>
        <c:ser>
          <c:idx val="1"/>
          <c:order val="1"/>
          <c:tx>
            <c:strRef>
              <c:f>'Sheet1 (3)'!$C$4:$C$5</c:f>
              <c:strCache>
                <c:ptCount val="1"/>
                <c:pt idx="0">
                  <c:v>Dynamic equinus foot deformity</c:v>
                </c:pt>
              </c:strCache>
            </c:strRef>
          </c:tx>
          <c:cat>
            <c:strRef>
              <c:f>'Sheet1 (3)'!$A$6:$A$33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(3)'!$C$6:$C$33</c:f>
              <c:numCache>
                <c:formatCode>General</c:formatCode>
                <c:ptCount val="27"/>
                <c:pt idx="12">
                  <c:v>279</c:v>
                </c:pt>
                <c:pt idx="13">
                  <c:v>296</c:v>
                </c:pt>
                <c:pt idx="14">
                  <c:v>296</c:v>
                </c:pt>
                <c:pt idx="15">
                  <c:v>268</c:v>
                </c:pt>
                <c:pt idx="16">
                  <c:v>268</c:v>
                </c:pt>
                <c:pt idx="17">
                  <c:v>223</c:v>
                </c:pt>
                <c:pt idx="18">
                  <c:v>243</c:v>
                </c:pt>
                <c:pt idx="19">
                  <c:v>333</c:v>
                </c:pt>
                <c:pt idx="20">
                  <c:v>248</c:v>
                </c:pt>
                <c:pt idx="21">
                  <c:v>324</c:v>
                </c:pt>
                <c:pt idx="22">
                  <c:v>304</c:v>
                </c:pt>
                <c:pt idx="23">
                  <c:v>305</c:v>
                </c:pt>
                <c:pt idx="24">
                  <c:v>327</c:v>
                </c:pt>
                <c:pt idx="25">
                  <c:v>351</c:v>
                </c:pt>
                <c:pt idx="26">
                  <c:v>329</c:v>
                </c:pt>
              </c:numCache>
            </c:numRef>
          </c:val>
          <c:smooth val="0"/>
          <c:extLst xmlns:c16r2="http://schemas.microsoft.com/office/drawing/2015/06/chart">
            <c:ext xmlns:c16="http://schemas.microsoft.com/office/drawing/2014/chart" uri="{C3380CC4-5D6E-409C-BE32-E72D297353CC}">
              <c16:uniqueId val="{00000001-3B1E-436C-A79B-34D72400DEA3}"/>
            </c:ext>
          </c:extLst>
        </c:ser>
        <c:ser>
          <c:idx val="2"/>
          <c:order val="2"/>
          <c:tx>
            <c:strRef>
              <c:f>'Sheet1 (3)'!$D$4:$D$5</c:f>
              <c:strCache>
                <c:ptCount val="1"/>
                <c:pt idx="0">
                  <c:v>Hemifacial spasm</c:v>
                </c:pt>
              </c:strCache>
            </c:strRef>
          </c:tx>
          <c:cat>
            <c:strRef>
              <c:f>'Sheet1 (3)'!$A$6:$A$33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(3)'!$D$6:$D$33</c:f>
              <c:numCache>
                <c:formatCode>General</c:formatCode>
                <c:ptCount val="27"/>
                <c:pt idx="12">
                  <c:v>1548</c:v>
                </c:pt>
                <c:pt idx="13">
                  <c:v>723</c:v>
                </c:pt>
                <c:pt idx="14">
                  <c:v>569</c:v>
                </c:pt>
                <c:pt idx="15">
                  <c:v>530</c:v>
                </c:pt>
                <c:pt idx="16">
                  <c:v>542</c:v>
                </c:pt>
                <c:pt idx="17">
                  <c:v>565</c:v>
                </c:pt>
                <c:pt idx="18">
                  <c:v>682</c:v>
                </c:pt>
                <c:pt idx="19">
                  <c:v>624</c:v>
                </c:pt>
                <c:pt idx="20">
                  <c:v>652</c:v>
                </c:pt>
                <c:pt idx="21">
                  <c:v>625</c:v>
                </c:pt>
                <c:pt idx="22">
                  <c:v>715</c:v>
                </c:pt>
                <c:pt idx="23">
                  <c:v>655</c:v>
                </c:pt>
                <c:pt idx="24">
                  <c:v>615</c:v>
                </c:pt>
                <c:pt idx="25">
                  <c:v>724</c:v>
                </c:pt>
                <c:pt idx="26">
                  <c:v>724</c:v>
                </c:pt>
              </c:numCache>
            </c:numRef>
          </c:val>
          <c:smooth val="0"/>
          <c:extLst xmlns:c16r2="http://schemas.microsoft.com/office/drawing/2015/06/chart">
            <c:ext xmlns:c16="http://schemas.microsoft.com/office/drawing/2014/chart" uri="{C3380CC4-5D6E-409C-BE32-E72D297353CC}">
              <c16:uniqueId val="{00000002-3B1E-436C-A79B-34D72400DEA3}"/>
            </c:ext>
          </c:extLst>
        </c:ser>
        <c:ser>
          <c:idx val="3"/>
          <c:order val="3"/>
          <c:tx>
            <c:strRef>
              <c:f>'Sheet1 (3)'!$E$4:$E$5</c:f>
              <c:strCache>
                <c:ptCount val="1"/>
                <c:pt idx="0">
                  <c:v>Moderate to severe focal spasticity</c:v>
                </c:pt>
              </c:strCache>
            </c:strRef>
          </c:tx>
          <c:cat>
            <c:strRef>
              <c:f>'Sheet1 (3)'!$A$6:$A$33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(3)'!$E$6:$E$33</c:f>
              <c:numCache>
                <c:formatCode>General</c:formatCode>
                <c:ptCount val="27"/>
                <c:pt idx="12">
                  <c:v>221</c:v>
                </c:pt>
                <c:pt idx="13">
                  <c:v>271</c:v>
                </c:pt>
                <c:pt idx="14">
                  <c:v>284</c:v>
                </c:pt>
                <c:pt idx="15">
                  <c:v>344</c:v>
                </c:pt>
                <c:pt idx="16">
                  <c:v>335</c:v>
                </c:pt>
                <c:pt idx="17">
                  <c:v>353</c:v>
                </c:pt>
                <c:pt idx="18">
                  <c:v>506</c:v>
                </c:pt>
                <c:pt idx="19">
                  <c:v>556</c:v>
                </c:pt>
                <c:pt idx="20">
                  <c:v>578</c:v>
                </c:pt>
                <c:pt idx="21">
                  <c:v>593</c:v>
                </c:pt>
                <c:pt idx="22">
                  <c:v>612</c:v>
                </c:pt>
                <c:pt idx="23">
                  <c:v>698</c:v>
                </c:pt>
                <c:pt idx="24">
                  <c:v>594</c:v>
                </c:pt>
                <c:pt idx="25">
                  <c:v>586</c:v>
                </c:pt>
                <c:pt idx="26">
                  <c:v>656</c:v>
                </c:pt>
              </c:numCache>
            </c:numRef>
          </c:val>
          <c:smooth val="0"/>
          <c:extLst xmlns:c16r2="http://schemas.microsoft.com/office/drawing/2015/06/chart">
            <c:ext xmlns:c16="http://schemas.microsoft.com/office/drawing/2014/chart" uri="{C3380CC4-5D6E-409C-BE32-E72D297353CC}">
              <c16:uniqueId val="{00000003-3B1E-436C-A79B-34D72400DEA3}"/>
            </c:ext>
          </c:extLst>
        </c:ser>
        <c:ser>
          <c:idx val="4"/>
          <c:order val="4"/>
          <c:tx>
            <c:strRef>
              <c:f>'Sheet1 (3)'!$F$4:$F$5</c:f>
              <c:strCache>
                <c:ptCount val="1"/>
                <c:pt idx="0">
                  <c:v>Moderate to severe spasticity - upper limb, cerebral palsy</c:v>
                </c:pt>
              </c:strCache>
            </c:strRef>
          </c:tx>
          <c:cat>
            <c:strRef>
              <c:f>'Sheet1 (3)'!$A$6:$A$33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(3)'!$F$6:$F$33</c:f>
              <c:numCache>
                <c:formatCode>General</c:formatCode>
                <c:ptCount val="27"/>
                <c:pt idx="20">
                  <c:v>185</c:v>
                </c:pt>
                <c:pt idx="21">
                  <c:v>294</c:v>
                </c:pt>
                <c:pt idx="22">
                  <c:v>166</c:v>
                </c:pt>
                <c:pt idx="23">
                  <c:v>171</c:v>
                </c:pt>
                <c:pt idx="24">
                  <c:v>177</c:v>
                </c:pt>
                <c:pt idx="25">
                  <c:v>235</c:v>
                </c:pt>
                <c:pt idx="26">
                  <c:v>193</c:v>
                </c:pt>
              </c:numCache>
            </c:numRef>
          </c:val>
          <c:smooth val="0"/>
          <c:extLst xmlns:c16r2="http://schemas.microsoft.com/office/drawing/2015/06/chart">
            <c:ext xmlns:c16="http://schemas.microsoft.com/office/drawing/2014/chart" uri="{C3380CC4-5D6E-409C-BE32-E72D297353CC}">
              <c16:uniqueId val="{00000004-3B1E-436C-A79B-34D72400DEA3}"/>
            </c:ext>
          </c:extLst>
        </c:ser>
        <c:ser>
          <c:idx val="5"/>
          <c:order val="5"/>
          <c:tx>
            <c:strRef>
              <c:f>'Sheet1 (3)'!$G$4:$G$5</c:f>
              <c:strCache>
                <c:ptCount val="1"/>
                <c:pt idx="0">
                  <c:v>Moderate to severe spasticity - upper limb, stroke</c:v>
                </c:pt>
              </c:strCache>
            </c:strRef>
          </c:tx>
          <c:cat>
            <c:strRef>
              <c:f>'Sheet1 (3)'!$A$6:$A$33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(3)'!$G$6:$G$33</c:f>
              <c:numCache>
                <c:formatCode>General</c:formatCode>
                <c:ptCount val="27"/>
                <c:pt idx="12">
                  <c:v>40</c:v>
                </c:pt>
                <c:pt idx="13">
                  <c:v>28</c:v>
                </c:pt>
                <c:pt idx="14">
                  <c:v>18</c:v>
                </c:pt>
                <c:pt idx="15">
                  <c:v>55</c:v>
                </c:pt>
                <c:pt idx="16">
                  <c:v>37</c:v>
                </c:pt>
                <c:pt idx="17">
                  <c:v>88</c:v>
                </c:pt>
                <c:pt idx="18">
                  <c:v>219</c:v>
                </c:pt>
                <c:pt idx="19">
                  <c:v>174</c:v>
                </c:pt>
                <c:pt idx="20">
                  <c:v>193</c:v>
                </c:pt>
                <c:pt idx="21">
                  <c:v>165</c:v>
                </c:pt>
                <c:pt idx="22">
                  <c:v>182</c:v>
                </c:pt>
                <c:pt idx="23">
                  <c:v>173</c:v>
                </c:pt>
                <c:pt idx="24">
                  <c:v>195</c:v>
                </c:pt>
                <c:pt idx="25">
                  <c:v>221</c:v>
                </c:pt>
                <c:pt idx="26">
                  <c:v>185</c:v>
                </c:pt>
              </c:numCache>
            </c:numRef>
          </c:val>
          <c:smooth val="0"/>
          <c:extLst xmlns:c16r2="http://schemas.microsoft.com/office/drawing/2015/06/chart">
            <c:ext xmlns:c16="http://schemas.microsoft.com/office/drawing/2014/chart" uri="{C3380CC4-5D6E-409C-BE32-E72D297353CC}">
              <c16:uniqueId val="{00000005-3B1E-436C-A79B-34D72400DEA3}"/>
            </c:ext>
          </c:extLst>
        </c:ser>
        <c:ser>
          <c:idx val="6"/>
          <c:order val="6"/>
          <c:tx>
            <c:strRef>
              <c:f>'Sheet1 (3)'!$H$4:$H$5</c:f>
              <c:strCache>
                <c:ptCount val="1"/>
                <c:pt idx="0">
                  <c:v>Spasmodic torticollis</c:v>
                </c:pt>
              </c:strCache>
            </c:strRef>
          </c:tx>
          <c:cat>
            <c:strRef>
              <c:f>'Sheet1 (3)'!$A$6:$A$33</c:f>
              <c:strCache>
                <c:ptCount val="27"/>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strCache>
            </c:strRef>
          </c:cat>
          <c:val>
            <c:numRef>
              <c:f>'Sheet1 (3)'!$H$6:$H$33</c:f>
              <c:numCache>
                <c:formatCode>General</c:formatCode>
                <c:ptCount val="27"/>
                <c:pt idx="12">
                  <c:v>797</c:v>
                </c:pt>
                <c:pt idx="13">
                  <c:v>398</c:v>
                </c:pt>
                <c:pt idx="14">
                  <c:v>381</c:v>
                </c:pt>
                <c:pt idx="15">
                  <c:v>374</c:v>
                </c:pt>
                <c:pt idx="16">
                  <c:v>413</c:v>
                </c:pt>
                <c:pt idx="17">
                  <c:v>447</c:v>
                </c:pt>
                <c:pt idx="18">
                  <c:v>488</c:v>
                </c:pt>
                <c:pt idx="19">
                  <c:v>489</c:v>
                </c:pt>
                <c:pt idx="20">
                  <c:v>573</c:v>
                </c:pt>
                <c:pt idx="21">
                  <c:v>588</c:v>
                </c:pt>
                <c:pt idx="22">
                  <c:v>662</c:v>
                </c:pt>
                <c:pt idx="23">
                  <c:v>684</c:v>
                </c:pt>
                <c:pt idx="24">
                  <c:v>625</c:v>
                </c:pt>
                <c:pt idx="25">
                  <c:v>824</c:v>
                </c:pt>
                <c:pt idx="26">
                  <c:v>1018</c:v>
                </c:pt>
              </c:numCache>
            </c:numRef>
          </c:val>
          <c:smooth val="0"/>
          <c:extLst xmlns:c16r2="http://schemas.microsoft.com/office/drawing/2015/06/chart">
            <c:ext xmlns:c16="http://schemas.microsoft.com/office/drawing/2014/chart" uri="{C3380CC4-5D6E-409C-BE32-E72D297353CC}">
              <c16:uniqueId val="{00000006-3B1E-436C-A79B-34D72400DEA3}"/>
            </c:ext>
          </c:extLst>
        </c:ser>
        <c:dLbls>
          <c:showLegendKey val="0"/>
          <c:showVal val="0"/>
          <c:showCatName val="0"/>
          <c:showSerName val="0"/>
          <c:showPercent val="0"/>
          <c:showBubbleSize val="0"/>
        </c:dLbls>
        <c:marker val="1"/>
        <c:smooth val="0"/>
        <c:axId val="354455552"/>
        <c:axId val="354457472"/>
      </c:lineChart>
      <c:catAx>
        <c:axId val="354455552"/>
        <c:scaling>
          <c:orientation val="minMax"/>
        </c:scaling>
        <c:delete val="0"/>
        <c:axPos val="b"/>
        <c:title>
          <c:tx>
            <c:rich>
              <a:bodyPr/>
              <a:lstStyle/>
              <a:p>
                <a:pPr>
                  <a:defRPr b="0"/>
                </a:pPr>
                <a:r>
                  <a:rPr lang="en-US" b="0"/>
                  <a:t>Year of Service</a:t>
                </a:r>
              </a:p>
            </c:rich>
          </c:tx>
          <c:overlay val="0"/>
        </c:title>
        <c:numFmt formatCode="General" sourceLinked="0"/>
        <c:majorTickMark val="none"/>
        <c:minorTickMark val="none"/>
        <c:tickLblPos val="nextTo"/>
        <c:crossAx val="354457472"/>
        <c:crosses val="autoZero"/>
        <c:auto val="1"/>
        <c:lblAlgn val="ctr"/>
        <c:lblOffset val="100"/>
        <c:noMultiLvlLbl val="0"/>
      </c:catAx>
      <c:valAx>
        <c:axId val="354457472"/>
        <c:scaling>
          <c:orientation val="minMax"/>
        </c:scaling>
        <c:delete val="0"/>
        <c:axPos val="l"/>
        <c:majorGridlines/>
        <c:title>
          <c:tx>
            <c:rich>
              <a:bodyPr rot="-5400000" vert="horz"/>
              <a:lstStyle/>
              <a:p>
                <a:pPr>
                  <a:defRPr b="0"/>
                </a:pPr>
                <a:r>
                  <a:rPr lang="en-US" b="0"/>
                  <a:t>Patients</a:t>
                </a:r>
              </a:p>
            </c:rich>
          </c:tx>
          <c:overlay val="0"/>
        </c:title>
        <c:numFmt formatCode="#,##0" sourceLinked="0"/>
        <c:majorTickMark val="none"/>
        <c:minorTickMark val="none"/>
        <c:tickLblPos val="nextTo"/>
        <c:spPr>
          <a:ln w="9525">
            <a:noFill/>
          </a:ln>
        </c:spPr>
        <c:crossAx val="354455552"/>
        <c:crosses val="autoZero"/>
        <c:crossBetween val="between"/>
      </c:valAx>
    </c:plotArea>
    <c:legend>
      <c:legendPos val="b"/>
      <c:overlay val="0"/>
      <c:txPr>
        <a:bodyPr/>
        <a:lstStyle/>
        <a:p>
          <a:pPr>
            <a:defRPr sz="700"/>
          </a:pPr>
          <a:endParaRPr lang="en-US"/>
        </a:p>
      </c:txPr>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[D1060 - MBS services per patient, stroke inits prior to 1jan2016.xlsx]Sheet1!PivotTable1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s>
    <c:plotArea>
      <c:layout/>
      <c:barChart>
        <c:barDir val="col"/>
        <c:grouping val="clustered"/>
        <c:varyColors val="0"/>
        <c:ser>
          <c:idx val="0"/>
          <c:order val="0"/>
          <c:tx>
            <c:strRef>
              <c:f>Sheet1!$B$1</c:f>
              <c:strCache>
                <c:ptCount val="1"/>
                <c:pt idx="0">
                  <c:v>Total</c:v>
                </c:pt>
              </c:strCache>
            </c:strRef>
          </c:tx>
          <c:invertIfNegative val="0"/>
          <c:cat>
            <c:strRef>
              <c:f>Sheet1!$B$1</c:f>
              <c:strCach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&gt; 16</c:v>
                </c:pt>
              </c:strCache>
            </c:strRef>
          </c:cat>
          <c:val>
            <c:numRef>
              <c:f>Sheet1!$B$1</c:f>
              <c:numCache>
                <c:formatCode>General</c:formatCode>
                <c:ptCount val="17"/>
                <c:pt idx="0">
                  <c:v>519</c:v>
                </c:pt>
                <c:pt idx="1">
                  <c:v>369</c:v>
                </c:pt>
                <c:pt idx="2">
                  <c:v>167</c:v>
                </c:pt>
                <c:pt idx="3">
                  <c:v>162</c:v>
                </c:pt>
                <c:pt idx="4">
                  <c:v>58</c:v>
                </c:pt>
                <c:pt idx="5">
                  <c:v>83</c:v>
                </c:pt>
                <c:pt idx="6">
                  <c:v>29</c:v>
                </c:pt>
                <c:pt idx="7">
                  <c:v>44</c:v>
                </c:pt>
                <c:pt idx="8">
                  <c:v>21</c:v>
                </c:pt>
                <c:pt idx="9">
                  <c:v>24</c:v>
                </c:pt>
                <c:pt idx="10">
                  <c:v>12</c:v>
                </c:pt>
                <c:pt idx="11">
                  <c:v>22</c:v>
                </c:pt>
                <c:pt idx="12">
                  <c:v>6</c:v>
                </c:pt>
                <c:pt idx="13">
                  <c:v>9</c:v>
                </c:pt>
                <c:pt idx="14">
                  <c:v>6</c:v>
                </c:pt>
                <c:pt idx="15">
                  <c:v>8</c:v>
                </c:pt>
                <c:pt idx="16">
                  <c:v>28</c:v>
                </c:pt>
              </c:numCache>
            </c:numRef>
          </c:val>
          <c:extLst xmlns:c16r2="http://schemas.microsoft.com/office/drawing/2015/06/chart">
            <c:ext xmlns:c16="http://schemas.microsoft.com/office/drawing/2014/chart" uri="{C3380CC4-5D6E-409C-BE32-E72D297353CC}">
              <c16:uniqueId val="{00000000-DBC2-4548-BED1-1403E7A0A0B9}"/>
            </c:ext>
          </c:extLst>
        </c:ser>
        <c:dLbls>
          <c:showLegendKey val="0"/>
          <c:showVal val="0"/>
          <c:showCatName val="0"/>
          <c:showSerName val="0"/>
          <c:showPercent val="0"/>
          <c:showBubbleSize val="0"/>
        </c:dLbls>
        <c:gapWidth val="150"/>
        <c:axId val="354463104"/>
        <c:axId val="354481664"/>
      </c:barChart>
      <c:catAx>
        <c:axId val="354463104"/>
        <c:scaling>
          <c:orientation val="minMax"/>
        </c:scaling>
        <c:delete val="0"/>
        <c:axPos val="b"/>
        <c:title>
          <c:tx>
            <c:rich>
              <a:bodyPr/>
              <a:lstStyle/>
              <a:p>
                <a:pPr>
                  <a:defRPr b="0"/>
                </a:pPr>
                <a:r>
                  <a:rPr lang="en-US" b="0"/>
                  <a:t>Services per patient</a:t>
                </a:r>
              </a:p>
            </c:rich>
          </c:tx>
          <c:layout/>
          <c:overlay val="0"/>
        </c:title>
        <c:numFmt formatCode="General" sourceLinked="0"/>
        <c:majorTickMark val="out"/>
        <c:minorTickMark val="none"/>
        <c:tickLblPos val="nextTo"/>
        <c:crossAx val="354481664"/>
        <c:crosses val="autoZero"/>
        <c:auto val="1"/>
        <c:lblAlgn val="ctr"/>
        <c:lblOffset val="100"/>
        <c:noMultiLvlLbl val="0"/>
      </c:catAx>
      <c:valAx>
        <c:axId val="354481664"/>
        <c:scaling>
          <c:orientation val="minMax"/>
        </c:scaling>
        <c:delete val="0"/>
        <c:axPos val="l"/>
        <c:majorGridlines/>
        <c:title>
          <c:tx>
            <c:rich>
              <a:bodyPr rot="-5400000" vert="horz"/>
              <a:lstStyle/>
              <a:p>
                <a:pPr>
                  <a:defRPr b="0"/>
                </a:pPr>
                <a:r>
                  <a:rPr lang="en-US" b="0"/>
                  <a:t>Patients</a:t>
                </a:r>
              </a:p>
            </c:rich>
          </c:tx>
          <c:layout/>
          <c:overlay val="0"/>
        </c:title>
        <c:numFmt formatCode="General" sourceLinked="1"/>
        <c:majorTickMark val="out"/>
        <c:minorTickMark val="none"/>
        <c:tickLblPos val="nextTo"/>
        <c:crossAx val="354463104"/>
        <c:crosses val="autoZero"/>
        <c:crossBetween val="between"/>
      </c:valAx>
    </c:plotArea>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0180292719634222E-2"/>
          <c:y val="1.8056546410492726E-2"/>
          <c:w val="0.88772006937784109"/>
          <c:h val="0.65325075237770691"/>
        </c:manualLayout>
      </c:layout>
      <c:lineChart>
        <c:grouping val="standard"/>
        <c:varyColors val="0"/>
        <c:ser>
          <c:idx val="0"/>
          <c:order val="0"/>
          <c:tx>
            <c:strRef>
              <c:f>'Sheet1 (2)'!$L$5</c:f>
              <c:strCache>
                <c:ptCount val="1"/>
                <c:pt idx="0">
                  <c:v>Blepharospasm or hemifacial spasm</c:v>
                </c:pt>
              </c:strCache>
            </c:strRef>
          </c:tx>
          <c:cat>
            <c:strRef>
              <c:f>'Sheet1 (2)'!$K$6:$K$47</c:f>
              <c:strCache>
                <c:ptCount val="42"/>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1">
                  <c:v> 0-4  yrs</c:v>
                </c:pt>
                <c:pt idx="22">
                  <c:v> 5-9  yrs</c:v>
                </c:pt>
                <c:pt idx="23">
                  <c:v>10-14 yrs</c:v>
                </c:pt>
                <c:pt idx="24">
                  <c:v>15-19 yrs</c:v>
                </c:pt>
                <c:pt idx="25">
                  <c:v>20-24 yrs</c:v>
                </c:pt>
                <c:pt idx="26">
                  <c:v>25-29 yrs</c:v>
                </c:pt>
                <c:pt idx="27">
                  <c:v>30-34 yrs</c:v>
                </c:pt>
                <c:pt idx="28">
                  <c:v>35-39 yrs</c:v>
                </c:pt>
                <c:pt idx="29">
                  <c:v>40-44 yrs</c:v>
                </c:pt>
                <c:pt idx="30">
                  <c:v>45-49 yrs</c:v>
                </c:pt>
                <c:pt idx="31">
                  <c:v>50-54 yrs</c:v>
                </c:pt>
                <c:pt idx="32">
                  <c:v>55-59 yrs</c:v>
                </c:pt>
                <c:pt idx="33">
                  <c:v>60-64 yrs</c:v>
                </c:pt>
                <c:pt idx="34">
                  <c:v>65-69 yrs</c:v>
                </c:pt>
                <c:pt idx="35">
                  <c:v>70-74 yrs</c:v>
                </c:pt>
                <c:pt idx="36">
                  <c:v>75-79 yrs</c:v>
                </c:pt>
                <c:pt idx="37">
                  <c:v>80-84 yrs</c:v>
                </c:pt>
                <c:pt idx="38">
                  <c:v>85-89 yrs</c:v>
                </c:pt>
                <c:pt idx="39">
                  <c:v>90-94 yrs</c:v>
                </c:pt>
                <c:pt idx="40">
                  <c:v>95-99 yrs</c:v>
                </c:pt>
                <c:pt idx="41">
                  <c:v>100+  yrs</c:v>
                </c:pt>
              </c:strCache>
            </c:strRef>
          </c:cat>
          <c:val>
            <c:numRef>
              <c:f>'Sheet1 (2)'!$L$6:$L$47</c:f>
              <c:numCache>
                <c:formatCode>General</c:formatCode>
                <c:ptCount val="42"/>
                <c:pt idx="0">
                  <c:v>#N/A</c:v>
                </c:pt>
                <c:pt idx="1">
                  <c:v>5</c:v>
                </c:pt>
                <c:pt idx="2">
                  <c:v>5</c:v>
                </c:pt>
                <c:pt idx="3">
                  <c:v>5</c:v>
                </c:pt>
                <c:pt idx="4">
                  <c:v>22</c:v>
                </c:pt>
                <c:pt idx="5">
                  <c:v>32</c:v>
                </c:pt>
                <c:pt idx="6">
                  <c:v>65</c:v>
                </c:pt>
                <c:pt idx="7">
                  <c:v>92</c:v>
                </c:pt>
                <c:pt idx="8">
                  <c:v>145</c:v>
                </c:pt>
                <c:pt idx="9">
                  <c:v>217</c:v>
                </c:pt>
                <c:pt idx="10">
                  <c:v>250</c:v>
                </c:pt>
                <c:pt idx="11">
                  <c:v>363</c:v>
                </c:pt>
                <c:pt idx="12">
                  <c:v>414</c:v>
                </c:pt>
                <c:pt idx="13">
                  <c:v>528</c:v>
                </c:pt>
                <c:pt idx="14">
                  <c:v>497</c:v>
                </c:pt>
                <c:pt idx="15">
                  <c:v>471</c:v>
                </c:pt>
                <c:pt idx="16">
                  <c:v>329</c:v>
                </c:pt>
                <c:pt idx="17">
                  <c:v>184</c:v>
                </c:pt>
                <c:pt idx="18">
                  <c:v>65</c:v>
                </c:pt>
                <c:pt idx="19">
                  <c:v>17</c:v>
                </c:pt>
                <c:pt idx="21">
                  <c:v>#N/A</c:v>
                </c:pt>
                <c:pt idx="22">
                  <c:v>5</c:v>
                </c:pt>
                <c:pt idx="23">
                  <c:v>5</c:v>
                </c:pt>
                <c:pt idx="24">
                  <c:v>5</c:v>
                </c:pt>
                <c:pt idx="25">
                  <c:v>12</c:v>
                </c:pt>
                <c:pt idx="26">
                  <c:v>23</c:v>
                </c:pt>
                <c:pt idx="27">
                  <c:v>24</c:v>
                </c:pt>
                <c:pt idx="28">
                  <c:v>53</c:v>
                </c:pt>
                <c:pt idx="29">
                  <c:v>70</c:v>
                </c:pt>
                <c:pt idx="30">
                  <c:v>125</c:v>
                </c:pt>
                <c:pt idx="31">
                  <c:v>134</c:v>
                </c:pt>
                <c:pt idx="32">
                  <c:v>219</c:v>
                </c:pt>
                <c:pt idx="33">
                  <c:v>241</c:v>
                </c:pt>
                <c:pt idx="34">
                  <c:v>321</c:v>
                </c:pt>
                <c:pt idx="35">
                  <c:v>308</c:v>
                </c:pt>
                <c:pt idx="36">
                  <c:v>214</c:v>
                </c:pt>
                <c:pt idx="37">
                  <c:v>138</c:v>
                </c:pt>
                <c:pt idx="38">
                  <c:v>67</c:v>
                </c:pt>
                <c:pt idx="39">
                  <c:v>19</c:v>
                </c:pt>
                <c:pt idx="40">
                  <c:v>5</c:v>
                </c:pt>
                <c:pt idx="41">
                  <c:v>5</c:v>
                </c:pt>
              </c:numCache>
            </c:numRef>
          </c:val>
          <c:smooth val="0"/>
        </c:ser>
        <c:ser>
          <c:idx val="1"/>
          <c:order val="1"/>
          <c:tx>
            <c:strRef>
              <c:f>'Sheet1 (2)'!$M$5</c:f>
              <c:strCache>
                <c:ptCount val="1"/>
                <c:pt idx="0">
                  <c:v>Dynamic equinus foot deformity</c:v>
                </c:pt>
              </c:strCache>
            </c:strRef>
          </c:tx>
          <c:cat>
            <c:strRef>
              <c:f>'Sheet1 (2)'!$K$6:$K$47</c:f>
              <c:strCache>
                <c:ptCount val="42"/>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1">
                  <c:v> 0-4  yrs</c:v>
                </c:pt>
                <c:pt idx="22">
                  <c:v> 5-9  yrs</c:v>
                </c:pt>
                <c:pt idx="23">
                  <c:v>10-14 yrs</c:v>
                </c:pt>
                <c:pt idx="24">
                  <c:v>15-19 yrs</c:v>
                </c:pt>
                <c:pt idx="25">
                  <c:v>20-24 yrs</c:v>
                </c:pt>
                <c:pt idx="26">
                  <c:v>25-29 yrs</c:v>
                </c:pt>
                <c:pt idx="27">
                  <c:v>30-34 yrs</c:v>
                </c:pt>
                <c:pt idx="28">
                  <c:v>35-39 yrs</c:v>
                </c:pt>
                <c:pt idx="29">
                  <c:v>40-44 yrs</c:v>
                </c:pt>
                <c:pt idx="30">
                  <c:v>45-49 yrs</c:v>
                </c:pt>
                <c:pt idx="31">
                  <c:v>50-54 yrs</c:v>
                </c:pt>
                <c:pt idx="32">
                  <c:v>55-59 yrs</c:v>
                </c:pt>
                <c:pt idx="33">
                  <c:v>60-64 yrs</c:v>
                </c:pt>
                <c:pt idx="34">
                  <c:v>65-69 yrs</c:v>
                </c:pt>
                <c:pt idx="35">
                  <c:v>70-74 yrs</c:v>
                </c:pt>
                <c:pt idx="36">
                  <c:v>75-79 yrs</c:v>
                </c:pt>
                <c:pt idx="37">
                  <c:v>80-84 yrs</c:v>
                </c:pt>
                <c:pt idx="38">
                  <c:v>85-89 yrs</c:v>
                </c:pt>
                <c:pt idx="39">
                  <c:v>90-94 yrs</c:v>
                </c:pt>
                <c:pt idx="40">
                  <c:v>95-99 yrs</c:v>
                </c:pt>
                <c:pt idx="41">
                  <c:v>100+  yrs</c:v>
                </c:pt>
              </c:strCache>
            </c:strRef>
          </c:cat>
          <c:val>
            <c:numRef>
              <c:f>'Sheet1 (2)'!$M$6:$M$47</c:f>
              <c:numCache>
                <c:formatCode>General</c:formatCode>
                <c:ptCount val="42"/>
                <c:pt idx="0">
                  <c:v>164</c:v>
                </c:pt>
                <c:pt idx="1">
                  <c:v>365</c:v>
                </c:pt>
                <c:pt idx="2">
                  <c:v>186</c:v>
                </c:pt>
                <c:pt idx="3">
                  <c:v>73</c:v>
                </c:pt>
                <c:pt idx="4">
                  <c:v>37</c:v>
                </c:pt>
                <c:pt idx="5">
                  <c:v>11</c:v>
                </c:pt>
                <c:pt idx="6">
                  <c:v>5</c:v>
                </c:pt>
                <c:pt idx="7">
                  <c:v>5</c:v>
                </c:pt>
                <c:pt idx="8">
                  <c:v>5</c:v>
                </c:pt>
                <c:pt idx="9">
                  <c:v>5</c:v>
                </c:pt>
                <c:pt idx="10">
                  <c:v>#N/A</c:v>
                </c:pt>
                <c:pt idx="11">
                  <c:v>5</c:v>
                </c:pt>
                <c:pt idx="12">
                  <c:v>#N/A</c:v>
                </c:pt>
                <c:pt idx="13">
                  <c:v>5</c:v>
                </c:pt>
                <c:pt idx="14">
                  <c:v>#N/A</c:v>
                </c:pt>
                <c:pt idx="15">
                  <c:v>#N/A</c:v>
                </c:pt>
                <c:pt idx="16">
                  <c:v>#N/A</c:v>
                </c:pt>
                <c:pt idx="17">
                  <c:v>#N/A</c:v>
                </c:pt>
                <c:pt idx="18">
                  <c:v>#N/A</c:v>
                </c:pt>
                <c:pt idx="19">
                  <c:v>#N/A</c:v>
                </c:pt>
                <c:pt idx="21">
                  <c:v>249</c:v>
                </c:pt>
                <c:pt idx="22">
                  <c:v>493</c:v>
                </c:pt>
                <c:pt idx="23">
                  <c:v>311</c:v>
                </c:pt>
                <c:pt idx="24">
                  <c:v>114</c:v>
                </c:pt>
                <c:pt idx="25">
                  <c:v>22</c:v>
                </c:pt>
                <c:pt idx="26">
                  <c:v>7</c:v>
                </c:pt>
                <c:pt idx="27">
                  <c:v>5</c:v>
                </c:pt>
                <c:pt idx="28">
                  <c:v>5</c:v>
                </c:pt>
                <c:pt idx="29">
                  <c:v>5</c:v>
                </c:pt>
                <c:pt idx="30">
                  <c:v>5</c:v>
                </c:pt>
                <c:pt idx="31">
                  <c:v>5</c:v>
                </c:pt>
                <c:pt idx="32">
                  <c:v>5</c:v>
                </c:pt>
                <c:pt idx="33">
                  <c:v>#N/A</c:v>
                </c:pt>
                <c:pt idx="34">
                  <c:v>5</c:v>
                </c:pt>
                <c:pt idx="35">
                  <c:v>#N/A</c:v>
                </c:pt>
                <c:pt idx="36">
                  <c:v>#N/A</c:v>
                </c:pt>
                <c:pt idx="37">
                  <c:v>#N/A</c:v>
                </c:pt>
                <c:pt idx="38">
                  <c:v>#N/A</c:v>
                </c:pt>
                <c:pt idx="39">
                  <c:v>#N/A</c:v>
                </c:pt>
                <c:pt idx="40">
                  <c:v>#N/A</c:v>
                </c:pt>
                <c:pt idx="41">
                  <c:v>#N/A</c:v>
                </c:pt>
              </c:numCache>
            </c:numRef>
          </c:val>
          <c:smooth val="0"/>
        </c:ser>
        <c:ser>
          <c:idx val="2"/>
          <c:order val="2"/>
          <c:tx>
            <c:strRef>
              <c:f>'Sheet1 (2)'!$N$5</c:f>
              <c:strCache>
                <c:ptCount val="1"/>
                <c:pt idx="0">
                  <c:v>Moderate to severe spasticity - upper limb, cerebral palsy</c:v>
                </c:pt>
              </c:strCache>
            </c:strRef>
          </c:tx>
          <c:cat>
            <c:strRef>
              <c:f>'Sheet1 (2)'!$K$6:$K$47</c:f>
              <c:strCache>
                <c:ptCount val="42"/>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1">
                  <c:v> 0-4  yrs</c:v>
                </c:pt>
                <c:pt idx="22">
                  <c:v> 5-9  yrs</c:v>
                </c:pt>
                <c:pt idx="23">
                  <c:v>10-14 yrs</c:v>
                </c:pt>
                <c:pt idx="24">
                  <c:v>15-19 yrs</c:v>
                </c:pt>
                <c:pt idx="25">
                  <c:v>20-24 yrs</c:v>
                </c:pt>
                <c:pt idx="26">
                  <c:v>25-29 yrs</c:v>
                </c:pt>
                <c:pt idx="27">
                  <c:v>30-34 yrs</c:v>
                </c:pt>
                <c:pt idx="28">
                  <c:v>35-39 yrs</c:v>
                </c:pt>
                <c:pt idx="29">
                  <c:v>40-44 yrs</c:v>
                </c:pt>
                <c:pt idx="30">
                  <c:v>45-49 yrs</c:v>
                </c:pt>
                <c:pt idx="31">
                  <c:v>50-54 yrs</c:v>
                </c:pt>
                <c:pt idx="32">
                  <c:v>55-59 yrs</c:v>
                </c:pt>
                <c:pt idx="33">
                  <c:v>60-64 yrs</c:v>
                </c:pt>
                <c:pt idx="34">
                  <c:v>65-69 yrs</c:v>
                </c:pt>
                <c:pt idx="35">
                  <c:v>70-74 yrs</c:v>
                </c:pt>
                <c:pt idx="36">
                  <c:v>75-79 yrs</c:v>
                </c:pt>
                <c:pt idx="37">
                  <c:v>80-84 yrs</c:v>
                </c:pt>
                <c:pt idx="38">
                  <c:v>85-89 yrs</c:v>
                </c:pt>
                <c:pt idx="39">
                  <c:v>90-94 yrs</c:v>
                </c:pt>
                <c:pt idx="40">
                  <c:v>95-99 yrs</c:v>
                </c:pt>
                <c:pt idx="41">
                  <c:v>100+  yrs</c:v>
                </c:pt>
              </c:strCache>
            </c:strRef>
          </c:cat>
          <c:val>
            <c:numRef>
              <c:f>'Sheet1 (2)'!$N$6:$N$47</c:f>
              <c:numCache>
                <c:formatCode>General</c:formatCode>
                <c:ptCount val="42"/>
                <c:pt idx="0">
                  <c:v>86</c:v>
                </c:pt>
                <c:pt idx="1">
                  <c:v>148</c:v>
                </c:pt>
                <c:pt idx="2">
                  <c:v>118</c:v>
                </c:pt>
                <c:pt idx="3">
                  <c:v>76</c:v>
                </c:pt>
                <c:pt idx="4">
                  <c:v>28</c:v>
                </c:pt>
                <c:pt idx="5">
                  <c:v>15</c:v>
                </c:pt>
                <c:pt idx="6">
                  <c:v>11</c:v>
                </c:pt>
                <c:pt idx="7">
                  <c:v>#N/A</c:v>
                </c:pt>
                <c:pt idx="8">
                  <c:v>5</c:v>
                </c:pt>
                <c:pt idx="9">
                  <c:v>5</c:v>
                </c:pt>
                <c:pt idx="10">
                  <c:v>7</c:v>
                </c:pt>
                <c:pt idx="11">
                  <c:v>5</c:v>
                </c:pt>
                <c:pt idx="12">
                  <c:v>5</c:v>
                </c:pt>
                <c:pt idx="13">
                  <c:v>5</c:v>
                </c:pt>
                <c:pt idx="14">
                  <c:v>5</c:v>
                </c:pt>
                <c:pt idx="15">
                  <c:v>5</c:v>
                </c:pt>
                <c:pt idx="16">
                  <c:v>5</c:v>
                </c:pt>
                <c:pt idx="17">
                  <c:v>#N/A</c:v>
                </c:pt>
                <c:pt idx="18">
                  <c:v>#N/A</c:v>
                </c:pt>
                <c:pt idx="19">
                  <c:v>#N/A</c:v>
                </c:pt>
                <c:pt idx="21">
                  <c:v>96</c:v>
                </c:pt>
                <c:pt idx="22">
                  <c:v>173</c:v>
                </c:pt>
                <c:pt idx="23">
                  <c:v>146</c:v>
                </c:pt>
                <c:pt idx="24">
                  <c:v>79</c:v>
                </c:pt>
                <c:pt idx="25">
                  <c:v>39</c:v>
                </c:pt>
                <c:pt idx="26">
                  <c:v>12</c:v>
                </c:pt>
                <c:pt idx="27">
                  <c:v>5</c:v>
                </c:pt>
                <c:pt idx="28">
                  <c:v>5</c:v>
                </c:pt>
                <c:pt idx="29">
                  <c:v>5</c:v>
                </c:pt>
                <c:pt idx="30">
                  <c:v>5</c:v>
                </c:pt>
                <c:pt idx="31">
                  <c:v>5</c:v>
                </c:pt>
                <c:pt idx="32">
                  <c:v>5</c:v>
                </c:pt>
                <c:pt idx="33">
                  <c:v>5</c:v>
                </c:pt>
                <c:pt idx="34">
                  <c:v>#N/A</c:v>
                </c:pt>
                <c:pt idx="35">
                  <c:v>5</c:v>
                </c:pt>
                <c:pt idx="36">
                  <c:v>5</c:v>
                </c:pt>
                <c:pt idx="37">
                  <c:v>#N/A</c:v>
                </c:pt>
                <c:pt idx="38">
                  <c:v>#N/A</c:v>
                </c:pt>
                <c:pt idx="39">
                  <c:v>#N/A</c:v>
                </c:pt>
                <c:pt idx="40">
                  <c:v>#N/A</c:v>
                </c:pt>
                <c:pt idx="41">
                  <c:v>#N/A</c:v>
                </c:pt>
              </c:numCache>
            </c:numRef>
          </c:val>
          <c:smooth val="0"/>
        </c:ser>
        <c:ser>
          <c:idx val="3"/>
          <c:order val="3"/>
          <c:tx>
            <c:strRef>
              <c:f>'Sheet1 (2)'!$O$5</c:f>
              <c:strCache>
                <c:ptCount val="1"/>
                <c:pt idx="0">
                  <c:v>Moderate to severe spasticity - upper limb, stroke</c:v>
                </c:pt>
              </c:strCache>
            </c:strRef>
          </c:tx>
          <c:cat>
            <c:strRef>
              <c:f>'Sheet1 (2)'!$K$6:$K$47</c:f>
              <c:strCache>
                <c:ptCount val="42"/>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1">
                  <c:v> 0-4  yrs</c:v>
                </c:pt>
                <c:pt idx="22">
                  <c:v> 5-9  yrs</c:v>
                </c:pt>
                <c:pt idx="23">
                  <c:v>10-14 yrs</c:v>
                </c:pt>
                <c:pt idx="24">
                  <c:v>15-19 yrs</c:v>
                </c:pt>
                <c:pt idx="25">
                  <c:v>20-24 yrs</c:v>
                </c:pt>
                <c:pt idx="26">
                  <c:v>25-29 yrs</c:v>
                </c:pt>
                <c:pt idx="27">
                  <c:v>30-34 yrs</c:v>
                </c:pt>
                <c:pt idx="28">
                  <c:v>35-39 yrs</c:v>
                </c:pt>
                <c:pt idx="29">
                  <c:v>40-44 yrs</c:v>
                </c:pt>
                <c:pt idx="30">
                  <c:v>45-49 yrs</c:v>
                </c:pt>
                <c:pt idx="31">
                  <c:v>50-54 yrs</c:v>
                </c:pt>
                <c:pt idx="32">
                  <c:v>55-59 yrs</c:v>
                </c:pt>
                <c:pt idx="33">
                  <c:v>60-64 yrs</c:v>
                </c:pt>
                <c:pt idx="34">
                  <c:v>65-69 yrs</c:v>
                </c:pt>
                <c:pt idx="35">
                  <c:v>70-74 yrs</c:v>
                </c:pt>
                <c:pt idx="36">
                  <c:v>75-79 yrs</c:v>
                </c:pt>
                <c:pt idx="37">
                  <c:v>80-84 yrs</c:v>
                </c:pt>
                <c:pt idx="38">
                  <c:v>85-89 yrs</c:v>
                </c:pt>
                <c:pt idx="39">
                  <c:v>90-94 yrs</c:v>
                </c:pt>
                <c:pt idx="40">
                  <c:v>95-99 yrs</c:v>
                </c:pt>
                <c:pt idx="41">
                  <c:v>100+  yrs</c:v>
                </c:pt>
              </c:strCache>
            </c:strRef>
          </c:cat>
          <c:val>
            <c:numRef>
              <c:f>'Sheet1 (2)'!$O$6:$O$47</c:f>
              <c:numCache>
                <c:formatCode>General</c:formatCode>
                <c:ptCount val="42"/>
                <c:pt idx="0">
                  <c:v>#N/A</c:v>
                </c:pt>
                <c:pt idx="1">
                  <c:v>#N/A</c:v>
                </c:pt>
                <c:pt idx="2">
                  <c:v>#N/A</c:v>
                </c:pt>
                <c:pt idx="3">
                  <c:v>5</c:v>
                </c:pt>
                <c:pt idx="4">
                  <c:v>8</c:v>
                </c:pt>
                <c:pt idx="5">
                  <c:v>5</c:v>
                </c:pt>
                <c:pt idx="6">
                  <c:v>8</c:v>
                </c:pt>
                <c:pt idx="7">
                  <c:v>19</c:v>
                </c:pt>
                <c:pt idx="8">
                  <c:v>26</c:v>
                </c:pt>
                <c:pt idx="9">
                  <c:v>19</c:v>
                </c:pt>
                <c:pt idx="10">
                  <c:v>34</c:v>
                </c:pt>
                <c:pt idx="11">
                  <c:v>30</c:v>
                </c:pt>
                <c:pt idx="12">
                  <c:v>30</c:v>
                </c:pt>
                <c:pt idx="13">
                  <c:v>42</c:v>
                </c:pt>
                <c:pt idx="14">
                  <c:v>44</c:v>
                </c:pt>
                <c:pt idx="15">
                  <c:v>36</c:v>
                </c:pt>
                <c:pt idx="16">
                  <c:v>15</c:v>
                </c:pt>
                <c:pt idx="17">
                  <c:v>10</c:v>
                </c:pt>
                <c:pt idx="18">
                  <c:v>6</c:v>
                </c:pt>
                <c:pt idx="19">
                  <c:v>5</c:v>
                </c:pt>
                <c:pt idx="21">
                  <c:v>#N/A</c:v>
                </c:pt>
                <c:pt idx="22">
                  <c:v>#N/A</c:v>
                </c:pt>
                <c:pt idx="23">
                  <c:v>5</c:v>
                </c:pt>
                <c:pt idx="24">
                  <c:v>5</c:v>
                </c:pt>
                <c:pt idx="25">
                  <c:v>6</c:v>
                </c:pt>
                <c:pt idx="26">
                  <c:v>5</c:v>
                </c:pt>
                <c:pt idx="27">
                  <c:v>11</c:v>
                </c:pt>
                <c:pt idx="28">
                  <c:v>12</c:v>
                </c:pt>
                <c:pt idx="29">
                  <c:v>18</c:v>
                </c:pt>
                <c:pt idx="30">
                  <c:v>27</c:v>
                </c:pt>
                <c:pt idx="31">
                  <c:v>32</c:v>
                </c:pt>
                <c:pt idx="32">
                  <c:v>43</c:v>
                </c:pt>
                <c:pt idx="33">
                  <c:v>38</c:v>
                </c:pt>
                <c:pt idx="34">
                  <c:v>63</c:v>
                </c:pt>
                <c:pt idx="35">
                  <c:v>54</c:v>
                </c:pt>
                <c:pt idx="36">
                  <c:v>57</c:v>
                </c:pt>
                <c:pt idx="37">
                  <c:v>28</c:v>
                </c:pt>
                <c:pt idx="38">
                  <c:v>7</c:v>
                </c:pt>
                <c:pt idx="39">
                  <c:v>5</c:v>
                </c:pt>
                <c:pt idx="40">
                  <c:v>#N/A</c:v>
                </c:pt>
                <c:pt idx="41">
                  <c:v>#N/A</c:v>
                </c:pt>
              </c:numCache>
            </c:numRef>
          </c:val>
          <c:smooth val="0"/>
        </c:ser>
        <c:ser>
          <c:idx val="4"/>
          <c:order val="4"/>
          <c:tx>
            <c:strRef>
              <c:f>'Sheet1 (2)'!$P$5</c:f>
              <c:strCache>
                <c:ptCount val="1"/>
                <c:pt idx="0">
                  <c:v>Spasmodic torticollis</c:v>
                </c:pt>
              </c:strCache>
            </c:strRef>
          </c:tx>
          <c:cat>
            <c:strRef>
              <c:f>'Sheet1 (2)'!$K$6:$K$47</c:f>
              <c:strCache>
                <c:ptCount val="42"/>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1">
                  <c:v> 0-4  yrs</c:v>
                </c:pt>
                <c:pt idx="22">
                  <c:v> 5-9  yrs</c:v>
                </c:pt>
                <c:pt idx="23">
                  <c:v>10-14 yrs</c:v>
                </c:pt>
                <c:pt idx="24">
                  <c:v>15-19 yrs</c:v>
                </c:pt>
                <c:pt idx="25">
                  <c:v>20-24 yrs</c:v>
                </c:pt>
                <c:pt idx="26">
                  <c:v>25-29 yrs</c:v>
                </c:pt>
                <c:pt idx="27">
                  <c:v>30-34 yrs</c:v>
                </c:pt>
                <c:pt idx="28">
                  <c:v>35-39 yrs</c:v>
                </c:pt>
                <c:pt idx="29">
                  <c:v>40-44 yrs</c:v>
                </c:pt>
                <c:pt idx="30">
                  <c:v>45-49 yrs</c:v>
                </c:pt>
                <c:pt idx="31">
                  <c:v>50-54 yrs</c:v>
                </c:pt>
                <c:pt idx="32">
                  <c:v>55-59 yrs</c:v>
                </c:pt>
                <c:pt idx="33">
                  <c:v>60-64 yrs</c:v>
                </c:pt>
                <c:pt idx="34">
                  <c:v>65-69 yrs</c:v>
                </c:pt>
                <c:pt idx="35">
                  <c:v>70-74 yrs</c:v>
                </c:pt>
                <c:pt idx="36">
                  <c:v>75-79 yrs</c:v>
                </c:pt>
                <c:pt idx="37">
                  <c:v>80-84 yrs</c:v>
                </c:pt>
                <c:pt idx="38">
                  <c:v>85-89 yrs</c:v>
                </c:pt>
                <c:pt idx="39">
                  <c:v>90-94 yrs</c:v>
                </c:pt>
                <c:pt idx="40">
                  <c:v>95-99 yrs</c:v>
                </c:pt>
                <c:pt idx="41">
                  <c:v>100+  yrs</c:v>
                </c:pt>
              </c:strCache>
            </c:strRef>
          </c:cat>
          <c:val>
            <c:numRef>
              <c:f>'Sheet1 (2)'!$P$6:$P$47</c:f>
              <c:numCache>
                <c:formatCode>General</c:formatCode>
                <c:ptCount val="42"/>
                <c:pt idx="0">
                  <c:v>#N/A</c:v>
                </c:pt>
                <c:pt idx="1">
                  <c:v>#N/A</c:v>
                </c:pt>
                <c:pt idx="2">
                  <c:v>5</c:v>
                </c:pt>
                <c:pt idx="3">
                  <c:v>10</c:v>
                </c:pt>
                <c:pt idx="4">
                  <c:v>36</c:v>
                </c:pt>
                <c:pt idx="5">
                  <c:v>60</c:v>
                </c:pt>
                <c:pt idx="6">
                  <c:v>78</c:v>
                </c:pt>
                <c:pt idx="7">
                  <c:v>132</c:v>
                </c:pt>
                <c:pt idx="8">
                  <c:v>167</c:v>
                </c:pt>
                <c:pt idx="9">
                  <c:v>247</c:v>
                </c:pt>
                <c:pt idx="10">
                  <c:v>249</c:v>
                </c:pt>
                <c:pt idx="11">
                  <c:v>365</c:v>
                </c:pt>
                <c:pt idx="12">
                  <c:v>361</c:v>
                </c:pt>
                <c:pt idx="13">
                  <c:v>367</c:v>
                </c:pt>
                <c:pt idx="14">
                  <c:v>392</c:v>
                </c:pt>
                <c:pt idx="15">
                  <c:v>234</c:v>
                </c:pt>
                <c:pt idx="16">
                  <c:v>153</c:v>
                </c:pt>
                <c:pt idx="17">
                  <c:v>57</c:v>
                </c:pt>
                <c:pt idx="18">
                  <c:v>22</c:v>
                </c:pt>
                <c:pt idx="19">
                  <c:v>5</c:v>
                </c:pt>
                <c:pt idx="21">
                  <c:v>5</c:v>
                </c:pt>
                <c:pt idx="22">
                  <c:v>5</c:v>
                </c:pt>
                <c:pt idx="23">
                  <c:v>5</c:v>
                </c:pt>
                <c:pt idx="24">
                  <c:v>6</c:v>
                </c:pt>
                <c:pt idx="25">
                  <c:v>26</c:v>
                </c:pt>
                <c:pt idx="26">
                  <c:v>35</c:v>
                </c:pt>
                <c:pt idx="27">
                  <c:v>53</c:v>
                </c:pt>
                <c:pt idx="28">
                  <c:v>62</c:v>
                </c:pt>
                <c:pt idx="29">
                  <c:v>88</c:v>
                </c:pt>
                <c:pt idx="30">
                  <c:v>118</c:v>
                </c:pt>
                <c:pt idx="31">
                  <c:v>110</c:v>
                </c:pt>
                <c:pt idx="32">
                  <c:v>131</c:v>
                </c:pt>
                <c:pt idx="33">
                  <c:v>148</c:v>
                </c:pt>
                <c:pt idx="34">
                  <c:v>170</c:v>
                </c:pt>
                <c:pt idx="35">
                  <c:v>141</c:v>
                </c:pt>
                <c:pt idx="36">
                  <c:v>82</c:v>
                </c:pt>
                <c:pt idx="37">
                  <c:v>44</c:v>
                </c:pt>
                <c:pt idx="38">
                  <c:v>24</c:v>
                </c:pt>
                <c:pt idx="39">
                  <c:v>5</c:v>
                </c:pt>
                <c:pt idx="40">
                  <c:v>#N/A</c:v>
                </c:pt>
                <c:pt idx="41">
                  <c:v>#N/A</c:v>
                </c:pt>
              </c:numCache>
            </c:numRef>
          </c:val>
          <c:smooth val="0"/>
        </c:ser>
        <c:dLbls>
          <c:showLegendKey val="0"/>
          <c:showVal val="0"/>
          <c:showCatName val="0"/>
          <c:showSerName val="0"/>
          <c:showPercent val="0"/>
          <c:showBubbleSize val="0"/>
        </c:dLbls>
        <c:marker val="1"/>
        <c:smooth val="0"/>
        <c:axId val="361269504"/>
        <c:axId val="361295872"/>
      </c:lineChart>
      <c:catAx>
        <c:axId val="361269504"/>
        <c:scaling>
          <c:orientation val="minMax"/>
        </c:scaling>
        <c:delete val="0"/>
        <c:axPos val="b"/>
        <c:majorTickMark val="out"/>
        <c:minorTickMark val="none"/>
        <c:tickLblPos val="nextTo"/>
        <c:txPr>
          <a:bodyPr/>
          <a:lstStyle/>
          <a:p>
            <a:pPr>
              <a:defRPr sz="800"/>
            </a:pPr>
            <a:endParaRPr lang="en-US"/>
          </a:p>
        </c:txPr>
        <c:crossAx val="361295872"/>
        <c:crosses val="autoZero"/>
        <c:auto val="1"/>
        <c:lblAlgn val="ctr"/>
        <c:lblOffset val="100"/>
        <c:noMultiLvlLbl val="0"/>
      </c:catAx>
      <c:valAx>
        <c:axId val="361295872"/>
        <c:scaling>
          <c:orientation val="minMax"/>
        </c:scaling>
        <c:delete val="0"/>
        <c:axPos val="l"/>
        <c:majorGridlines/>
        <c:title>
          <c:tx>
            <c:rich>
              <a:bodyPr rot="-5400000" vert="horz"/>
              <a:lstStyle/>
              <a:p>
                <a:pPr>
                  <a:defRPr b="0"/>
                </a:pPr>
                <a:r>
                  <a:rPr lang="en-US" b="0"/>
                  <a:t>Patients</a:t>
                </a:r>
              </a:p>
            </c:rich>
          </c:tx>
          <c:layout/>
          <c:overlay val="0"/>
        </c:title>
        <c:numFmt formatCode="General" sourceLinked="1"/>
        <c:majorTickMark val="out"/>
        <c:minorTickMark val="none"/>
        <c:tickLblPos val="nextTo"/>
        <c:crossAx val="361269504"/>
        <c:crosses val="autoZero"/>
        <c:crossBetween val="between"/>
      </c:valAx>
    </c:plotArea>
    <c:legend>
      <c:legendPos val="b"/>
      <c:layout>
        <c:manualLayout>
          <c:xMode val="edge"/>
          <c:yMode val="edge"/>
          <c:x val="2.0737435370260749E-3"/>
          <c:y val="0.83624549921690405"/>
          <c:w val="0.99792625646297395"/>
          <c:h val="0.1432524333172949"/>
        </c:manualLayout>
      </c:layout>
      <c:overlay val="0"/>
      <c:txPr>
        <a:bodyPr/>
        <a:lstStyle/>
        <a:p>
          <a:pPr>
            <a:defRPr sz="800"/>
          </a:pPr>
          <a:endParaRPr lang="en-US"/>
        </a:p>
      </c:txPr>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[D1060_PATCNTBY_INDICA_SUPP_Y, by age, gender, state &amp; ind, age adj.xlsx]Sheet1 (5)!PivotTable1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pivotFmt>
      <c:pivotFmt>
        <c:idx val="17"/>
      </c:pivotFmt>
      <c:pivotFmt>
        <c:idx val="18"/>
      </c:pivotFmt>
      <c:pivotFmt>
        <c:idx val="19"/>
      </c:pivotFmt>
      <c:pivotFmt>
        <c:idx val="20"/>
        <c:dLbl>
          <c:idx val="0"/>
          <c:delete val="1"/>
          <c:extLst xmlns:c16r2="http://schemas.microsoft.com/office/drawing/2015/06/chart">
            <c:ext xmlns:c15="http://schemas.microsoft.com/office/drawing/2012/chart" uri="{CE6537A1-D6FC-4f65-9D91-7224C49458BB}"/>
          </c:extLst>
        </c:dLbl>
      </c:pivotFmt>
      <c:pivotFmt>
        <c:idx val="21"/>
      </c:pivotFmt>
      <c:pivotFmt>
        <c:idx val="22"/>
      </c:pivotFmt>
      <c:pivotFmt>
        <c:idx val="23"/>
      </c:pivotFmt>
      <c:pivotFmt>
        <c:idx val="24"/>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s>
    <c:plotArea>
      <c:layout>
        <c:manualLayout>
          <c:layoutTarget val="inner"/>
          <c:xMode val="edge"/>
          <c:yMode val="edge"/>
          <c:x val="9.8018089929224408E-2"/>
          <c:y val="6.1152716255915326E-2"/>
          <c:w val="0.79005027583235343"/>
          <c:h val="0.70660598411407172"/>
        </c:manualLayout>
      </c:layout>
      <c:barChart>
        <c:barDir val="col"/>
        <c:grouping val="clustered"/>
        <c:varyColors val="0"/>
        <c:ser>
          <c:idx val="0"/>
          <c:order val="0"/>
          <c:tx>
            <c:strRef>
              <c:f>'Sheet1 (5)'!$C$1</c:f>
              <c:strCache>
                <c:ptCount val="1"/>
                <c:pt idx="0">
                  <c:v>ACT</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0.27091456617429582</c:v>
                </c:pt>
                <c:pt idx="1">
                  <c:v>0.18295846905645899</c:v>
                </c:pt>
                <c:pt idx="2">
                  <c:v>7.3575346217425328E-2</c:v>
                </c:pt>
                <c:pt idx="3">
                  <c:v>4.8736481174385317E-2</c:v>
                </c:pt>
                <c:pt idx="4">
                  <c:v>3.5462774727093263E-2</c:v>
                </c:pt>
              </c:numCache>
            </c:numRef>
          </c:val>
          <c:extLst xmlns:c16r2="http://schemas.microsoft.com/office/drawing/2015/06/chart">
            <c:ext xmlns:c16="http://schemas.microsoft.com/office/drawing/2014/chart" uri="{C3380CC4-5D6E-409C-BE32-E72D297353CC}">
              <c16:uniqueId val="{00000000-89CB-4CB4-90EB-65ADF1596625}"/>
            </c:ext>
          </c:extLst>
        </c:ser>
        <c:ser>
          <c:idx val="1"/>
          <c:order val="1"/>
          <c:tx>
            <c:strRef>
              <c:f>'Sheet1 (5)'!$C$1</c:f>
              <c:strCache>
                <c:ptCount val="1"/>
                <c:pt idx="0">
                  <c:v>NSW</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0.24629236333631632</c:v>
                </c:pt>
                <c:pt idx="1">
                  <c:v>0.17503752905664968</c:v>
                </c:pt>
                <c:pt idx="2">
                  <c:v>9.1277811104824705E-2</c:v>
                </c:pt>
                <c:pt idx="3">
                  <c:v>5.3146228492485494E-2</c:v>
                </c:pt>
                <c:pt idx="4">
                  <c:v>3.3296842335753654E-2</c:v>
                </c:pt>
              </c:numCache>
            </c:numRef>
          </c:val>
          <c:extLst xmlns:c16r2="http://schemas.microsoft.com/office/drawing/2015/06/chart">
            <c:ext xmlns:c16="http://schemas.microsoft.com/office/drawing/2014/chart" uri="{C3380CC4-5D6E-409C-BE32-E72D297353CC}">
              <c16:uniqueId val="{00000001-89CB-4CB4-90EB-65ADF1596625}"/>
            </c:ext>
          </c:extLst>
        </c:ser>
        <c:ser>
          <c:idx val="2"/>
          <c:order val="2"/>
          <c:tx>
            <c:strRef>
              <c:f>'Sheet1 (5)'!$C$1</c:f>
              <c:strCache>
                <c:ptCount val="1"/>
                <c:pt idx="0">
                  <c:v>NT</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0.16320552415792902</c:v>
                </c:pt>
                <c:pt idx="1">
                  <c:v>8.6331036736667588E-2</c:v>
                </c:pt>
                <c:pt idx="2">
                  <c:v>7.1785095639894755E-2</c:v>
                </c:pt>
                <c:pt idx="3">
                  <c:v>5.0394275539016244E-2</c:v>
                </c:pt>
                <c:pt idx="4">
                  <c:v>2.9022954813195001E-2</c:v>
                </c:pt>
              </c:numCache>
            </c:numRef>
          </c:val>
          <c:extLst xmlns:c16r2="http://schemas.microsoft.com/office/drawing/2015/06/chart">
            <c:ext xmlns:c16="http://schemas.microsoft.com/office/drawing/2014/chart" uri="{C3380CC4-5D6E-409C-BE32-E72D297353CC}">
              <c16:uniqueId val="{00000002-89CB-4CB4-90EB-65ADF1596625}"/>
            </c:ext>
          </c:extLst>
        </c:ser>
        <c:ser>
          <c:idx val="3"/>
          <c:order val="3"/>
          <c:tx>
            <c:strRef>
              <c:f>'Sheet1 (5)'!$C$1</c:f>
              <c:strCache>
                <c:ptCount val="1"/>
                <c:pt idx="0">
                  <c:v>QLD</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0.21854081553319632</c:v>
                </c:pt>
                <c:pt idx="1">
                  <c:v>0.22570412420261174</c:v>
                </c:pt>
                <c:pt idx="2">
                  <c:v>7.0633410739666572E-2</c:v>
                </c:pt>
                <c:pt idx="3">
                  <c:v>3.4055232019868466E-2</c:v>
                </c:pt>
                <c:pt idx="4">
                  <c:v>2.9546102878038272E-2</c:v>
                </c:pt>
              </c:numCache>
            </c:numRef>
          </c:val>
          <c:extLst xmlns:c16r2="http://schemas.microsoft.com/office/drawing/2015/06/chart">
            <c:ext xmlns:c16="http://schemas.microsoft.com/office/drawing/2014/chart" uri="{C3380CC4-5D6E-409C-BE32-E72D297353CC}">
              <c16:uniqueId val="{00000003-89CB-4CB4-90EB-65ADF1596625}"/>
            </c:ext>
          </c:extLst>
        </c:ser>
        <c:ser>
          <c:idx val="4"/>
          <c:order val="4"/>
          <c:tx>
            <c:strRef>
              <c:f>'Sheet1 (5)'!$C$1</c:f>
              <c:strCache>
                <c:ptCount val="1"/>
                <c:pt idx="0">
                  <c:v>SA</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0.237719970031918</c:v>
                </c:pt>
                <c:pt idx="1">
                  <c:v>0.17097346897777063</c:v>
                </c:pt>
                <c:pt idx="2">
                  <c:v>8.8692302842641554E-2</c:v>
                </c:pt>
                <c:pt idx="3">
                  <c:v>5.7132881490934123E-2</c:v>
                </c:pt>
                <c:pt idx="4">
                  <c:v>4.6960554921918668E-2</c:v>
                </c:pt>
              </c:numCache>
            </c:numRef>
          </c:val>
          <c:extLst xmlns:c16r2="http://schemas.microsoft.com/office/drawing/2015/06/chart">
            <c:ext xmlns:c16="http://schemas.microsoft.com/office/drawing/2014/chart" uri="{C3380CC4-5D6E-409C-BE32-E72D297353CC}">
              <c16:uniqueId val="{00000004-89CB-4CB4-90EB-65ADF1596625}"/>
            </c:ext>
          </c:extLst>
        </c:ser>
        <c:ser>
          <c:idx val="5"/>
          <c:order val="5"/>
          <c:tx>
            <c:strRef>
              <c:f>'Sheet1 (5)'!$C$1</c:f>
              <c:strCache>
                <c:ptCount val="1"/>
                <c:pt idx="0">
                  <c:v>TAS</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0.22997366653498247</c:v>
                </c:pt>
                <c:pt idx="1">
                  <c:v>0.1242578095440432</c:v>
                </c:pt>
                <c:pt idx="2">
                  <c:v>8.1894227206098583E-2</c:v>
                </c:pt>
                <c:pt idx="3">
                  <c:v>8.9314296151317737E-2</c:v>
                </c:pt>
                <c:pt idx="4">
                  <c:v>2.9180819603446116E-2</c:v>
                </c:pt>
              </c:numCache>
            </c:numRef>
          </c:val>
          <c:extLst xmlns:c16r2="http://schemas.microsoft.com/office/drawing/2015/06/chart">
            <c:ext xmlns:c16="http://schemas.microsoft.com/office/drawing/2014/chart" uri="{C3380CC4-5D6E-409C-BE32-E72D297353CC}">
              <c16:uniqueId val="{00000005-89CB-4CB4-90EB-65ADF1596625}"/>
            </c:ext>
          </c:extLst>
        </c:ser>
        <c:ser>
          <c:idx val="6"/>
          <c:order val="6"/>
          <c:tx>
            <c:strRef>
              <c:f>'Sheet1 (5)'!$C$1</c:f>
              <c:strCache>
                <c:ptCount val="1"/>
                <c:pt idx="0">
                  <c:v>VIC</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0.22981750291055372</c:v>
                </c:pt>
                <c:pt idx="1">
                  <c:v>0.15466637066043237</c:v>
                </c:pt>
                <c:pt idx="2">
                  <c:v>7.3963690132767296E-2</c:v>
                </c:pt>
                <c:pt idx="3">
                  <c:v>3.1922034171083823E-2</c:v>
                </c:pt>
                <c:pt idx="4">
                  <c:v>2.7411663058329365E-2</c:v>
                </c:pt>
              </c:numCache>
            </c:numRef>
          </c:val>
          <c:extLst xmlns:c16r2="http://schemas.microsoft.com/office/drawing/2015/06/chart">
            <c:ext xmlns:c16="http://schemas.microsoft.com/office/drawing/2014/chart" uri="{C3380CC4-5D6E-409C-BE32-E72D297353CC}">
              <c16:uniqueId val="{00000006-89CB-4CB4-90EB-65ADF1596625}"/>
            </c:ext>
          </c:extLst>
        </c:ser>
        <c:ser>
          <c:idx val="7"/>
          <c:order val="7"/>
          <c:tx>
            <c:strRef>
              <c:f>'Sheet1 (5)'!$C$1</c:f>
              <c:strCache>
                <c:ptCount val="1"/>
                <c:pt idx="0">
                  <c:v>WA</c:v>
                </c:pt>
              </c:strCache>
            </c:strRef>
          </c:tx>
          <c:invertIfNegative val="0"/>
          <c:cat>
            <c:strRef>
              <c:f>'Sheet1 (5)'!$C$1</c:f>
              <c:strCache>
                <c:ptCount val="5"/>
                <c:pt idx="0">
                  <c:v>Blepharospasm or hemifacial spasm</c:v>
                </c:pt>
                <c:pt idx="1">
                  <c:v>Spasmodic torticollis</c:v>
                </c:pt>
                <c:pt idx="2">
                  <c:v>Dynamic equinus foot deformity</c:v>
                </c:pt>
                <c:pt idx="3">
                  <c:v>Moderate to severe spasticity - upper limb, cerebral palsy</c:v>
                </c:pt>
                <c:pt idx="4">
                  <c:v>Moderate to severe spasticity - upper limb, stroke</c:v>
                </c:pt>
              </c:strCache>
            </c:strRef>
          </c:cat>
          <c:val>
            <c:numRef>
              <c:f>'Sheet1 (5)'!$C$1</c:f>
              <c:numCache>
                <c:formatCode>General</c:formatCode>
                <c:ptCount val="5"/>
                <c:pt idx="0">
                  <c:v>0.20240728140973591</c:v>
                </c:pt>
                <c:pt idx="1">
                  <c:v>9.7964251653315737E-2</c:v>
                </c:pt>
                <c:pt idx="2">
                  <c:v>0.10896108868544621</c:v>
                </c:pt>
                <c:pt idx="3">
                  <c:v>4.6001156122928363E-2</c:v>
                </c:pt>
                <c:pt idx="4">
                  <c:v>1.5465454651265476E-2</c:v>
                </c:pt>
              </c:numCache>
            </c:numRef>
          </c:val>
          <c:extLst xmlns:c16r2="http://schemas.microsoft.com/office/drawing/2015/06/chart">
            <c:ext xmlns:c16="http://schemas.microsoft.com/office/drawing/2014/chart" uri="{C3380CC4-5D6E-409C-BE32-E72D297353CC}">
              <c16:uniqueId val="{00000007-89CB-4CB4-90EB-65ADF1596625}"/>
            </c:ext>
          </c:extLst>
        </c:ser>
        <c:dLbls>
          <c:showLegendKey val="0"/>
          <c:showVal val="0"/>
          <c:showCatName val="0"/>
          <c:showSerName val="0"/>
          <c:showPercent val="0"/>
          <c:showBubbleSize val="0"/>
        </c:dLbls>
        <c:gapWidth val="150"/>
        <c:axId val="414319360"/>
        <c:axId val="414320896"/>
      </c:barChart>
      <c:catAx>
        <c:axId val="414319360"/>
        <c:scaling>
          <c:orientation val="minMax"/>
        </c:scaling>
        <c:delete val="0"/>
        <c:axPos val="b"/>
        <c:numFmt formatCode="General" sourceLinked="0"/>
        <c:majorTickMark val="none"/>
        <c:minorTickMark val="none"/>
        <c:tickLblPos val="nextTo"/>
        <c:txPr>
          <a:bodyPr/>
          <a:lstStyle/>
          <a:p>
            <a:pPr>
              <a:defRPr sz="1000"/>
            </a:pPr>
            <a:endParaRPr lang="en-US"/>
          </a:p>
        </c:txPr>
        <c:crossAx val="414320896"/>
        <c:crosses val="autoZero"/>
        <c:auto val="1"/>
        <c:lblAlgn val="ctr"/>
        <c:lblOffset val="100"/>
        <c:noMultiLvlLbl val="0"/>
      </c:catAx>
      <c:valAx>
        <c:axId val="414320896"/>
        <c:scaling>
          <c:orientation val="minMax"/>
        </c:scaling>
        <c:delete val="0"/>
        <c:axPos val="l"/>
        <c:majorGridlines/>
        <c:title>
          <c:tx>
            <c:rich>
              <a:bodyPr/>
              <a:lstStyle/>
              <a:p>
                <a:pPr>
                  <a:defRPr b="0"/>
                </a:pPr>
                <a:r>
                  <a:rPr lang="en-US" b="0"/>
                  <a:t>Patients per 1,000 population</a:t>
                </a:r>
              </a:p>
            </c:rich>
          </c:tx>
          <c:layout/>
          <c:overlay val="0"/>
        </c:title>
        <c:numFmt formatCode="General" sourceLinked="0"/>
        <c:majorTickMark val="none"/>
        <c:minorTickMark val="none"/>
        <c:tickLblPos val="nextTo"/>
        <c:crossAx val="414319360"/>
        <c:crosses val="autoZero"/>
        <c:crossBetween val="between"/>
      </c:valAx>
    </c:plotArea>
    <c:legend>
      <c:legendPos val="r"/>
      <c:layout/>
      <c:overlay val="0"/>
    </c:legend>
    <c:plotVisOnly val="1"/>
    <c:dispBlanksAs val="gap"/>
    <c:showDLblsOverMax val="0"/>
  </c:chart>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0.16749</cdr:x>
      <cdr:y>0.78568</cdr:y>
    </cdr:from>
    <cdr:to>
      <cdr:x>0.34483</cdr:x>
      <cdr:y>0.81211</cdr:y>
    </cdr:to>
    <cdr:sp macro="" textlink="">
      <cdr:nvSpPr>
        <cdr:cNvPr id="2" name="TextBox 1"/>
        <cdr:cNvSpPr txBox="1"/>
      </cdr:nvSpPr>
      <cdr:spPr>
        <a:xfrm xmlns:a="http://schemas.openxmlformats.org/drawingml/2006/main">
          <a:off x="952632" y="2919586"/>
          <a:ext cx="1008656" cy="98214"/>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AU" sz="1000"/>
            <a:t>Female</a:t>
          </a:r>
          <a:endParaRPr lang="en-AU" sz="1100"/>
        </a:p>
      </cdr:txBody>
    </cdr:sp>
  </cdr:relSizeAnchor>
  <cdr:relSizeAnchor xmlns:cdr="http://schemas.openxmlformats.org/drawingml/2006/chartDrawing">
    <cdr:from>
      <cdr:x>0.64401</cdr:x>
      <cdr:y>0.78291</cdr:y>
    </cdr:from>
    <cdr:to>
      <cdr:x>0.82135</cdr:x>
      <cdr:y>0.80934</cdr:y>
    </cdr:to>
    <cdr:sp macro="" textlink="">
      <cdr:nvSpPr>
        <cdr:cNvPr id="3" name="TextBox 1"/>
        <cdr:cNvSpPr txBox="1"/>
      </cdr:nvSpPr>
      <cdr:spPr>
        <a:xfrm xmlns:a="http://schemas.openxmlformats.org/drawingml/2006/main">
          <a:off x="3662932" y="2909326"/>
          <a:ext cx="1008656" cy="98215"/>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1000"/>
            <a:t>Male</a:t>
          </a:r>
          <a:endParaRPr lang="en-A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Missing 3 &amp; 4, add 5">
    <a:dk1>
      <a:sysClr val="windowText" lastClr="000000"/>
    </a:dk1>
    <a:lt1>
      <a:sysClr val="window" lastClr="FFFFFF"/>
    </a:lt1>
    <a:dk2>
      <a:srgbClr val="1F497D"/>
    </a:dk2>
    <a:lt2>
      <a:srgbClr val="EEECE1"/>
    </a:lt2>
    <a:accent1>
      <a:srgbClr val="4F81BD"/>
    </a:accent1>
    <a:accent2>
      <a:srgbClr val="C0504D"/>
    </a:accent2>
    <a:accent3>
      <a:srgbClr val="4BACC6"/>
    </a:accent3>
    <a:accent4>
      <a:srgbClr val="F79646"/>
    </a:accent4>
    <a:accent5>
      <a:srgbClr val="000000"/>
    </a:accent5>
    <a:accent6>
      <a:srgbClr val="C6D9F0"/>
    </a:accent6>
    <a:hlink>
      <a:srgbClr val="800080"/>
    </a:hlink>
    <a:folHlink>
      <a:srgbClr val="00000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Missing 3 &amp; 4">
    <a:dk1>
      <a:sysClr val="windowText" lastClr="000000"/>
    </a:dk1>
    <a:lt1>
      <a:sysClr val="window" lastClr="FFFFFF"/>
    </a:lt1>
    <a:dk2>
      <a:srgbClr val="1F497D"/>
    </a:dk2>
    <a:lt2>
      <a:srgbClr val="EEECE1"/>
    </a:lt2>
    <a:accent1>
      <a:srgbClr val="4F81BD"/>
    </a:accent1>
    <a:accent2>
      <a:srgbClr val="C0504D"/>
    </a:accent2>
    <a:accent3>
      <a:srgbClr val="4BACC6"/>
    </a:accent3>
    <a:accent4>
      <a:srgbClr val="F79646"/>
    </a:accent4>
    <a:accent5>
      <a:srgbClr val="C6D9F0"/>
    </a:accent5>
    <a:accent6>
      <a:srgbClr val="000000"/>
    </a:accent6>
    <a:hlink>
      <a:srgbClr val="800080"/>
    </a:hlink>
    <a:folHlink>
      <a:srgbClr val="00000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Missing 3 &amp; 4">
    <a:dk1>
      <a:sysClr val="windowText" lastClr="000000"/>
    </a:dk1>
    <a:lt1>
      <a:sysClr val="window" lastClr="FFFFFF"/>
    </a:lt1>
    <a:dk2>
      <a:srgbClr val="1F497D"/>
    </a:dk2>
    <a:lt2>
      <a:srgbClr val="EEECE1"/>
    </a:lt2>
    <a:accent1>
      <a:srgbClr val="4F81BD"/>
    </a:accent1>
    <a:accent2>
      <a:srgbClr val="C0504D"/>
    </a:accent2>
    <a:accent3>
      <a:srgbClr val="4BACC6"/>
    </a:accent3>
    <a:accent4>
      <a:srgbClr val="F79646"/>
    </a:accent4>
    <a:accent5>
      <a:srgbClr val="C6D9F0"/>
    </a:accent5>
    <a:accent6>
      <a:srgbClr val="000000"/>
    </a:accent6>
    <a:hlink>
      <a:srgbClr val="800080"/>
    </a:hlink>
    <a:folHlink>
      <a:srgbClr val="00000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E644B-7CAC-4625-B391-69715FE52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9616</Words>
  <Characters>54812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2018-10-10T00:29:00Z</dcterms:created>
  <dcterms:modified xsi:type="dcterms:W3CDTF">2018-10-18T04:44:00Z</dcterms:modified>
</cp:coreProperties>
</file>