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A3C130" w14:textId="78DB96CC" w:rsidR="00832324" w:rsidRDefault="00652E03" w:rsidP="00FE645A">
      <w:pPr>
        <w:pStyle w:val="Title"/>
      </w:pPr>
      <w:bookmarkStart w:id="0" w:name="_GoBack"/>
      <w:bookmarkEnd w:id="0"/>
      <w:r>
        <w:t>Pregabalin: 12 month predicted versus actual analysis</w:t>
      </w:r>
    </w:p>
    <w:p w14:paraId="68F00614" w14:textId="799F8740" w:rsidR="00736041" w:rsidRPr="001D390D" w:rsidRDefault="009053D3" w:rsidP="001D390D">
      <w:pPr>
        <w:pStyle w:val="Heading1"/>
      </w:pPr>
      <w:r w:rsidRPr="001D390D">
        <w:t>D</w:t>
      </w:r>
      <w:r w:rsidR="00832324" w:rsidRPr="001D390D">
        <w:t>rug utilisation sub-committee (DUSC)</w:t>
      </w:r>
    </w:p>
    <w:p w14:paraId="78148839" w14:textId="3F48F556" w:rsidR="009053D3" w:rsidRPr="001D390D" w:rsidRDefault="003575FC" w:rsidP="001D390D">
      <w:pPr>
        <w:pStyle w:val="Heading2"/>
      </w:pPr>
      <w:r>
        <w:t>October 2014</w:t>
      </w:r>
    </w:p>
    <w:p w14:paraId="7EFD635C" w14:textId="77777777" w:rsidR="000F760B" w:rsidRPr="001D390D" w:rsidRDefault="000F760B" w:rsidP="001D390D">
      <w:pPr>
        <w:pStyle w:val="Heading3"/>
      </w:pPr>
      <w:r w:rsidRPr="001D390D">
        <w:t>Abstract</w:t>
      </w:r>
    </w:p>
    <w:p w14:paraId="59D9C006" w14:textId="77777777" w:rsidR="000F760B" w:rsidRDefault="000F760B" w:rsidP="00A55579">
      <w:pPr>
        <w:pStyle w:val="Heading4"/>
      </w:pPr>
      <w:r>
        <w:t>Purpose</w:t>
      </w:r>
    </w:p>
    <w:p w14:paraId="1AFF23FE" w14:textId="778FC9D3" w:rsidR="00E24405" w:rsidRDefault="00E24405" w:rsidP="0087764F">
      <w:pPr>
        <w:rPr>
          <w:highlight w:val="yellow"/>
        </w:rPr>
      </w:pPr>
      <w:r w:rsidRPr="00E24405">
        <w:t xml:space="preserve">To examine the utilisation of pregabalin for neuropathic pain in the twelve months after PBS listing (1 </w:t>
      </w:r>
      <w:r w:rsidR="00C06F2B">
        <w:t xml:space="preserve">March 2013 to 28 February 2014).  In recommending the listing of pregabalin at its March 2012 meeting, the </w:t>
      </w:r>
      <w:r w:rsidR="00C06F2B" w:rsidRPr="009B7D58">
        <w:t xml:space="preserve">PBAC </w:t>
      </w:r>
      <w:r w:rsidR="00C06F2B">
        <w:t>was</w:t>
      </w:r>
      <w:r w:rsidR="00C06F2B" w:rsidRPr="009B7D58">
        <w:t xml:space="preserve"> concerned about the potential for use beyond the estima</w:t>
      </w:r>
      <w:r w:rsidR="00C06F2B">
        <w:t xml:space="preserve">tes presented in the submission and considered that it </w:t>
      </w:r>
      <w:r w:rsidR="00C06F2B" w:rsidRPr="001E153B">
        <w:t>was essential that the DUSC review usage 12 months after PBS listing.</w:t>
      </w:r>
    </w:p>
    <w:p w14:paraId="3BA390B2" w14:textId="581F46EF" w:rsidR="00856BB4" w:rsidRDefault="00856BB4" w:rsidP="00A55579">
      <w:pPr>
        <w:pStyle w:val="Heading4"/>
      </w:pPr>
      <w:r w:rsidRPr="00E05D90">
        <w:t>Date of listing on PBS</w:t>
      </w:r>
    </w:p>
    <w:p w14:paraId="431949B7" w14:textId="77777777" w:rsidR="00786E21" w:rsidRPr="00E46241" w:rsidRDefault="00786E21" w:rsidP="00786E21">
      <w:r>
        <w:t>1 March 2013.</w:t>
      </w:r>
    </w:p>
    <w:p w14:paraId="0A327B3F" w14:textId="77777777" w:rsidR="000F760B" w:rsidRDefault="000F760B" w:rsidP="00A55579">
      <w:pPr>
        <w:pStyle w:val="Heading4"/>
      </w:pPr>
      <w:r>
        <w:t>Data Source / methodology</w:t>
      </w:r>
    </w:p>
    <w:p w14:paraId="054F5101" w14:textId="77777777" w:rsidR="008D5C07" w:rsidRDefault="008D5C07" w:rsidP="008D5C07">
      <w:pPr>
        <w:pStyle w:val="NoSpacing"/>
      </w:pPr>
      <w:r w:rsidRPr="0048575C">
        <w:t>Data for</w:t>
      </w:r>
      <w:r>
        <w:t xml:space="preserve"> pregabalin </w:t>
      </w:r>
      <w:r w:rsidRPr="0048575C">
        <w:t>w</w:t>
      </w:r>
      <w:r>
        <w:t>as</w:t>
      </w:r>
      <w:r w:rsidRPr="0048575C">
        <w:t xml:space="preserve"> extracted</w:t>
      </w:r>
      <w:r>
        <w:t xml:space="preserve"> from the DUSC database from the date of listing on the PBS (1 March 2013) to the most current available data (March 2014).</w:t>
      </w:r>
    </w:p>
    <w:p w14:paraId="5B1E63EA" w14:textId="77777777" w:rsidR="009479D1" w:rsidRDefault="000F760B" w:rsidP="009479D1">
      <w:pPr>
        <w:pStyle w:val="Heading4"/>
      </w:pPr>
      <w:r>
        <w:t>Key Findings</w:t>
      </w:r>
    </w:p>
    <w:p w14:paraId="0406995E" w14:textId="77777777" w:rsidR="001C24A4" w:rsidRDefault="001C24A4" w:rsidP="001C24A4">
      <w:pPr>
        <w:pStyle w:val="NoSpacing"/>
        <w:numPr>
          <w:ilvl w:val="0"/>
          <w:numId w:val="2"/>
        </w:numPr>
        <w:tabs>
          <w:tab w:val="left" w:pos="284"/>
        </w:tabs>
        <w:ind w:left="284" w:hanging="284"/>
      </w:pPr>
      <w:r>
        <w:t>The total number of prescriptions of pregabalin supplied in the first 12 months of PBS listing of 1</w:t>
      </w:r>
      <w:r w:rsidRPr="004A192A">
        <w:t xml:space="preserve">,389,678 </w:t>
      </w:r>
      <w:r>
        <w:t>was similar to predicted, however utilisation is yet to stabilise and the total number of prescriptions is increasing.</w:t>
      </w:r>
    </w:p>
    <w:p w14:paraId="268D946F" w14:textId="77777777" w:rsidR="00BE7C36" w:rsidRDefault="001C24A4" w:rsidP="00BE7C36">
      <w:pPr>
        <w:pStyle w:val="NoSpacing"/>
        <w:numPr>
          <w:ilvl w:val="0"/>
          <w:numId w:val="2"/>
        </w:numPr>
        <w:tabs>
          <w:tab w:val="left" w:pos="284"/>
        </w:tabs>
        <w:ind w:left="284" w:hanging="284"/>
      </w:pPr>
      <w:r>
        <w:t>There were 294,274 PBS/RPBS patients treated with PBS subsidised pregabalin in the first year of listing.  This was higher than estimated, however it is unclear at this time point what proportion of patients are continuing on treatment with pregabalin, and for how long.</w:t>
      </w:r>
    </w:p>
    <w:p w14:paraId="73CD7B47" w14:textId="4EDDE25D" w:rsidR="00BE7C36" w:rsidRDefault="00BE7C36" w:rsidP="00BE7C36">
      <w:pPr>
        <w:pStyle w:val="NoSpacing"/>
        <w:numPr>
          <w:ilvl w:val="0"/>
          <w:numId w:val="2"/>
        </w:numPr>
        <w:tabs>
          <w:tab w:val="left" w:pos="284"/>
        </w:tabs>
        <w:ind w:left="284" w:hanging="284"/>
      </w:pPr>
      <w:r w:rsidRPr="00BE7C36">
        <w:t>The PBS/ RPBS expenditure in the first twelve months of listing was $60.7 million.</w:t>
      </w:r>
    </w:p>
    <w:p w14:paraId="0D077133" w14:textId="02973ACD" w:rsidR="001C24A4" w:rsidRDefault="001C24A4" w:rsidP="001C24A4">
      <w:pPr>
        <w:pStyle w:val="NoSpacing"/>
        <w:numPr>
          <w:ilvl w:val="0"/>
          <w:numId w:val="2"/>
        </w:numPr>
        <w:tabs>
          <w:tab w:val="left" w:pos="284"/>
        </w:tabs>
        <w:ind w:left="284" w:hanging="284"/>
      </w:pPr>
      <w:r w:rsidRPr="001C24A4">
        <w:t>The most commonly supplied strength of pregabalin is 75 mg, accounting for approximately half of all prescriptions.</w:t>
      </w:r>
    </w:p>
    <w:p w14:paraId="38B57ECC" w14:textId="03D13C6A" w:rsidR="00BB0D1A" w:rsidRPr="009479D1" w:rsidRDefault="00BB0D1A" w:rsidP="001C24A4">
      <w:pPr>
        <w:pStyle w:val="Heading4"/>
      </w:pPr>
      <w:r>
        <w:br w:type="page"/>
      </w:r>
    </w:p>
    <w:p w14:paraId="5B262047" w14:textId="525241DC" w:rsidR="00E677DD" w:rsidRDefault="00E677DD" w:rsidP="001D390D">
      <w:pPr>
        <w:pStyle w:val="Heading3"/>
      </w:pPr>
      <w:r w:rsidRPr="005E22C2">
        <w:lastRenderedPageBreak/>
        <w:t xml:space="preserve">Purpose of </w:t>
      </w:r>
      <w:r w:rsidR="00D151EB">
        <w:t>analysis</w:t>
      </w:r>
    </w:p>
    <w:p w14:paraId="3EA953EC" w14:textId="26E3EEC3" w:rsidR="008F76DD" w:rsidRPr="008F76DD" w:rsidRDefault="008F76DD" w:rsidP="008F76DD">
      <w:r w:rsidRPr="008F76DD">
        <w:t>To examine the utilisation of pregabalin for neuropathic pain in the twelve months after listing (1 March 2013 to 28 February 2014).  In recommending the listing of pregabalin at its March 2012 meeting, the PBAC was concerned about the potential for use beyond the estimates presented in the submission and considered that it was essential that the DUSC review usage 12 months after PBS listing.</w:t>
      </w:r>
    </w:p>
    <w:p w14:paraId="0A7F0B57" w14:textId="034D22D5" w:rsidR="006537D9" w:rsidRPr="005E22C2" w:rsidRDefault="00736041" w:rsidP="001D390D">
      <w:pPr>
        <w:pStyle w:val="Heading3"/>
      </w:pPr>
      <w:r w:rsidRPr="005E22C2">
        <w:t>Background</w:t>
      </w:r>
    </w:p>
    <w:p w14:paraId="0183A567" w14:textId="413DF87B" w:rsidR="007247B9" w:rsidRDefault="007247B9" w:rsidP="00E376AA">
      <w:pPr>
        <w:pStyle w:val="Heading4"/>
      </w:pPr>
      <w:r w:rsidRPr="00E376AA">
        <w:t>Pharmacology</w:t>
      </w:r>
    </w:p>
    <w:p w14:paraId="49599141" w14:textId="40231D8D" w:rsidR="004F7452" w:rsidRPr="004F7452" w:rsidRDefault="004F7452" w:rsidP="004F7452">
      <w:r>
        <w:t>The mechanism of action of pregabalin has not been fully elucidated.  It is used to treat neuropathic pain, which is pain caused by an abnormality of, or damage to, the nerves. Pregabalin is also used as an anticonvulsant.</w:t>
      </w:r>
      <w:r>
        <w:rPr>
          <w:rStyle w:val="FootnoteReference"/>
        </w:rPr>
        <w:footnoteReference w:id="1"/>
      </w:r>
      <w:r>
        <w:t xml:space="preserve">  </w:t>
      </w:r>
      <w:r w:rsidRPr="0029662C">
        <w:t xml:space="preserve">In vitro studies show that pregabalin binds to an auxiliary subunit </w:t>
      </w:r>
      <w:r>
        <w:t>(alpha</w:t>
      </w:r>
      <w:r w:rsidRPr="0029662C">
        <w:t>2-</w:t>
      </w:r>
      <w:r>
        <w:t>delta</w:t>
      </w:r>
      <w:r w:rsidRPr="0029662C">
        <w:t xml:space="preserve"> protein) of voltage-gated calcium channels in</w:t>
      </w:r>
      <w:r>
        <w:t xml:space="preserve"> the central nervous system.</w:t>
      </w:r>
      <w:r>
        <w:rPr>
          <w:rStyle w:val="FootnoteReference"/>
        </w:rPr>
        <w:footnoteReference w:id="2"/>
      </w:r>
    </w:p>
    <w:p w14:paraId="6AC18C88" w14:textId="2877AC70" w:rsidR="001420B3" w:rsidRDefault="001420B3" w:rsidP="00DD70ED">
      <w:pPr>
        <w:pStyle w:val="Heading4"/>
      </w:pPr>
      <w:r w:rsidRPr="00DE260E">
        <w:t>T</w:t>
      </w:r>
      <w:r w:rsidR="000F22BC" w:rsidRPr="00DE260E">
        <w:t xml:space="preserve">herapeutic </w:t>
      </w:r>
      <w:r w:rsidRPr="00DE260E">
        <w:t>G</w:t>
      </w:r>
      <w:r w:rsidR="000F22BC" w:rsidRPr="00DE260E">
        <w:t xml:space="preserve">oods </w:t>
      </w:r>
      <w:r w:rsidRPr="00DE260E">
        <w:t>A</w:t>
      </w:r>
      <w:r w:rsidR="000F22BC" w:rsidRPr="00DE260E">
        <w:t>dministration (TGA)</w:t>
      </w:r>
      <w:r w:rsidRPr="00DE260E">
        <w:t xml:space="preserve"> approved indications</w:t>
      </w:r>
    </w:p>
    <w:p w14:paraId="59516C63" w14:textId="77777777" w:rsidR="00693C25" w:rsidRDefault="00693C25" w:rsidP="00693C25">
      <w:pPr>
        <w:rPr>
          <w:highlight w:val="yellow"/>
        </w:rPr>
      </w:pPr>
      <w:r>
        <w:t>Pregabalin is indicated for the treatment of neuropathic pain in adults.  Pregabalin is also indicated as adjunctive therapy in adults with partial seizures with or without secondary generalisation.</w:t>
      </w:r>
      <w:r>
        <w:rPr>
          <w:vertAlign w:val="superscript"/>
        </w:rPr>
        <w:t>2</w:t>
      </w:r>
    </w:p>
    <w:p w14:paraId="15E919C1" w14:textId="1B3BA560" w:rsidR="006B709B" w:rsidRPr="00DE260E" w:rsidRDefault="006B709B" w:rsidP="00DD70ED">
      <w:pPr>
        <w:pStyle w:val="Heading4"/>
      </w:pPr>
      <w:r w:rsidRPr="00DE260E">
        <w:t>Dosage and administration</w:t>
      </w:r>
    </w:p>
    <w:p w14:paraId="5383D049" w14:textId="77777777" w:rsidR="00520B24" w:rsidRDefault="00520B24" w:rsidP="00520B24">
      <w:r w:rsidRPr="00F8127D">
        <w:t>Neuropathic pain:</w:t>
      </w:r>
      <w:r>
        <w:t xml:space="preserve"> initiate at 150 mg per day, given as two divided doses. Based on individual patient response and tolerability, the dosage may be increased to 300 mg per day, given as two divided doses, after an interval of 3 to 7 days, and if needed, to a maximum dose of 600 mg per day after an additional 7-day interval.</w:t>
      </w:r>
    </w:p>
    <w:p w14:paraId="02DA6A66" w14:textId="77777777" w:rsidR="00520B24" w:rsidRDefault="00520B24" w:rsidP="00520B24">
      <w:r>
        <w:t>The dose should be reduced in renal impairment based on creatinine clearance.</w:t>
      </w:r>
    </w:p>
    <w:p w14:paraId="1030716C" w14:textId="77777777" w:rsidR="00520B24" w:rsidRPr="009E26CD" w:rsidRDefault="00520B24" w:rsidP="00520B24">
      <w:pPr>
        <w:rPr>
          <w:vertAlign w:val="superscript"/>
        </w:rPr>
      </w:pPr>
      <w:r>
        <w:t>The effectiveness of pregabalin in the treatment of neuropathic pain has not been assessed in controlled clinical trials for treatment periods longer than twelve weeks.</w:t>
      </w:r>
      <w:r>
        <w:rPr>
          <w:vertAlign w:val="superscript"/>
        </w:rPr>
        <w:t>2</w:t>
      </w:r>
    </w:p>
    <w:p w14:paraId="337D0FBB" w14:textId="6B479F7B" w:rsidR="006B709B" w:rsidRPr="002F61CA" w:rsidRDefault="006B709B" w:rsidP="00A35800">
      <w:r w:rsidRPr="002F61CA">
        <w:t xml:space="preserve">The current Product Information (PI) and Consumer Medicine Information (CMI) are available from </w:t>
      </w:r>
      <w:hyperlink r:id="rId9" w:history="1">
        <w:r w:rsidR="00586651">
          <w:rPr>
            <w:rStyle w:val="Hyperlink"/>
          </w:rPr>
          <w:t>the TGA (Product Information)</w:t>
        </w:r>
      </w:hyperlink>
      <w:r w:rsidR="00561CB4">
        <w:t xml:space="preserve"> and </w:t>
      </w:r>
      <w:hyperlink r:id="rId10" w:history="1">
        <w:r w:rsidR="00586651">
          <w:rPr>
            <w:rStyle w:val="Hyperlink"/>
          </w:rPr>
          <w:t>the TGA (Consumer Medicines Information)</w:t>
        </w:r>
      </w:hyperlink>
      <w:r w:rsidR="0024294B">
        <w:t>.</w:t>
      </w:r>
    </w:p>
    <w:p w14:paraId="46E2BB42" w14:textId="709B3978" w:rsidR="00DF0B13" w:rsidRPr="002801FD" w:rsidRDefault="00DF0B13" w:rsidP="00A36FA8">
      <w:pPr>
        <w:pStyle w:val="Heading4"/>
      </w:pPr>
      <w:r w:rsidRPr="002801FD">
        <w:lastRenderedPageBreak/>
        <w:t>PBS listing details</w:t>
      </w:r>
      <w:r w:rsidR="00F5650E">
        <w:t xml:space="preserve"> 1 July 2014</w:t>
      </w:r>
    </w:p>
    <w:p w14:paraId="4DD213D0" w14:textId="77777777" w:rsidR="007F2C5D" w:rsidRPr="00EF2ED3" w:rsidRDefault="007F2C5D" w:rsidP="007F2C5D">
      <w:r>
        <w:t>The PBS listing details for pregabalin as at 1 July 2014 are shown in Table 1.</w:t>
      </w:r>
    </w:p>
    <w:p w14:paraId="0F4EE762" w14:textId="77777777" w:rsidR="007F2C5D" w:rsidRPr="001420B3" w:rsidRDefault="007F2C5D" w:rsidP="007F2C5D">
      <w:pPr>
        <w:pStyle w:val="Tabletitle"/>
      </w:pPr>
      <w:r>
        <w:t>Table 1</w:t>
      </w:r>
      <w:r w:rsidRPr="001420B3">
        <w:t xml:space="preserve">: </w:t>
      </w:r>
      <w:r>
        <w:t>PBS listing of pregabalin</w:t>
      </w:r>
    </w:p>
    <w:tbl>
      <w:tblPr>
        <w:tblStyle w:val="TableGrid"/>
        <w:tblW w:w="9300" w:type="dxa"/>
        <w:tblInd w:w="108" w:type="dxa"/>
        <w:tblLayout w:type="fixed"/>
        <w:tblLook w:val="04A0" w:firstRow="1" w:lastRow="0" w:firstColumn="1" w:lastColumn="0" w:noHBand="0" w:noVBand="1"/>
        <w:tblCaption w:val="Table 1"/>
        <w:tblDescription w:val="item number, forms, strengths, pack sizes, maximum quantities, repeats, price, brand name and manufacturer of pregabalin."/>
      </w:tblPr>
      <w:tblGrid>
        <w:gridCol w:w="969"/>
        <w:gridCol w:w="2825"/>
        <w:gridCol w:w="850"/>
        <w:gridCol w:w="945"/>
        <w:gridCol w:w="992"/>
        <w:gridCol w:w="2719"/>
      </w:tblGrid>
      <w:tr w:rsidR="007F2C5D" w:rsidRPr="00A35800" w14:paraId="03C31903" w14:textId="77777777" w:rsidTr="001F3629">
        <w:trPr>
          <w:trHeight w:val="694"/>
          <w:tblHeader/>
        </w:trPr>
        <w:tc>
          <w:tcPr>
            <w:tcW w:w="969" w:type="dxa"/>
            <w:shd w:val="clear" w:color="auto" w:fill="BFBFBF" w:themeFill="background1" w:themeFillShade="BF"/>
          </w:tcPr>
          <w:p w14:paraId="610F65C1" w14:textId="77777777" w:rsidR="007F2C5D" w:rsidRPr="00A35800" w:rsidRDefault="007F2C5D" w:rsidP="005801F8">
            <w:pPr>
              <w:pStyle w:val="Tableheading"/>
              <w:rPr>
                <w:sz w:val="20"/>
                <w:szCs w:val="20"/>
              </w:rPr>
            </w:pPr>
            <w:r w:rsidRPr="00A35800">
              <w:rPr>
                <w:sz w:val="20"/>
                <w:szCs w:val="20"/>
              </w:rPr>
              <w:t>Item</w:t>
            </w:r>
          </w:p>
        </w:tc>
        <w:tc>
          <w:tcPr>
            <w:tcW w:w="2825" w:type="dxa"/>
            <w:shd w:val="clear" w:color="auto" w:fill="BFBFBF" w:themeFill="background1" w:themeFillShade="BF"/>
          </w:tcPr>
          <w:p w14:paraId="26BF7E13" w14:textId="77777777" w:rsidR="007F2C5D" w:rsidRPr="00A35800" w:rsidRDefault="007F2C5D" w:rsidP="005801F8">
            <w:pPr>
              <w:pStyle w:val="Tableheading"/>
              <w:rPr>
                <w:sz w:val="20"/>
                <w:szCs w:val="20"/>
              </w:rPr>
            </w:pPr>
            <w:r w:rsidRPr="00A35800">
              <w:rPr>
                <w:sz w:val="20"/>
                <w:szCs w:val="20"/>
              </w:rPr>
              <w:t>Name, form &amp; strength, pack size</w:t>
            </w:r>
          </w:p>
        </w:tc>
        <w:tc>
          <w:tcPr>
            <w:tcW w:w="850" w:type="dxa"/>
            <w:shd w:val="clear" w:color="auto" w:fill="BFBFBF" w:themeFill="background1" w:themeFillShade="BF"/>
          </w:tcPr>
          <w:p w14:paraId="1B545407" w14:textId="77777777" w:rsidR="007F2C5D" w:rsidRPr="00A35800" w:rsidRDefault="007F2C5D" w:rsidP="005801F8">
            <w:pPr>
              <w:pStyle w:val="Tableheading"/>
              <w:rPr>
                <w:sz w:val="20"/>
                <w:szCs w:val="20"/>
              </w:rPr>
            </w:pPr>
            <w:r w:rsidRPr="00A35800">
              <w:rPr>
                <w:sz w:val="20"/>
                <w:szCs w:val="20"/>
              </w:rPr>
              <w:t xml:space="preserve">Max. quant. </w:t>
            </w:r>
          </w:p>
        </w:tc>
        <w:tc>
          <w:tcPr>
            <w:tcW w:w="945" w:type="dxa"/>
            <w:shd w:val="clear" w:color="auto" w:fill="BFBFBF" w:themeFill="background1" w:themeFillShade="BF"/>
          </w:tcPr>
          <w:p w14:paraId="0D286212" w14:textId="77777777" w:rsidR="007F2C5D" w:rsidRPr="00A35800" w:rsidRDefault="007F2C5D" w:rsidP="005801F8">
            <w:pPr>
              <w:pStyle w:val="Tableheading"/>
              <w:rPr>
                <w:sz w:val="20"/>
                <w:szCs w:val="20"/>
              </w:rPr>
            </w:pPr>
            <w:r w:rsidRPr="00A35800">
              <w:rPr>
                <w:sz w:val="20"/>
                <w:szCs w:val="20"/>
              </w:rPr>
              <w:t>R</w:t>
            </w:r>
            <w:r>
              <w:rPr>
                <w:sz w:val="20"/>
                <w:szCs w:val="20"/>
              </w:rPr>
              <w:t>e</w:t>
            </w:r>
            <w:r w:rsidRPr="00A35800">
              <w:rPr>
                <w:sz w:val="20"/>
                <w:szCs w:val="20"/>
              </w:rPr>
              <w:t>p</w:t>
            </w:r>
            <w:r>
              <w:rPr>
                <w:sz w:val="20"/>
                <w:szCs w:val="20"/>
              </w:rPr>
              <w:t>ea</w:t>
            </w:r>
            <w:r w:rsidRPr="00A35800">
              <w:rPr>
                <w:sz w:val="20"/>
                <w:szCs w:val="20"/>
              </w:rPr>
              <w:t xml:space="preserve">ts </w:t>
            </w:r>
          </w:p>
        </w:tc>
        <w:tc>
          <w:tcPr>
            <w:tcW w:w="992" w:type="dxa"/>
            <w:shd w:val="clear" w:color="auto" w:fill="BFBFBF" w:themeFill="background1" w:themeFillShade="BF"/>
          </w:tcPr>
          <w:p w14:paraId="6146F1A0" w14:textId="77777777" w:rsidR="007F2C5D" w:rsidRPr="00A35800" w:rsidRDefault="007F2C5D" w:rsidP="005801F8">
            <w:pPr>
              <w:pStyle w:val="Tableheading"/>
              <w:rPr>
                <w:sz w:val="20"/>
                <w:szCs w:val="20"/>
              </w:rPr>
            </w:pPr>
            <w:r w:rsidRPr="00A35800">
              <w:rPr>
                <w:sz w:val="20"/>
                <w:szCs w:val="20"/>
              </w:rPr>
              <w:t>DPMQ</w:t>
            </w:r>
          </w:p>
        </w:tc>
        <w:tc>
          <w:tcPr>
            <w:tcW w:w="2719" w:type="dxa"/>
            <w:shd w:val="clear" w:color="auto" w:fill="BFBFBF" w:themeFill="background1" w:themeFillShade="BF"/>
          </w:tcPr>
          <w:p w14:paraId="79B083F4" w14:textId="77777777" w:rsidR="007F2C5D" w:rsidRPr="00A35800" w:rsidRDefault="007F2C5D" w:rsidP="005801F8">
            <w:pPr>
              <w:pStyle w:val="Tableheading"/>
              <w:rPr>
                <w:sz w:val="20"/>
                <w:szCs w:val="20"/>
              </w:rPr>
            </w:pPr>
            <w:r w:rsidRPr="00A35800">
              <w:rPr>
                <w:sz w:val="20"/>
                <w:szCs w:val="20"/>
              </w:rPr>
              <w:t>Brand name and manufacturer</w:t>
            </w:r>
          </w:p>
        </w:tc>
      </w:tr>
      <w:tr w:rsidR="007F2C5D" w:rsidRPr="00A35800" w14:paraId="53331B81" w14:textId="77777777" w:rsidTr="001F3629">
        <w:trPr>
          <w:trHeight w:val="552"/>
          <w:tblHeader/>
        </w:trPr>
        <w:tc>
          <w:tcPr>
            <w:tcW w:w="969" w:type="dxa"/>
            <w:shd w:val="clear" w:color="auto" w:fill="auto"/>
          </w:tcPr>
          <w:p w14:paraId="6EA334D2" w14:textId="77777777" w:rsidR="007F2C5D" w:rsidRPr="00A35800" w:rsidRDefault="007F2C5D" w:rsidP="005801F8">
            <w:pPr>
              <w:pStyle w:val="Tablewriting"/>
            </w:pPr>
            <w:r>
              <w:t>2348N</w:t>
            </w:r>
          </w:p>
        </w:tc>
        <w:tc>
          <w:tcPr>
            <w:tcW w:w="2825" w:type="dxa"/>
            <w:shd w:val="clear" w:color="auto" w:fill="auto"/>
          </w:tcPr>
          <w:p w14:paraId="062E46FE" w14:textId="77777777" w:rsidR="007F2C5D" w:rsidRPr="00A35800" w:rsidRDefault="007F2C5D" w:rsidP="005801F8">
            <w:pPr>
              <w:pStyle w:val="Tablewriting"/>
            </w:pPr>
            <w:r>
              <w:t>Pregabalin 25 mg capsule, 56</w:t>
            </w:r>
          </w:p>
        </w:tc>
        <w:tc>
          <w:tcPr>
            <w:tcW w:w="850" w:type="dxa"/>
            <w:shd w:val="clear" w:color="auto" w:fill="auto"/>
          </w:tcPr>
          <w:p w14:paraId="38662490" w14:textId="77777777" w:rsidR="007F2C5D" w:rsidRPr="00A35800" w:rsidRDefault="007F2C5D" w:rsidP="005801F8">
            <w:pPr>
              <w:pStyle w:val="Tablewriting"/>
            </w:pPr>
            <w:r>
              <w:t>56</w:t>
            </w:r>
          </w:p>
        </w:tc>
        <w:tc>
          <w:tcPr>
            <w:tcW w:w="945" w:type="dxa"/>
            <w:shd w:val="clear" w:color="auto" w:fill="auto"/>
          </w:tcPr>
          <w:p w14:paraId="41957B2F" w14:textId="77777777" w:rsidR="007F2C5D" w:rsidRPr="00A35800" w:rsidRDefault="007F2C5D" w:rsidP="005801F8">
            <w:pPr>
              <w:pStyle w:val="Tablewriting"/>
            </w:pPr>
            <w:r>
              <w:t>5</w:t>
            </w:r>
          </w:p>
        </w:tc>
        <w:tc>
          <w:tcPr>
            <w:tcW w:w="992" w:type="dxa"/>
            <w:shd w:val="clear" w:color="auto" w:fill="auto"/>
          </w:tcPr>
          <w:p w14:paraId="1EA38FDF" w14:textId="77777777" w:rsidR="007F2C5D" w:rsidRPr="00A35800" w:rsidRDefault="007F2C5D" w:rsidP="005801F8">
            <w:pPr>
              <w:pStyle w:val="Tablewriting"/>
            </w:pPr>
            <w:r>
              <w:t>$26.44</w:t>
            </w:r>
          </w:p>
        </w:tc>
        <w:tc>
          <w:tcPr>
            <w:tcW w:w="2719" w:type="dxa"/>
            <w:shd w:val="clear" w:color="auto" w:fill="auto"/>
          </w:tcPr>
          <w:p w14:paraId="03D310AB" w14:textId="77777777" w:rsidR="007F2C5D" w:rsidRPr="007D2027" w:rsidRDefault="007F2C5D" w:rsidP="005801F8">
            <w:pPr>
              <w:pStyle w:val="Tablewriting"/>
              <w:rPr>
                <w:vertAlign w:val="superscript"/>
              </w:rPr>
            </w:pPr>
            <w:r w:rsidRPr="007D2027">
              <w:t>Lyrica®</w:t>
            </w:r>
            <w:r>
              <w:t>, Pfizer Australia Pty Ltd</w:t>
            </w:r>
          </w:p>
        </w:tc>
      </w:tr>
      <w:tr w:rsidR="007F2C5D" w:rsidRPr="00A35800" w14:paraId="18015C57" w14:textId="77777777" w:rsidTr="001F3629">
        <w:trPr>
          <w:trHeight w:val="546"/>
          <w:tblHeader/>
        </w:trPr>
        <w:tc>
          <w:tcPr>
            <w:tcW w:w="969" w:type="dxa"/>
            <w:shd w:val="clear" w:color="auto" w:fill="auto"/>
          </w:tcPr>
          <w:p w14:paraId="6AB30438" w14:textId="77777777" w:rsidR="007F2C5D" w:rsidRPr="00A35800" w:rsidRDefault="007F2C5D" w:rsidP="005801F8">
            <w:pPr>
              <w:pStyle w:val="Tablewriting"/>
            </w:pPr>
            <w:r>
              <w:t>2335X</w:t>
            </w:r>
          </w:p>
        </w:tc>
        <w:tc>
          <w:tcPr>
            <w:tcW w:w="2825" w:type="dxa"/>
            <w:shd w:val="clear" w:color="auto" w:fill="auto"/>
          </w:tcPr>
          <w:p w14:paraId="70B5C8CF" w14:textId="77777777" w:rsidR="007F2C5D" w:rsidRPr="00A35800" w:rsidRDefault="007F2C5D" w:rsidP="005801F8">
            <w:pPr>
              <w:pStyle w:val="Tablewriting"/>
            </w:pPr>
            <w:r>
              <w:t>Pregabalin 75 mg capsule, 56</w:t>
            </w:r>
          </w:p>
        </w:tc>
        <w:tc>
          <w:tcPr>
            <w:tcW w:w="850" w:type="dxa"/>
            <w:shd w:val="clear" w:color="auto" w:fill="auto"/>
          </w:tcPr>
          <w:p w14:paraId="08E59FB1" w14:textId="77777777" w:rsidR="007F2C5D" w:rsidRPr="00A35800" w:rsidRDefault="007F2C5D" w:rsidP="005801F8">
            <w:pPr>
              <w:pStyle w:val="Tablewriting"/>
            </w:pPr>
            <w:r>
              <w:t>56</w:t>
            </w:r>
          </w:p>
        </w:tc>
        <w:tc>
          <w:tcPr>
            <w:tcW w:w="945" w:type="dxa"/>
            <w:shd w:val="clear" w:color="auto" w:fill="auto"/>
          </w:tcPr>
          <w:p w14:paraId="6C2C11C1" w14:textId="77777777" w:rsidR="007F2C5D" w:rsidRPr="00A35800" w:rsidRDefault="007F2C5D" w:rsidP="005801F8">
            <w:pPr>
              <w:pStyle w:val="Tablewriting"/>
            </w:pPr>
            <w:r>
              <w:t>5</w:t>
            </w:r>
          </w:p>
        </w:tc>
        <w:tc>
          <w:tcPr>
            <w:tcW w:w="992" w:type="dxa"/>
            <w:shd w:val="clear" w:color="auto" w:fill="auto"/>
          </w:tcPr>
          <w:p w14:paraId="71B20BC0" w14:textId="77777777" w:rsidR="007F2C5D" w:rsidRPr="00A35800" w:rsidRDefault="007F2C5D" w:rsidP="005801F8">
            <w:pPr>
              <w:pStyle w:val="Tablewriting"/>
            </w:pPr>
            <w:r>
              <w:t>$49.11</w:t>
            </w:r>
          </w:p>
        </w:tc>
        <w:tc>
          <w:tcPr>
            <w:tcW w:w="2719" w:type="dxa"/>
            <w:shd w:val="clear" w:color="auto" w:fill="auto"/>
          </w:tcPr>
          <w:p w14:paraId="5679C181" w14:textId="77777777" w:rsidR="007F2C5D" w:rsidRPr="00A35800" w:rsidRDefault="007F2C5D" w:rsidP="005801F8">
            <w:pPr>
              <w:pStyle w:val="Tablewriting"/>
            </w:pPr>
            <w:r w:rsidRPr="007D2027">
              <w:t>Lyrica®</w:t>
            </w:r>
            <w:r>
              <w:t>, Pfizer Australia Pty Ltd</w:t>
            </w:r>
          </w:p>
        </w:tc>
      </w:tr>
      <w:tr w:rsidR="007F2C5D" w:rsidRPr="00A35800" w14:paraId="01725C67" w14:textId="77777777" w:rsidTr="001F3629">
        <w:trPr>
          <w:trHeight w:val="546"/>
          <w:tblHeader/>
        </w:trPr>
        <w:tc>
          <w:tcPr>
            <w:tcW w:w="969" w:type="dxa"/>
            <w:shd w:val="clear" w:color="auto" w:fill="auto"/>
          </w:tcPr>
          <w:p w14:paraId="07402D5B" w14:textId="77777777" w:rsidR="007F2C5D" w:rsidRDefault="007F2C5D" w:rsidP="005801F8">
            <w:pPr>
              <w:pStyle w:val="Tablewriting"/>
            </w:pPr>
            <w:r>
              <w:t>2355Y</w:t>
            </w:r>
          </w:p>
        </w:tc>
        <w:tc>
          <w:tcPr>
            <w:tcW w:w="2825" w:type="dxa"/>
            <w:shd w:val="clear" w:color="auto" w:fill="auto"/>
          </w:tcPr>
          <w:p w14:paraId="4418B4EE" w14:textId="77777777" w:rsidR="007F2C5D" w:rsidRDefault="007F2C5D" w:rsidP="005801F8">
            <w:pPr>
              <w:pStyle w:val="Tablewriting"/>
            </w:pPr>
            <w:r>
              <w:t>Pregabalin 150 mg capsule, 56</w:t>
            </w:r>
          </w:p>
        </w:tc>
        <w:tc>
          <w:tcPr>
            <w:tcW w:w="850" w:type="dxa"/>
            <w:shd w:val="clear" w:color="auto" w:fill="auto"/>
          </w:tcPr>
          <w:p w14:paraId="02E1E322" w14:textId="77777777" w:rsidR="007F2C5D" w:rsidRDefault="007F2C5D" w:rsidP="005801F8">
            <w:pPr>
              <w:pStyle w:val="Tablewriting"/>
            </w:pPr>
            <w:r>
              <w:t>56</w:t>
            </w:r>
          </w:p>
        </w:tc>
        <w:tc>
          <w:tcPr>
            <w:tcW w:w="945" w:type="dxa"/>
            <w:shd w:val="clear" w:color="auto" w:fill="auto"/>
          </w:tcPr>
          <w:p w14:paraId="2ED34C92" w14:textId="77777777" w:rsidR="007F2C5D" w:rsidRDefault="007F2C5D" w:rsidP="005801F8">
            <w:pPr>
              <w:pStyle w:val="Tablewriting"/>
            </w:pPr>
            <w:r>
              <w:t>5</w:t>
            </w:r>
          </w:p>
        </w:tc>
        <w:tc>
          <w:tcPr>
            <w:tcW w:w="992" w:type="dxa"/>
            <w:shd w:val="clear" w:color="auto" w:fill="auto"/>
          </w:tcPr>
          <w:p w14:paraId="7B2D3FE0" w14:textId="77777777" w:rsidR="007F2C5D" w:rsidRDefault="007F2C5D" w:rsidP="005801F8">
            <w:pPr>
              <w:pStyle w:val="Tablewriting"/>
            </w:pPr>
            <w:r>
              <w:t>$70.63</w:t>
            </w:r>
          </w:p>
        </w:tc>
        <w:tc>
          <w:tcPr>
            <w:tcW w:w="2719" w:type="dxa"/>
            <w:shd w:val="clear" w:color="auto" w:fill="auto"/>
          </w:tcPr>
          <w:p w14:paraId="11F8661F" w14:textId="77777777" w:rsidR="007F2C5D" w:rsidRPr="007D2027" w:rsidRDefault="007F2C5D" w:rsidP="005801F8">
            <w:pPr>
              <w:pStyle w:val="Tablewriting"/>
            </w:pPr>
            <w:r w:rsidRPr="007D2027">
              <w:t>Lyrica®</w:t>
            </w:r>
            <w:r>
              <w:t>, Pfizer Australia Pty Ltd</w:t>
            </w:r>
          </w:p>
        </w:tc>
      </w:tr>
      <w:tr w:rsidR="007F2C5D" w:rsidRPr="00A35800" w14:paraId="3052E8EF" w14:textId="77777777" w:rsidTr="001F3629">
        <w:trPr>
          <w:trHeight w:val="546"/>
          <w:tblHeader/>
        </w:trPr>
        <w:tc>
          <w:tcPr>
            <w:tcW w:w="969" w:type="dxa"/>
            <w:shd w:val="clear" w:color="auto" w:fill="auto"/>
          </w:tcPr>
          <w:p w14:paraId="1B4F842E" w14:textId="77777777" w:rsidR="007F2C5D" w:rsidRDefault="007F2C5D" w:rsidP="005801F8">
            <w:pPr>
              <w:pStyle w:val="Tablewriting"/>
            </w:pPr>
            <w:r>
              <w:t>2363J</w:t>
            </w:r>
          </w:p>
        </w:tc>
        <w:tc>
          <w:tcPr>
            <w:tcW w:w="2825" w:type="dxa"/>
            <w:shd w:val="clear" w:color="auto" w:fill="auto"/>
          </w:tcPr>
          <w:p w14:paraId="548EAB5B" w14:textId="77777777" w:rsidR="007F2C5D" w:rsidRDefault="007F2C5D" w:rsidP="005801F8">
            <w:pPr>
              <w:pStyle w:val="Tablewriting"/>
            </w:pPr>
            <w:r>
              <w:t>Pregabalin 300 mg capsule, 56</w:t>
            </w:r>
          </w:p>
        </w:tc>
        <w:tc>
          <w:tcPr>
            <w:tcW w:w="850" w:type="dxa"/>
            <w:shd w:val="clear" w:color="auto" w:fill="auto"/>
          </w:tcPr>
          <w:p w14:paraId="0050B4D1" w14:textId="77777777" w:rsidR="007F2C5D" w:rsidRDefault="007F2C5D" w:rsidP="005801F8">
            <w:pPr>
              <w:pStyle w:val="Tablewriting"/>
            </w:pPr>
            <w:r>
              <w:t>56</w:t>
            </w:r>
          </w:p>
        </w:tc>
        <w:tc>
          <w:tcPr>
            <w:tcW w:w="945" w:type="dxa"/>
            <w:shd w:val="clear" w:color="auto" w:fill="auto"/>
          </w:tcPr>
          <w:p w14:paraId="33355D44" w14:textId="77777777" w:rsidR="007F2C5D" w:rsidRDefault="007F2C5D" w:rsidP="005801F8">
            <w:pPr>
              <w:pStyle w:val="Tablewriting"/>
            </w:pPr>
            <w:r>
              <w:t>5</w:t>
            </w:r>
          </w:p>
        </w:tc>
        <w:tc>
          <w:tcPr>
            <w:tcW w:w="992" w:type="dxa"/>
            <w:shd w:val="clear" w:color="auto" w:fill="auto"/>
          </w:tcPr>
          <w:p w14:paraId="2147BB0B" w14:textId="77777777" w:rsidR="007F2C5D" w:rsidRDefault="007F2C5D" w:rsidP="005801F8">
            <w:pPr>
              <w:pStyle w:val="Tablewriting"/>
            </w:pPr>
            <w:r>
              <w:t>$102.05</w:t>
            </w:r>
          </w:p>
        </w:tc>
        <w:tc>
          <w:tcPr>
            <w:tcW w:w="2719" w:type="dxa"/>
            <w:shd w:val="clear" w:color="auto" w:fill="auto"/>
          </w:tcPr>
          <w:p w14:paraId="57DF65D8" w14:textId="77777777" w:rsidR="007F2C5D" w:rsidRPr="007D2027" w:rsidRDefault="007F2C5D" w:rsidP="005801F8">
            <w:pPr>
              <w:pStyle w:val="Tablewriting"/>
            </w:pPr>
            <w:r w:rsidRPr="007D2027">
              <w:t>Lyrica®</w:t>
            </w:r>
            <w:r>
              <w:t>, Pfizer Australia Pty Ltd</w:t>
            </w:r>
          </w:p>
        </w:tc>
      </w:tr>
    </w:tbl>
    <w:p w14:paraId="77BEEE04" w14:textId="77777777" w:rsidR="007F2C5D" w:rsidRPr="00A35800" w:rsidRDefault="007F2C5D" w:rsidP="007F2C5D">
      <w:pPr>
        <w:pStyle w:val="Notes"/>
      </w:pPr>
      <w:r w:rsidRPr="00A35800">
        <w:t xml:space="preserve">Source: </w:t>
      </w:r>
      <w:r>
        <w:t>www.pbs.gov.au.</w:t>
      </w:r>
    </w:p>
    <w:p w14:paraId="1AFA1485" w14:textId="129447A8" w:rsidR="004C3186" w:rsidRDefault="004C3186" w:rsidP="004F1E15">
      <w:pPr>
        <w:pStyle w:val="Heading5"/>
      </w:pPr>
      <w:r w:rsidRPr="004F1E15">
        <w:t>Restriction</w:t>
      </w:r>
    </w:p>
    <w:p w14:paraId="7DB61A2F" w14:textId="65464FDD" w:rsidR="00C3203D" w:rsidRDefault="0019527F" w:rsidP="00C3203D">
      <w:pPr>
        <w:spacing w:after="0"/>
      </w:pPr>
      <w:r>
        <w:t>Authority Required (Streamlined</w:t>
      </w:r>
      <w:r w:rsidR="00C3203D">
        <w:t>):</w:t>
      </w:r>
    </w:p>
    <w:p w14:paraId="4E178717" w14:textId="77777777" w:rsidR="00C3203D" w:rsidRDefault="00C3203D" w:rsidP="00C3203D">
      <w:r>
        <w:t>Neuropathic pain</w:t>
      </w:r>
    </w:p>
    <w:p w14:paraId="77A66D85" w14:textId="77777777" w:rsidR="00C3203D" w:rsidRDefault="00C3203D" w:rsidP="00C3203D">
      <w:pPr>
        <w:spacing w:after="0"/>
      </w:pPr>
      <w:r>
        <w:t>Clinical criteria:</w:t>
      </w:r>
    </w:p>
    <w:p w14:paraId="46C4844C" w14:textId="77777777" w:rsidR="00C3203D" w:rsidRDefault="00C3203D" w:rsidP="00C3203D">
      <w:r>
        <w:t>The condition must be refractory to treatment with other drugs.</w:t>
      </w:r>
    </w:p>
    <w:p w14:paraId="7C14308C" w14:textId="77777777" w:rsidR="00C3203D" w:rsidRDefault="00C3203D" w:rsidP="00C3203D">
      <w:pPr>
        <w:spacing w:after="0"/>
      </w:pPr>
      <w:r>
        <w:t>Note: Continuing Therapy Only:</w:t>
      </w:r>
    </w:p>
    <w:p w14:paraId="2D975C01" w14:textId="77777777" w:rsidR="00C3203D" w:rsidRDefault="00C3203D" w:rsidP="00C3203D">
      <w:r>
        <w:t xml:space="preserve">For prescribing by nurse practitioners as continuing therapy only, where the treatment of, and prescribing of medicine for, a patient has been initiated by a medical practitioner. Further information can be found in the Explanatory Notes for Nurse Practitioners.  </w:t>
      </w:r>
    </w:p>
    <w:p w14:paraId="509ADFEB" w14:textId="5D8DB94B" w:rsidR="009C35F2" w:rsidRDefault="009C35F2" w:rsidP="004F1E15">
      <w:pPr>
        <w:pStyle w:val="Heading5"/>
      </w:pPr>
      <w:r w:rsidRPr="00675BB1">
        <w:t>Date of listing on PBS</w:t>
      </w:r>
    </w:p>
    <w:p w14:paraId="7034C850" w14:textId="77777777" w:rsidR="00656D5F" w:rsidRPr="00E46241" w:rsidRDefault="00656D5F" w:rsidP="00656D5F">
      <w:r>
        <w:t>1 March 2013.</w:t>
      </w:r>
    </w:p>
    <w:p w14:paraId="33F5A09F" w14:textId="6B7F5172" w:rsidR="00656D5F" w:rsidRDefault="00656D5F" w:rsidP="00656D5F">
      <w:r>
        <w:t>C</w:t>
      </w:r>
      <w:r w:rsidRPr="002F61CA">
        <w:t xml:space="preserve">urrent PBS listing details are </w:t>
      </w:r>
      <w:r>
        <w:t>available from pbs.gov.au.</w:t>
      </w:r>
    </w:p>
    <w:p w14:paraId="383E312E" w14:textId="391486DA" w:rsidR="00736041" w:rsidRPr="006C4620" w:rsidRDefault="00C41246" w:rsidP="00852A4C">
      <w:pPr>
        <w:pStyle w:val="Heading4"/>
      </w:pPr>
      <w:r w:rsidRPr="006C4620">
        <w:t xml:space="preserve">Relevant aspects of </w:t>
      </w:r>
      <w:r w:rsidR="0063021F" w:rsidRPr="006C4620">
        <w:t xml:space="preserve">the PBAC </w:t>
      </w:r>
      <w:r w:rsidR="00736041" w:rsidRPr="006C4620">
        <w:t>consideration</w:t>
      </w:r>
    </w:p>
    <w:p w14:paraId="3C2B23C7" w14:textId="77777777" w:rsidR="00312FDF" w:rsidRDefault="00312FDF" w:rsidP="00312FDF">
      <w:r>
        <w:t>In the submission to its March 2012 meeting, the PBAC considered that the key issue was that the financial forecasts were underestimated and that there was huge potential for use outside the restriction (e.g. for fibromyalgia).  Also, even with the restriction, the estimates of numbers of patients likely to be prescribed pregabalin depend on the prevalence of neuropathic pain in the Australian community, for which there are no precise estimates.</w:t>
      </w:r>
    </w:p>
    <w:p w14:paraId="5E086C6C" w14:textId="77777777" w:rsidR="00312FDF" w:rsidRDefault="00312FDF" w:rsidP="00312FDF">
      <w:r>
        <w:t xml:space="preserve">The PBAC considered there were uncertain inputs into a structurally complex economic model coupled with forecasts for total costs that were likely to be underestimates. However, the PBAC accepted the clinical need for an alternative to current treatments for neuropathic pain. </w:t>
      </w:r>
    </w:p>
    <w:p w14:paraId="043450FE" w14:textId="77777777" w:rsidR="00312FDF" w:rsidRDefault="00312FDF" w:rsidP="00312FDF">
      <w:r>
        <w:t xml:space="preserve">The PBAC agreed with the sponsor that pregabalin was superior to placebo and non-inferior to amitriptyline/gabapentin.  The PBAC acknowledged the difficulty of modelling future use and future cost-effectiveness of pregabalin.  The PBAC remained concerned about the potential for use beyond the estimates presented in the submission. </w:t>
      </w:r>
    </w:p>
    <w:p w14:paraId="6613C702" w14:textId="77777777" w:rsidR="00312FDF" w:rsidRDefault="00312FDF" w:rsidP="00312FDF">
      <w:r>
        <w:t>The PBAC considered that it was essential that the DUSC review usage 12 months after PBS listing.</w:t>
      </w:r>
    </w:p>
    <w:p w14:paraId="1FC69469" w14:textId="324B6DE2" w:rsidR="00312FDF" w:rsidRPr="00F65F0D" w:rsidRDefault="003C24D0" w:rsidP="00312FDF">
      <w:r>
        <w:t>For further details refer to the</w:t>
      </w:r>
      <w:r w:rsidR="00312FDF">
        <w:t xml:space="preserve"> </w:t>
      </w:r>
      <w:hyperlink r:id="rId11" w:history="1">
        <w:r w:rsidR="00004753">
          <w:rPr>
            <w:rStyle w:val="Hyperlink"/>
          </w:rPr>
          <w:t>Public Summary Document</w:t>
        </w:r>
      </w:hyperlink>
      <w:r>
        <w:t xml:space="preserve"> </w:t>
      </w:r>
      <w:r w:rsidR="00004753">
        <w:t>f</w:t>
      </w:r>
      <w:r>
        <w:t>rom the March 2012 PBAC meeting.</w:t>
      </w:r>
    </w:p>
    <w:p w14:paraId="72C2CA24" w14:textId="4A28B89A" w:rsidR="000F2F51" w:rsidRDefault="00ED633B" w:rsidP="00C81F99">
      <w:pPr>
        <w:pStyle w:val="Heading4"/>
      </w:pPr>
      <w:r w:rsidRPr="006C4620">
        <w:t>A</w:t>
      </w:r>
      <w:r w:rsidR="000F2F51" w:rsidRPr="006C4620">
        <w:t xml:space="preserve">pproach </w:t>
      </w:r>
      <w:r w:rsidRPr="006C4620">
        <w:t xml:space="preserve">taken to </w:t>
      </w:r>
      <w:r w:rsidR="000F2F51" w:rsidRPr="006C4620">
        <w:t>estimat</w:t>
      </w:r>
      <w:r w:rsidRPr="006C4620">
        <w:t>e</w:t>
      </w:r>
      <w:r w:rsidR="000F2F51" w:rsidRPr="006C4620">
        <w:t xml:space="preserve"> utilisation</w:t>
      </w:r>
    </w:p>
    <w:p w14:paraId="23F5C2CC" w14:textId="77777777" w:rsidR="003D5FDC" w:rsidRDefault="003D5FDC" w:rsidP="003D5FDC">
      <w:r>
        <w:t>The submission to the March 2011 PBAC meeting to list pregabalin for neuropathic pain was rejected due to uncertain cost effectiveness.  The DUSC provided advice to the PBAC on the March 2011 submission.</w:t>
      </w:r>
    </w:p>
    <w:p w14:paraId="263EC97A" w14:textId="53BED928" w:rsidR="003D5FDC" w:rsidRDefault="003D5FDC" w:rsidP="003D5FDC">
      <w:r>
        <w:t>The submissions (March 2011 and March 2012 resubmission) used an epidemiological approach.  The submissions estimated the prevalence of chronic pain and subsequently the prevalence of chronic pain of neuropathic origin from the literature (3.7-3.8</w:t>
      </w:r>
      <w:r w:rsidR="00C15138">
        <w:t xml:space="preserve"> </w:t>
      </w:r>
      <w:r>
        <w:t xml:space="preserve">% of the Australian population).  The prevalence was then applied to the Australian Bureau of Statistics population projections to estimate patient numbers.  </w:t>
      </w:r>
    </w:p>
    <w:p w14:paraId="51C41E18" w14:textId="1C6F3397" w:rsidR="003D5FDC" w:rsidRDefault="003D5FDC" w:rsidP="003D5FDC">
      <w:r>
        <w:t>With reference to the literature, the submission assumed at least 60</w:t>
      </w:r>
      <w:r w:rsidR="00C15138">
        <w:t xml:space="preserve"> </w:t>
      </w:r>
      <w:r>
        <w:t>% of eligible patients with neuropathic pain seek treatment for their condition.  The submission predicted that the PBS listing of pregabalin was likely to increase the awareness and diagnosis of neuropathic pain and estimated the proportion of patients seeking treatment to be 62</w:t>
      </w:r>
      <w:r w:rsidR="00CC34EE">
        <w:t xml:space="preserve"> </w:t>
      </w:r>
      <w:r>
        <w:t>% in the first year of listing, increasing to 70</w:t>
      </w:r>
      <w:r w:rsidR="00C15138">
        <w:t xml:space="preserve"> </w:t>
      </w:r>
      <w:r>
        <w:t>% in year five.</w:t>
      </w:r>
    </w:p>
    <w:p w14:paraId="6BC35136" w14:textId="43F90B96" w:rsidR="003D5FDC" w:rsidRDefault="003D5FDC" w:rsidP="003D5FDC">
      <w:r>
        <w:t>Of the eligible patients seeking treatment for their neuropathic pain, t</w:t>
      </w:r>
      <w:r w:rsidRPr="00FE2CFC">
        <w:t xml:space="preserve">he proportion </w:t>
      </w:r>
      <w:r>
        <w:t>estimated to</w:t>
      </w:r>
      <w:r w:rsidRPr="00FE2CFC">
        <w:t xml:space="preserve"> receive a prescription medicine </w:t>
      </w:r>
      <w:r>
        <w:t>was</w:t>
      </w:r>
      <w:r w:rsidRPr="00FE2CFC">
        <w:t xml:space="preserve"> 80</w:t>
      </w:r>
      <w:r w:rsidR="00C15138">
        <w:t xml:space="preserve"> </w:t>
      </w:r>
      <w:r w:rsidRPr="00FE2CFC">
        <w:t>% to 90</w:t>
      </w:r>
      <w:r w:rsidR="00C15138">
        <w:t xml:space="preserve"> </w:t>
      </w:r>
      <w:r w:rsidRPr="00FE2CFC">
        <w:t>% in th</w:t>
      </w:r>
      <w:r>
        <w:t>e first five years of listing.  Fifty percent of these patients were estimated to receive pregabalin in its first year of PBS listing, rising to 70</w:t>
      </w:r>
      <w:r w:rsidR="00C15138">
        <w:t xml:space="preserve"> </w:t>
      </w:r>
      <w:r>
        <w:t>% in year 5.  These estimations were based on an audit undertaken by the sponsor.  Table 2 outlines the submission’s estimated extent of use for the first five years of listing.</w:t>
      </w:r>
    </w:p>
    <w:p w14:paraId="3F0F844C" w14:textId="77777777" w:rsidR="003D5FDC" w:rsidRDefault="003D5FDC" w:rsidP="003D5FDC">
      <w:r>
        <w:t xml:space="preserve">In estimating the number of packs of pregabalin, the submission estimated patterns of use including regular use, sporadic use, non-compliance, and discontinuation due to a lack of benefit or side effects based on the findings of the drug audit.  </w:t>
      </w:r>
      <w:r w:rsidRPr="00484BEB">
        <w:t xml:space="preserve">The </w:t>
      </w:r>
      <w:r>
        <w:t xml:space="preserve">submission concluded that the </w:t>
      </w:r>
      <w:r w:rsidRPr="00484BEB">
        <w:t>mean total daily dose of pregabalin used in Austra</w:t>
      </w:r>
      <w:r>
        <w:t>lia in practice is 225 mg, based on</w:t>
      </w:r>
      <w:r w:rsidRPr="00484BEB">
        <w:t xml:space="preserve"> the weighted average of the pregabalin doses used from all </w:t>
      </w:r>
      <w:r>
        <w:t xml:space="preserve">the </w:t>
      </w:r>
      <w:r w:rsidRPr="00484BEB">
        <w:t>data sou</w:t>
      </w:r>
      <w:r>
        <w:t>rces (t</w:t>
      </w:r>
      <w:r w:rsidRPr="00484BEB">
        <w:t xml:space="preserve">he </w:t>
      </w:r>
      <w:r>
        <w:t>sponsor’s drug audit, General Practice Research Database (GPRN) and Bettering the Evaluation of Care of Health (BEACH)).</w:t>
      </w:r>
    </w:p>
    <w:p w14:paraId="51531EDE" w14:textId="77777777" w:rsidR="003D5FDC" w:rsidRDefault="003D5FDC" w:rsidP="003D5FDC">
      <w:r>
        <w:t>Add-on therapy to other medicines for neuropathic pain, movement of patients receiving pregabalin via the private market across to pregabalin through the PBS and a reduction in the use of other medicines for neuropathic pain including amitriptyline, gabapentin (outside of PBS restrictions) and carbamazepine through the PBS were also estimated.</w:t>
      </w:r>
    </w:p>
    <w:p w14:paraId="6B3EB248" w14:textId="77777777" w:rsidR="003D5FDC" w:rsidRPr="00B15CCE" w:rsidRDefault="003D5FDC" w:rsidP="003D5FDC">
      <w:pPr>
        <w:spacing w:before="200" w:after="20"/>
        <w:rPr>
          <w:b/>
        </w:rPr>
      </w:pPr>
      <w:r>
        <w:rPr>
          <w:b/>
        </w:rPr>
        <w:t>Table 2: E</w:t>
      </w:r>
      <w:r w:rsidRPr="00B15CCE">
        <w:rPr>
          <w:b/>
        </w:rPr>
        <w:t xml:space="preserve">stimated extent of </w:t>
      </w:r>
      <w:r>
        <w:rPr>
          <w:b/>
        </w:rPr>
        <w:t>use of pregabalin</w:t>
      </w:r>
      <w:r w:rsidRPr="00B15CCE">
        <w:rPr>
          <w:b/>
        </w:rPr>
        <w:t xml:space="preserve"> for the first five years of listing</w:t>
      </w:r>
    </w:p>
    <w:tbl>
      <w:tblPr>
        <w:tblStyle w:val="TableGrid"/>
        <w:tblW w:w="0" w:type="auto"/>
        <w:tblLayout w:type="fixed"/>
        <w:tblLook w:val="04A0" w:firstRow="1" w:lastRow="0" w:firstColumn="1" w:lastColumn="0" w:noHBand="0" w:noVBand="1"/>
        <w:tblCaption w:val="Table 2"/>
        <w:tblDescription w:val="Estimated number of patients and prescriptions for pregabalin in the first five years of PBS listing."/>
      </w:tblPr>
      <w:tblGrid>
        <w:gridCol w:w="1951"/>
        <w:gridCol w:w="1444"/>
        <w:gridCol w:w="1444"/>
        <w:gridCol w:w="1445"/>
        <w:gridCol w:w="1444"/>
        <w:gridCol w:w="1445"/>
      </w:tblGrid>
      <w:tr w:rsidR="003D5FDC" w14:paraId="20D7AEFD" w14:textId="77777777" w:rsidTr="00CE1866">
        <w:trPr>
          <w:tblHeader/>
        </w:trPr>
        <w:tc>
          <w:tcPr>
            <w:tcW w:w="1951" w:type="dxa"/>
            <w:shd w:val="pct25" w:color="auto" w:fill="auto"/>
          </w:tcPr>
          <w:p w14:paraId="5F4A58A2" w14:textId="77777777" w:rsidR="003D5FDC" w:rsidRPr="00B15CCE" w:rsidRDefault="003D5FDC" w:rsidP="005801F8">
            <w:pPr>
              <w:spacing w:before="60" w:after="60"/>
              <w:rPr>
                <w:sz w:val="20"/>
                <w:szCs w:val="20"/>
              </w:rPr>
            </w:pPr>
          </w:p>
        </w:tc>
        <w:tc>
          <w:tcPr>
            <w:tcW w:w="1444" w:type="dxa"/>
            <w:shd w:val="pct25" w:color="auto" w:fill="auto"/>
          </w:tcPr>
          <w:p w14:paraId="42372F05" w14:textId="77777777" w:rsidR="003D5FDC" w:rsidRPr="00B15CCE" w:rsidRDefault="003D5FDC" w:rsidP="005801F8">
            <w:pPr>
              <w:spacing w:before="60" w:after="60"/>
              <w:rPr>
                <w:b/>
                <w:sz w:val="20"/>
                <w:szCs w:val="20"/>
              </w:rPr>
            </w:pPr>
            <w:r>
              <w:rPr>
                <w:b/>
                <w:sz w:val="20"/>
                <w:szCs w:val="20"/>
              </w:rPr>
              <w:t>Year 1</w:t>
            </w:r>
          </w:p>
        </w:tc>
        <w:tc>
          <w:tcPr>
            <w:tcW w:w="1444" w:type="dxa"/>
            <w:shd w:val="pct25" w:color="auto" w:fill="auto"/>
          </w:tcPr>
          <w:p w14:paraId="5A13A96F" w14:textId="77777777" w:rsidR="003D5FDC" w:rsidRPr="00B15CCE" w:rsidRDefault="003D5FDC" w:rsidP="005801F8">
            <w:pPr>
              <w:spacing w:before="60" w:after="60"/>
              <w:rPr>
                <w:b/>
                <w:sz w:val="20"/>
                <w:szCs w:val="20"/>
              </w:rPr>
            </w:pPr>
            <w:r>
              <w:rPr>
                <w:b/>
                <w:sz w:val="20"/>
                <w:szCs w:val="20"/>
              </w:rPr>
              <w:t>Year 2</w:t>
            </w:r>
          </w:p>
        </w:tc>
        <w:tc>
          <w:tcPr>
            <w:tcW w:w="1445" w:type="dxa"/>
            <w:shd w:val="pct25" w:color="auto" w:fill="auto"/>
          </w:tcPr>
          <w:p w14:paraId="3F57E044" w14:textId="77777777" w:rsidR="003D5FDC" w:rsidRPr="00B15CCE" w:rsidRDefault="003D5FDC" w:rsidP="005801F8">
            <w:pPr>
              <w:spacing w:before="60" w:after="60"/>
              <w:rPr>
                <w:b/>
                <w:sz w:val="20"/>
                <w:szCs w:val="20"/>
              </w:rPr>
            </w:pPr>
            <w:r>
              <w:rPr>
                <w:b/>
                <w:sz w:val="20"/>
                <w:szCs w:val="20"/>
              </w:rPr>
              <w:t>Year 3</w:t>
            </w:r>
          </w:p>
        </w:tc>
        <w:tc>
          <w:tcPr>
            <w:tcW w:w="1444" w:type="dxa"/>
            <w:shd w:val="pct25" w:color="auto" w:fill="auto"/>
          </w:tcPr>
          <w:p w14:paraId="29435B7C" w14:textId="77777777" w:rsidR="003D5FDC" w:rsidRPr="00B15CCE" w:rsidRDefault="003D5FDC" w:rsidP="005801F8">
            <w:pPr>
              <w:spacing w:before="60" w:after="60"/>
              <w:rPr>
                <w:b/>
                <w:sz w:val="20"/>
                <w:szCs w:val="20"/>
              </w:rPr>
            </w:pPr>
            <w:r>
              <w:rPr>
                <w:b/>
                <w:sz w:val="20"/>
                <w:szCs w:val="20"/>
              </w:rPr>
              <w:t>Year 4</w:t>
            </w:r>
          </w:p>
        </w:tc>
        <w:tc>
          <w:tcPr>
            <w:tcW w:w="1445" w:type="dxa"/>
            <w:shd w:val="pct25" w:color="auto" w:fill="auto"/>
          </w:tcPr>
          <w:p w14:paraId="1819622A" w14:textId="77777777" w:rsidR="003D5FDC" w:rsidRPr="00B15CCE" w:rsidRDefault="003D5FDC" w:rsidP="005801F8">
            <w:pPr>
              <w:spacing w:before="60" w:after="60"/>
              <w:rPr>
                <w:b/>
                <w:sz w:val="20"/>
                <w:szCs w:val="20"/>
              </w:rPr>
            </w:pPr>
            <w:r>
              <w:rPr>
                <w:b/>
                <w:sz w:val="20"/>
                <w:szCs w:val="20"/>
              </w:rPr>
              <w:t>Year 5</w:t>
            </w:r>
          </w:p>
        </w:tc>
      </w:tr>
      <w:tr w:rsidR="003D5FDC" w14:paraId="22F436DD" w14:textId="77777777" w:rsidTr="005801F8">
        <w:tc>
          <w:tcPr>
            <w:tcW w:w="1951" w:type="dxa"/>
            <w:tcBorders>
              <w:bottom w:val="single" w:sz="4" w:space="0" w:color="auto"/>
            </w:tcBorders>
          </w:tcPr>
          <w:p w14:paraId="0D60EF90" w14:textId="77777777" w:rsidR="003D5FDC" w:rsidRPr="007E7351" w:rsidRDefault="003D5FDC" w:rsidP="005801F8">
            <w:pPr>
              <w:spacing w:before="60" w:after="60"/>
              <w:rPr>
                <w:b/>
                <w:sz w:val="20"/>
                <w:szCs w:val="20"/>
              </w:rPr>
            </w:pPr>
            <w:r w:rsidRPr="007E7351">
              <w:rPr>
                <w:b/>
                <w:sz w:val="20"/>
                <w:szCs w:val="20"/>
              </w:rPr>
              <w:t>Number of patients</w:t>
            </w:r>
            <w:r>
              <w:rPr>
                <w:b/>
                <w:sz w:val="20"/>
                <w:szCs w:val="20"/>
              </w:rPr>
              <w:t xml:space="preserve"> supplied at least one PBS prescription</w:t>
            </w:r>
          </w:p>
        </w:tc>
        <w:tc>
          <w:tcPr>
            <w:tcW w:w="1444" w:type="dxa"/>
            <w:tcBorders>
              <w:bottom w:val="single" w:sz="4" w:space="0" w:color="auto"/>
            </w:tcBorders>
            <w:vAlign w:val="center"/>
          </w:tcPr>
          <w:p w14:paraId="5AD31E02" w14:textId="77777777" w:rsidR="003D5FDC" w:rsidRPr="007A2B65" w:rsidRDefault="003D5FDC" w:rsidP="005801F8">
            <w:pPr>
              <w:spacing w:before="60" w:after="60"/>
              <w:rPr>
                <w:sz w:val="20"/>
                <w:szCs w:val="20"/>
              </w:rPr>
            </w:pPr>
            <w:r>
              <w:rPr>
                <w:rFonts w:cs="Arial"/>
                <w:sz w:val="20"/>
                <w:szCs w:val="20"/>
              </w:rPr>
              <w:t>211,620</w:t>
            </w:r>
            <w:r w:rsidRPr="008C556F">
              <w:rPr>
                <w:rFonts w:cs="Arial"/>
                <w:sz w:val="20"/>
                <w:szCs w:val="20"/>
                <w:vertAlign w:val="superscript"/>
              </w:rPr>
              <w:t>a</w:t>
            </w:r>
            <w:r w:rsidRPr="008C556F">
              <w:rPr>
                <w:rFonts w:cs="Arial"/>
                <w:sz w:val="20"/>
                <w:szCs w:val="20"/>
              </w:rPr>
              <w:t xml:space="preserve"> </w:t>
            </w:r>
          </w:p>
        </w:tc>
        <w:tc>
          <w:tcPr>
            <w:tcW w:w="1444" w:type="dxa"/>
            <w:tcBorders>
              <w:bottom w:val="single" w:sz="4" w:space="0" w:color="auto"/>
            </w:tcBorders>
            <w:vAlign w:val="center"/>
          </w:tcPr>
          <w:p w14:paraId="7033237E" w14:textId="77777777" w:rsidR="003D5FDC" w:rsidRPr="007A2B65" w:rsidRDefault="003D5FDC" w:rsidP="005801F8">
            <w:pPr>
              <w:spacing w:before="60" w:after="60"/>
              <w:rPr>
                <w:sz w:val="20"/>
                <w:szCs w:val="20"/>
              </w:rPr>
            </w:pPr>
            <w:r>
              <w:rPr>
                <w:rFonts w:cs="Arial"/>
                <w:sz w:val="20"/>
                <w:szCs w:val="20"/>
              </w:rPr>
              <w:t>274</w:t>
            </w:r>
            <w:r w:rsidRPr="008C556F">
              <w:rPr>
                <w:rFonts w:cs="Arial"/>
                <w:sz w:val="20"/>
                <w:szCs w:val="20"/>
              </w:rPr>
              <w:t>,</w:t>
            </w:r>
            <w:r>
              <w:rPr>
                <w:rFonts w:cs="Arial"/>
                <w:sz w:val="20"/>
                <w:szCs w:val="20"/>
              </w:rPr>
              <w:t>132</w:t>
            </w:r>
            <w:r w:rsidRPr="008C556F">
              <w:rPr>
                <w:rFonts w:cs="Arial"/>
                <w:sz w:val="20"/>
                <w:szCs w:val="20"/>
                <w:vertAlign w:val="superscript"/>
              </w:rPr>
              <w:t>b</w:t>
            </w:r>
            <w:r w:rsidRPr="008C556F">
              <w:rPr>
                <w:rFonts w:cs="Arial"/>
                <w:sz w:val="20"/>
                <w:szCs w:val="20"/>
              </w:rPr>
              <w:t xml:space="preserve"> </w:t>
            </w:r>
          </w:p>
        </w:tc>
        <w:tc>
          <w:tcPr>
            <w:tcW w:w="1445" w:type="dxa"/>
            <w:tcBorders>
              <w:bottom w:val="single" w:sz="4" w:space="0" w:color="auto"/>
            </w:tcBorders>
            <w:vAlign w:val="center"/>
          </w:tcPr>
          <w:p w14:paraId="74E580C5" w14:textId="77777777" w:rsidR="003D5FDC" w:rsidRPr="007A2B65" w:rsidRDefault="003D5FDC" w:rsidP="005801F8">
            <w:pPr>
              <w:spacing w:before="60" w:after="60"/>
              <w:rPr>
                <w:sz w:val="20"/>
                <w:szCs w:val="20"/>
              </w:rPr>
            </w:pPr>
            <w:r>
              <w:rPr>
                <w:rFonts w:cs="Arial"/>
                <w:sz w:val="20"/>
                <w:szCs w:val="20"/>
              </w:rPr>
              <w:t>286,297</w:t>
            </w:r>
            <w:r w:rsidRPr="008C556F">
              <w:rPr>
                <w:rFonts w:cs="Arial"/>
                <w:sz w:val="20"/>
                <w:szCs w:val="20"/>
                <w:vertAlign w:val="superscript"/>
              </w:rPr>
              <w:t>c</w:t>
            </w:r>
            <w:r w:rsidRPr="008C556F">
              <w:rPr>
                <w:rFonts w:cs="Arial"/>
                <w:sz w:val="20"/>
                <w:szCs w:val="20"/>
              </w:rPr>
              <w:t xml:space="preserve"> </w:t>
            </w:r>
          </w:p>
        </w:tc>
        <w:tc>
          <w:tcPr>
            <w:tcW w:w="1444" w:type="dxa"/>
            <w:tcBorders>
              <w:bottom w:val="single" w:sz="4" w:space="0" w:color="auto"/>
            </w:tcBorders>
            <w:vAlign w:val="center"/>
          </w:tcPr>
          <w:p w14:paraId="238A0A44" w14:textId="77777777" w:rsidR="003D5FDC" w:rsidRPr="007A2B65" w:rsidRDefault="003D5FDC" w:rsidP="005801F8">
            <w:pPr>
              <w:spacing w:before="60" w:after="60"/>
              <w:rPr>
                <w:sz w:val="20"/>
                <w:szCs w:val="20"/>
              </w:rPr>
            </w:pPr>
            <w:r>
              <w:rPr>
                <w:rFonts w:cs="Arial"/>
                <w:sz w:val="20"/>
                <w:szCs w:val="20"/>
              </w:rPr>
              <w:t>318,896</w:t>
            </w:r>
            <w:r w:rsidRPr="008C556F">
              <w:rPr>
                <w:rFonts w:cs="Arial"/>
                <w:sz w:val="20"/>
                <w:szCs w:val="20"/>
                <w:vertAlign w:val="superscript"/>
              </w:rPr>
              <w:t xml:space="preserve">c </w:t>
            </w:r>
          </w:p>
        </w:tc>
        <w:tc>
          <w:tcPr>
            <w:tcW w:w="1445" w:type="dxa"/>
            <w:tcBorders>
              <w:bottom w:val="single" w:sz="4" w:space="0" w:color="auto"/>
            </w:tcBorders>
            <w:vAlign w:val="center"/>
          </w:tcPr>
          <w:p w14:paraId="01B8A08F" w14:textId="77777777" w:rsidR="003D5FDC" w:rsidRPr="007A2B65" w:rsidRDefault="003D5FDC" w:rsidP="005801F8">
            <w:pPr>
              <w:spacing w:before="60" w:after="60"/>
              <w:rPr>
                <w:sz w:val="20"/>
                <w:szCs w:val="20"/>
              </w:rPr>
            </w:pPr>
            <w:r>
              <w:rPr>
                <w:rFonts w:cs="Arial"/>
                <w:sz w:val="20"/>
                <w:szCs w:val="20"/>
              </w:rPr>
              <w:t>350</w:t>
            </w:r>
            <w:r w:rsidRPr="008C556F">
              <w:rPr>
                <w:rFonts w:cs="Arial"/>
                <w:sz w:val="20"/>
                <w:szCs w:val="20"/>
              </w:rPr>
              <w:t>,</w:t>
            </w:r>
            <w:r>
              <w:rPr>
                <w:rFonts w:cs="Arial"/>
                <w:sz w:val="20"/>
                <w:szCs w:val="20"/>
              </w:rPr>
              <w:t>346</w:t>
            </w:r>
            <w:r w:rsidRPr="008C556F">
              <w:rPr>
                <w:rFonts w:cs="Arial"/>
                <w:sz w:val="20"/>
                <w:szCs w:val="20"/>
                <w:vertAlign w:val="superscript"/>
              </w:rPr>
              <w:t>c</w:t>
            </w:r>
          </w:p>
        </w:tc>
      </w:tr>
      <w:tr w:rsidR="003D5FDC" w14:paraId="3EAA2C78" w14:textId="77777777" w:rsidTr="005801F8">
        <w:tc>
          <w:tcPr>
            <w:tcW w:w="1951" w:type="dxa"/>
            <w:shd w:val="clear" w:color="auto" w:fill="auto"/>
          </w:tcPr>
          <w:p w14:paraId="0DE97683" w14:textId="77777777" w:rsidR="003D5FDC" w:rsidRPr="007E7351" w:rsidRDefault="003D5FDC" w:rsidP="005801F8">
            <w:pPr>
              <w:spacing w:before="60" w:after="60"/>
              <w:rPr>
                <w:b/>
                <w:sz w:val="20"/>
                <w:szCs w:val="20"/>
              </w:rPr>
            </w:pPr>
            <w:r w:rsidRPr="007E7351">
              <w:rPr>
                <w:b/>
                <w:sz w:val="20"/>
                <w:szCs w:val="20"/>
              </w:rPr>
              <w:t>Number of packs per year</w:t>
            </w:r>
          </w:p>
        </w:tc>
        <w:tc>
          <w:tcPr>
            <w:tcW w:w="1444" w:type="dxa"/>
            <w:shd w:val="clear" w:color="auto" w:fill="auto"/>
            <w:vAlign w:val="center"/>
          </w:tcPr>
          <w:p w14:paraId="507428E0" w14:textId="77777777" w:rsidR="003D5FDC" w:rsidRPr="007A2B65" w:rsidRDefault="003D5FDC" w:rsidP="005801F8">
            <w:pPr>
              <w:spacing w:before="60" w:after="60"/>
              <w:rPr>
                <w:sz w:val="20"/>
                <w:szCs w:val="20"/>
              </w:rPr>
            </w:pPr>
            <w:r w:rsidRPr="008C556F">
              <w:rPr>
                <w:rFonts w:cs="Arial"/>
                <w:sz w:val="20"/>
                <w:szCs w:val="20"/>
              </w:rPr>
              <w:t>1,</w:t>
            </w:r>
            <w:r>
              <w:rPr>
                <w:rFonts w:cs="Arial"/>
                <w:sz w:val="20"/>
                <w:szCs w:val="20"/>
              </w:rPr>
              <w:t>381,724</w:t>
            </w:r>
            <w:r w:rsidRPr="008C556F">
              <w:rPr>
                <w:rFonts w:cs="Arial"/>
                <w:sz w:val="20"/>
                <w:szCs w:val="20"/>
              </w:rPr>
              <w:t xml:space="preserve"> </w:t>
            </w:r>
          </w:p>
        </w:tc>
        <w:tc>
          <w:tcPr>
            <w:tcW w:w="1444" w:type="dxa"/>
            <w:shd w:val="clear" w:color="auto" w:fill="auto"/>
            <w:vAlign w:val="center"/>
          </w:tcPr>
          <w:p w14:paraId="1350F670" w14:textId="77777777" w:rsidR="003D5FDC" w:rsidRPr="00C20066" w:rsidRDefault="003D5FDC" w:rsidP="005801F8">
            <w:pPr>
              <w:spacing w:before="60" w:after="60"/>
              <w:rPr>
                <w:rFonts w:cs="Arial"/>
                <w:sz w:val="20"/>
                <w:szCs w:val="20"/>
              </w:rPr>
            </w:pPr>
            <w:r w:rsidRPr="008C556F">
              <w:rPr>
                <w:rFonts w:cs="Arial"/>
                <w:sz w:val="20"/>
                <w:szCs w:val="20"/>
              </w:rPr>
              <w:t xml:space="preserve">1,847,128 </w:t>
            </w:r>
          </w:p>
        </w:tc>
        <w:tc>
          <w:tcPr>
            <w:tcW w:w="1445" w:type="dxa"/>
            <w:shd w:val="clear" w:color="auto" w:fill="auto"/>
            <w:vAlign w:val="center"/>
          </w:tcPr>
          <w:p w14:paraId="240AF118" w14:textId="77777777" w:rsidR="003D5FDC" w:rsidRPr="00C20066" w:rsidRDefault="003D5FDC" w:rsidP="005801F8">
            <w:pPr>
              <w:spacing w:before="60" w:after="60"/>
              <w:rPr>
                <w:rFonts w:cs="Arial"/>
                <w:sz w:val="20"/>
                <w:szCs w:val="20"/>
              </w:rPr>
            </w:pPr>
            <w:r w:rsidRPr="008C556F">
              <w:rPr>
                <w:rFonts w:cs="Arial"/>
                <w:sz w:val="20"/>
                <w:szCs w:val="20"/>
              </w:rPr>
              <w:t xml:space="preserve">1,977,004 </w:t>
            </w:r>
          </w:p>
        </w:tc>
        <w:tc>
          <w:tcPr>
            <w:tcW w:w="1444" w:type="dxa"/>
            <w:shd w:val="clear" w:color="auto" w:fill="auto"/>
            <w:vAlign w:val="center"/>
          </w:tcPr>
          <w:p w14:paraId="52CFE75B" w14:textId="77777777" w:rsidR="003D5FDC" w:rsidRPr="00C20066" w:rsidRDefault="003D5FDC" w:rsidP="005801F8">
            <w:pPr>
              <w:spacing w:before="60" w:after="60"/>
              <w:rPr>
                <w:rFonts w:cs="Arial"/>
                <w:sz w:val="20"/>
                <w:szCs w:val="20"/>
              </w:rPr>
            </w:pPr>
            <w:r w:rsidRPr="008C556F">
              <w:rPr>
                <w:rFonts w:cs="Arial"/>
                <w:sz w:val="20"/>
                <w:szCs w:val="20"/>
              </w:rPr>
              <w:t xml:space="preserve">2,201,051 </w:t>
            </w:r>
          </w:p>
        </w:tc>
        <w:tc>
          <w:tcPr>
            <w:tcW w:w="1445" w:type="dxa"/>
            <w:shd w:val="clear" w:color="auto" w:fill="auto"/>
            <w:vAlign w:val="center"/>
          </w:tcPr>
          <w:p w14:paraId="0CEB6C66" w14:textId="77777777" w:rsidR="003D5FDC" w:rsidRPr="00C20066" w:rsidRDefault="003D5FDC" w:rsidP="005801F8">
            <w:pPr>
              <w:spacing w:before="60" w:after="60"/>
              <w:rPr>
                <w:rFonts w:cs="Arial"/>
                <w:sz w:val="20"/>
                <w:szCs w:val="20"/>
              </w:rPr>
            </w:pPr>
            <w:r w:rsidRPr="008C556F">
              <w:rPr>
                <w:rFonts w:cs="Arial"/>
                <w:sz w:val="20"/>
                <w:szCs w:val="20"/>
              </w:rPr>
              <w:t xml:space="preserve">2,421,029 </w:t>
            </w:r>
          </w:p>
        </w:tc>
      </w:tr>
    </w:tbl>
    <w:p w14:paraId="2178BFE7" w14:textId="77777777" w:rsidR="003D5FDC" w:rsidRPr="008C556F" w:rsidRDefault="003D5FDC" w:rsidP="003D5FDC">
      <w:pPr>
        <w:spacing w:after="0"/>
        <w:rPr>
          <w:i/>
          <w:sz w:val="20"/>
        </w:rPr>
      </w:pPr>
      <w:r>
        <w:rPr>
          <w:sz w:val="20"/>
        </w:rPr>
        <w:t xml:space="preserve">Source: Final agreed estimates based on financial years. </w:t>
      </w:r>
      <w:r w:rsidRPr="00002ECF">
        <w:rPr>
          <w:i/>
          <w:sz w:val="20"/>
        </w:rPr>
        <w:t>Estimates for the Risk Sharing Arrangement were converted to calendar years.</w:t>
      </w:r>
      <w:r w:rsidRPr="008C556F">
        <w:rPr>
          <w:i/>
          <w:sz w:val="20"/>
        </w:rPr>
        <w:t xml:space="preserve"> </w:t>
      </w:r>
    </w:p>
    <w:p w14:paraId="3066BF42" w14:textId="77777777" w:rsidR="003D5FDC" w:rsidRDefault="003D5FDC" w:rsidP="003D5FDC">
      <w:pPr>
        <w:spacing w:after="0"/>
        <w:rPr>
          <w:sz w:val="20"/>
        </w:rPr>
      </w:pPr>
      <w:r>
        <w:rPr>
          <w:sz w:val="20"/>
          <w:vertAlign w:val="superscript"/>
        </w:rPr>
        <w:t>a</w:t>
      </w:r>
      <w:r>
        <w:rPr>
          <w:sz w:val="20"/>
        </w:rPr>
        <w:t>49,144 newly diagnosed; 78,804 continuing from non-PBS supply (grandfathered); 83,672 previously lapsed.</w:t>
      </w:r>
    </w:p>
    <w:p w14:paraId="70C4259C" w14:textId="45FFF4E2" w:rsidR="003D5FDC" w:rsidRDefault="003D5FDC" w:rsidP="003D5FDC">
      <w:pPr>
        <w:spacing w:after="0"/>
        <w:rPr>
          <w:sz w:val="20"/>
        </w:rPr>
      </w:pPr>
      <w:r w:rsidRPr="008C556F">
        <w:rPr>
          <w:sz w:val="20"/>
          <w:vertAlign w:val="superscript"/>
        </w:rPr>
        <w:t>b</w:t>
      </w:r>
      <w:r>
        <w:rPr>
          <w:sz w:val="20"/>
        </w:rPr>
        <w:t>27,257 newly diagnosed; 178,416 continu</w:t>
      </w:r>
      <w:r w:rsidR="00607E3F">
        <w:rPr>
          <w:sz w:val="20"/>
        </w:rPr>
        <w:t xml:space="preserve">ing on PBS from previous year; </w:t>
      </w:r>
      <w:r>
        <w:rPr>
          <w:sz w:val="20"/>
        </w:rPr>
        <w:t>68,459 previously lapsed.</w:t>
      </w:r>
    </w:p>
    <w:p w14:paraId="2FE3BB52" w14:textId="77777777" w:rsidR="003D5FDC" w:rsidRPr="00424AE5" w:rsidRDefault="003D5FDC" w:rsidP="003D5FDC">
      <w:pPr>
        <w:rPr>
          <w:sz w:val="20"/>
        </w:rPr>
      </w:pPr>
      <w:r w:rsidRPr="008C556F">
        <w:rPr>
          <w:sz w:val="20"/>
          <w:vertAlign w:val="superscript"/>
        </w:rPr>
        <w:t>c</w:t>
      </w:r>
      <w:r>
        <w:rPr>
          <w:sz w:val="20"/>
          <w:vertAlign w:val="superscript"/>
        </w:rPr>
        <w:t xml:space="preserve"> </w:t>
      </w:r>
      <w:r>
        <w:rPr>
          <w:sz w:val="20"/>
        </w:rPr>
        <w:t>newly diagnosed plus continuing from previous year.</w:t>
      </w:r>
    </w:p>
    <w:p w14:paraId="4E9616F9" w14:textId="64DC9ADD" w:rsidR="003D5FDC" w:rsidRDefault="003D5FDC" w:rsidP="003D5FDC">
      <w:r>
        <w:t>The DUSC considered that the estimated prevalence of 3.7</w:t>
      </w:r>
      <w:r w:rsidR="00C87C3C">
        <w:t xml:space="preserve"> </w:t>
      </w:r>
      <w:r>
        <w:t xml:space="preserve">% was highly uncertain as estimates based on overseas data are problematic with </w:t>
      </w:r>
      <w:r w:rsidRPr="00204450">
        <w:t>wide variations in the prevalence of chronic pain by country suggest</w:t>
      </w:r>
      <w:r>
        <w:t>ing</w:t>
      </w:r>
      <w:r w:rsidRPr="00204450">
        <w:t xml:space="preserve"> cultural or health sy</w:t>
      </w:r>
      <w:r>
        <w:t>stem issues.  The DUSC considered this uncertainty significantly affected the reliability of the overall estimates.  The DUSC considered that a large number of patients were likely to seek treatment with pregabalin initially and that the submission underestimated this uptake.</w:t>
      </w:r>
    </w:p>
    <w:p w14:paraId="6EFC34A8" w14:textId="77777777" w:rsidR="003D5FDC" w:rsidRDefault="003D5FDC" w:rsidP="003D5FDC">
      <w:r>
        <w:t>The DUSC further considered that t</w:t>
      </w:r>
      <w:r w:rsidRPr="006665E1">
        <w:t>he total nu</w:t>
      </w:r>
      <w:r>
        <w:t>mber of prescriptions per year wa</w:t>
      </w:r>
      <w:r w:rsidRPr="006665E1">
        <w:t>s subject to several uncer</w:t>
      </w:r>
      <w:r>
        <w:t>tainties with differing effects, including;</w:t>
      </w:r>
    </w:p>
    <w:p w14:paraId="5C7D07F1" w14:textId="77777777" w:rsidR="003D5FDC" w:rsidRPr="006665E1" w:rsidRDefault="003D5FDC" w:rsidP="003D5FDC">
      <w:pPr>
        <w:pStyle w:val="ListParagraph"/>
        <w:numPr>
          <w:ilvl w:val="0"/>
          <w:numId w:val="3"/>
        </w:numPr>
      </w:pPr>
      <w:r w:rsidRPr="006665E1">
        <w:t>The proportion who r</w:t>
      </w:r>
      <w:r>
        <w:t>espond and continue on therapy wa</w:t>
      </w:r>
      <w:r w:rsidRPr="006665E1">
        <w:t>s likely to be a substantial overestimate;</w:t>
      </w:r>
    </w:p>
    <w:p w14:paraId="43A68C95" w14:textId="77777777" w:rsidR="003D5FDC" w:rsidRDefault="003D5FDC" w:rsidP="003D5FDC">
      <w:pPr>
        <w:pStyle w:val="ListParagraph"/>
        <w:numPr>
          <w:ilvl w:val="0"/>
          <w:numId w:val="3"/>
        </w:numPr>
      </w:pPr>
      <w:r w:rsidRPr="00AE1557">
        <w:t>The assumptions of substitution</w:t>
      </w:r>
      <w:r>
        <w:t xml:space="preserve"> were considered</w:t>
      </w:r>
      <w:r w:rsidRPr="00AE1557">
        <w:t xml:space="preserve"> unlikely to be realised</w:t>
      </w:r>
      <w:r>
        <w:t>, with add-on use expected to</w:t>
      </w:r>
      <w:r w:rsidRPr="00DB018B">
        <w:t xml:space="preserve"> be much higher than the switching </w:t>
      </w:r>
      <w:r>
        <w:t>proposed; and</w:t>
      </w:r>
    </w:p>
    <w:p w14:paraId="676BF669" w14:textId="77777777" w:rsidR="003D5FDC" w:rsidRDefault="003D5FDC" w:rsidP="003D5FDC">
      <w:pPr>
        <w:pStyle w:val="ListParagraph"/>
        <w:numPr>
          <w:ilvl w:val="0"/>
          <w:numId w:val="3"/>
        </w:numPr>
      </w:pPr>
      <w:r>
        <w:t>The mean total daily dose of 225 mg pregabalin was high, and the average daily dose was likely to be lower.</w:t>
      </w:r>
    </w:p>
    <w:p w14:paraId="33D90285" w14:textId="77777777" w:rsidR="003D5FDC" w:rsidRDefault="003D5FDC" w:rsidP="003D5FDC">
      <w:pPr>
        <w:tabs>
          <w:tab w:val="left" w:pos="0"/>
        </w:tabs>
      </w:pPr>
      <w:r>
        <w:t>In the March 2012 submission the cost off-sets for patients switching from amitriptyline, gabapentin or carbamazepine were reduced.  In year 1 a reduction in R/PBS prescriptions of amitriptyline, gabapentin and carbamazepine of 112,255, 9,824 and 9,112 respectively was predicted.</w:t>
      </w:r>
    </w:p>
    <w:p w14:paraId="0E389CD0" w14:textId="77777777" w:rsidR="008741FB" w:rsidRDefault="003D5FDC" w:rsidP="003D5FDC">
      <w:pPr>
        <w:tabs>
          <w:tab w:val="left" w:pos="0"/>
        </w:tabs>
        <w:spacing w:after="0"/>
      </w:pPr>
      <w:r w:rsidRPr="00002ECF">
        <w:t>Following the PBAC consideration, the sponsor offered a 16 % price decrease which resulted in a positive recommendation out of session by the PBAC.</w:t>
      </w:r>
    </w:p>
    <w:p w14:paraId="3DAD6886" w14:textId="2CE49874" w:rsidR="003D5FDC" w:rsidRDefault="008741FB" w:rsidP="003D5FDC">
      <w:pPr>
        <w:tabs>
          <w:tab w:val="left" w:pos="0"/>
        </w:tabs>
        <w:spacing w:after="0"/>
      </w:pPr>
      <w:r>
        <w:t xml:space="preserve"> </w:t>
      </w:r>
    </w:p>
    <w:p w14:paraId="408FA6DC" w14:textId="763E2071" w:rsidR="003D5FDC" w:rsidRPr="008D65BA" w:rsidRDefault="00AB5B3C" w:rsidP="003D5FDC">
      <w:pPr>
        <w:tabs>
          <w:tab w:val="left" w:pos="0"/>
        </w:tabs>
        <w:rPr>
          <w:b/>
        </w:rPr>
      </w:pPr>
      <w:r>
        <w:t>A risk share arrangement</w:t>
      </w:r>
      <w:r w:rsidR="003D5FDC">
        <w:t xml:space="preserve"> was negotiated between t</w:t>
      </w:r>
      <w:r w:rsidR="00491FFD">
        <w:t>he Government and the sponsor.</w:t>
      </w:r>
    </w:p>
    <w:p w14:paraId="0DEBD50F" w14:textId="15FAF547" w:rsidR="00094DCF" w:rsidRDefault="00ED633B" w:rsidP="000933D3">
      <w:pPr>
        <w:pStyle w:val="Heading4"/>
      </w:pPr>
      <w:r w:rsidRPr="005C25A2">
        <w:t xml:space="preserve">Previous reviews by </w:t>
      </w:r>
      <w:r w:rsidR="005C597F" w:rsidRPr="005C25A2">
        <w:t xml:space="preserve">the </w:t>
      </w:r>
      <w:r w:rsidRPr="005C25A2">
        <w:t>DUSC</w:t>
      </w:r>
    </w:p>
    <w:p w14:paraId="55F9B073" w14:textId="6E70FE29" w:rsidR="00D401A5" w:rsidRPr="00D401A5" w:rsidRDefault="00D401A5" w:rsidP="00D401A5">
      <w:r w:rsidRPr="00D401A5">
        <w:t>Prior to the listing of pregabalin there were no medicines listed on the PBS specifically for neuropathic pain.  This is the first review of pregabalin (12 months post listing).</w:t>
      </w:r>
    </w:p>
    <w:p w14:paraId="0312FFEC" w14:textId="5C6A9662" w:rsidR="00E677DD" w:rsidRDefault="00E677DD" w:rsidP="00E11A6D">
      <w:pPr>
        <w:pStyle w:val="Heading3"/>
      </w:pPr>
      <w:r w:rsidRPr="005E22C2">
        <w:t>Method</w:t>
      </w:r>
      <w:r w:rsidR="001B5D37" w:rsidRPr="005E22C2">
        <w:t>s</w:t>
      </w:r>
    </w:p>
    <w:p w14:paraId="7AC081E3" w14:textId="77777777" w:rsidR="003C38AA" w:rsidRDefault="003C38AA" w:rsidP="003C38AA">
      <w:r>
        <w:t>Data for</w:t>
      </w:r>
      <w:r w:rsidRPr="00D0271A">
        <w:t xml:space="preserve"> </w:t>
      </w:r>
      <w:r>
        <w:t xml:space="preserve">the number of prescriptions supplied and Government expenditure for </w:t>
      </w:r>
      <w:r w:rsidRPr="00D0271A">
        <w:t>p</w:t>
      </w:r>
      <w:r>
        <w:t>r</w:t>
      </w:r>
      <w:r w:rsidRPr="00D0271A">
        <w:t>egabalin was extracted from the DUSC database from the date of listing on the PBS (1 March 2013) to the most current available data (March 2014).</w:t>
      </w:r>
      <w:r>
        <w:t xml:space="preserve">  Data was also extracted for the RPBS pregabalin items prior to their deletion, effective 1 November 2013.  </w:t>
      </w:r>
    </w:p>
    <w:p w14:paraId="4643E99C" w14:textId="77777777" w:rsidR="003C38AA" w:rsidRDefault="003C38AA" w:rsidP="003C38AA">
      <w:r w:rsidRPr="00CF7365">
        <w:t>The DUSC database combines data on PBS prescriptions submitted to the Department of Human Services (DHS) for payment of a PBS/RPBS subsidy by the Govern</w:t>
      </w:r>
      <w:r>
        <w:t>ment, with an estimate of under</w:t>
      </w:r>
      <w:r w:rsidRPr="00CF7365">
        <w:t xml:space="preserve"> </w:t>
      </w:r>
      <w:r>
        <w:t xml:space="preserve">patient </w:t>
      </w:r>
      <w:r w:rsidRPr="00CF7365">
        <w:t>co-payment prescriptions based on dispensing data from a sample of pharmacies to the end of August 2012, replaced by actual under co-payment data from 1 April 2012.  The DUSC database includes an estimate of private prescriptions based on dispensing data from a sample of pharmacies to the end of August 2012</w:t>
      </w:r>
      <w:r>
        <w:t>.</w:t>
      </w:r>
    </w:p>
    <w:p w14:paraId="3665E129" w14:textId="77777777" w:rsidR="003C38AA" w:rsidRDefault="003C38AA" w:rsidP="003C38AA">
      <w:r w:rsidRPr="00780C80">
        <w:t xml:space="preserve">Patients initiating </w:t>
      </w:r>
      <w:r>
        <w:t>PBS pregabalin in</w:t>
      </w:r>
      <w:r w:rsidRPr="00780C80">
        <w:t xml:space="preserve"> the </w:t>
      </w:r>
      <w:r>
        <w:t xml:space="preserve">first </w:t>
      </w:r>
      <w:r w:rsidRPr="00780C80">
        <w:t xml:space="preserve">twelve months </w:t>
      </w:r>
      <w:r>
        <w:t xml:space="preserve">of listing were counted from </w:t>
      </w:r>
      <w:r w:rsidRPr="005616F4">
        <w:t>de</w:t>
      </w:r>
      <w:r>
        <w:t>-</w:t>
      </w:r>
      <w:r w:rsidRPr="005616F4">
        <w:t>identified unique patien</w:t>
      </w:r>
      <w:r>
        <w:t>t identification numbers (PINs).</w:t>
      </w:r>
    </w:p>
    <w:p w14:paraId="7D7BB36A" w14:textId="77777777" w:rsidR="003C38AA" w:rsidRDefault="003C38AA" w:rsidP="003C38AA">
      <w:r>
        <w:t>All data were extracted based on the date of supply to the patient. The data differs from that available from the DHS (Medicare) PBS statistics website</w:t>
      </w:r>
      <w:r w:rsidRPr="00BF4776">
        <w:t xml:space="preserve"> </w:t>
      </w:r>
      <w:r>
        <w:t>which is based on the date of processing and is only for subsidised R/PBS prescriptions (under patient co-payment not included).</w:t>
      </w:r>
      <w:r>
        <w:rPr>
          <w:rStyle w:val="FootnoteReference"/>
        </w:rPr>
        <w:footnoteReference w:id="3"/>
      </w:r>
    </w:p>
    <w:p w14:paraId="4F91A98A" w14:textId="00180E30" w:rsidR="00C714D0" w:rsidRPr="005E22C2" w:rsidRDefault="00C714D0" w:rsidP="00E11A6D">
      <w:pPr>
        <w:pStyle w:val="Heading3"/>
      </w:pPr>
      <w:r w:rsidRPr="005E22C2">
        <w:t>Results</w:t>
      </w:r>
    </w:p>
    <w:p w14:paraId="2221FF19" w14:textId="336CE8B2" w:rsidR="00736041" w:rsidRDefault="001B5D37" w:rsidP="0038097B">
      <w:pPr>
        <w:pStyle w:val="Heading4"/>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09F8A9BC" w14:textId="35E50016" w:rsidR="006A44F5" w:rsidRDefault="00736041" w:rsidP="0038097B">
      <w:pPr>
        <w:pStyle w:val="Heading5"/>
      </w:pPr>
      <w:r w:rsidRPr="005E22C2">
        <w:t>Overall utilisation</w:t>
      </w:r>
    </w:p>
    <w:p w14:paraId="4DD68C05" w14:textId="77777777" w:rsidR="00EA712C" w:rsidRDefault="00EA712C" w:rsidP="00EA712C">
      <w:pPr>
        <w:spacing w:before="240"/>
        <w:rPr>
          <w:b/>
          <w:i/>
        </w:rPr>
      </w:pPr>
      <w:r>
        <w:rPr>
          <w:b/>
          <w:i/>
        </w:rPr>
        <w:t>Prescriptions</w:t>
      </w:r>
    </w:p>
    <w:p w14:paraId="3AC67CC6" w14:textId="77777777" w:rsidR="00EA712C" w:rsidRDefault="00EA712C" w:rsidP="00EA712C">
      <w:pPr>
        <w:spacing w:before="240"/>
      </w:pPr>
      <w:r>
        <w:t xml:space="preserve">There were </w:t>
      </w:r>
      <w:r w:rsidRPr="006B10E8">
        <w:t>1</w:t>
      </w:r>
      <w:r>
        <w:t>,</w:t>
      </w:r>
      <w:r w:rsidRPr="006B10E8">
        <w:t>389</w:t>
      </w:r>
      <w:r>
        <w:t>,</w:t>
      </w:r>
      <w:r w:rsidRPr="006B10E8">
        <w:t>678</w:t>
      </w:r>
      <w:r>
        <w:t xml:space="preserve"> prescriptions for pregabalin supplied in the first twelve months of listing.  This figure includes PBS, including under co-payment prescriptions, and RPBS.  Figure 1 shows the total number of prescriptions supplied by year and month of supply from March 2012 to March 2014.  The data indicates that prescription numbers are currently increasing and have yet to stabilise.</w:t>
      </w:r>
    </w:p>
    <w:p w14:paraId="5F565321" w14:textId="77777777" w:rsidR="00A204A7" w:rsidRPr="00F577BA" w:rsidRDefault="00A204A7" w:rsidP="00A204A7">
      <w:r>
        <w:rPr>
          <w:noProof/>
        </w:rPr>
        <w:drawing>
          <wp:inline distT="0" distB="0" distL="0" distR="0" wp14:anchorId="187A3930" wp14:editId="4B03D665">
            <wp:extent cx="5686425" cy="3914775"/>
            <wp:effectExtent l="0" t="0" r="9525" b="9525"/>
            <wp:docPr id="2" name="Chart 2" descr="The figure illustrates the total number of prescriptions supplied for pregabalin by month and year of supply." title="Figur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DBFF72D" w14:textId="77777777" w:rsidR="00A204A7" w:rsidRPr="00255557" w:rsidRDefault="00A204A7" w:rsidP="00A204A7">
      <w:pPr>
        <w:pStyle w:val="Figuretitle"/>
      </w:pPr>
      <w:r w:rsidRPr="00FE645A">
        <w:t xml:space="preserve">Figure 1: </w:t>
      </w:r>
      <w:r>
        <w:t>Number of prescriptions for pregabalin by year and month of supply, March 2012 to March 2014</w:t>
      </w:r>
    </w:p>
    <w:p w14:paraId="0A4F2DEC" w14:textId="77777777" w:rsidR="00B15808" w:rsidRDefault="00B15808">
      <w:pPr>
        <w:spacing w:line="276" w:lineRule="auto"/>
        <w:rPr>
          <w:rFonts w:eastAsiaTheme="majorEastAsia" w:cstheme="majorBidi"/>
          <w:b/>
          <w:bCs/>
          <w:i/>
        </w:rPr>
      </w:pPr>
      <w:r>
        <w:br w:type="page"/>
      </w:r>
    </w:p>
    <w:p w14:paraId="09F9D349" w14:textId="6E749A45" w:rsidR="00736041" w:rsidRDefault="003F1499" w:rsidP="00343204">
      <w:pPr>
        <w:pStyle w:val="Heading5"/>
      </w:pPr>
      <w:r>
        <w:t>Prescriptions by strength</w:t>
      </w:r>
    </w:p>
    <w:p w14:paraId="0387B788" w14:textId="7E2DEF11" w:rsidR="00515FC8" w:rsidRDefault="00515FC8" w:rsidP="00515FC8">
      <w:pPr>
        <w:spacing w:before="240"/>
      </w:pPr>
      <w:r>
        <w:t>Figure 2 shows the total number of prescriptions per month by strength.  The most commonly supplied strength is 75 mg at 52</w:t>
      </w:r>
      <w:r w:rsidR="00C87C3C">
        <w:t xml:space="preserve"> </w:t>
      </w:r>
      <w:r>
        <w:t>% of PBS prescriptions supplied in the first twelve months of listing.</w:t>
      </w:r>
    </w:p>
    <w:p w14:paraId="2D3689C0" w14:textId="77777777" w:rsidR="00F41EE0" w:rsidRPr="002C5897" w:rsidRDefault="00F41EE0" w:rsidP="00F41EE0">
      <w:pPr>
        <w:spacing w:before="240"/>
      </w:pPr>
      <w:r>
        <w:rPr>
          <w:noProof/>
        </w:rPr>
        <w:drawing>
          <wp:inline distT="0" distB="0" distL="0" distR="0" wp14:anchorId="1C469AE8" wp14:editId="6F5B91E7">
            <wp:extent cx="5686425" cy="4067175"/>
            <wp:effectExtent l="0" t="0" r="9525" b="9525"/>
            <wp:docPr id="6" name="Chart 6" descr="The total number of pregabalin prescriptions supplied each month by strength." title="Figur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04F463F" w14:textId="77777777" w:rsidR="00F41EE0" w:rsidRDefault="00F41EE0" w:rsidP="00F41EE0">
      <w:pPr>
        <w:pStyle w:val="Figuretitle"/>
      </w:pPr>
      <w:r>
        <w:t>Figure 2</w:t>
      </w:r>
      <w:r w:rsidRPr="00FE645A">
        <w:t xml:space="preserve">: </w:t>
      </w:r>
      <w:r>
        <w:t>Number of PBS and RPBS prescriptions of pregabalin by strength, year and month of supply, March 2012 to March 2014</w:t>
      </w:r>
    </w:p>
    <w:p w14:paraId="6B9CD2F8" w14:textId="40430AF5" w:rsidR="00EB082D" w:rsidRDefault="00486E10" w:rsidP="00B15808">
      <w:pPr>
        <w:spacing w:before="240"/>
        <w:rPr>
          <w:rFonts w:eastAsiaTheme="majorEastAsia" w:cstheme="majorBidi"/>
          <w:b/>
          <w:bCs/>
        </w:rPr>
      </w:pPr>
      <w:r>
        <w:t>The proportions of pregabalin by strength supplied appear consistent over the first year of listing.  Patients initiating PBS subsidised pregabalin in year 1 will be a mix of patients including those moving from pregabalin supplied via the private market, dose titration in patients new to treatment, add-on therapy, re-initiators and switching from other medicines used to treat neuropathic pain (PBS or non-PBS subsidised).  The data in Figure 2 also includes continuing patients.  Two snapshots were taken of pregabalin strengths supplied to explore whether the proportions of strengths varied over the period, possibly reflecting a changing mix of patients.  The proportions of prescriptions by strength are shown in Table 3 below, with the early snapshot of three months post listing (June 2013) and seven months post listing (October 2013).  October 2013 was taken as the second snapshot, as the RPBS items were deleted on 1 November 2013.  The snapshots confirmed that the proportions of prescriptions for pregabalin by strength were fairly stable over the time period.</w:t>
      </w:r>
    </w:p>
    <w:p w14:paraId="5F1173B5" w14:textId="1C510796" w:rsidR="004C62D6" w:rsidRDefault="004C62D6" w:rsidP="004C62D6">
      <w:pPr>
        <w:pStyle w:val="Tabletitle"/>
      </w:pPr>
      <w:r>
        <w:t>Table 3: Percentages of strengths of pregabalin supplied</w:t>
      </w:r>
    </w:p>
    <w:tbl>
      <w:tblPr>
        <w:tblStyle w:val="TableGrid"/>
        <w:tblW w:w="0" w:type="auto"/>
        <w:tblInd w:w="108" w:type="dxa"/>
        <w:tblLook w:val="04A0" w:firstRow="1" w:lastRow="0" w:firstColumn="1" w:lastColumn="0" w:noHBand="0" w:noVBand="1"/>
        <w:tblCaption w:val="Table 3"/>
        <w:tblDescription w:val="Percentages of pregabalin supplied by strength; 12 month total, and snapshots of June 2013 and October 2013."/>
      </w:tblPr>
      <w:tblGrid>
        <w:gridCol w:w="1486"/>
        <w:gridCol w:w="1486"/>
        <w:gridCol w:w="1486"/>
        <w:gridCol w:w="1486"/>
        <w:gridCol w:w="1486"/>
        <w:gridCol w:w="1486"/>
      </w:tblGrid>
      <w:tr w:rsidR="004C62D6" w:rsidRPr="00BB6777" w14:paraId="60EE82F9" w14:textId="77777777" w:rsidTr="00CE1866">
        <w:trPr>
          <w:trHeight w:val="616"/>
          <w:tblHeader/>
        </w:trPr>
        <w:tc>
          <w:tcPr>
            <w:tcW w:w="1486" w:type="dxa"/>
            <w:shd w:val="clear" w:color="auto" w:fill="BFBFBF" w:themeFill="background1" w:themeFillShade="BF"/>
          </w:tcPr>
          <w:p w14:paraId="3B90D99F" w14:textId="77777777" w:rsidR="004C62D6" w:rsidRPr="00E36693" w:rsidRDefault="004C62D6" w:rsidP="007D4553">
            <w:pPr>
              <w:spacing w:before="60" w:after="60"/>
              <w:rPr>
                <w:b/>
                <w:sz w:val="20"/>
                <w:szCs w:val="20"/>
              </w:rPr>
            </w:pPr>
            <w:r w:rsidRPr="00E36693">
              <w:rPr>
                <w:b/>
                <w:sz w:val="20"/>
                <w:szCs w:val="20"/>
              </w:rPr>
              <w:t>Month of supply</w:t>
            </w:r>
          </w:p>
        </w:tc>
        <w:tc>
          <w:tcPr>
            <w:tcW w:w="1486" w:type="dxa"/>
            <w:shd w:val="clear" w:color="auto" w:fill="BFBFBF" w:themeFill="background1" w:themeFillShade="BF"/>
          </w:tcPr>
          <w:p w14:paraId="3EF96DB2" w14:textId="77777777" w:rsidR="004C62D6" w:rsidRPr="00E36693" w:rsidRDefault="004C62D6" w:rsidP="007D4553">
            <w:pPr>
              <w:spacing w:before="60" w:after="60"/>
              <w:rPr>
                <w:b/>
                <w:sz w:val="20"/>
                <w:szCs w:val="20"/>
              </w:rPr>
            </w:pPr>
            <w:r w:rsidRPr="00E36693">
              <w:rPr>
                <w:b/>
                <w:sz w:val="20"/>
                <w:szCs w:val="20"/>
              </w:rPr>
              <w:t>pregabalin 25 mg (%)</w:t>
            </w:r>
          </w:p>
        </w:tc>
        <w:tc>
          <w:tcPr>
            <w:tcW w:w="1486" w:type="dxa"/>
            <w:shd w:val="clear" w:color="auto" w:fill="BFBFBF" w:themeFill="background1" w:themeFillShade="BF"/>
          </w:tcPr>
          <w:p w14:paraId="01F223B4" w14:textId="77777777" w:rsidR="004C62D6" w:rsidRPr="00E36693" w:rsidRDefault="004C62D6" w:rsidP="007D4553">
            <w:pPr>
              <w:spacing w:before="60" w:after="60"/>
              <w:rPr>
                <w:b/>
                <w:sz w:val="20"/>
                <w:szCs w:val="20"/>
              </w:rPr>
            </w:pPr>
            <w:r w:rsidRPr="00E36693">
              <w:rPr>
                <w:b/>
                <w:sz w:val="20"/>
                <w:szCs w:val="20"/>
              </w:rPr>
              <w:t>pregabalin 75 mg (%)</w:t>
            </w:r>
          </w:p>
        </w:tc>
        <w:tc>
          <w:tcPr>
            <w:tcW w:w="1486" w:type="dxa"/>
            <w:shd w:val="clear" w:color="auto" w:fill="BFBFBF" w:themeFill="background1" w:themeFillShade="BF"/>
          </w:tcPr>
          <w:p w14:paraId="4150624B" w14:textId="77777777" w:rsidR="004C62D6" w:rsidRPr="00E36693" w:rsidRDefault="004C62D6" w:rsidP="007D4553">
            <w:pPr>
              <w:spacing w:before="60" w:after="60"/>
              <w:rPr>
                <w:b/>
                <w:sz w:val="20"/>
                <w:szCs w:val="20"/>
              </w:rPr>
            </w:pPr>
            <w:r w:rsidRPr="00E36693">
              <w:rPr>
                <w:b/>
                <w:sz w:val="20"/>
                <w:szCs w:val="20"/>
              </w:rPr>
              <w:t>pregabalin 150 mg (%)</w:t>
            </w:r>
          </w:p>
        </w:tc>
        <w:tc>
          <w:tcPr>
            <w:tcW w:w="1486" w:type="dxa"/>
            <w:shd w:val="clear" w:color="auto" w:fill="BFBFBF" w:themeFill="background1" w:themeFillShade="BF"/>
          </w:tcPr>
          <w:p w14:paraId="43D7B00A" w14:textId="77777777" w:rsidR="004C62D6" w:rsidRPr="00E36693" w:rsidRDefault="004C62D6" w:rsidP="007D4553">
            <w:pPr>
              <w:spacing w:before="60" w:after="60"/>
              <w:rPr>
                <w:b/>
                <w:sz w:val="20"/>
                <w:szCs w:val="20"/>
              </w:rPr>
            </w:pPr>
            <w:r w:rsidRPr="00E36693">
              <w:rPr>
                <w:b/>
                <w:sz w:val="20"/>
                <w:szCs w:val="20"/>
              </w:rPr>
              <w:t>pregabalin 300 mg (%)</w:t>
            </w:r>
          </w:p>
        </w:tc>
        <w:tc>
          <w:tcPr>
            <w:tcW w:w="1486" w:type="dxa"/>
            <w:shd w:val="clear" w:color="auto" w:fill="BFBFBF" w:themeFill="background1" w:themeFillShade="BF"/>
          </w:tcPr>
          <w:p w14:paraId="4489437A" w14:textId="77777777" w:rsidR="004C62D6" w:rsidRPr="00E36693" w:rsidRDefault="004C62D6" w:rsidP="007D4553">
            <w:pPr>
              <w:spacing w:before="60" w:after="60"/>
              <w:rPr>
                <w:b/>
                <w:sz w:val="20"/>
                <w:szCs w:val="20"/>
              </w:rPr>
            </w:pPr>
            <w:r w:rsidRPr="00E36693">
              <w:rPr>
                <w:b/>
                <w:sz w:val="20"/>
                <w:szCs w:val="20"/>
              </w:rPr>
              <w:t>Total</w:t>
            </w:r>
          </w:p>
        </w:tc>
      </w:tr>
      <w:tr w:rsidR="004C62D6" w:rsidRPr="00BB6777" w14:paraId="76DBB9FD" w14:textId="77777777" w:rsidTr="007D4553">
        <w:trPr>
          <w:trHeight w:val="616"/>
        </w:trPr>
        <w:tc>
          <w:tcPr>
            <w:tcW w:w="1486" w:type="dxa"/>
            <w:shd w:val="clear" w:color="auto" w:fill="auto"/>
          </w:tcPr>
          <w:p w14:paraId="39237AA0" w14:textId="77777777" w:rsidR="004C62D6" w:rsidRPr="00E36693" w:rsidRDefault="004C62D6" w:rsidP="007D4553">
            <w:pPr>
              <w:spacing w:before="60" w:after="60"/>
              <w:rPr>
                <w:b/>
                <w:sz w:val="20"/>
                <w:szCs w:val="20"/>
              </w:rPr>
            </w:pPr>
            <w:r>
              <w:rPr>
                <w:b/>
                <w:sz w:val="20"/>
                <w:szCs w:val="20"/>
              </w:rPr>
              <w:t>March 2013 to February 2014 total PBS</w:t>
            </w:r>
          </w:p>
        </w:tc>
        <w:tc>
          <w:tcPr>
            <w:tcW w:w="1486" w:type="dxa"/>
            <w:shd w:val="clear" w:color="auto" w:fill="auto"/>
          </w:tcPr>
          <w:p w14:paraId="61E49430" w14:textId="77777777" w:rsidR="00A85B46" w:rsidRDefault="004C62D6" w:rsidP="007D4553">
            <w:pPr>
              <w:spacing w:before="60" w:after="60"/>
              <w:rPr>
                <w:sz w:val="20"/>
                <w:szCs w:val="20"/>
              </w:rPr>
            </w:pPr>
            <w:r>
              <w:rPr>
                <w:sz w:val="20"/>
                <w:szCs w:val="20"/>
              </w:rPr>
              <w:t xml:space="preserve">239,255 </w:t>
            </w:r>
          </w:p>
          <w:p w14:paraId="212422BF" w14:textId="1915CE4E" w:rsidR="004C62D6" w:rsidRPr="00BB6777" w:rsidRDefault="004C62D6" w:rsidP="007D4553">
            <w:pPr>
              <w:spacing w:before="60" w:after="60"/>
              <w:rPr>
                <w:sz w:val="20"/>
                <w:szCs w:val="20"/>
              </w:rPr>
            </w:pPr>
            <w:r>
              <w:rPr>
                <w:sz w:val="20"/>
                <w:szCs w:val="20"/>
              </w:rPr>
              <w:t>(17.4</w:t>
            </w:r>
            <w:r w:rsidR="00C87C3C">
              <w:rPr>
                <w:sz w:val="20"/>
                <w:szCs w:val="20"/>
              </w:rPr>
              <w:t xml:space="preserve"> </w:t>
            </w:r>
            <w:r>
              <w:rPr>
                <w:sz w:val="20"/>
                <w:szCs w:val="20"/>
              </w:rPr>
              <w:t>%)</w:t>
            </w:r>
          </w:p>
        </w:tc>
        <w:tc>
          <w:tcPr>
            <w:tcW w:w="1486" w:type="dxa"/>
            <w:shd w:val="clear" w:color="auto" w:fill="auto"/>
          </w:tcPr>
          <w:p w14:paraId="56D597F3" w14:textId="77777777" w:rsidR="00A85B46" w:rsidRDefault="004C62D6" w:rsidP="007D4553">
            <w:pPr>
              <w:spacing w:before="60" w:after="60"/>
              <w:rPr>
                <w:sz w:val="20"/>
                <w:szCs w:val="20"/>
              </w:rPr>
            </w:pPr>
            <w:r>
              <w:rPr>
                <w:sz w:val="20"/>
                <w:szCs w:val="20"/>
              </w:rPr>
              <w:t xml:space="preserve">714,940 </w:t>
            </w:r>
          </w:p>
          <w:p w14:paraId="0255ABF8" w14:textId="5B33342B" w:rsidR="004C62D6" w:rsidRPr="00BB6777" w:rsidRDefault="004C62D6" w:rsidP="007D4553">
            <w:pPr>
              <w:spacing w:before="60" w:after="60"/>
              <w:rPr>
                <w:sz w:val="20"/>
                <w:szCs w:val="20"/>
              </w:rPr>
            </w:pPr>
            <w:r>
              <w:rPr>
                <w:sz w:val="20"/>
                <w:szCs w:val="20"/>
              </w:rPr>
              <w:t>(52.1</w:t>
            </w:r>
            <w:r w:rsidR="00C87C3C">
              <w:rPr>
                <w:sz w:val="20"/>
                <w:szCs w:val="20"/>
              </w:rPr>
              <w:t xml:space="preserve"> </w:t>
            </w:r>
            <w:r>
              <w:rPr>
                <w:sz w:val="20"/>
                <w:szCs w:val="20"/>
              </w:rPr>
              <w:t>%)</w:t>
            </w:r>
          </w:p>
        </w:tc>
        <w:tc>
          <w:tcPr>
            <w:tcW w:w="1486" w:type="dxa"/>
            <w:shd w:val="clear" w:color="auto" w:fill="auto"/>
          </w:tcPr>
          <w:p w14:paraId="5E2EAD59" w14:textId="77777777" w:rsidR="00A85B46" w:rsidRDefault="004C62D6" w:rsidP="007D4553">
            <w:pPr>
              <w:spacing w:before="60" w:after="60"/>
              <w:rPr>
                <w:sz w:val="20"/>
                <w:szCs w:val="20"/>
              </w:rPr>
            </w:pPr>
            <w:r>
              <w:rPr>
                <w:sz w:val="20"/>
                <w:szCs w:val="20"/>
              </w:rPr>
              <w:t xml:space="preserve">318,019 </w:t>
            </w:r>
          </w:p>
          <w:p w14:paraId="2BB2ED83" w14:textId="3FBD28DE" w:rsidR="004C62D6" w:rsidRPr="00BB6777" w:rsidRDefault="004C62D6" w:rsidP="007D4553">
            <w:pPr>
              <w:spacing w:before="60" w:after="60"/>
              <w:rPr>
                <w:sz w:val="20"/>
                <w:szCs w:val="20"/>
              </w:rPr>
            </w:pPr>
            <w:r>
              <w:rPr>
                <w:sz w:val="20"/>
                <w:szCs w:val="20"/>
              </w:rPr>
              <w:t>(23.2</w:t>
            </w:r>
            <w:r w:rsidR="00C87C3C">
              <w:rPr>
                <w:sz w:val="20"/>
                <w:szCs w:val="20"/>
              </w:rPr>
              <w:t xml:space="preserve"> </w:t>
            </w:r>
            <w:r>
              <w:rPr>
                <w:sz w:val="20"/>
                <w:szCs w:val="20"/>
              </w:rPr>
              <w:t>%)</w:t>
            </w:r>
          </w:p>
        </w:tc>
        <w:tc>
          <w:tcPr>
            <w:tcW w:w="1486" w:type="dxa"/>
            <w:shd w:val="clear" w:color="auto" w:fill="auto"/>
          </w:tcPr>
          <w:p w14:paraId="74984A25" w14:textId="77777777" w:rsidR="00A85B46" w:rsidRDefault="004C62D6" w:rsidP="007D4553">
            <w:pPr>
              <w:spacing w:before="60" w:after="60"/>
              <w:rPr>
                <w:sz w:val="20"/>
                <w:szCs w:val="20"/>
              </w:rPr>
            </w:pPr>
            <w:r>
              <w:rPr>
                <w:sz w:val="20"/>
                <w:szCs w:val="20"/>
              </w:rPr>
              <w:t xml:space="preserve">100,250 </w:t>
            </w:r>
          </w:p>
          <w:p w14:paraId="0A4E78B6" w14:textId="1161560B" w:rsidR="004C62D6" w:rsidRPr="00BB6777" w:rsidRDefault="004C62D6" w:rsidP="007D4553">
            <w:pPr>
              <w:spacing w:before="60" w:after="60"/>
              <w:rPr>
                <w:sz w:val="20"/>
                <w:szCs w:val="20"/>
              </w:rPr>
            </w:pPr>
            <w:r>
              <w:rPr>
                <w:sz w:val="20"/>
                <w:szCs w:val="20"/>
              </w:rPr>
              <w:t>(7.3</w:t>
            </w:r>
            <w:r w:rsidR="00C87C3C">
              <w:rPr>
                <w:sz w:val="20"/>
                <w:szCs w:val="20"/>
              </w:rPr>
              <w:t xml:space="preserve"> </w:t>
            </w:r>
            <w:r>
              <w:rPr>
                <w:sz w:val="20"/>
                <w:szCs w:val="20"/>
              </w:rPr>
              <w:t>%)</w:t>
            </w:r>
          </w:p>
        </w:tc>
        <w:tc>
          <w:tcPr>
            <w:tcW w:w="1486" w:type="dxa"/>
            <w:shd w:val="clear" w:color="auto" w:fill="auto"/>
          </w:tcPr>
          <w:p w14:paraId="7F79987C" w14:textId="77777777" w:rsidR="004C62D6" w:rsidRPr="00BB6777" w:rsidRDefault="004C62D6" w:rsidP="007D4553">
            <w:pPr>
              <w:spacing w:before="60" w:after="60"/>
              <w:rPr>
                <w:sz w:val="20"/>
                <w:szCs w:val="20"/>
              </w:rPr>
            </w:pPr>
            <w:r>
              <w:rPr>
                <w:sz w:val="20"/>
                <w:szCs w:val="20"/>
              </w:rPr>
              <w:t>1,372,464</w:t>
            </w:r>
          </w:p>
        </w:tc>
      </w:tr>
      <w:tr w:rsidR="004C62D6" w:rsidRPr="00BB6777" w14:paraId="3BF86D53" w14:textId="77777777" w:rsidTr="007D4553">
        <w:trPr>
          <w:trHeight w:val="616"/>
        </w:trPr>
        <w:tc>
          <w:tcPr>
            <w:tcW w:w="1486" w:type="dxa"/>
            <w:shd w:val="clear" w:color="auto" w:fill="auto"/>
          </w:tcPr>
          <w:p w14:paraId="667B2328" w14:textId="77777777" w:rsidR="004C62D6" w:rsidRPr="00E36693" w:rsidRDefault="004C62D6" w:rsidP="007D4553">
            <w:pPr>
              <w:spacing w:before="60" w:after="60"/>
              <w:rPr>
                <w:b/>
                <w:sz w:val="20"/>
                <w:szCs w:val="20"/>
              </w:rPr>
            </w:pPr>
            <w:r w:rsidRPr="00E36693">
              <w:rPr>
                <w:b/>
                <w:sz w:val="20"/>
                <w:szCs w:val="20"/>
              </w:rPr>
              <w:t>June 2013 total</w:t>
            </w:r>
            <w:r>
              <w:rPr>
                <w:b/>
                <w:sz w:val="20"/>
                <w:szCs w:val="20"/>
              </w:rPr>
              <w:t xml:space="preserve"> (PBS/RPBS)</w:t>
            </w:r>
          </w:p>
        </w:tc>
        <w:tc>
          <w:tcPr>
            <w:tcW w:w="1486" w:type="dxa"/>
            <w:shd w:val="clear" w:color="auto" w:fill="auto"/>
          </w:tcPr>
          <w:p w14:paraId="56654F3B" w14:textId="77777777" w:rsidR="00A85B46" w:rsidRDefault="004C62D6" w:rsidP="007D4553">
            <w:pPr>
              <w:spacing w:before="60" w:after="60"/>
              <w:rPr>
                <w:sz w:val="20"/>
                <w:szCs w:val="20"/>
              </w:rPr>
            </w:pPr>
            <w:r w:rsidRPr="00BB6777">
              <w:rPr>
                <w:sz w:val="20"/>
                <w:szCs w:val="20"/>
              </w:rPr>
              <w:t>14,315</w:t>
            </w:r>
            <w:r>
              <w:rPr>
                <w:sz w:val="20"/>
                <w:szCs w:val="20"/>
              </w:rPr>
              <w:t xml:space="preserve"> </w:t>
            </w:r>
          </w:p>
          <w:p w14:paraId="1D00A64D" w14:textId="079D5CB5" w:rsidR="004C62D6" w:rsidRPr="00BB6777" w:rsidRDefault="004C62D6" w:rsidP="007D4553">
            <w:pPr>
              <w:spacing w:before="60" w:after="60"/>
              <w:rPr>
                <w:sz w:val="20"/>
                <w:szCs w:val="20"/>
              </w:rPr>
            </w:pPr>
            <w:r>
              <w:rPr>
                <w:sz w:val="20"/>
                <w:szCs w:val="20"/>
              </w:rPr>
              <w:t>(15.6</w:t>
            </w:r>
            <w:r w:rsidR="00C87C3C">
              <w:rPr>
                <w:sz w:val="20"/>
                <w:szCs w:val="20"/>
              </w:rPr>
              <w:t xml:space="preserve"> </w:t>
            </w:r>
            <w:r>
              <w:rPr>
                <w:sz w:val="20"/>
                <w:szCs w:val="20"/>
              </w:rPr>
              <w:t>%)</w:t>
            </w:r>
          </w:p>
        </w:tc>
        <w:tc>
          <w:tcPr>
            <w:tcW w:w="1486" w:type="dxa"/>
            <w:shd w:val="clear" w:color="auto" w:fill="auto"/>
          </w:tcPr>
          <w:p w14:paraId="3AFA502A" w14:textId="77777777" w:rsidR="00A85B46" w:rsidRDefault="004C62D6" w:rsidP="007D4553">
            <w:pPr>
              <w:spacing w:before="60" w:after="60"/>
              <w:rPr>
                <w:sz w:val="20"/>
                <w:szCs w:val="20"/>
              </w:rPr>
            </w:pPr>
            <w:r w:rsidRPr="00BB6777">
              <w:rPr>
                <w:sz w:val="20"/>
                <w:szCs w:val="20"/>
              </w:rPr>
              <w:t>49,794</w:t>
            </w:r>
            <w:r>
              <w:rPr>
                <w:sz w:val="20"/>
                <w:szCs w:val="20"/>
              </w:rPr>
              <w:t xml:space="preserve"> </w:t>
            </w:r>
          </w:p>
          <w:p w14:paraId="3CF8999C" w14:textId="2FE22EE1" w:rsidR="004C62D6" w:rsidRPr="00BB6777" w:rsidRDefault="004C62D6" w:rsidP="007D4553">
            <w:pPr>
              <w:spacing w:before="60" w:after="60"/>
              <w:rPr>
                <w:sz w:val="20"/>
                <w:szCs w:val="20"/>
              </w:rPr>
            </w:pPr>
            <w:r>
              <w:rPr>
                <w:sz w:val="20"/>
                <w:szCs w:val="20"/>
              </w:rPr>
              <w:t>(54.4</w:t>
            </w:r>
            <w:r w:rsidR="00C87C3C">
              <w:rPr>
                <w:sz w:val="20"/>
                <w:szCs w:val="20"/>
              </w:rPr>
              <w:t xml:space="preserve"> </w:t>
            </w:r>
            <w:r>
              <w:rPr>
                <w:sz w:val="20"/>
                <w:szCs w:val="20"/>
              </w:rPr>
              <w:t>%)</w:t>
            </w:r>
          </w:p>
        </w:tc>
        <w:tc>
          <w:tcPr>
            <w:tcW w:w="1486" w:type="dxa"/>
            <w:shd w:val="clear" w:color="auto" w:fill="auto"/>
          </w:tcPr>
          <w:p w14:paraId="132D3C7E" w14:textId="77777777" w:rsidR="00A85B46" w:rsidRDefault="004C62D6" w:rsidP="007D4553">
            <w:pPr>
              <w:spacing w:before="60" w:after="60"/>
              <w:rPr>
                <w:sz w:val="20"/>
                <w:szCs w:val="20"/>
              </w:rPr>
            </w:pPr>
            <w:r w:rsidRPr="00BB6777">
              <w:rPr>
                <w:sz w:val="20"/>
                <w:szCs w:val="20"/>
              </w:rPr>
              <w:t>21,036</w:t>
            </w:r>
            <w:r>
              <w:rPr>
                <w:sz w:val="20"/>
                <w:szCs w:val="20"/>
              </w:rPr>
              <w:t xml:space="preserve"> </w:t>
            </w:r>
          </w:p>
          <w:p w14:paraId="2829D402" w14:textId="49765D94" w:rsidR="004C62D6" w:rsidRPr="00BB6777" w:rsidRDefault="004C62D6" w:rsidP="007D4553">
            <w:pPr>
              <w:spacing w:before="60" w:after="60"/>
              <w:rPr>
                <w:sz w:val="20"/>
                <w:szCs w:val="20"/>
              </w:rPr>
            </w:pPr>
            <w:r>
              <w:rPr>
                <w:sz w:val="20"/>
                <w:szCs w:val="20"/>
              </w:rPr>
              <w:t>(23</w:t>
            </w:r>
            <w:r w:rsidR="00C87C3C">
              <w:rPr>
                <w:sz w:val="20"/>
                <w:szCs w:val="20"/>
              </w:rPr>
              <w:t xml:space="preserve"> </w:t>
            </w:r>
            <w:r>
              <w:rPr>
                <w:sz w:val="20"/>
                <w:szCs w:val="20"/>
              </w:rPr>
              <w:t>%)</w:t>
            </w:r>
          </w:p>
        </w:tc>
        <w:tc>
          <w:tcPr>
            <w:tcW w:w="1486" w:type="dxa"/>
            <w:shd w:val="clear" w:color="auto" w:fill="auto"/>
          </w:tcPr>
          <w:p w14:paraId="5CF0CC42" w14:textId="77777777" w:rsidR="00A85B46" w:rsidRDefault="004C62D6" w:rsidP="007D4553">
            <w:pPr>
              <w:spacing w:before="60" w:after="60"/>
              <w:rPr>
                <w:sz w:val="20"/>
                <w:szCs w:val="20"/>
              </w:rPr>
            </w:pPr>
            <w:r w:rsidRPr="00BB6777">
              <w:rPr>
                <w:sz w:val="20"/>
                <w:szCs w:val="20"/>
              </w:rPr>
              <w:t>6,387</w:t>
            </w:r>
            <w:r>
              <w:rPr>
                <w:sz w:val="20"/>
                <w:szCs w:val="20"/>
              </w:rPr>
              <w:t xml:space="preserve"> </w:t>
            </w:r>
          </w:p>
          <w:p w14:paraId="67B71E80" w14:textId="1CD8E37C" w:rsidR="004C62D6" w:rsidRPr="00BB6777" w:rsidRDefault="004C62D6" w:rsidP="007D4553">
            <w:pPr>
              <w:spacing w:before="60" w:after="60"/>
              <w:rPr>
                <w:sz w:val="20"/>
                <w:szCs w:val="20"/>
              </w:rPr>
            </w:pPr>
            <w:r>
              <w:rPr>
                <w:sz w:val="20"/>
                <w:szCs w:val="20"/>
              </w:rPr>
              <w:t>(7</w:t>
            </w:r>
            <w:r w:rsidR="00C87C3C">
              <w:rPr>
                <w:sz w:val="20"/>
                <w:szCs w:val="20"/>
              </w:rPr>
              <w:t xml:space="preserve"> </w:t>
            </w:r>
            <w:r>
              <w:rPr>
                <w:sz w:val="20"/>
                <w:szCs w:val="20"/>
              </w:rPr>
              <w:t>%)</w:t>
            </w:r>
          </w:p>
        </w:tc>
        <w:tc>
          <w:tcPr>
            <w:tcW w:w="1486" w:type="dxa"/>
            <w:shd w:val="clear" w:color="auto" w:fill="auto"/>
          </w:tcPr>
          <w:p w14:paraId="771A032B" w14:textId="77777777" w:rsidR="004C62D6" w:rsidRPr="00BB6777" w:rsidRDefault="004C62D6" w:rsidP="007D4553">
            <w:pPr>
              <w:spacing w:before="60" w:after="60"/>
              <w:rPr>
                <w:sz w:val="20"/>
                <w:szCs w:val="20"/>
              </w:rPr>
            </w:pPr>
            <w:r w:rsidRPr="00BB6777">
              <w:rPr>
                <w:sz w:val="20"/>
                <w:szCs w:val="20"/>
              </w:rPr>
              <w:t>91,532</w:t>
            </w:r>
          </w:p>
        </w:tc>
      </w:tr>
      <w:tr w:rsidR="004C62D6" w:rsidRPr="00BB6777" w14:paraId="10939CF0" w14:textId="77777777" w:rsidTr="007D4553">
        <w:trPr>
          <w:trHeight w:val="616"/>
        </w:trPr>
        <w:tc>
          <w:tcPr>
            <w:tcW w:w="1486" w:type="dxa"/>
            <w:shd w:val="clear" w:color="auto" w:fill="auto"/>
          </w:tcPr>
          <w:p w14:paraId="4486E7C9" w14:textId="77777777" w:rsidR="004C62D6" w:rsidRPr="00750CC6" w:rsidRDefault="004C62D6" w:rsidP="007D4553">
            <w:pPr>
              <w:spacing w:before="60" w:after="60"/>
              <w:rPr>
                <w:b/>
                <w:sz w:val="20"/>
                <w:szCs w:val="20"/>
              </w:rPr>
            </w:pPr>
            <w:r w:rsidRPr="00750CC6">
              <w:rPr>
                <w:b/>
                <w:sz w:val="20"/>
                <w:szCs w:val="20"/>
              </w:rPr>
              <w:t>June 2013 PBS</w:t>
            </w:r>
          </w:p>
        </w:tc>
        <w:tc>
          <w:tcPr>
            <w:tcW w:w="1486" w:type="dxa"/>
            <w:shd w:val="clear" w:color="auto" w:fill="auto"/>
          </w:tcPr>
          <w:p w14:paraId="479BC7EA" w14:textId="77777777" w:rsidR="00A85B46" w:rsidRDefault="004C62D6" w:rsidP="007D4553">
            <w:pPr>
              <w:spacing w:before="60" w:after="60"/>
              <w:rPr>
                <w:sz w:val="20"/>
                <w:szCs w:val="20"/>
              </w:rPr>
            </w:pPr>
            <w:r w:rsidRPr="00750CC6">
              <w:rPr>
                <w:sz w:val="20"/>
                <w:szCs w:val="20"/>
              </w:rPr>
              <w:t xml:space="preserve">13,993 </w:t>
            </w:r>
          </w:p>
          <w:p w14:paraId="0676F3AC" w14:textId="3E513ADE" w:rsidR="004C62D6" w:rsidRPr="00750CC6" w:rsidRDefault="004C62D6" w:rsidP="007D4553">
            <w:pPr>
              <w:spacing w:before="60" w:after="60"/>
              <w:rPr>
                <w:sz w:val="20"/>
                <w:szCs w:val="20"/>
              </w:rPr>
            </w:pPr>
            <w:r w:rsidRPr="00750CC6">
              <w:rPr>
                <w:sz w:val="20"/>
                <w:szCs w:val="20"/>
              </w:rPr>
              <w:t>(15.63</w:t>
            </w:r>
            <w:r w:rsidR="00C87C3C">
              <w:rPr>
                <w:sz w:val="20"/>
                <w:szCs w:val="20"/>
              </w:rPr>
              <w:t xml:space="preserve"> </w:t>
            </w:r>
            <w:r w:rsidRPr="00750CC6">
              <w:rPr>
                <w:sz w:val="20"/>
                <w:szCs w:val="20"/>
              </w:rPr>
              <w:t>%)</w:t>
            </w:r>
          </w:p>
        </w:tc>
        <w:tc>
          <w:tcPr>
            <w:tcW w:w="1486" w:type="dxa"/>
            <w:shd w:val="clear" w:color="auto" w:fill="auto"/>
          </w:tcPr>
          <w:p w14:paraId="4D4C2ED7" w14:textId="77777777" w:rsidR="00A85B46" w:rsidRDefault="004C62D6" w:rsidP="007D4553">
            <w:pPr>
              <w:spacing w:before="60" w:after="60"/>
              <w:rPr>
                <w:sz w:val="20"/>
                <w:szCs w:val="20"/>
              </w:rPr>
            </w:pPr>
            <w:r w:rsidRPr="00750CC6">
              <w:rPr>
                <w:sz w:val="20"/>
                <w:szCs w:val="20"/>
              </w:rPr>
              <w:t xml:space="preserve">48,771 </w:t>
            </w:r>
          </w:p>
          <w:p w14:paraId="1C6EC54F" w14:textId="7EADBFEC" w:rsidR="004C62D6" w:rsidRPr="00750CC6" w:rsidRDefault="004C62D6" w:rsidP="007D4553">
            <w:pPr>
              <w:spacing w:before="60" w:after="60"/>
              <w:rPr>
                <w:sz w:val="20"/>
                <w:szCs w:val="20"/>
              </w:rPr>
            </w:pPr>
            <w:r w:rsidRPr="00750CC6">
              <w:rPr>
                <w:sz w:val="20"/>
                <w:szCs w:val="20"/>
              </w:rPr>
              <w:t>(54.49</w:t>
            </w:r>
            <w:r w:rsidR="00C87C3C">
              <w:rPr>
                <w:sz w:val="20"/>
                <w:szCs w:val="20"/>
              </w:rPr>
              <w:t xml:space="preserve"> </w:t>
            </w:r>
            <w:r w:rsidRPr="00750CC6">
              <w:rPr>
                <w:sz w:val="20"/>
                <w:szCs w:val="20"/>
              </w:rPr>
              <w:t>%)</w:t>
            </w:r>
          </w:p>
        </w:tc>
        <w:tc>
          <w:tcPr>
            <w:tcW w:w="1486" w:type="dxa"/>
            <w:shd w:val="clear" w:color="auto" w:fill="auto"/>
          </w:tcPr>
          <w:p w14:paraId="6AA8CE6C" w14:textId="77777777" w:rsidR="00A85B46" w:rsidRDefault="004C62D6" w:rsidP="007D4553">
            <w:pPr>
              <w:spacing w:before="60" w:after="60"/>
              <w:rPr>
                <w:sz w:val="20"/>
                <w:szCs w:val="20"/>
              </w:rPr>
            </w:pPr>
            <w:r w:rsidRPr="00750CC6">
              <w:rPr>
                <w:sz w:val="20"/>
                <w:szCs w:val="20"/>
              </w:rPr>
              <w:t xml:space="preserve">20,533 </w:t>
            </w:r>
          </w:p>
          <w:p w14:paraId="60942789" w14:textId="6903F1A7" w:rsidR="004C62D6" w:rsidRPr="00750CC6" w:rsidRDefault="004C62D6" w:rsidP="007D4553">
            <w:pPr>
              <w:spacing w:before="60" w:after="60"/>
              <w:rPr>
                <w:sz w:val="20"/>
                <w:szCs w:val="20"/>
              </w:rPr>
            </w:pPr>
            <w:r w:rsidRPr="00750CC6">
              <w:rPr>
                <w:sz w:val="20"/>
                <w:szCs w:val="20"/>
              </w:rPr>
              <w:t>(22.94</w:t>
            </w:r>
            <w:r w:rsidR="00C87C3C">
              <w:rPr>
                <w:sz w:val="20"/>
                <w:szCs w:val="20"/>
              </w:rPr>
              <w:t xml:space="preserve"> </w:t>
            </w:r>
            <w:r w:rsidRPr="00750CC6">
              <w:rPr>
                <w:sz w:val="20"/>
                <w:szCs w:val="20"/>
              </w:rPr>
              <w:t>%)</w:t>
            </w:r>
          </w:p>
        </w:tc>
        <w:tc>
          <w:tcPr>
            <w:tcW w:w="1486" w:type="dxa"/>
            <w:shd w:val="clear" w:color="auto" w:fill="auto"/>
          </w:tcPr>
          <w:p w14:paraId="575A8D80" w14:textId="77777777" w:rsidR="00A85B46" w:rsidRDefault="004C62D6" w:rsidP="007D4553">
            <w:pPr>
              <w:spacing w:before="60" w:after="60"/>
              <w:rPr>
                <w:sz w:val="20"/>
                <w:szCs w:val="20"/>
              </w:rPr>
            </w:pPr>
            <w:r w:rsidRPr="00750CC6">
              <w:rPr>
                <w:sz w:val="20"/>
                <w:szCs w:val="20"/>
              </w:rPr>
              <w:t xml:space="preserve">6,210 </w:t>
            </w:r>
          </w:p>
          <w:p w14:paraId="2EBDA9AF" w14:textId="47F34EAD" w:rsidR="004C62D6" w:rsidRPr="00750CC6" w:rsidRDefault="004C62D6" w:rsidP="007D4553">
            <w:pPr>
              <w:spacing w:before="60" w:after="60"/>
              <w:rPr>
                <w:sz w:val="20"/>
                <w:szCs w:val="20"/>
              </w:rPr>
            </w:pPr>
            <w:r w:rsidRPr="00750CC6">
              <w:rPr>
                <w:sz w:val="20"/>
                <w:szCs w:val="20"/>
              </w:rPr>
              <w:t>(6.94</w:t>
            </w:r>
            <w:r w:rsidR="00C87C3C">
              <w:rPr>
                <w:sz w:val="20"/>
                <w:szCs w:val="20"/>
              </w:rPr>
              <w:t xml:space="preserve"> </w:t>
            </w:r>
            <w:r w:rsidRPr="00750CC6">
              <w:rPr>
                <w:sz w:val="20"/>
                <w:szCs w:val="20"/>
              </w:rPr>
              <w:t>%)</w:t>
            </w:r>
          </w:p>
        </w:tc>
        <w:tc>
          <w:tcPr>
            <w:tcW w:w="1486" w:type="dxa"/>
            <w:shd w:val="clear" w:color="auto" w:fill="auto"/>
          </w:tcPr>
          <w:p w14:paraId="3D235C2A" w14:textId="77777777" w:rsidR="004C62D6" w:rsidRPr="00750CC6" w:rsidRDefault="004C62D6" w:rsidP="007D4553">
            <w:pPr>
              <w:spacing w:before="60" w:after="60"/>
              <w:rPr>
                <w:sz w:val="20"/>
                <w:szCs w:val="20"/>
              </w:rPr>
            </w:pPr>
            <w:r w:rsidRPr="00750CC6">
              <w:rPr>
                <w:sz w:val="20"/>
                <w:szCs w:val="20"/>
              </w:rPr>
              <w:t>89,507</w:t>
            </w:r>
          </w:p>
        </w:tc>
      </w:tr>
      <w:tr w:rsidR="004C62D6" w:rsidRPr="00BB6777" w14:paraId="20FE854F" w14:textId="77777777" w:rsidTr="007D4553">
        <w:trPr>
          <w:trHeight w:val="617"/>
        </w:trPr>
        <w:tc>
          <w:tcPr>
            <w:tcW w:w="1486" w:type="dxa"/>
            <w:shd w:val="clear" w:color="auto" w:fill="auto"/>
          </w:tcPr>
          <w:p w14:paraId="09F86953" w14:textId="77777777" w:rsidR="004C62D6" w:rsidRPr="00E36693" w:rsidRDefault="004C62D6" w:rsidP="007D4553">
            <w:pPr>
              <w:spacing w:before="60" w:after="60"/>
              <w:rPr>
                <w:b/>
                <w:sz w:val="20"/>
                <w:szCs w:val="20"/>
              </w:rPr>
            </w:pPr>
            <w:r w:rsidRPr="00E36693">
              <w:rPr>
                <w:b/>
                <w:sz w:val="20"/>
                <w:szCs w:val="20"/>
              </w:rPr>
              <w:t>June 2013 RPBS</w:t>
            </w:r>
          </w:p>
        </w:tc>
        <w:tc>
          <w:tcPr>
            <w:tcW w:w="1486" w:type="dxa"/>
            <w:shd w:val="clear" w:color="auto" w:fill="auto"/>
          </w:tcPr>
          <w:p w14:paraId="74C7DBE5" w14:textId="77777777" w:rsidR="00A85B46" w:rsidRDefault="004C62D6" w:rsidP="007D4553">
            <w:pPr>
              <w:spacing w:before="60" w:after="60"/>
              <w:rPr>
                <w:sz w:val="20"/>
                <w:szCs w:val="20"/>
              </w:rPr>
            </w:pPr>
            <w:r w:rsidRPr="00BB6777">
              <w:rPr>
                <w:sz w:val="20"/>
                <w:szCs w:val="20"/>
              </w:rPr>
              <w:t>322</w:t>
            </w:r>
            <w:r>
              <w:rPr>
                <w:sz w:val="20"/>
                <w:szCs w:val="20"/>
              </w:rPr>
              <w:t xml:space="preserve"> </w:t>
            </w:r>
          </w:p>
          <w:p w14:paraId="19ED493B" w14:textId="324BCC3D" w:rsidR="004C62D6" w:rsidRPr="00BB6777" w:rsidRDefault="004C62D6" w:rsidP="007D4553">
            <w:pPr>
              <w:spacing w:before="60" w:after="60"/>
              <w:rPr>
                <w:sz w:val="20"/>
                <w:szCs w:val="20"/>
              </w:rPr>
            </w:pPr>
            <w:r>
              <w:rPr>
                <w:sz w:val="20"/>
                <w:szCs w:val="20"/>
              </w:rPr>
              <w:t>(15.9</w:t>
            </w:r>
            <w:r w:rsidR="00C87C3C">
              <w:rPr>
                <w:sz w:val="20"/>
                <w:szCs w:val="20"/>
              </w:rPr>
              <w:t xml:space="preserve"> </w:t>
            </w:r>
            <w:r>
              <w:rPr>
                <w:sz w:val="20"/>
                <w:szCs w:val="20"/>
              </w:rPr>
              <w:t>%)</w:t>
            </w:r>
          </w:p>
        </w:tc>
        <w:tc>
          <w:tcPr>
            <w:tcW w:w="1486" w:type="dxa"/>
            <w:shd w:val="clear" w:color="auto" w:fill="auto"/>
          </w:tcPr>
          <w:p w14:paraId="20E71727" w14:textId="77777777" w:rsidR="00A85B46" w:rsidRDefault="004C62D6" w:rsidP="007D4553">
            <w:pPr>
              <w:spacing w:before="60" w:after="60"/>
              <w:rPr>
                <w:sz w:val="20"/>
                <w:szCs w:val="20"/>
              </w:rPr>
            </w:pPr>
            <w:r w:rsidRPr="00BB6777">
              <w:rPr>
                <w:sz w:val="20"/>
                <w:szCs w:val="20"/>
              </w:rPr>
              <w:t>1023</w:t>
            </w:r>
            <w:r>
              <w:rPr>
                <w:sz w:val="20"/>
                <w:szCs w:val="20"/>
              </w:rPr>
              <w:t xml:space="preserve"> </w:t>
            </w:r>
          </w:p>
          <w:p w14:paraId="3F1F1920" w14:textId="5C700896" w:rsidR="004C62D6" w:rsidRPr="00BB6777" w:rsidRDefault="004C62D6" w:rsidP="007D4553">
            <w:pPr>
              <w:spacing w:before="60" w:after="60"/>
              <w:rPr>
                <w:sz w:val="20"/>
                <w:szCs w:val="20"/>
              </w:rPr>
            </w:pPr>
            <w:r>
              <w:rPr>
                <w:sz w:val="20"/>
                <w:szCs w:val="20"/>
              </w:rPr>
              <w:t>(50.5</w:t>
            </w:r>
            <w:r w:rsidR="00C87C3C">
              <w:rPr>
                <w:sz w:val="20"/>
                <w:szCs w:val="20"/>
              </w:rPr>
              <w:t xml:space="preserve"> </w:t>
            </w:r>
            <w:r>
              <w:rPr>
                <w:sz w:val="20"/>
                <w:szCs w:val="20"/>
              </w:rPr>
              <w:t>%)</w:t>
            </w:r>
          </w:p>
        </w:tc>
        <w:tc>
          <w:tcPr>
            <w:tcW w:w="1486" w:type="dxa"/>
            <w:shd w:val="clear" w:color="auto" w:fill="auto"/>
          </w:tcPr>
          <w:p w14:paraId="51063F07" w14:textId="77777777" w:rsidR="00A85B46" w:rsidRDefault="004C62D6" w:rsidP="007D4553">
            <w:pPr>
              <w:spacing w:before="60" w:after="60"/>
              <w:rPr>
                <w:sz w:val="20"/>
                <w:szCs w:val="20"/>
              </w:rPr>
            </w:pPr>
            <w:r w:rsidRPr="00BB6777">
              <w:rPr>
                <w:sz w:val="20"/>
                <w:szCs w:val="20"/>
              </w:rPr>
              <w:t>503</w:t>
            </w:r>
            <w:r>
              <w:rPr>
                <w:sz w:val="20"/>
                <w:szCs w:val="20"/>
              </w:rPr>
              <w:t xml:space="preserve"> </w:t>
            </w:r>
          </w:p>
          <w:p w14:paraId="2713BF69" w14:textId="77ACD5E4" w:rsidR="004C62D6" w:rsidRPr="00BB6777" w:rsidRDefault="004C62D6" w:rsidP="007D4553">
            <w:pPr>
              <w:spacing w:before="60" w:after="60"/>
              <w:rPr>
                <w:sz w:val="20"/>
                <w:szCs w:val="20"/>
              </w:rPr>
            </w:pPr>
            <w:r>
              <w:rPr>
                <w:sz w:val="20"/>
                <w:szCs w:val="20"/>
              </w:rPr>
              <w:t>(24.8</w:t>
            </w:r>
            <w:r w:rsidR="00C87C3C">
              <w:rPr>
                <w:sz w:val="20"/>
                <w:szCs w:val="20"/>
              </w:rPr>
              <w:t xml:space="preserve"> </w:t>
            </w:r>
            <w:r>
              <w:rPr>
                <w:sz w:val="20"/>
                <w:szCs w:val="20"/>
              </w:rPr>
              <w:t>%)</w:t>
            </w:r>
          </w:p>
        </w:tc>
        <w:tc>
          <w:tcPr>
            <w:tcW w:w="1486" w:type="dxa"/>
            <w:shd w:val="clear" w:color="auto" w:fill="auto"/>
          </w:tcPr>
          <w:p w14:paraId="5C1E2142" w14:textId="77777777" w:rsidR="00A85B46" w:rsidRDefault="004C62D6" w:rsidP="007D4553">
            <w:pPr>
              <w:spacing w:before="60" w:after="60"/>
              <w:rPr>
                <w:sz w:val="20"/>
                <w:szCs w:val="20"/>
              </w:rPr>
            </w:pPr>
            <w:r w:rsidRPr="00BB6777">
              <w:rPr>
                <w:sz w:val="20"/>
                <w:szCs w:val="20"/>
              </w:rPr>
              <w:t>177</w:t>
            </w:r>
            <w:r>
              <w:rPr>
                <w:sz w:val="20"/>
                <w:szCs w:val="20"/>
              </w:rPr>
              <w:t xml:space="preserve"> </w:t>
            </w:r>
          </w:p>
          <w:p w14:paraId="3BA2F05E" w14:textId="0AEEB5B9" w:rsidR="004C62D6" w:rsidRPr="00BB6777" w:rsidRDefault="004C62D6" w:rsidP="007D4553">
            <w:pPr>
              <w:spacing w:before="60" w:after="60"/>
              <w:rPr>
                <w:sz w:val="20"/>
                <w:szCs w:val="20"/>
              </w:rPr>
            </w:pPr>
            <w:r>
              <w:rPr>
                <w:sz w:val="20"/>
                <w:szCs w:val="20"/>
              </w:rPr>
              <w:t>(8.7</w:t>
            </w:r>
            <w:r w:rsidR="00C87C3C">
              <w:rPr>
                <w:sz w:val="20"/>
                <w:szCs w:val="20"/>
              </w:rPr>
              <w:t xml:space="preserve"> </w:t>
            </w:r>
            <w:r>
              <w:rPr>
                <w:sz w:val="20"/>
                <w:szCs w:val="20"/>
              </w:rPr>
              <w:t>%)</w:t>
            </w:r>
          </w:p>
        </w:tc>
        <w:tc>
          <w:tcPr>
            <w:tcW w:w="1486" w:type="dxa"/>
            <w:shd w:val="clear" w:color="auto" w:fill="auto"/>
          </w:tcPr>
          <w:p w14:paraId="74EC1C17" w14:textId="77777777" w:rsidR="004C62D6" w:rsidRPr="00BB6777" w:rsidRDefault="004C62D6" w:rsidP="007D4553">
            <w:pPr>
              <w:spacing w:before="60" w:after="60"/>
              <w:rPr>
                <w:sz w:val="20"/>
                <w:szCs w:val="20"/>
              </w:rPr>
            </w:pPr>
            <w:r w:rsidRPr="00BB6777">
              <w:rPr>
                <w:sz w:val="20"/>
                <w:szCs w:val="20"/>
              </w:rPr>
              <w:t>2025</w:t>
            </w:r>
          </w:p>
        </w:tc>
      </w:tr>
      <w:tr w:rsidR="004C62D6" w:rsidRPr="00BB6777" w14:paraId="009EAD0E" w14:textId="77777777" w:rsidTr="007D4553">
        <w:trPr>
          <w:trHeight w:val="616"/>
        </w:trPr>
        <w:tc>
          <w:tcPr>
            <w:tcW w:w="1486" w:type="dxa"/>
            <w:shd w:val="clear" w:color="auto" w:fill="auto"/>
          </w:tcPr>
          <w:p w14:paraId="5F4CF134" w14:textId="77777777" w:rsidR="004C62D6" w:rsidRPr="00E36693" w:rsidRDefault="004C62D6" w:rsidP="007D4553">
            <w:pPr>
              <w:spacing w:before="60" w:after="60"/>
              <w:rPr>
                <w:b/>
                <w:sz w:val="20"/>
                <w:szCs w:val="20"/>
              </w:rPr>
            </w:pPr>
            <w:r w:rsidRPr="00E36693">
              <w:rPr>
                <w:b/>
                <w:sz w:val="20"/>
                <w:szCs w:val="20"/>
              </w:rPr>
              <w:t>October 2013 total</w:t>
            </w:r>
            <w:r>
              <w:rPr>
                <w:b/>
                <w:sz w:val="20"/>
                <w:szCs w:val="20"/>
              </w:rPr>
              <w:t xml:space="preserve"> (PBS/RPBS)</w:t>
            </w:r>
          </w:p>
        </w:tc>
        <w:tc>
          <w:tcPr>
            <w:tcW w:w="1486" w:type="dxa"/>
            <w:shd w:val="clear" w:color="auto" w:fill="auto"/>
          </w:tcPr>
          <w:p w14:paraId="6472EC3F" w14:textId="77777777" w:rsidR="00A85B46" w:rsidRDefault="004C62D6" w:rsidP="007D4553">
            <w:pPr>
              <w:spacing w:before="60" w:after="60"/>
              <w:rPr>
                <w:sz w:val="20"/>
                <w:szCs w:val="20"/>
              </w:rPr>
            </w:pPr>
            <w:r w:rsidRPr="00BB6777">
              <w:rPr>
                <w:sz w:val="20"/>
                <w:szCs w:val="20"/>
              </w:rPr>
              <w:t>25,350</w:t>
            </w:r>
            <w:r>
              <w:rPr>
                <w:sz w:val="20"/>
                <w:szCs w:val="20"/>
              </w:rPr>
              <w:t xml:space="preserve"> </w:t>
            </w:r>
          </w:p>
          <w:p w14:paraId="25CE3900" w14:textId="27DE0E38" w:rsidR="004C62D6" w:rsidRPr="00BB6777" w:rsidRDefault="004C62D6" w:rsidP="007D4553">
            <w:pPr>
              <w:spacing w:before="60" w:after="60"/>
              <w:rPr>
                <w:sz w:val="20"/>
                <w:szCs w:val="20"/>
              </w:rPr>
            </w:pPr>
            <w:r>
              <w:rPr>
                <w:sz w:val="20"/>
                <w:szCs w:val="20"/>
              </w:rPr>
              <w:t>(17.9</w:t>
            </w:r>
            <w:r w:rsidR="00C87C3C">
              <w:rPr>
                <w:sz w:val="20"/>
                <w:szCs w:val="20"/>
              </w:rPr>
              <w:t xml:space="preserve"> </w:t>
            </w:r>
            <w:r>
              <w:rPr>
                <w:sz w:val="20"/>
                <w:szCs w:val="20"/>
              </w:rPr>
              <w:t>%)</w:t>
            </w:r>
          </w:p>
        </w:tc>
        <w:tc>
          <w:tcPr>
            <w:tcW w:w="1486" w:type="dxa"/>
            <w:shd w:val="clear" w:color="auto" w:fill="auto"/>
          </w:tcPr>
          <w:p w14:paraId="0CD45250" w14:textId="77777777" w:rsidR="00A85B46" w:rsidRDefault="004C62D6" w:rsidP="007D4553">
            <w:pPr>
              <w:spacing w:before="60" w:after="60"/>
              <w:rPr>
                <w:sz w:val="20"/>
                <w:szCs w:val="20"/>
              </w:rPr>
            </w:pPr>
            <w:r w:rsidRPr="00BB6777">
              <w:rPr>
                <w:sz w:val="20"/>
                <w:szCs w:val="20"/>
              </w:rPr>
              <w:t>72,751</w:t>
            </w:r>
            <w:r>
              <w:rPr>
                <w:sz w:val="20"/>
                <w:szCs w:val="20"/>
              </w:rPr>
              <w:t xml:space="preserve"> </w:t>
            </w:r>
          </w:p>
          <w:p w14:paraId="736D780F" w14:textId="486683FB" w:rsidR="004C62D6" w:rsidRPr="00BB6777" w:rsidRDefault="004C62D6" w:rsidP="007D4553">
            <w:pPr>
              <w:spacing w:before="60" w:after="60"/>
              <w:rPr>
                <w:sz w:val="20"/>
                <w:szCs w:val="20"/>
              </w:rPr>
            </w:pPr>
            <w:r>
              <w:rPr>
                <w:sz w:val="20"/>
                <w:szCs w:val="20"/>
              </w:rPr>
              <w:t>(51.3</w:t>
            </w:r>
            <w:r w:rsidR="00C87C3C">
              <w:rPr>
                <w:sz w:val="20"/>
                <w:szCs w:val="20"/>
              </w:rPr>
              <w:t xml:space="preserve"> </w:t>
            </w:r>
            <w:r>
              <w:rPr>
                <w:sz w:val="20"/>
                <w:szCs w:val="20"/>
              </w:rPr>
              <w:t>%)</w:t>
            </w:r>
          </w:p>
        </w:tc>
        <w:tc>
          <w:tcPr>
            <w:tcW w:w="1486" w:type="dxa"/>
            <w:shd w:val="clear" w:color="auto" w:fill="auto"/>
          </w:tcPr>
          <w:p w14:paraId="3C9690AD" w14:textId="77777777" w:rsidR="00A85B46" w:rsidRDefault="004C62D6" w:rsidP="007D4553">
            <w:pPr>
              <w:spacing w:before="60" w:after="60"/>
              <w:rPr>
                <w:sz w:val="20"/>
                <w:szCs w:val="20"/>
              </w:rPr>
            </w:pPr>
            <w:r w:rsidRPr="00BB6777">
              <w:rPr>
                <w:sz w:val="20"/>
                <w:szCs w:val="20"/>
              </w:rPr>
              <w:t>33,109</w:t>
            </w:r>
            <w:r>
              <w:rPr>
                <w:sz w:val="20"/>
                <w:szCs w:val="20"/>
              </w:rPr>
              <w:t xml:space="preserve"> </w:t>
            </w:r>
          </w:p>
          <w:p w14:paraId="49A3C718" w14:textId="773918A2" w:rsidR="004C62D6" w:rsidRPr="00BB6777" w:rsidRDefault="004C62D6" w:rsidP="007D4553">
            <w:pPr>
              <w:spacing w:before="60" w:after="60"/>
              <w:rPr>
                <w:sz w:val="20"/>
                <w:szCs w:val="20"/>
              </w:rPr>
            </w:pPr>
            <w:r>
              <w:rPr>
                <w:sz w:val="20"/>
                <w:szCs w:val="20"/>
              </w:rPr>
              <w:t>(23.4</w:t>
            </w:r>
            <w:r w:rsidR="00C87C3C">
              <w:rPr>
                <w:sz w:val="20"/>
                <w:szCs w:val="20"/>
              </w:rPr>
              <w:t xml:space="preserve"> </w:t>
            </w:r>
            <w:r>
              <w:rPr>
                <w:sz w:val="20"/>
                <w:szCs w:val="20"/>
              </w:rPr>
              <w:t>%)</w:t>
            </w:r>
          </w:p>
        </w:tc>
        <w:tc>
          <w:tcPr>
            <w:tcW w:w="1486" w:type="dxa"/>
            <w:shd w:val="clear" w:color="auto" w:fill="auto"/>
          </w:tcPr>
          <w:p w14:paraId="02BE3E65" w14:textId="77777777" w:rsidR="00A85B46" w:rsidRDefault="004C62D6" w:rsidP="007D4553">
            <w:pPr>
              <w:spacing w:before="60" w:after="60"/>
              <w:rPr>
                <w:sz w:val="20"/>
                <w:szCs w:val="20"/>
              </w:rPr>
            </w:pPr>
            <w:r w:rsidRPr="00BB6777">
              <w:rPr>
                <w:sz w:val="20"/>
                <w:szCs w:val="20"/>
              </w:rPr>
              <w:t>10,545</w:t>
            </w:r>
            <w:r>
              <w:rPr>
                <w:sz w:val="20"/>
                <w:szCs w:val="20"/>
              </w:rPr>
              <w:t xml:space="preserve"> </w:t>
            </w:r>
          </w:p>
          <w:p w14:paraId="2B19AFEC" w14:textId="576C6768" w:rsidR="004C62D6" w:rsidRPr="00BB6777" w:rsidRDefault="004C62D6" w:rsidP="007D4553">
            <w:pPr>
              <w:spacing w:before="60" w:after="60"/>
              <w:rPr>
                <w:sz w:val="20"/>
                <w:szCs w:val="20"/>
              </w:rPr>
            </w:pPr>
            <w:r>
              <w:rPr>
                <w:sz w:val="20"/>
                <w:szCs w:val="20"/>
              </w:rPr>
              <w:t>(7.4</w:t>
            </w:r>
            <w:r w:rsidR="00C87C3C">
              <w:rPr>
                <w:sz w:val="20"/>
                <w:szCs w:val="20"/>
              </w:rPr>
              <w:t xml:space="preserve"> </w:t>
            </w:r>
            <w:r>
              <w:rPr>
                <w:sz w:val="20"/>
                <w:szCs w:val="20"/>
              </w:rPr>
              <w:t>%)</w:t>
            </w:r>
          </w:p>
        </w:tc>
        <w:tc>
          <w:tcPr>
            <w:tcW w:w="1486" w:type="dxa"/>
            <w:shd w:val="clear" w:color="auto" w:fill="auto"/>
          </w:tcPr>
          <w:p w14:paraId="137EC029" w14:textId="77777777" w:rsidR="004C62D6" w:rsidRPr="00BB6777" w:rsidRDefault="004C62D6" w:rsidP="007D4553">
            <w:pPr>
              <w:spacing w:before="60" w:after="60"/>
              <w:rPr>
                <w:sz w:val="20"/>
                <w:szCs w:val="20"/>
              </w:rPr>
            </w:pPr>
            <w:r w:rsidRPr="00BB6777">
              <w:rPr>
                <w:sz w:val="20"/>
                <w:szCs w:val="20"/>
              </w:rPr>
              <w:t>141,755</w:t>
            </w:r>
          </w:p>
        </w:tc>
      </w:tr>
      <w:tr w:rsidR="004C62D6" w:rsidRPr="00BB6777" w14:paraId="217F246F" w14:textId="77777777" w:rsidTr="007D4553">
        <w:trPr>
          <w:trHeight w:val="616"/>
        </w:trPr>
        <w:tc>
          <w:tcPr>
            <w:tcW w:w="1486" w:type="dxa"/>
            <w:shd w:val="clear" w:color="auto" w:fill="auto"/>
          </w:tcPr>
          <w:p w14:paraId="6261A27D" w14:textId="77777777" w:rsidR="004C62D6" w:rsidRPr="00E36693" w:rsidRDefault="004C62D6" w:rsidP="007D4553">
            <w:pPr>
              <w:spacing w:before="60" w:after="60"/>
              <w:rPr>
                <w:b/>
                <w:sz w:val="20"/>
                <w:szCs w:val="20"/>
              </w:rPr>
            </w:pPr>
            <w:r w:rsidRPr="00E36693">
              <w:rPr>
                <w:b/>
                <w:sz w:val="20"/>
                <w:szCs w:val="20"/>
              </w:rPr>
              <w:t>October 2013 PBS</w:t>
            </w:r>
          </w:p>
        </w:tc>
        <w:tc>
          <w:tcPr>
            <w:tcW w:w="1486" w:type="dxa"/>
            <w:shd w:val="clear" w:color="auto" w:fill="auto"/>
          </w:tcPr>
          <w:p w14:paraId="1FE20183" w14:textId="77777777" w:rsidR="00A85B46" w:rsidRDefault="004C62D6" w:rsidP="007D4553">
            <w:pPr>
              <w:spacing w:before="60" w:after="60"/>
              <w:rPr>
                <w:sz w:val="20"/>
                <w:szCs w:val="20"/>
              </w:rPr>
            </w:pPr>
            <w:r w:rsidRPr="00BB6777">
              <w:rPr>
                <w:sz w:val="20"/>
                <w:szCs w:val="20"/>
              </w:rPr>
              <w:t>25,065</w:t>
            </w:r>
            <w:r>
              <w:rPr>
                <w:sz w:val="20"/>
                <w:szCs w:val="20"/>
              </w:rPr>
              <w:t xml:space="preserve"> </w:t>
            </w:r>
          </w:p>
          <w:p w14:paraId="56A37C49" w14:textId="3C60C373" w:rsidR="004C62D6" w:rsidRPr="00BB6777" w:rsidRDefault="004C62D6" w:rsidP="007D4553">
            <w:pPr>
              <w:spacing w:before="60" w:after="60"/>
              <w:rPr>
                <w:sz w:val="20"/>
                <w:szCs w:val="20"/>
              </w:rPr>
            </w:pPr>
            <w:r>
              <w:rPr>
                <w:sz w:val="20"/>
                <w:szCs w:val="20"/>
              </w:rPr>
              <w:t>(17.9</w:t>
            </w:r>
            <w:r w:rsidR="00C87C3C">
              <w:rPr>
                <w:sz w:val="20"/>
                <w:szCs w:val="20"/>
              </w:rPr>
              <w:t xml:space="preserve"> </w:t>
            </w:r>
            <w:r>
              <w:rPr>
                <w:sz w:val="20"/>
                <w:szCs w:val="20"/>
              </w:rPr>
              <w:t>%)</w:t>
            </w:r>
          </w:p>
        </w:tc>
        <w:tc>
          <w:tcPr>
            <w:tcW w:w="1486" w:type="dxa"/>
            <w:shd w:val="clear" w:color="auto" w:fill="auto"/>
          </w:tcPr>
          <w:p w14:paraId="6736E9D8" w14:textId="77777777" w:rsidR="00A85B46" w:rsidRDefault="004C62D6" w:rsidP="007D4553">
            <w:pPr>
              <w:spacing w:before="60" w:after="60"/>
              <w:rPr>
                <w:sz w:val="20"/>
                <w:szCs w:val="20"/>
              </w:rPr>
            </w:pPr>
            <w:r w:rsidRPr="00BB6777">
              <w:rPr>
                <w:sz w:val="20"/>
                <w:szCs w:val="20"/>
              </w:rPr>
              <w:t>72,035</w:t>
            </w:r>
            <w:r>
              <w:rPr>
                <w:sz w:val="20"/>
                <w:szCs w:val="20"/>
              </w:rPr>
              <w:t xml:space="preserve"> </w:t>
            </w:r>
          </w:p>
          <w:p w14:paraId="58E3F0E2" w14:textId="40B5DFDB" w:rsidR="004C62D6" w:rsidRPr="00BB6777" w:rsidRDefault="004C62D6" w:rsidP="007D4553">
            <w:pPr>
              <w:spacing w:before="60" w:after="60"/>
              <w:rPr>
                <w:sz w:val="20"/>
                <w:szCs w:val="20"/>
              </w:rPr>
            </w:pPr>
            <w:r>
              <w:rPr>
                <w:sz w:val="20"/>
                <w:szCs w:val="20"/>
              </w:rPr>
              <w:t>(51.3</w:t>
            </w:r>
            <w:r w:rsidR="00091313">
              <w:rPr>
                <w:sz w:val="20"/>
                <w:szCs w:val="20"/>
              </w:rPr>
              <w:t xml:space="preserve"> </w:t>
            </w:r>
            <w:r>
              <w:rPr>
                <w:sz w:val="20"/>
                <w:szCs w:val="20"/>
              </w:rPr>
              <w:t>%)</w:t>
            </w:r>
          </w:p>
        </w:tc>
        <w:tc>
          <w:tcPr>
            <w:tcW w:w="1486" w:type="dxa"/>
            <w:shd w:val="clear" w:color="auto" w:fill="auto"/>
          </w:tcPr>
          <w:p w14:paraId="1C59ACFA" w14:textId="77777777" w:rsidR="00A85B46" w:rsidRDefault="004C62D6" w:rsidP="007D4553">
            <w:pPr>
              <w:spacing w:before="60" w:after="60"/>
              <w:rPr>
                <w:sz w:val="20"/>
                <w:szCs w:val="20"/>
              </w:rPr>
            </w:pPr>
            <w:r w:rsidRPr="00BB6777">
              <w:rPr>
                <w:sz w:val="20"/>
                <w:szCs w:val="20"/>
              </w:rPr>
              <w:t>32,757</w:t>
            </w:r>
            <w:r>
              <w:rPr>
                <w:sz w:val="20"/>
                <w:szCs w:val="20"/>
              </w:rPr>
              <w:t xml:space="preserve"> </w:t>
            </w:r>
          </w:p>
          <w:p w14:paraId="3B9CEB50" w14:textId="374DB32F" w:rsidR="004C62D6" w:rsidRPr="00BB6777" w:rsidRDefault="004C62D6" w:rsidP="007D4553">
            <w:pPr>
              <w:spacing w:before="60" w:after="60"/>
              <w:rPr>
                <w:sz w:val="20"/>
                <w:szCs w:val="20"/>
              </w:rPr>
            </w:pPr>
            <w:r>
              <w:rPr>
                <w:sz w:val="20"/>
                <w:szCs w:val="20"/>
              </w:rPr>
              <w:t>(23.4</w:t>
            </w:r>
            <w:r w:rsidR="00091313">
              <w:rPr>
                <w:sz w:val="20"/>
                <w:szCs w:val="20"/>
              </w:rPr>
              <w:t xml:space="preserve"> </w:t>
            </w:r>
            <w:r>
              <w:rPr>
                <w:sz w:val="20"/>
                <w:szCs w:val="20"/>
              </w:rPr>
              <w:t>%)</w:t>
            </w:r>
          </w:p>
        </w:tc>
        <w:tc>
          <w:tcPr>
            <w:tcW w:w="1486" w:type="dxa"/>
            <w:shd w:val="clear" w:color="auto" w:fill="auto"/>
          </w:tcPr>
          <w:p w14:paraId="3ADFED0A" w14:textId="77777777" w:rsidR="00A85B46" w:rsidRDefault="004C62D6" w:rsidP="007D4553">
            <w:pPr>
              <w:spacing w:before="60" w:after="60"/>
              <w:rPr>
                <w:sz w:val="20"/>
                <w:szCs w:val="20"/>
              </w:rPr>
            </w:pPr>
            <w:r w:rsidRPr="00BB6777">
              <w:rPr>
                <w:sz w:val="20"/>
                <w:szCs w:val="20"/>
              </w:rPr>
              <w:t>10,427</w:t>
            </w:r>
            <w:r>
              <w:rPr>
                <w:sz w:val="20"/>
                <w:szCs w:val="20"/>
              </w:rPr>
              <w:t xml:space="preserve"> </w:t>
            </w:r>
          </w:p>
          <w:p w14:paraId="0DFC3468" w14:textId="3B955FBE" w:rsidR="004C62D6" w:rsidRPr="00BB6777" w:rsidRDefault="004C62D6" w:rsidP="007D4553">
            <w:pPr>
              <w:spacing w:before="60" w:after="60"/>
              <w:rPr>
                <w:sz w:val="20"/>
                <w:szCs w:val="20"/>
              </w:rPr>
            </w:pPr>
            <w:r>
              <w:rPr>
                <w:sz w:val="20"/>
                <w:szCs w:val="20"/>
              </w:rPr>
              <w:t>(7.4</w:t>
            </w:r>
            <w:r w:rsidR="00091313">
              <w:rPr>
                <w:sz w:val="20"/>
                <w:szCs w:val="20"/>
              </w:rPr>
              <w:t xml:space="preserve"> </w:t>
            </w:r>
            <w:r>
              <w:rPr>
                <w:sz w:val="20"/>
                <w:szCs w:val="20"/>
              </w:rPr>
              <w:t>%)</w:t>
            </w:r>
          </w:p>
        </w:tc>
        <w:tc>
          <w:tcPr>
            <w:tcW w:w="1486" w:type="dxa"/>
            <w:shd w:val="clear" w:color="auto" w:fill="auto"/>
          </w:tcPr>
          <w:p w14:paraId="1F73332E" w14:textId="77777777" w:rsidR="004C62D6" w:rsidRPr="00BB6777" w:rsidRDefault="004C62D6" w:rsidP="007D4553">
            <w:pPr>
              <w:spacing w:before="60" w:after="60"/>
              <w:rPr>
                <w:sz w:val="20"/>
                <w:szCs w:val="20"/>
              </w:rPr>
            </w:pPr>
            <w:r w:rsidRPr="00BB6777">
              <w:rPr>
                <w:sz w:val="20"/>
                <w:szCs w:val="20"/>
              </w:rPr>
              <w:t>140,284</w:t>
            </w:r>
          </w:p>
        </w:tc>
      </w:tr>
      <w:tr w:rsidR="004C62D6" w:rsidRPr="00BB6777" w14:paraId="2246D4F6" w14:textId="77777777" w:rsidTr="007D4553">
        <w:trPr>
          <w:trHeight w:val="617"/>
        </w:trPr>
        <w:tc>
          <w:tcPr>
            <w:tcW w:w="1486" w:type="dxa"/>
            <w:shd w:val="clear" w:color="auto" w:fill="auto"/>
          </w:tcPr>
          <w:p w14:paraId="25A57D0F" w14:textId="77777777" w:rsidR="004C62D6" w:rsidRPr="00E36693" w:rsidRDefault="004C62D6" w:rsidP="007D4553">
            <w:pPr>
              <w:spacing w:before="60" w:after="60"/>
              <w:rPr>
                <w:b/>
                <w:sz w:val="20"/>
                <w:szCs w:val="20"/>
              </w:rPr>
            </w:pPr>
            <w:r w:rsidRPr="00E36693">
              <w:rPr>
                <w:b/>
                <w:sz w:val="20"/>
                <w:szCs w:val="20"/>
              </w:rPr>
              <w:t>October 2013 RPBS</w:t>
            </w:r>
          </w:p>
        </w:tc>
        <w:tc>
          <w:tcPr>
            <w:tcW w:w="1486" w:type="dxa"/>
            <w:shd w:val="clear" w:color="auto" w:fill="auto"/>
          </w:tcPr>
          <w:p w14:paraId="6C86BDF5" w14:textId="77777777" w:rsidR="00A85B46" w:rsidRDefault="004C62D6" w:rsidP="007D4553">
            <w:pPr>
              <w:spacing w:before="60" w:after="60"/>
              <w:rPr>
                <w:sz w:val="20"/>
                <w:szCs w:val="20"/>
              </w:rPr>
            </w:pPr>
            <w:r w:rsidRPr="00BB6777">
              <w:rPr>
                <w:sz w:val="20"/>
                <w:szCs w:val="20"/>
              </w:rPr>
              <w:t>285</w:t>
            </w:r>
            <w:r>
              <w:rPr>
                <w:sz w:val="20"/>
                <w:szCs w:val="20"/>
              </w:rPr>
              <w:t xml:space="preserve"> </w:t>
            </w:r>
          </w:p>
          <w:p w14:paraId="58BB6DE8" w14:textId="08325A37" w:rsidR="004C62D6" w:rsidRPr="00BB6777" w:rsidRDefault="004C62D6" w:rsidP="007D4553">
            <w:pPr>
              <w:spacing w:before="60" w:after="60"/>
              <w:rPr>
                <w:sz w:val="20"/>
                <w:szCs w:val="20"/>
              </w:rPr>
            </w:pPr>
            <w:r>
              <w:rPr>
                <w:sz w:val="20"/>
                <w:szCs w:val="20"/>
              </w:rPr>
              <w:t>(19.4</w:t>
            </w:r>
            <w:r w:rsidR="00C87C3C">
              <w:rPr>
                <w:sz w:val="20"/>
                <w:szCs w:val="20"/>
              </w:rPr>
              <w:t xml:space="preserve"> </w:t>
            </w:r>
            <w:r>
              <w:rPr>
                <w:sz w:val="20"/>
                <w:szCs w:val="20"/>
              </w:rPr>
              <w:t>%)</w:t>
            </w:r>
          </w:p>
        </w:tc>
        <w:tc>
          <w:tcPr>
            <w:tcW w:w="1486" w:type="dxa"/>
            <w:shd w:val="clear" w:color="auto" w:fill="auto"/>
          </w:tcPr>
          <w:p w14:paraId="0EBBAD5A" w14:textId="77777777" w:rsidR="00A85B46" w:rsidRDefault="004C62D6" w:rsidP="007D4553">
            <w:pPr>
              <w:spacing w:before="60" w:after="60"/>
              <w:rPr>
                <w:sz w:val="20"/>
                <w:szCs w:val="20"/>
              </w:rPr>
            </w:pPr>
            <w:r w:rsidRPr="00BB6777">
              <w:rPr>
                <w:sz w:val="20"/>
                <w:szCs w:val="20"/>
              </w:rPr>
              <w:t>716</w:t>
            </w:r>
            <w:r>
              <w:rPr>
                <w:sz w:val="20"/>
                <w:szCs w:val="20"/>
              </w:rPr>
              <w:t xml:space="preserve"> </w:t>
            </w:r>
          </w:p>
          <w:p w14:paraId="297445BC" w14:textId="50F6001B" w:rsidR="004C62D6" w:rsidRPr="00BB6777" w:rsidRDefault="004C62D6" w:rsidP="007D4553">
            <w:pPr>
              <w:spacing w:before="60" w:after="60"/>
              <w:rPr>
                <w:sz w:val="20"/>
                <w:szCs w:val="20"/>
              </w:rPr>
            </w:pPr>
            <w:r>
              <w:rPr>
                <w:sz w:val="20"/>
                <w:szCs w:val="20"/>
              </w:rPr>
              <w:t>(48.7</w:t>
            </w:r>
            <w:r w:rsidR="00091313">
              <w:rPr>
                <w:sz w:val="20"/>
                <w:szCs w:val="20"/>
              </w:rPr>
              <w:t xml:space="preserve"> </w:t>
            </w:r>
            <w:r>
              <w:rPr>
                <w:sz w:val="20"/>
                <w:szCs w:val="20"/>
              </w:rPr>
              <w:t>%)</w:t>
            </w:r>
          </w:p>
        </w:tc>
        <w:tc>
          <w:tcPr>
            <w:tcW w:w="1486" w:type="dxa"/>
            <w:shd w:val="clear" w:color="auto" w:fill="auto"/>
          </w:tcPr>
          <w:p w14:paraId="086EDE4F" w14:textId="77777777" w:rsidR="00A85B46" w:rsidRDefault="004C62D6" w:rsidP="007D4553">
            <w:pPr>
              <w:spacing w:before="60" w:after="60"/>
              <w:rPr>
                <w:sz w:val="20"/>
                <w:szCs w:val="20"/>
              </w:rPr>
            </w:pPr>
            <w:r w:rsidRPr="00BB6777">
              <w:rPr>
                <w:sz w:val="20"/>
                <w:szCs w:val="20"/>
              </w:rPr>
              <w:t>352</w:t>
            </w:r>
            <w:r>
              <w:rPr>
                <w:sz w:val="20"/>
                <w:szCs w:val="20"/>
              </w:rPr>
              <w:t xml:space="preserve"> </w:t>
            </w:r>
          </w:p>
          <w:p w14:paraId="6CA3F8B6" w14:textId="20532FA7" w:rsidR="004C62D6" w:rsidRPr="00BB6777" w:rsidRDefault="004C62D6" w:rsidP="007D4553">
            <w:pPr>
              <w:spacing w:before="60" w:after="60"/>
              <w:rPr>
                <w:sz w:val="20"/>
                <w:szCs w:val="20"/>
              </w:rPr>
            </w:pPr>
            <w:r>
              <w:rPr>
                <w:sz w:val="20"/>
                <w:szCs w:val="20"/>
              </w:rPr>
              <w:t>(23.9</w:t>
            </w:r>
            <w:r w:rsidR="00091313">
              <w:rPr>
                <w:sz w:val="20"/>
                <w:szCs w:val="20"/>
              </w:rPr>
              <w:t xml:space="preserve"> </w:t>
            </w:r>
            <w:r>
              <w:rPr>
                <w:sz w:val="20"/>
                <w:szCs w:val="20"/>
              </w:rPr>
              <w:t>%)</w:t>
            </w:r>
          </w:p>
        </w:tc>
        <w:tc>
          <w:tcPr>
            <w:tcW w:w="1486" w:type="dxa"/>
            <w:shd w:val="clear" w:color="auto" w:fill="auto"/>
          </w:tcPr>
          <w:p w14:paraId="3257E0ED" w14:textId="77777777" w:rsidR="00A85B46" w:rsidRDefault="004C62D6" w:rsidP="007D4553">
            <w:pPr>
              <w:spacing w:before="60" w:after="60"/>
              <w:rPr>
                <w:sz w:val="20"/>
                <w:szCs w:val="20"/>
              </w:rPr>
            </w:pPr>
            <w:r w:rsidRPr="00BB6777">
              <w:rPr>
                <w:sz w:val="20"/>
                <w:szCs w:val="20"/>
              </w:rPr>
              <w:t>118</w:t>
            </w:r>
            <w:r>
              <w:rPr>
                <w:sz w:val="20"/>
                <w:szCs w:val="20"/>
              </w:rPr>
              <w:t xml:space="preserve"> </w:t>
            </w:r>
          </w:p>
          <w:p w14:paraId="69895FE4" w14:textId="705CB3F8" w:rsidR="004C62D6" w:rsidRPr="00BB6777" w:rsidRDefault="004C62D6" w:rsidP="007D4553">
            <w:pPr>
              <w:spacing w:before="60" w:after="60"/>
              <w:rPr>
                <w:sz w:val="20"/>
                <w:szCs w:val="20"/>
              </w:rPr>
            </w:pPr>
            <w:r>
              <w:rPr>
                <w:sz w:val="20"/>
                <w:szCs w:val="20"/>
              </w:rPr>
              <w:t>(8</w:t>
            </w:r>
            <w:r w:rsidR="00091313">
              <w:rPr>
                <w:sz w:val="20"/>
                <w:szCs w:val="20"/>
              </w:rPr>
              <w:t xml:space="preserve"> </w:t>
            </w:r>
            <w:r>
              <w:rPr>
                <w:sz w:val="20"/>
                <w:szCs w:val="20"/>
              </w:rPr>
              <w:t>%)</w:t>
            </w:r>
          </w:p>
        </w:tc>
        <w:tc>
          <w:tcPr>
            <w:tcW w:w="1486" w:type="dxa"/>
            <w:shd w:val="clear" w:color="auto" w:fill="auto"/>
          </w:tcPr>
          <w:p w14:paraId="56309EBE" w14:textId="77777777" w:rsidR="004C62D6" w:rsidRPr="00BB6777" w:rsidRDefault="004C62D6" w:rsidP="007D4553">
            <w:pPr>
              <w:spacing w:before="60" w:after="60"/>
              <w:rPr>
                <w:sz w:val="20"/>
                <w:szCs w:val="20"/>
              </w:rPr>
            </w:pPr>
            <w:r w:rsidRPr="00BB6777">
              <w:rPr>
                <w:sz w:val="20"/>
                <w:szCs w:val="20"/>
              </w:rPr>
              <w:t>1,471</w:t>
            </w:r>
          </w:p>
        </w:tc>
      </w:tr>
    </w:tbl>
    <w:p w14:paraId="04CA9951" w14:textId="77777777" w:rsidR="00B15808" w:rsidRDefault="00B15808" w:rsidP="00C87C3C"/>
    <w:p w14:paraId="201D0D4C" w14:textId="77777777" w:rsidR="00B15808" w:rsidRDefault="00B15808">
      <w:pPr>
        <w:spacing w:line="276" w:lineRule="auto"/>
        <w:rPr>
          <w:rFonts w:eastAsiaTheme="majorEastAsia" w:cstheme="majorBidi"/>
          <w:b/>
          <w:bCs/>
          <w:i/>
        </w:rPr>
      </w:pPr>
      <w:r>
        <w:br w:type="page"/>
      </w:r>
    </w:p>
    <w:p w14:paraId="0783A288" w14:textId="6B686CA6" w:rsidR="00DC49E9" w:rsidRDefault="0007553D" w:rsidP="00343204">
      <w:pPr>
        <w:pStyle w:val="Heading5"/>
      </w:pPr>
      <w:r>
        <w:t>Prescriptions by patient category</w:t>
      </w:r>
    </w:p>
    <w:p w14:paraId="6D4D896E" w14:textId="77777777" w:rsidR="003D6640" w:rsidRPr="002B04BE" w:rsidRDefault="003D6640" w:rsidP="003D6640">
      <w:pPr>
        <w:spacing w:before="240"/>
        <w:rPr>
          <w:noProof/>
        </w:rPr>
      </w:pPr>
      <w:r>
        <w:rPr>
          <w:noProof/>
        </w:rPr>
        <w:t>Figure 3 shows the number of prescriptions by patient category.</w:t>
      </w:r>
    </w:p>
    <w:p w14:paraId="529E32B4" w14:textId="77777777" w:rsidR="003D6640" w:rsidRPr="00D314AA" w:rsidRDefault="003D6640" w:rsidP="003D6640">
      <w:pPr>
        <w:spacing w:before="60" w:after="60"/>
        <w:rPr>
          <w:b/>
        </w:rPr>
      </w:pPr>
      <w:r>
        <w:rPr>
          <w:noProof/>
        </w:rPr>
        <w:drawing>
          <wp:inline distT="0" distB="0" distL="0" distR="0" wp14:anchorId="5771E3F4" wp14:editId="313DCDBF">
            <wp:extent cx="5687695" cy="3703320"/>
            <wp:effectExtent l="0" t="0" r="27305" b="11430"/>
            <wp:docPr id="4" name="Chart 4" title="Figure 3: Number of prescriptions supplied for pregabalin per month by patient categories; concessional, general, RPBS and under co-payme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D314AA">
        <w:rPr>
          <w:b/>
        </w:rPr>
        <w:t>Figure 3: Number of prescriptions by patient category, December 2012 to March 2014</w:t>
      </w:r>
    </w:p>
    <w:p w14:paraId="1A0BF2E4" w14:textId="43E4F547" w:rsidR="003D6640" w:rsidRPr="004677DA" w:rsidRDefault="003D6640" w:rsidP="003D6640">
      <w:pPr>
        <w:spacing w:before="240"/>
      </w:pPr>
      <w:r>
        <w:t>Over the first year of PBS listing of pregabalin 70.5</w:t>
      </w:r>
      <w:r w:rsidR="008D5F2C">
        <w:t xml:space="preserve"> </w:t>
      </w:r>
      <w:r>
        <w:t>% of prescriptions were concessional benefits, 21.5</w:t>
      </w:r>
      <w:r w:rsidR="008D5F2C">
        <w:t xml:space="preserve"> </w:t>
      </w:r>
      <w:r>
        <w:t>% were general benefits, 5</w:t>
      </w:r>
      <w:r w:rsidR="008D5F2C">
        <w:t xml:space="preserve"> </w:t>
      </w:r>
      <w:r>
        <w:t>% were RPBS and 3</w:t>
      </w:r>
      <w:r w:rsidR="008D5F2C">
        <w:t xml:space="preserve"> </w:t>
      </w:r>
      <w:r>
        <w:t>% were under the patient co-payment.  Only the 25 mg capsules are priced under the general patient co-payment.</w:t>
      </w:r>
    </w:p>
    <w:p w14:paraId="586BBA26" w14:textId="77777777" w:rsidR="00183789" w:rsidRDefault="00183789">
      <w:pPr>
        <w:spacing w:line="276" w:lineRule="auto"/>
        <w:rPr>
          <w:b/>
          <w:i/>
        </w:rPr>
      </w:pPr>
      <w:r>
        <w:rPr>
          <w:b/>
          <w:i/>
        </w:rPr>
        <w:br w:type="page"/>
      </w:r>
    </w:p>
    <w:p w14:paraId="7FB16701" w14:textId="1867927E" w:rsidR="00183789" w:rsidRDefault="00183789" w:rsidP="007570D1">
      <w:pPr>
        <w:pStyle w:val="Heading5"/>
      </w:pPr>
      <w:r>
        <w:t>Patient count</w:t>
      </w:r>
    </w:p>
    <w:p w14:paraId="53C98D12" w14:textId="77777777" w:rsidR="00183789" w:rsidRDefault="00183789" w:rsidP="00183789">
      <w:pPr>
        <w:spacing w:before="240"/>
      </w:pPr>
      <w:r>
        <w:t>The number of patients initiating pregabalin in the first year of listing from 1 March 2013 to the end of February 2014 is shown in Figure 4.  RPBS patients are also shown until the deletion of the RPBS items in November 2013.</w:t>
      </w:r>
    </w:p>
    <w:p w14:paraId="7635C12E" w14:textId="77777777" w:rsidR="00183789" w:rsidRDefault="00183789" w:rsidP="00183789">
      <w:pPr>
        <w:spacing w:before="60" w:after="60"/>
        <w:rPr>
          <w:b/>
        </w:rPr>
      </w:pPr>
      <w:r>
        <w:rPr>
          <w:noProof/>
        </w:rPr>
        <w:drawing>
          <wp:inline distT="0" distB="0" distL="0" distR="0" wp14:anchorId="29AF5324" wp14:editId="7241DF3B">
            <wp:extent cx="5686425" cy="3924300"/>
            <wp:effectExtent l="0" t="0" r="9525" b="19050"/>
            <wp:docPr id="5" name="Chart 5" descr="The figure illustrates the number of patients initiating pregabalin each month in the first 12 months of PBS listing." title="Figur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9E0485">
        <w:rPr>
          <w:b/>
        </w:rPr>
        <w:t>Figure 4: Number of patients initiating pregabalin in the first year of listing, March 2013 to end February 2014</w:t>
      </w:r>
    </w:p>
    <w:p w14:paraId="0740F328" w14:textId="77777777" w:rsidR="00183789" w:rsidRPr="004D2175" w:rsidRDefault="00183789" w:rsidP="00183789">
      <w:pPr>
        <w:pStyle w:val="Figuretitle"/>
        <w:spacing w:before="0" w:after="200"/>
        <w:rPr>
          <w:b w:val="0"/>
          <w:sz w:val="20"/>
          <w:szCs w:val="20"/>
        </w:rPr>
      </w:pPr>
      <w:r w:rsidRPr="004D2175">
        <w:rPr>
          <w:b w:val="0"/>
          <w:sz w:val="20"/>
          <w:szCs w:val="20"/>
        </w:rPr>
        <w:t>PIN</w:t>
      </w:r>
      <w:r>
        <w:rPr>
          <w:b w:val="0"/>
          <w:sz w:val="20"/>
          <w:szCs w:val="20"/>
        </w:rPr>
        <w:t xml:space="preserve"> = patient identification number</w:t>
      </w:r>
    </w:p>
    <w:p w14:paraId="61BCF928" w14:textId="77777777" w:rsidR="00183789" w:rsidRPr="00F32BB7" w:rsidRDefault="00183789" w:rsidP="00183789">
      <w:pPr>
        <w:spacing w:before="240"/>
      </w:pPr>
      <w:r>
        <w:t>In the first twelve months of PBS listing 294,274 PBS/RPBS patients (293,265 PBS) received at least one prescription for pregabalin.  There were around 30-34,000 initiators in each of the first three months of listing, reducing to around 22-24,000 in each of the next six months.</w:t>
      </w:r>
    </w:p>
    <w:p w14:paraId="2E8C04EA" w14:textId="77777777" w:rsidR="00182C0C" w:rsidRDefault="00182C0C">
      <w:pPr>
        <w:spacing w:line="276" w:lineRule="auto"/>
        <w:rPr>
          <w:rFonts w:eastAsiaTheme="majorEastAsia" w:cstheme="majorBidi"/>
          <w:b/>
          <w:bCs/>
          <w:i/>
        </w:rPr>
      </w:pPr>
      <w:r>
        <w:br w:type="page"/>
      </w:r>
    </w:p>
    <w:p w14:paraId="3B369E79" w14:textId="1BD3FC8A" w:rsidR="00636018" w:rsidRDefault="00272452" w:rsidP="00272452">
      <w:pPr>
        <w:pStyle w:val="Heading5"/>
      </w:pPr>
      <w:r>
        <w:t>Changes in the use of other medicines for neuropathic pain</w:t>
      </w:r>
    </w:p>
    <w:p w14:paraId="74BBA983" w14:textId="77777777" w:rsidR="00182C0C" w:rsidRDefault="00182C0C" w:rsidP="00182C0C">
      <w:r>
        <w:t>The Neurology Therapeutic Guidelines (TG)</w:t>
      </w:r>
      <w:r>
        <w:rPr>
          <w:rStyle w:val="FootnoteReference"/>
        </w:rPr>
        <w:footnoteReference w:id="4"/>
      </w:r>
      <w:r>
        <w:t xml:space="preserve"> note that n</w:t>
      </w:r>
      <w:r w:rsidRPr="00A632E2">
        <w:t>europathic pain is usually refractory to simple analgesics, including non</w:t>
      </w:r>
      <w:r>
        <w:t>-</w:t>
      </w:r>
      <w:r w:rsidRPr="00A632E2">
        <w:t>steroidal anti-inflammatory drugs</w:t>
      </w:r>
      <w:r>
        <w:t xml:space="preserve"> and </w:t>
      </w:r>
      <w:r w:rsidRPr="00361367">
        <w:t>treatment</w:t>
      </w:r>
      <w:r>
        <w:t xml:space="preserve"> </w:t>
      </w:r>
      <w:r w:rsidRPr="00361367">
        <w:t>usually requires the use of analgesic adjuvants such as tricyclic antidepressants (TCAs), serotonin and noradrenaline reuptake inhibitors (</w:t>
      </w:r>
      <w:r>
        <w:t>SNRIs) and antiepileptic drugs.  The TG note that th</w:t>
      </w:r>
      <w:r w:rsidRPr="00950F72">
        <w:t xml:space="preserve">e choice of analgesic adjuvant is largely dependent on consideration of efficacy, adverse effects </w:t>
      </w:r>
      <w:r>
        <w:t xml:space="preserve">and cost.  </w:t>
      </w:r>
      <w:r w:rsidRPr="00950F72">
        <w:t>Other indications (e</w:t>
      </w:r>
      <w:r>
        <w:t>.</w:t>
      </w:r>
      <w:r w:rsidRPr="00950F72">
        <w:t>g</w:t>
      </w:r>
      <w:r>
        <w:t>.</w:t>
      </w:r>
      <w:r w:rsidRPr="00950F72">
        <w:t xml:space="preserve"> need for sedation) or contraindications (e</w:t>
      </w:r>
      <w:r>
        <w:t>.</w:t>
      </w:r>
      <w:r w:rsidRPr="00950F72">
        <w:t>g</w:t>
      </w:r>
      <w:r>
        <w:t>.</w:t>
      </w:r>
      <w:r w:rsidRPr="00950F72">
        <w:t xml:space="preserve"> prostatism, cognitive impairment) may also influence the choice of drug.</w:t>
      </w:r>
      <w:r>
        <w:t xml:space="preserve">  Amitriptyline, gabapentin, duloxetine or pregabalin are recommended by the TG as analgesic adjuvants for neuropathic pain.</w:t>
      </w:r>
    </w:p>
    <w:p w14:paraId="5E62EBF7" w14:textId="77777777" w:rsidR="00182C0C" w:rsidRDefault="00182C0C" w:rsidP="00182C0C">
      <w:r>
        <w:t>The total prescription numbers for amitriptyline (unrestricted PBS listing), gabapentin (Authority required streamlined PBS listing for partial epileptic seizures), duloxetine (restricted benefit PBS listing for major depressive disorders) and carbamazepine (unrestricted PBS listing) for Q1 2012 through to Q1 2014 are shown in Figure 5.  This data is provided to investigate if the listing of pregabalin has had an effect on the prescription volumes for these agents.  Carbamazepine is included as the submission estimated a proportion of switching from carbamazepine to pregabalin and an associated cost off-set.  The submission also predicted substitution of pregabalin for amitriptyline and gabapentin.  The submission did not include cost offsets for switching from duloxetine to pregabalin.</w:t>
      </w:r>
    </w:p>
    <w:p w14:paraId="140359CB" w14:textId="77777777" w:rsidR="00182C0C" w:rsidRDefault="00182C0C" w:rsidP="00182C0C">
      <w:pPr>
        <w:spacing w:before="60" w:after="60"/>
        <w:rPr>
          <w:b/>
        </w:rPr>
      </w:pPr>
      <w:r>
        <w:rPr>
          <w:noProof/>
        </w:rPr>
        <w:drawing>
          <wp:inline distT="0" distB="0" distL="0" distR="0" wp14:anchorId="0C27A989" wp14:editId="1C48CADB">
            <wp:extent cx="5686425" cy="3295650"/>
            <wp:effectExtent l="0" t="0" r="9525" b="19050"/>
            <wp:docPr id="3" name="Chart 3" descr="Total PBS/ RPBS prescription numbers by year and quarter for pregabalin, amitriptyline, gabapentin and carbamazepine, quarter1 2012 to quarter 1 2014." title="Figur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CB678E">
        <w:rPr>
          <w:b/>
        </w:rPr>
        <w:t>Figure 5: Total PBS/ RPBS prescription numbers by year and quarter for pregabalin, amitriptyline, gabapentin, duloxetine and carbamazepine, Q1 2012 to Q1 2014.</w:t>
      </w:r>
    </w:p>
    <w:p w14:paraId="5F988C46" w14:textId="77777777" w:rsidR="00182C0C" w:rsidRDefault="00182C0C" w:rsidP="00182C0C">
      <w:pPr>
        <w:rPr>
          <w:sz w:val="20"/>
          <w:szCs w:val="20"/>
        </w:rPr>
      </w:pPr>
      <w:r>
        <w:rPr>
          <w:sz w:val="20"/>
          <w:szCs w:val="20"/>
        </w:rPr>
        <w:t>*Under co-payment data included from 1 April 2012.</w:t>
      </w:r>
    </w:p>
    <w:p w14:paraId="7A4A36DD" w14:textId="77777777" w:rsidR="00182C0C" w:rsidRPr="00662273" w:rsidRDefault="00182C0C" w:rsidP="00182C0C">
      <w:r>
        <w:t>The PBS/RPBS prescriptions supplied for amitriptyline, gabapentin, carbamazepine and duloxetine appear largely unchanged by the listing of pregabalin.</w:t>
      </w:r>
    </w:p>
    <w:p w14:paraId="4F8723A6" w14:textId="3B792516" w:rsidR="00736041" w:rsidRDefault="001B5D37" w:rsidP="0085256D">
      <w:pPr>
        <w:pStyle w:val="Heading4"/>
      </w:pPr>
      <w:r w:rsidRPr="005E22C2">
        <w:t xml:space="preserve">Analysis </w:t>
      </w:r>
      <w:r w:rsidR="00481108" w:rsidRPr="005E22C2">
        <w:t xml:space="preserve">of </w:t>
      </w:r>
      <w:r w:rsidR="0063631C">
        <w:t>e</w:t>
      </w:r>
      <w:r w:rsidR="00736041" w:rsidRPr="005E22C2">
        <w:t>xpenditure</w:t>
      </w:r>
    </w:p>
    <w:p w14:paraId="4C27F6F5" w14:textId="77777777" w:rsidR="00952FB8" w:rsidRDefault="00952FB8" w:rsidP="00952FB8">
      <w:r>
        <w:t>The PBS/ RPBS e</w:t>
      </w:r>
      <w:r w:rsidRPr="005A7579">
        <w:t>xpenditure in the first twelve</w:t>
      </w:r>
      <w:r>
        <w:t xml:space="preserve"> months of listing was $60.7 million.  Figure 6 illustrates PBS/RPBS expenditure per month from March 2012 (one year before listing) to March 2014 (most current data available).  The expenditure prior to the 1 March 2013 listing date is for pregabalin supplied through the RPBS.</w:t>
      </w:r>
    </w:p>
    <w:p w14:paraId="3439F391" w14:textId="77777777" w:rsidR="00952FB8" w:rsidRDefault="00952FB8" w:rsidP="00952FB8">
      <w:pPr>
        <w:rPr>
          <w:noProof/>
        </w:rPr>
      </w:pPr>
      <w:r>
        <w:rPr>
          <w:noProof/>
        </w:rPr>
        <w:drawing>
          <wp:inline distT="0" distB="0" distL="0" distR="0" wp14:anchorId="2B229B95" wp14:editId="5E06DE42">
            <wp:extent cx="5734050" cy="2647950"/>
            <wp:effectExtent l="0" t="0" r="19050" b="19050"/>
            <wp:docPr id="1" name="Chart 1" descr="PBS/ RPBS expenditure on pregabalin by year and date of supply, March 2012 to March 2014." title="Figur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E41BDFF" w14:textId="77777777" w:rsidR="00952FB8" w:rsidRPr="00FE645A" w:rsidRDefault="00952FB8" w:rsidP="00952FB8">
      <w:pPr>
        <w:pStyle w:val="Figuretitle"/>
      </w:pPr>
      <w:r>
        <w:t>Figure 6</w:t>
      </w:r>
      <w:r w:rsidRPr="00FE645A">
        <w:t xml:space="preserve">: </w:t>
      </w:r>
      <w:r>
        <w:t>PBS/RPBS Expenditure by year and date of supply, March 2012 to March 2014</w:t>
      </w:r>
    </w:p>
    <w:p w14:paraId="79392BD4" w14:textId="77777777" w:rsidR="00670B08" w:rsidRDefault="00670B08">
      <w:pPr>
        <w:spacing w:line="276" w:lineRule="auto"/>
        <w:rPr>
          <w:rFonts w:eastAsiaTheme="majorEastAsia" w:cstheme="majorBidi"/>
          <w:b/>
          <w:bCs/>
          <w:sz w:val="28"/>
          <w:szCs w:val="28"/>
        </w:rPr>
      </w:pPr>
      <w:r>
        <w:br w:type="page"/>
      </w:r>
    </w:p>
    <w:p w14:paraId="5F22B4D8" w14:textId="5B44CB54" w:rsidR="00736041" w:rsidRDefault="00D151EB" w:rsidP="00E55D60">
      <w:pPr>
        <w:pStyle w:val="Heading4"/>
      </w:pPr>
      <w:r>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p>
    <w:p w14:paraId="2674FBB4" w14:textId="77777777" w:rsidR="004D593C" w:rsidRDefault="004D593C" w:rsidP="004D593C">
      <w:r>
        <w:t xml:space="preserve">The submission’s </w:t>
      </w:r>
      <w:r w:rsidRPr="009053FD">
        <w:t>estimated extent of</w:t>
      </w:r>
      <w:r>
        <w:t xml:space="preserve"> use and the actual utilisation for pregabalin are compared in Table 4.</w:t>
      </w:r>
    </w:p>
    <w:p w14:paraId="70E8F185" w14:textId="77777777" w:rsidR="004D593C" w:rsidRPr="00500573" w:rsidRDefault="004D593C" w:rsidP="004D593C">
      <w:pPr>
        <w:spacing w:before="200" w:after="20"/>
      </w:pPr>
      <w:r>
        <w:rPr>
          <w:b/>
        </w:rPr>
        <w:t>Table 4: Predicted and actual extent of use of pregabalin</w:t>
      </w:r>
    </w:p>
    <w:tbl>
      <w:tblPr>
        <w:tblStyle w:val="TableGrid"/>
        <w:tblW w:w="0" w:type="auto"/>
        <w:tblInd w:w="108" w:type="dxa"/>
        <w:tblLook w:val="04A0" w:firstRow="1" w:lastRow="0" w:firstColumn="1" w:lastColumn="0" w:noHBand="0" w:noVBand="1"/>
        <w:tblCaption w:val="Table 4"/>
        <w:tblDescription w:val="The predicted number of patients and number of prescriptions for pregabalin are compared to the actual use."/>
      </w:tblPr>
      <w:tblGrid>
        <w:gridCol w:w="1420"/>
        <w:gridCol w:w="1528"/>
        <w:gridCol w:w="1528"/>
        <w:gridCol w:w="1528"/>
        <w:gridCol w:w="1528"/>
        <w:gridCol w:w="1533"/>
      </w:tblGrid>
      <w:tr w:rsidR="004D593C" w:rsidRPr="00B15CCE" w14:paraId="7AFC325F" w14:textId="77777777" w:rsidTr="00CE1866">
        <w:trPr>
          <w:tblHeader/>
        </w:trPr>
        <w:tc>
          <w:tcPr>
            <w:tcW w:w="1420" w:type="dxa"/>
            <w:shd w:val="pct25" w:color="auto" w:fill="auto"/>
          </w:tcPr>
          <w:p w14:paraId="33865FF2" w14:textId="77777777" w:rsidR="004D593C" w:rsidRPr="00B15CCE" w:rsidRDefault="004D593C" w:rsidP="007D4553">
            <w:pPr>
              <w:spacing w:before="60" w:after="60"/>
              <w:rPr>
                <w:sz w:val="20"/>
                <w:szCs w:val="20"/>
              </w:rPr>
            </w:pPr>
          </w:p>
        </w:tc>
        <w:tc>
          <w:tcPr>
            <w:tcW w:w="1528" w:type="dxa"/>
            <w:shd w:val="clear" w:color="auto" w:fill="BFBFBF" w:themeFill="background1" w:themeFillShade="BF"/>
          </w:tcPr>
          <w:p w14:paraId="451B9EA8" w14:textId="77777777" w:rsidR="004D593C" w:rsidRPr="00B15CCE" w:rsidRDefault="004D593C" w:rsidP="007D4553">
            <w:pPr>
              <w:spacing w:before="60" w:after="60"/>
              <w:rPr>
                <w:b/>
                <w:sz w:val="20"/>
                <w:szCs w:val="20"/>
              </w:rPr>
            </w:pPr>
            <w:r>
              <w:rPr>
                <w:b/>
                <w:sz w:val="20"/>
                <w:szCs w:val="20"/>
              </w:rPr>
              <w:t>Year 1</w:t>
            </w:r>
          </w:p>
        </w:tc>
        <w:tc>
          <w:tcPr>
            <w:tcW w:w="1528" w:type="dxa"/>
            <w:shd w:val="pct25" w:color="auto" w:fill="auto"/>
          </w:tcPr>
          <w:p w14:paraId="4FA26168" w14:textId="77777777" w:rsidR="004D593C" w:rsidRPr="00B15CCE" w:rsidRDefault="004D593C" w:rsidP="007D4553">
            <w:pPr>
              <w:spacing w:before="60" w:after="60"/>
              <w:rPr>
                <w:b/>
                <w:sz w:val="20"/>
                <w:szCs w:val="20"/>
              </w:rPr>
            </w:pPr>
            <w:r>
              <w:rPr>
                <w:b/>
                <w:sz w:val="20"/>
                <w:szCs w:val="20"/>
              </w:rPr>
              <w:t>Year 2</w:t>
            </w:r>
          </w:p>
        </w:tc>
        <w:tc>
          <w:tcPr>
            <w:tcW w:w="1528" w:type="dxa"/>
            <w:shd w:val="pct25" w:color="auto" w:fill="auto"/>
          </w:tcPr>
          <w:p w14:paraId="237FAC79" w14:textId="77777777" w:rsidR="004D593C" w:rsidRPr="00B15CCE" w:rsidRDefault="004D593C" w:rsidP="007D4553">
            <w:pPr>
              <w:spacing w:before="60" w:after="60"/>
              <w:rPr>
                <w:b/>
                <w:sz w:val="20"/>
                <w:szCs w:val="20"/>
              </w:rPr>
            </w:pPr>
            <w:r>
              <w:rPr>
                <w:b/>
                <w:sz w:val="20"/>
                <w:szCs w:val="20"/>
              </w:rPr>
              <w:t>Year 3</w:t>
            </w:r>
          </w:p>
        </w:tc>
        <w:tc>
          <w:tcPr>
            <w:tcW w:w="1528" w:type="dxa"/>
            <w:shd w:val="pct25" w:color="auto" w:fill="auto"/>
          </w:tcPr>
          <w:p w14:paraId="740861B0" w14:textId="77777777" w:rsidR="004D593C" w:rsidRPr="00B15CCE" w:rsidRDefault="004D593C" w:rsidP="007D4553">
            <w:pPr>
              <w:spacing w:before="60" w:after="60"/>
              <w:rPr>
                <w:b/>
                <w:sz w:val="20"/>
                <w:szCs w:val="20"/>
              </w:rPr>
            </w:pPr>
            <w:r>
              <w:rPr>
                <w:b/>
                <w:sz w:val="20"/>
                <w:szCs w:val="20"/>
              </w:rPr>
              <w:t>Year 4</w:t>
            </w:r>
          </w:p>
        </w:tc>
        <w:tc>
          <w:tcPr>
            <w:tcW w:w="1533" w:type="dxa"/>
            <w:shd w:val="pct25" w:color="auto" w:fill="auto"/>
          </w:tcPr>
          <w:p w14:paraId="0098A4F0" w14:textId="77777777" w:rsidR="004D593C" w:rsidRPr="00B15CCE" w:rsidRDefault="004D593C" w:rsidP="007D4553">
            <w:pPr>
              <w:spacing w:before="60" w:after="60"/>
              <w:rPr>
                <w:b/>
                <w:sz w:val="20"/>
                <w:szCs w:val="20"/>
              </w:rPr>
            </w:pPr>
            <w:r>
              <w:rPr>
                <w:b/>
                <w:sz w:val="20"/>
                <w:szCs w:val="20"/>
              </w:rPr>
              <w:t>Year 5</w:t>
            </w:r>
          </w:p>
        </w:tc>
      </w:tr>
      <w:tr w:rsidR="004D593C" w:rsidRPr="00B15CCE" w14:paraId="4E713F8E" w14:textId="77777777" w:rsidTr="007D4553">
        <w:tc>
          <w:tcPr>
            <w:tcW w:w="1420" w:type="dxa"/>
            <w:tcBorders>
              <w:bottom w:val="single" w:sz="4" w:space="0" w:color="auto"/>
            </w:tcBorders>
            <w:shd w:val="clear" w:color="auto" w:fill="auto"/>
          </w:tcPr>
          <w:p w14:paraId="382566A4" w14:textId="77777777" w:rsidR="004D593C" w:rsidRPr="0051762B" w:rsidRDefault="004D593C" w:rsidP="007D4553">
            <w:pPr>
              <w:spacing w:before="60" w:after="60"/>
              <w:rPr>
                <w:b/>
                <w:sz w:val="20"/>
                <w:szCs w:val="20"/>
              </w:rPr>
            </w:pPr>
            <w:r>
              <w:rPr>
                <w:b/>
                <w:sz w:val="20"/>
                <w:szCs w:val="20"/>
              </w:rPr>
              <w:t>Estimated n</w:t>
            </w:r>
            <w:r w:rsidRPr="0051762B">
              <w:rPr>
                <w:b/>
                <w:sz w:val="20"/>
                <w:szCs w:val="20"/>
              </w:rPr>
              <w:t>umber of patients</w:t>
            </w:r>
          </w:p>
        </w:tc>
        <w:tc>
          <w:tcPr>
            <w:tcW w:w="1528" w:type="dxa"/>
            <w:tcBorders>
              <w:bottom w:val="single" w:sz="4" w:space="0" w:color="auto"/>
            </w:tcBorders>
            <w:shd w:val="clear" w:color="auto" w:fill="auto"/>
            <w:vAlign w:val="center"/>
          </w:tcPr>
          <w:p w14:paraId="0DDF77D3" w14:textId="77777777" w:rsidR="004D593C" w:rsidRPr="00B15CCE" w:rsidRDefault="004D593C" w:rsidP="007D4553">
            <w:pPr>
              <w:spacing w:before="60" w:after="60"/>
              <w:rPr>
                <w:sz w:val="20"/>
                <w:szCs w:val="20"/>
              </w:rPr>
            </w:pPr>
            <w:r>
              <w:rPr>
                <w:rFonts w:cs="Arial"/>
                <w:sz w:val="20"/>
                <w:szCs w:val="20"/>
              </w:rPr>
              <w:t>211,620</w:t>
            </w:r>
            <w:r w:rsidRPr="007F0B32">
              <w:rPr>
                <w:rFonts w:cs="Arial"/>
                <w:sz w:val="20"/>
                <w:szCs w:val="20"/>
              </w:rPr>
              <w:t xml:space="preserve"> </w:t>
            </w:r>
          </w:p>
        </w:tc>
        <w:tc>
          <w:tcPr>
            <w:tcW w:w="1528" w:type="dxa"/>
            <w:tcBorders>
              <w:bottom w:val="single" w:sz="4" w:space="0" w:color="auto"/>
            </w:tcBorders>
            <w:shd w:val="clear" w:color="auto" w:fill="auto"/>
            <w:vAlign w:val="center"/>
          </w:tcPr>
          <w:p w14:paraId="51048FC0" w14:textId="77777777" w:rsidR="004D593C" w:rsidRPr="00B15CCE" w:rsidRDefault="004D593C" w:rsidP="007D4553">
            <w:pPr>
              <w:spacing w:before="60" w:after="60"/>
              <w:rPr>
                <w:sz w:val="20"/>
                <w:szCs w:val="20"/>
              </w:rPr>
            </w:pPr>
            <w:r>
              <w:rPr>
                <w:rFonts w:cs="Arial"/>
                <w:sz w:val="20"/>
                <w:szCs w:val="20"/>
              </w:rPr>
              <w:t>274</w:t>
            </w:r>
            <w:r w:rsidRPr="007F0B32">
              <w:rPr>
                <w:rFonts w:cs="Arial"/>
                <w:sz w:val="20"/>
                <w:szCs w:val="20"/>
              </w:rPr>
              <w:t>,</w:t>
            </w:r>
            <w:r>
              <w:rPr>
                <w:rFonts w:cs="Arial"/>
                <w:sz w:val="20"/>
                <w:szCs w:val="20"/>
              </w:rPr>
              <w:t>132</w:t>
            </w:r>
            <w:r w:rsidRPr="007F0B32">
              <w:rPr>
                <w:rFonts w:cs="Arial"/>
                <w:sz w:val="20"/>
                <w:szCs w:val="20"/>
              </w:rPr>
              <w:t xml:space="preserve"> </w:t>
            </w:r>
          </w:p>
        </w:tc>
        <w:tc>
          <w:tcPr>
            <w:tcW w:w="1528" w:type="dxa"/>
            <w:tcBorders>
              <w:bottom w:val="single" w:sz="4" w:space="0" w:color="auto"/>
            </w:tcBorders>
            <w:shd w:val="clear" w:color="auto" w:fill="auto"/>
            <w:vAlign w:val="center"/>
          </w:tcPr>
          <w:p w14:paraId="370B9822" w14:textId="77777777" w:rsidR="004D593C" w:rsidRPr="00B15CCE" w:rsidRDefault="004D593C" w:rsidP="007D4553">
            <w:pPr>
              <w:spacing w:before="60" w:after="60"/>
              <w:rPr>
                <w:sz w:val="20"/>
                <w:szCs w:val="20"/>
              </w:rPr>
            </w:pPr>
            <w:r>
              <w:rPr>
                <w:rFonts w:cs="Arial"/>
                <w:sz w:val="20"/>
                <w:szCs w:val="20"/>
              </w:rPr>
              <w:t>286,297</w:t>
            </w:r>
            <w:r w:rsidRPr="007F0B32">
              <w:rPr>
                <w:rFonts w:cs="Arial"/>
                <w:sz w:val="20"/>
                <w:szCs w:val="20"/>
              </w:rPr>
              <w:t xml:space="preserve"> </w:t>
            </w:r>
          </w:p>
        </w:tc>
        <w:tc>
          <w:tcPr>
            <w:tcW w:w="1528" w:type="dxa"/>
            <w:tcBorders>
              <w:bottom w:val="single" w:sz="4" w:space="0" w:color="auto"/>
            </w:tcBorders>
            <w:shd w:val="clear" w:color="auto" w:fill="auto"/>
            <w:vAlign w:val="center"/>
          </w:tcPr>
          <w:p w14:paraId="52D832F5" w14:textId="77777777" w:rsidR="004D593C" w:rsidRPr="00B15CCE" w:rsidRDefault="004D593C" w:rsidP="007D4553">
            <w:pPr>
              <w:spacing w:before="60" w:after="60"/>
              <w:rPr>
                <w:sz w:val="20"/>
                <w:szCs w:val="20"/>
              </w:rPr>
            </w:pPr>
            <w:r>
              <w:rPr>
                <w:rFonts w:cs="Arial"/>
                <w:sz w:val="20"/>
                <w:szCs w:val="20"/>
              </w:rPr>
              <w:t>318,896</w:t>
            </w:r>
            <w:r w:rsidRPr="007F0B32">
              <w:rPr>
                <w:rFonts w:cs="Arial"/>
                <w:sz w:val="20"/>
                <w:szCs w:val="20"/>
                <w:vertAlign w:val="superscript"/>
              </w:rPr>
              <w:t xml:space="preserve"> </w:t>
            </w:r>
          </w:p>
        </w:tc>
        <w:tc>
          <w:tcPr>
            <w:tcW w:w="1533" w:type="dxa"/>
            <w:tcBorders>
              <w:bottom w:val="single" w:sz="4" w:space="0" w:color="auto"/>
            </w:tcBorders>
            <w:shd w:val="clear" w:color="auto" w:fill="auto"/>
            <w:vAlign w:val="center"/>
          </w:tcPr>
          <w:p w14:paraId="4B27BC57" w14:textId="77777777" w:rsidR="004D593C" w:rsidRPr="00B15CCE" w:rsidRDefault="004D593C" w:rsidP="007D4553">
            <w:pPr>
              <w:spacing w:before="60" w:after="60"/>
              <w:rPr>
                <w:sz w:val="20"/>
                <w:szCs w:val="20"/>
              </w:rPr>
            </w:pPr>
            <w:r>
              <w:rPr>
                <w:rFonts w:cs="Arial"/>
                <w:sz w:val="20"/>
                <w:szCs w:val="20"/>
              </w:rPr>
              <w:t>350</w:t>
            </w:r>
            <w:r w:rsidRPr="007F0B32">
              <w:rPr>
                <w:rFonts w:cs="Arial"/>
                <w:sz w:val="20"/>
                <w:szCs w:val="20"/>
              </w:rPr>
              <w:t>,</w:t>
            </w:r>
            <w:r>
              <w:rPr>
                <w:rFonts w:cs="Arial"/>
                <w:sz w:val="20"/>
                <w:szCs w:val="20"/>
              </w:rPr>
              <w:t>346</w:t>
            </w:r>
          </w:p>
        </w:tc>
      </w:tr>
      <w:tr w:rsidR="004D593C" w:rsidRPr="00B15CCE" w14:paraId="3C077A3A" w14:textId="77777777" w:rsidTr="007D4553">
        <w:tc>
          <w:tcPr>
            <w:tcW w:w="1420" w:type="dxa"/>
            <w:shd w:val="clear" w:color="auto" w:fill="auto"/>
          </w:tcPr>
          <w:p w14:paraId="699FFE47" w14:textId="77777777" w:rsidR="004D593C" w:rsidRDefault="004D593C" w:rsidP="007D4553">
            <w:pPr>
              <w:spacing w:before="60" w:after="60"/>
              <w:rPr>
                <w:b/>
                <w:sz w:val="20"/>
                <w:szCs w:val="20"/>
              </w:rPr>
            </w:pPr>
            <w:r>
              <w:rPr>
                <w:b/>
                <w:sz w:val="20"/>
                <w:szCs w:val="20"/>
              </w:rPr>
              <w:t>Actual number of patients</w:t>
            </w:r>
          </w:p>
        </w:tc>
        <w:tc>
          <w:tcPr>
            <w:tcW w:w="1528" w:type="dxa"/>
            <w:shd w:val="clear" w:color="auto" w:fill="auto"/>
            <w:vAlign w:val="center"/>
          </w:tcPr>
          <w:p w14:paraId="39EAE5E0" w14:textId="77777777" w:rsidR="004D593C" w:rsidRPr="007609BD" w:rsidRDefault="004D593C" w:rsidP="007D4553">
            <w:pPr>
              <w:spacing w:before="60" w:after="60"/>
              <w:rPr>
                <w:sz w:val="20"/>
                <w:szCs w:val="20"/>
              </w:rPr>
            </w:pPr>
            <w:r w:rsidRPr="007609BD">
              <w:rPr>
                <w:sz w:val="20"/>
                <w:szCs w:val="20"/>
              </w:rPr>
              <w:t>294,274</w:t>
            </w:r>
          </w:p>
        </w:tc>
        <w:tc>
          <w:tcPr>
            <w:tcW w:w="1528" w:type="dxa"/>
            <w:shd w:val="clear" w:color="auto" w:fill="auto"/>
            <w:vAlign w:val="center"/>
          </w:tcPr>
          <w:p w14:paraId="0381946D" w14:textId="77777777" w:rsidR="004D593C" w:rsidRPr="00DA0EDA" w:rsidRDefault="004D593C" w:rsidP="007D4553">
            <w:pPr>
              <w:spacing w:before="60" w:after="60"/>
              <w:rPr>
                <w:sz w:val="20"/>
                <w:szCs w:val="20"/>
              </w:rPr>
            </w:pPr>
            <w:r>
              <w:rPr>
                <w:sz w:val="20"/>
                <w:szCs w:val="20"/>
              </w:rPr>
              <w:t>N/A</w:t>
            </w:r>
          </w:p>
        </w:tc>
        <w:tc>
          <w:tcPr>
            <w:tcW w:w="1528" w:type="dxa"/>
            <w:shd w:val="clear" w:color="auto" w:fill="auto"/>
            <w:vAlign w:val="center"/>
          </w:tcPr>
          <w:p w14:paraId="1D27C91B" w14:textId="77777777" w:rsidR="004D593C" w:rsidRPr="00DA0EDA" w:rsidRDefault="004D593C" w:rsidP="007D4553">
            <w:pPr>
              <w:spacing w:before="60" w:after="60"/>
              <w:rPr>
                <w:sz w:val="20"/>
                <w:szCs w:val="20"/>
              </w:rPr>
            </w:pPr>
            <w:r>
              <w:rPr>
                <w:sz w:val="20"/>
                <w:szCs w:val="20"/>
              </w:rPr>
              <w:t>N/A</w:t>
            </w:r>
          </w:p>
        </w:tc>
        <w:tc>
          <w:tcPr>
            <w:tcW w:w="1528" w:type="dxa"/>
            <w:shd w:val="clear" w:color="auto" w:fill="auto"/>
            <w:vAlign w:val="center"/>
          </w:tcPr>
          <w:p w14:paraId="1A5ACA6E" w14:textId="77777777" w:rsidR="004D593C" w:rsidRPr="00DA0EDA" w:rsidRDefault="004D593C" w:rsidP="007D4553">
            <w:pPr>
              <w:spacing w:before="60" w:after="60"/>
              <w:rPr>
                <w:sz w:val="20"/>
                <w:szCs w:val="20"/>
              </w:rPr>
            </w:pPr>
            <w:r>
              <w:rPr>
                <w:sz w:val="20"/>
                <w:szCs w:val="20"/>
              </w:rPr>
              <w:t>N/A</w:t>
            </w:r>
          </w:p>
        </w:tc>
        <w:tc>
          <w:tcPr>
            <w:tcW w:w="1533" w:type="dxa"/>
            <w:shd w:val="clear" w:color="auto" w:fill="auto"/>
            <w:vAlign w:val="center"/>
          </w:tcPr>
          <w:p w14:paraId="2814AB97" w14:textId="77777777" w:rsidR="004D593C" w:rsidRPr="00DA0EDA" w:rsidRDefault="004D593C" w:rsidP="007D4553">
            <w:pPr>
              <w:spacing w:before="60" w:after="60"/>
              <w:rPr>
                <w:sz w:val="20"/>
                <w:szCs w:val="20"/>
              </w:rPr>
            </w:pPr>
            <w:r>
              <w:rPr>
                <w:sz w:val="20"/>
                <w:szCs w:val="20"/>
              </w:rPr>
              <w:t>N/A</w:t>
            </w:r>
          </w:p>
        </w:tc>
      </w:tr>
      <w:tr w:rsidR="004D593C" w:rsidRPr="00B15CCE" w14:paraId="5446034E" w14:textId="77777777" w:rsidTr="007D4553">
        <w:tc>
          <w:tcPr>
            <w:tcW w:w="1420" w:type="dxa"/>
            <w:shd w:val="clear" w:color="auto" w:fill="auto"/>
          </w:tcPr>
          <w:p w14:paraId="05E8C9A8" w14:textId="77777777" w:rsidR="004D593C" w:rsidRPr="0051762B" w:rsidRDefault="004D593C" w:rsidP="007D4553">
            <w:pPr>
              <w:spacing w:before="60" w:after="60"/>
              <w:rPr>
                <w:b/>
                <w:sz w:val="20"/>
                <w:szCs w:val="20"/>
              </w:rPr>
            </w:pPr>
            <w:r>
              <w:rPr>
                <w:b/>
                <w:sz w:val="20"/>
                <w:szCs w:val="20"/>
              </w:rPr>
              <w:t>Estimated n</w:t>
            </w:r>
            <w:r w:rsidRPr="0051762B">
              <w:rPr>
                <w:b/>
                <w:sz w:val="20"/>
                <w:szCs w:val="20"/>
              </w:rPr>
              <w:t>umber of packs per year</w:t>
            </w:r>
          </w:p>
        </w:tc>
        <w:tc>
          <w:tcPr>
            <w:tcW w:w="1528" w:type="dxa"/>
            <w:shd w:val="clear" w:color="auto" w:fill="auto"/>
            <w:vAlign w:val="center"/>
          </w:tcPr>
          <w:p w14:paraId="4E8CE98D" w14:textId="77777777" w:rsidR="004D593C" w:rsidRPr="00B15CCE" w:rsidRDefault="004D593C" w:rsidP="007D4553">
            <w:pPr>
              <w:spacing w:before="60" w:after="60"/>
              <w:rPr>
                <w:sz w:val="20"/>
                <w:szCs w:val="20"/>
              </w:rPr>
            </w:pPr>
            <w:r w:rsidRPr="008C556F">
              <w:rPr>
                <w:rFonts w:cs="Arial"/>
                <w:sz w:val="20"/>
                <w:szCs w:val="20"/>
              </w:rPr>
              <w:t>1,</w:t>
            </w:r>
            <w:r>
              <w:rPr>
                <w:rFonts w:cs="Arial"/>
                <w:sz w:val="20"/>
                <w:szCs w:val="20"/>
              </w:rPr>
              <w:t>381,724</w:t>
            </w:r>
            <w:r w:rsidRPr="008C556F">
              <w:rPr>
                <w:rFonts w:cs="Arial"/>
                <w:sz w:val="20"/>
                <w:szCs w:val="20"/>
              </w:rPr>
              <w:t xml:space="preserve"> </w:t>
            </w:r>
          </w:p>
        </w:tc>
        <w:tc>
          <w:tcPr>
            <w:tcW w:w="1528" w:type="dxa"/>
            <w:shd w:val="clear" w:color="auto" w:fill="auto"/>
            <w:vAlign w:val="center"/>
          </w:tcPr>
          <w:p w14:paraId="0EE8B6EB" w14:textId="77777777" w:rsidR="004D593C" w:rsidRPr="00B15CCE" w:rsidRDefault="004D593C" w:rsidP="007D4553">
            <w:pPr>
              <w:spacing w:before="60" w:after="60"/>
              <w:rPr>
                <w:sz w:val="20"/>
                <w:szCs w:val="20"/>
              </w:rPr>
            </w:pPr>
            <w:r w:rsidRPr="008C556F">
              <w:rPr>
                <w:rFonts w:cs="Arial"/>
                <w:sz w:val="20"/>
                <w:szCs w:val="20"/>
              </w:rPr>
              <w:t xml:space="preserve">1,847,128 </w:t>
            </w:r>
          </w:p>
        </w:tc>
        <w:tc>
          <w:tcPr>
            <w:tcW w:w="1528" w:type="dxa"/>
            <w:shd w:val="clear" w:color="auto" w:fill="auto"/>
            <w:vAlign w:val="center"/>
          </w:tcPr>
          <w:p w14:paraId="10BE100B" w14:textId="77777777" w:rsidR="004D593C" w:rsidRPr="00B15CCE" w:rsidRDefault="004D593C" w:rsidP="007D4553">
            <w:pPr>
              <w:spacing w:before="60" w:after="60"/>
              <w:rPr>
                <w:sz w:val="20"/>
                <w:szCs w:val="20"/>
              </w:rPr>
            </w:pPr>
            <w:r w:rsidRPr="008C556F">
              <w:rPr>
                <w:rFonts w:cs="Arial"/>
                <w:sz w:val="20"/>
                <w:szCs w:val="20"/>
              </w:rPr>
              <w:t xml:space="preserve">1,977,004 </w:t>
            </w:r>
          </w:p>
        </w:tc>
        <w:tc>
          <w:tcPr>
            <w:tcW w:w="1528" w:type="dxa"/>
            <w:shd w:val="clear" w:color="auto" w:fill="auto"/>
            <w:vAlign w:val="center"/>
          </w:tcPr>
          <w:p w14:paraId="667A3216" w14:textId="77777777" w:rsidR="004D593C" w:rsidRPr="00B15CCE" w:rsidRDefault="004D593C" w:rsidP="007D4553">
            <w:pPr>
              <w:spacing w:before="60" w:after="60"/>
              <w:rPr>
                <w:sz w:val="20"/>
                <w:szCs w:val="20"/>
              </w:rPr>
            </w:pPr>
            <w:r w:rsidRPr="008C556F">
              <w:rPr>
                <w:rFonts w:cs="Arial"/>
                <w:sz w:val="20"/>
                <w:szCs w:val="20"/>
              </w:rPr>
              <w:t xml:space="preserve">2,201,051 </w:t>
            </w:r>
          </w:p>
        </w:tc>
        <w:tc>
          <w:tcPr>
            <w:tcW w:w="1533" w:type="dxa"/>
            <w:shd w:val="clear" w:color="auto" w:fill="auto"/>
            <w:vAlign w:val="center"/>
          </w:tcPr>
          <w:p w14:paraId="78E069C1" w14:textId="77777777" w:rsidR="004D593C" w:rsidRPr="00B15CCE" w:rsidRDefault="004D593C" w:rsidP="007D4553">
            <w:pPr>
              <w:spacing w:before="60" w:after="60"/>
              <w:rPr>
                <w:sz w:val="20"/>
                <w:szCs w:val="20"/>
              </w:rPr>
            </w:pPr>
            <w:r w:rsidRPr="008C556F">
              <w:rPr>
                <w:rFonts w:cs="Arial"/>
                <w:sz w:val="20"/>
                <w:szCs w:val="20"/>
              </w:rPr>
              <w:t xml:space="preserve">2,421,029 </w:t>
            </w:r>
          </w:p>
        </w:tc>
      </w:tr>
      <w:tr w:rsidR="004D593C" w:rsidRPr="00B15CCE" w14:paraId="3014476E" w14:textId="77777777" w:rsidTr="007D4553">
        <w:tc>
          <w:tcPr>
            <w:tcW w:w="1420" w:type="dxa"/>
            <w:shd w:val="clear" w:color="auto" w:fill="auto"/>
          </w:tcPr>
          <w:p w14:paraId="1CF99A49" w14:textId="77777777" w:rsidR="004D593C" w:rsidRDefault="004D593C" w:rsidP="007D4553">
            <w:pPr>
              <w:spacing w:before="60" w:after="60"/>
              <w:rPr>
                <w:b/>
                <w:sz w:val="20"/>
                <w:szCs w:val="20"/>
              </w:rPr>
            </w:pPr>
            <w:r>
              <w:rPr>
                <w:b/>
                <w:sz w:val="20"/>
                <w:szCs w:val="20"/>
              </w:rPr>
              <w:t>Actual number of prescriptions per year</w:t>
            </w:r>
          </w:p>
        </w:tc>
        <w:tc>
          <w:tcPr>
            <w:tcW w:w="1528" w:type="dxa"/>
            <w:shd w:val="clear" w:color="auto" w:fill="auto"/>
            <w:vAlign w:val="center"/>
          </w:tcPr>
          <w:p w14:paraId="2EA098EB" w14:textId="77777777" w:rsidR="004D593C" w:rsidRPr="00DA0EDA" w:rsidRDefault="004D593C" w:rsidP="007D4553">
            <w:pPr>
              <w:spacing w:before="60" w:after="60"/>
              <w:rPr>
                <w:sz w:val="20"/>
                <w:szCs w:val="20"/>
              </w:rPr>
            </w:pPr>
            <w:r w:rsidRPr="00CD5BD7">
              <w:rPr>
                <w:sz w:val="20"/>
                <w:szCs w:val="20"/>
              </w:rPr>
              <w:t>1,389,678</w:t>
            </w:r>
          </w:p>
        </w:tc>
        <w:tc>
          <w:tcPr>
            <w:tcW w:w="1528" w:type="dxa"/>
            <w:shd w:val="clear" w:color="auto" w:fill="auto"/>
            <w:vAlign w:val="center"/>
          </w:tcPr>
          <w:p w14:paraId="62174443" w14:textId="77777777" w:rsidR="004D593C" w:rsidRPr="00DA0EDA" w:rsidRDefault="004D593C" w:rsidP="007D4553">
            <w:pPr>
              <w:spacing w:before="60" w:after="60"/>
              <w:rPr>
                <w:sz w:val="20"/>
                <w:szCs w:val="20"/>
              </w:rPr>
            </w:pPr>
            <w:r>
              <w:rPr>
                <w:sz w:val="20"/>
                <w:szCs w:val="20"/>
              </w:rPr>
              <w:t>N/A</w:t>
            </w:r>
          </w:p>
        </w:tc>
        <w:tc>
          <w:tcPr>
            <w:tcW w:w="1528" w:type="dxa"/>
            <w:shd w:val="clear" w:color="auto" w:fill="auto"/>
            <w:vAlign w:val="center"/>
          </w:tcPr>
          <w:p w14:paraId="31A2B6D3" w14:textId="77777777" w:rsidR="004D593C" w:rsidRPr="00DA0EDA" w:rsidRDefault="004D593C" w:rsidP="007D4553">
            <w:pPr>
              <w:spacing w:before="60" w:after="60"/>
              <w:rPr>
                <w:sz w:val="20"/>
                <w:szCs w:val="20"/>
              </w:rPr>
            </w:pPr>
            <w:r>
              <w:rPr>
                <w:sz w:val="20"/>
                <w:szCs w:val="20"/>
              </w:rPr>
              <w:t>N/A</w:t>
            </w:r>
          </w:p>
        </w:tc>
        <w:tc>
          <w:tcPr>
            <w:tcW w:w="1528" w:type="dxa"/>
            <w:shd w:val="clear" w:color="auto" w:fill="auto"/>
            <w:vAlign w:val="center"/>
          </w:tcPr>
          <w:p w14:paraId="4A4C997D" w14:textId="77777777" w:rsidR="004D593C" w:rsidRPr="00DA0EDA" w:rsidRDefault="004D593C" w:rsidP="007D4553">
            <w:pPr>
              <w:spacing w:before="60" w:after="60"/>
              <w:rPr>
                <w:sz w:val="20"/>
                <w:szCs w:val="20"/>
              </w:rPr>
            </w:pPr>
            <w:r>
              <w:rPr>
                <w:sz w:val="20"/>
                <w:szCs w:val="20"/>
              </w:rPr>
              <w:t>N/A</w:t>
            </w:r>
          </w:p>
        </w:tc>
        <w:tc>
          <w:tcPr>
            <w:tcW w:w="1533" w:type="dxa"/>
            <w:shd w:val="clear" w:color="auto" w:fill="auto"/>
            <w:vAlign w:val="center"/>
          </w:tcPr>
          <w:p w14:paraId="77A92C45" w14:textId="77777777" w:rsidR="004D593C" w:rsidRPr="00DA0EDA" w:rsidRDefault="004D593C" w:rsidP="007D4553">
            <w:pPr>
              <w:spacing w:before="60" w:after="60"/>
              <w:rPr>
                <w:sz w:val="20"/>
                <w:szCs w:val="20"/>
              </w:rPr>
            </w:pPr>
            <w:r>
              <w:rPr>
                <w:sz w:val="20"/>
                <w:szCs w:val="20"/>
              </w:rPr>
              <w:t>N/A</w:t>
            </w:r>
          </w:p>
        </w:tc>
      </w:tr>
    </w:tbl>
    <w:p w14:paraId="15052440" w14:textId="77777777" w:rsidR="004D593C" w:rsidRDefault="004D593C" w:rsidP="004D593C">
      <w:pPr>
        <w:spacing w:after="0"/>
      </w:pPr>
    </w:p>
    <w:p w14:paraId="014C6433" w14:textId="1D4FEA08" w:rsidR="004D593C" w:rsidRDefault="004D593C" w:rsidP="004D593C">
      <w:r>
        <w:t>The number of prescriptions for pregabalin in the first twelve months of PBS listing was similar to predicted, however the data indicates that utilisation is yet to stabilise and that prescription numbers are increasing.</w:t>
      </w:r>
      <w:r w:rsidR="001A32D5">
        <w:t xml:space="preserve">  </w:t>
      </w:r>
    </w:p>
    <w:p w14:paraId="18E6A81D" w14:textId="2EEDF3A3" w:rsidR="005767AB" w:rsidRDefault="004D593C" w:rsidP="005767AB">
      <w:r>
        <w:t xml:space="preserve">In the first twelve months of listing 294,274 patients were supplied with at least one prescription for pregabalin through the PBS.  It was estimated that </w:t>
      </w:r>
      <w:r>
        <w:rPr>
          <w:szCs w:val="20"/>
        </w:rPr>
        <w:t>211,620</w:t>
      </w:r>
      <w:r>
        <w:t xml:space="preserve"> patients in year 1 rising to </w:t>
      </w:r>
      <w:r>
        <w:rPr>
          <w:szCs w:val="20"/>
        </w:rPr>
        <w:t>274,132</w:t>
      </w:r>
      <w:r>
        <w:t xml:space="preserve"> in year 2 would be treated with pregabalin.  The number of patients starting treatment with PBS subsidised pregabalin in the first year of listing was higher than that estimated in the submission, however it is unclear at this time point if patients are continuing on treatment with pregabalin, and if so for how long</w:t>
      </w:r>
      <w:r w:rsidR="00E36810">
        <w:t xml:space="preserve">, </w:t>
      </w:r>
      <w:r w:rsidR="00815347">
        <w:t xml:space="preserve">and </w:t>
      </w:r>
      <w:r w:rsidR="0065322A">
        <w:t xml:space="preserve">if pregabalin is being used </w:t>
      </w:r>
      <w:r w:rsidR="00E36810">
        <w:t>intermittent</w:t>
      </w:r>
      <w:r w:rsidR="0065322A">
        <w:t>ly</w:t>
      </w:r>
      <w:r>
        <w:t xml:space="preserve">.  </w:t>
      </w:r>
      <w:r w:rsidR="005767AB">
        <w:t>The DUSC noted that the sponsor of pregabalin suggested that the persistence rate for continuation on therapy was high, based on a 10 % sample of PBS data.</w:t>
      </w:r>
    </w:p>
    <w:p w14:paraId="7D9470EE" w14:textId="77777777" w:rsidR="004D593C" w:rsidRPr="00EE76E1" w:rsidRDefault="004D593C" w:rsidP="004D593C">
      <w:r>
        <w:t xml:space="preserve">The most commonly supplied strength of pregabalin is 75 mg (around half of all prescriptions), and the second most commonly prescribed strength is 150 mg.  </w:t>
      </w:r>
      <w:r w:rsidRPr="00484BEB">
        <w:t xml:space="preserve">The </w:t>
      </w:r>
      <w:r>
        <w:t xml:space="preserve">submission concluded that the </w:t>
      </w:r>
      <w:r w:rsidRPr="00484BEB">
        <w:t>mean total daily dose of pregabalin used in Austra</w:t>
      </w:r>
      <w:r>
        <w:t>lia in practice is 225 mg.  Analysis was not undertaken to determine if patients were supplied multiple strengths of pregabalin, nor which combination of strengths. This type of analysis is better undertaken when a longer period of data is available.  The proportions of pregabalin supplied by strength appear fairly consistent over the first year of listing.</w:t>
      </w:r>
    </w:p>
    <w:p w14:paraId="42BD4F80" w14:textId="580F977E" w:rsidR="004D593C" w:rsidRPr="00662273" w:rsidRDefault="004D593C" w:rsidP="004D593C">
      <w:r>
        <w:t xml:space="preserve">The PBS/RPBS prescription volumes for amitriptyline, gabapentin, carbamazepine and duloxetine appear largely unchanged by the listing of pregabalin.  </w:t>
      </w:r>
      <w:r w:rsidR="00066B44" w:rsidRPr="00066B44">
        <w:t>The DUSC suggested that this could indicate that there is co-administration of pregabalin with these agents rather than switching.  The DUSC considered that pregabalin is also likely to be used in combination with opioids in the treatment of neuropathic pain and that data investigating co-prescribing with opioids would also be informative to include in the 24 month review of pregabalin.</w:t>
      </w:r>
    </w:p>
    <w:p w14:paraId="3A74B465" w14:textId="5C201DBF" w:rsidR="007346C7" w:rsidRDefault="00957837" w:rsidP="00FD13CD">
      <w:pPr>
        <w:pStyle w:val="Heading3"/>
      </w:pPr>
      <w:r>
        <w:t>DUSC actions</w:t>
      </w:r>
    </w:p>
    <w:p w14:paraId="0CB7A039" w14:textId="03C7B721" w:rsidR="006035B1" w:rsidRDefault="006035B1" w:rsidP="00C214D2">
      <w:pPr>
        <w:pStyle w:val="ListParagraph"/>
        <w:numPr>
          <w:ilvl w:val="0"/>
          <w:numId w:val="4"/>
        </w:numPr>
      </w:pPr>
      <w:r>
        <w:t>The DUSC considered that a subsequent analysis of pregabalin should be undertaken when there is 24 months of utilisation data available.  The DUSC requested that the 24 month analysis include data on co-prescription with other medicines including amitriptyline, gabapentin, opioids and anti-epileptics, age, average dose, dose escalation (including the combination of strengths of pregabalin supplied), and persistence.</w:t>
      </w:r>
    </w:p>
    <w:p w14:paraId="46D09E67" w14:textId="77777777" w:rsidR="00632813" w:rsidRDefault="00632813" w:rsidP="00632813">
      <w:pPr>
        <w:pStyle w:val="ListParagraph"/>
        <w:ind w:left="360"/>
      </w:pPr>
    </w:p>
    <w:p w14:paraId="3C070E5D" w14:textId="511C8CD1" w:rsidR="00B749AA" w:rsidRPr="00B749AA" w:rsidRDefault="006035B1" w:rsidP="00C214D2">
      <w:pPr>
        <w:pStyle w:val="ListParagraph"/>
        <w:numPr>
          <w:ilvl w:val="0"/>
          <w:numId w:val="4"/>
        </w:numPr>
      </w:pPr>
      <w:r>
        <w:t>The DUSC referred the report to the PBAC for information.</w:t>
      </w:r>
    </w:p>
    <w:p w14:paraId="75A03124" w14:textId="77777777" w:rsidR="001B50CA" w:rsidRPr="0092516A" w:rsidRDefault="001B50CA" w:rsidP="00FD13CD">
      <w:pPr>
        <w:pStyle w:val="Heading3"/>
      </w:pPr>
      <w:r w:rsidRPr="0092516A">
        <w:t>Context for analysis</w:t>
      </w:r>
    </w:p>
    <w:p w14:paraId="1D8A2B2A" w14:textId="77777777" w:rsidR="001B50CA" w:rsidRPr="00241E48" w:rsidRDefault="001B50CA" w:rsidP="001B50CA">
      <w:pPr>
        <w:spacing w:after="240"/>
        <w:rPr>
          <w:rFonts w:eastAsiaTheme="majorEastAsia" w:cstheme="majorBidi"/>
          <w:bCs/>
        </w:rPr>
      </w:pPr>
      <w:r w:rsidRPr="00241E48">
        <w:rPr>
          <w:rFonts w:eastAsiaTheme="majorEastAsia" w:cstheme="majorBidi"/>
          <w:bCs/>
        </w:rPr>
        <w:t>The DUSC is a Sub Committee of the Pharmaceutical Benefits Advisory Committee (PBAC). The DUSC assesses estimates on projected usage an</w:t>
      </w:r>
      <w:r>
        <w:rPr>
          <w:rFonts w:eastAsiaTheme="majorEastAsia" w:cstheme="majorBidi"/>
          <w:bCs/>
        </w:rPr>
        <w:t>d financial cost of medicines.</w:t>
      </w:r>
    </w:p>
    <w:p w14:paraId="58A6B21D" w14:textId="77777777" w:rsidR="001B50CA" w:rsidRPr="00241E48" w:rsidRDefault="001B50CA" w:rsidP="001B50CA">
      <w:pPr>
        <w:spacing w:after="240"/>
        <w:rPr>
          <w:rFonts w:eastAsiaTheme="majorEastAsia" w:cstheme="majorBidi"/>
          <w:bCs/>
        </w:rPr>
      </w:pPr>
      <w:r w:rsidRPr="00241E48">
        <w:rPr>
          <w:rFonts w:eastAsiaTheme="majorEastAsia" w:cstheme="majorBidi"/>
          <w:bCs/>
        </w:rP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0E0BE3CC" w14:textId="77777777" w:rsidR="001B50CA" w:rsidRDefault="001B50CA" w:rsidP="001B50CA">
      <w:pPr>
        <w:spacing w:after="240"/>
        <w:rPr>
          <w:rFonts w:eastAsiaTheme="majorEastAsia" w:cstheme="majorBidi"/>
          <w:bCs/>
        </w:rPr>
      </w:pPr>
      <w:r w:rsidRPr="00241E48">
        <w:rPr>
          <w:rFonts w:eastAsiaTheme="majorEastAsia" w:cstheme="majorBidi"/>
          <w:bCs/>
        </w:rP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32A85FF2" w14:textId="77777777" w:rsidR="00C75822" w:rsidRDefault="00C75822" w:rsidP="00C75822">
      <w:pPr>
        <w:spacing w:after="0"/>
        <w:rPr>
          <w:rFonts w:eastAsiaTheme="majorEastAsia" w:cstheme="majorBidi"/>
          <w:bCs/>
        </w:rPr>
      </w:pPr>
      <w:r>
        <w:rPr>
          <w:rFonts w:eastAsiaTheme="majorEastAsia" w:cstheme="majorBidi"/>
          <w:bCs/>
        </w:rPr>
        <w:t xml:space="preserve">The </w:t>
      </w:r>
      <w:r w:rsidRPr="00CB5441">
        <w:rPr>
          <w:rFonts w:eastAsiaTheme="majorEastAsia" w:cstheme="majorBidi"/>
          <w:bCs/>
        </w:rPr>
        <w:t xml:space="preserve">utilisation </w:t>
      </w:r>
      <w:r>
        <w:rPr>
          <w:rFonts w:eastAsiaTheme="majorEastAsia" w:cstheme="majorBidi"/>
          <w:bCs/>
        </w:rPr>
        <w:t>analysis report was</w:t>
      </w:r>
      <w:r w:rsidRPr="00CB5441">
        <w:rPr>
          <w:rFonts w:eastAsiaTheme="majorEastAsia" w:cstheme="majorBidi"/>
          <w:bCs/>
        </w:rPr>
        <w:t xml:space="preserve"> provided to the pharmaceutical sponsors of each d</w:t>
      </w:r>
      <w:r>
        <w:rPr>
          <w:rFonts w:eastAsiaTheme="majorEastAsia" w:cstheme="majorBidi"/>
          <w:bCs/>
        </w:rPr>
        <w:t xml:space="preserve">rug and comments on the report </w:t>
      </w:r>
      <w:r w:rsidRPr="00CB5441">
        <w:rPr>
          <w:rFonts w:eastAsiaTheme="majorEastAsia" w:cstheme="majorBidi"/>
          <w:bCs/>
        </w:rPr>
        <w:t>were provided to DUSC</w:t>
      </w:r>
      <w:r>
        <w:rPr>
          <w:rFonts w:eastAsiaTheme="majorEastAsia" w:cstheme="majorBidi"/>
          <w:bCs/>
        </w:rPr>
        <w:t xml:space="preserve"> prior to its consideration of the analysis.</w:t>
      </w:r>
    </w:p>
    <w:p w14:paraId="44EFDCE9" w14:textId="428C4BA7" w:rsidR="003529E0" w:rsidRDefault="003529E0" w:rsidP="00FD13CD">
      <w:pPr>
        <w:pStyle w:val="Heading3"/>
      </w:pPr>
      <w:r>
        <w:t>Sponsor</w:t>
      </w:r>
      <w:r w:rsidR="00D955DB">
        <w:t>’</w:t>
      </w:r>
      <w:r w:rsidRPr="0092516A">
        <w:t>s</w:t>
      </w:r>
      <w:r w:rsidR="008D29B8">
        <w:t xml:space="preserve"> comment</w:t>
      </w:r>
    </w:p>
    <w:p w14:paraId="301A69DA" w14:textId="3B75C0BD" w:rsidR="008305DA" w:rsidRPr="008305DA" w:rsidRDefault="00AC60B8" w:rsidP="008305DA">
      <w:r>
        <w:t xml:space="preserve">Pfizer Australia Pty Ltd:  </w:t>
      </w:r>
      <w:r w:rsidR="008305DA">
        <w:t>The sponsor has no comment.</w:t>
      </w:r>
    </w:p>
    <w:p w14:paraId="25D65B04" w14:textId="1B97A568" w:rsidR="00FE645A" w:rsidRDefault="00A4020E" w:rsidP="001B4788">
      <w:pPr>
        <w:pStyle w:val="Heading3"/>
      </w:pPr>
      <w:r w:rsidRPr="00A4020E">
        <w:t>Disclaimer</w:t>
      </w:r>
    </w:p>
    <w:p w14:paraId="477D7D94" w14:textId="739898AB" w:rsidR="000B268E" w:rsidRDefault="000B268E" w:rsidP="00197F8B">
      <w:pPr>
        <w:spacing w:after="0" w:line="276" w:lineRule="auto"/>
      </w:pPr>
      <w:r w:rsidRPr="000B268E">
        <w:t>The information provided in this report does not constitute medical advice and is not intended to take the place of profe</w:t>
      </w:r>
      <w:r w:rsidR="00F11CFC">
        <w:t xml:space="preserve">ssional medical advice or care.  </w:t>
      </w:r>
      <w:r w:rsidRPr="000B268E">
        <w:t>It is not intended to define what constitutes reasonable, appropriate or best care for any individual for any given health issue.</w:t>
      </w:r>
      <w:r w:rsidR="00E628EA">
        <w:t xml:space="preserve">  </w:t>
      </w:r>
      <w:r w:rsidRPr="000B268E">
        <w:t>The information should not be used as a substitute for the judgement and skill of a medical practitioner.</w:t>
      </w:r>
    </w:p>
    <w:p w14:paraId="48C71B35" w14:textId="77777777" w:rsidR="00197F8B" w:rsidRPr="000B268E" w:rsidRDefault="00197F8B" w:rsidP="00197F8B">
      <w:pPr>
        <w:spacing w:after="0" w:line="276" w:lineRule="auto"/>
      </w:pPr>
    </w:p>
    <w:p w14:paraId="34477926" w14:textId="601956EB" w:rsidR="000B268E" w:rsidRDefault="000B268E" w:rsidP="00197F8B">
      <w:pPr>
        <w:spacing w:after="0" w:line="276" w:lineRule="auto"/>
      </w:pPr>
      <w:r w:rsidRPr="000B268E">
        <w:t>The Department of Health (DoH) has made all reasonable efforts to ensure that information provided in this report is accurate. The information provided in this report was up-to-date when it was considered by the Drug Utilisation Sub-committee of the Pharmaceutic</w:t>
      </w:r>
      <w:r w:rsidR="00F11CFC">
        <w:t xml:space="preserve">al Benefits Advisory Committee.  </w:t>
      </w:r>
      <w:r w:rsidRPr="000B268E">
        <w:t>The context for that information may have changed since publication.</w:t>
      </w:r>
    </w:p>
    <w:p w14:paraId="196B8FC1" w14:textId="77777777" w:rsidR="00197F8B" w:rsidRPr="000B268E" w:rsidRDefault="00197F8B" w:rsidP="00197F8B">
      <w:pPr>
        <w:spacing w:after="0" w:line="276" w:lineRule="auto"/>
      </w:pPr>
    </w:p>
    <w:p w14:paraId="34FF6D3D" w14:textId="77777777" w:rsidR="000B268E" w:rsidRDefault="000B268E" w:rsidP="00197F8B">
      <w:pPr>
        <w:spacing w:after="0" w:line="276" w:lineRule="auto"/>
      </w:pPr>
      <w:r w:rsidRPr="000B268E">
        <w:t xml:space="preserve">To the extent provided by law, DoH makes no warranties or representations as to accuracy or completeness of information contained in this report. </w:t>
      </w:r>
    </w:p>
    <w:p w14:paraId="4E76AE3D" w14:textId="77777777" w:rsidR="00197F8B" w:rsidRPr="000B268E" w:rsidRDefault="00197F8B" w:rsidP="00197F8B">
      <w:pPr>
        <w:spacing w:after="0" w:line="276" w:lineRule="auto"/>
      </w:pPr>
    </w:p>
    <w:p w14:paraId="23B151A3" w14:textId="74AE40B0" w:rsidR="005C4023" w:rsidRPr="00C2207B" w:rsidRDefault="000B268E" w:rsidP="00197F8B">
      <w:pPr>
        <w:spacing w:after="0" w:line="276" w:lineRule="auto"/>
      </w:pPr>
      <w:r w:rsidRPr="000B268E">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sectPr w:rsidR="005C4023" w:rsidRPr="00C2207B" w:rsidSect="00945324">
      <w:headerReference w:type="even" r:id="rId18"/>
      <w:headerReference w:type="default" r:id="rId19"/>
      <w:footerReference w:type="even" r:id="rId20"/>
      <w:footerReference w:type="default" r:id="rId21"/>
      <w:headerReference w:type="first" r:id="rId22"/>
      <w:footerReference w:type="first" r:id="rId23"/>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350FC2" w14:textId="77777777" w:rsidR="00214013" w:rsidRDefault="00214013" w:rsidP="00A35800">
      <w:r>
        <w:separator/>
      </w:r>
    </w:p>
  </w:endnote>
  <w:endnote w:type="continuationSeparator" w:id="0">
    <w:p w14:paraId="45A4A8C8" w14:textId="77777777" w:rsidR="00214013" w:rsidRDefault="00214013"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9D5E5" w14:textId="77777777" w:rsidR="00214013" w:rsidRDefault="00214013"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214013" w:rsidRDefault="00214013" w:rsidP="00A35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419521"/>
      <w:docPartObj>
        <w:docPartGallery w:val="Page Numbers (Bottom of Page)"/>
        <w:docPartUnique/>
      </w:docPartObj>
    </w:sdtPr>
    <w:sdtEndPr/>
    <w:sdtContent>
      <w:sdt>
        <w:sdtPr>
          <w:id w:val="860082579"/>
          <w:docPartObj>
            <w:docPartGallery w:val="Page Numbers (Top of Page)"/>
            <w:docPartUnique/>
          </w:docPartObj>
        </w:sdtPr>
        <w:sdtEndPr/>
        <w:sdtContent>
          <w:p w14:paraId="2C33146D" w14:textId="6267758E" w:rsidR="00CB6ABE" w:rsidRPr="00CB6ABE" w:rsidRDefault="00CB6ABE" w:rsidP="00CB6ABE">
            <w:pPr>
              <w:pStyle w:val="Footer"/>
              <w:jc w:val="center"/>
              <w:rPr>
                <w:i/>
                <w:sz w:val="20"/>
                <w:szCs w:val="20"/>
              </w:rPr>
            </w:pPr>
            <w:r>
              <w:rPr>
                <w:i/>
                <w:sz w:val="20"/>
                <w:szCs w:val="20"/>
              </w:rPr>
              <w:t>Pub</w:t>
            </w:r>
            <w:r w:rsidR="0065690C">
              <w:rPr>
                <w:i/>
                <w:sz w:val="20"/>
                <w:szCs w:val="20"/>
              </w:rPr>
              <w:t>lic Release Document, October 2014</w:t>
            </w:r>
            <w:r>
              <w:rPr>
                <w:i/>
                <w:sz w:val="20"/>
                <w:szCs w:val="20"/>
              </w:rPr>
              <w:t xml:space="preserve"> DUSC Meeting</w:t>
            </w:r>
          </w:p>
          <w:p w14:paraId="16541DE1" w14:textId="3EA36B32" w:rsidR="00214013" w:rsidRDefault="00CB6ABE" w:rsidP="00CB6ABE">
            <w:pPr>
              <w:pStyle w:val="Footer"/>
              <w:jc w:val="center"/>
            </w:pPr>
            <w:r w:rsidRPr="00CB6ABE">
              <w:rPr>
                <w:i/>
                <w:sz w:val="20"/>
                <w:szCs w:val="20"/>
              </w:rPr>
              <w:t xml:space="preserve">Page </w:t>
            </w:r>
            <w:r w:rsidRPr="00CB6ABE">
              <w:rPr>
                <w:bCs/>
                <w:i/>
                <w:sz w:val="20"/>
                <w:szCs w:val="20"/>
              </w:rPr>
              <w:fldChar w:fldCharType="begin"/>
            </w:r>
            <w:r w:rsidRPr="00CB6ABE">
              <w:rPr>
                <w:bCs/>
                <w:i/>
                <w:sz w:val="20"/>
                <w:szCs w:val="20"/>
              </w:rPr>
              <w:instrText xml:space="preserve"> PAGE </w:instrText>
            </w:r>
            <w:r w:rsidRPr="00CB6ABE">
              <w:rPr>
                <w:bCs/>
                <w:i/>
                <w:sz w:val="20"/>
                <w:szCs w:val="20"/>
              </w:rPr>
              <w:fldChar w:fldCharType="separate"/>
            </w:r>
            <w:r w:rsidR="00657E2F">
              <w:rPr>
                <w:bCs/>
                <w:i/>
                <w:noProof/>
                <w:sz w:val="20"/>
                <w:szCs w:val="20"/>
              </w:rPr>
              <w:t>1</w:t>
            </w:r>
            <w:r w:rsidRPr="00CB6ABE">
              <w:rPr>
                <w:bCs/>
                <w:i/>
                <w:sz w:val="20"/>
                <w:szCs w:val="20"/>
              </w:rPr>
              <w:fldChar w:fldCharType="end"/>
            </w:r>
            <w:r w:rsidRPr="00CB6ABE">
              <w:rPr>
                <w:i/>
                <w:sz w:val="20"/>
                <w:szCs w:val="20"/>
              </w:rPr>
              <w:t xml:space="preserve"> of </w:t>
            </w:r>
            <w:r w:rsidRPr="00CB6ABE">
              <w:rPr>
                <w:bCs/>
                <w:i/>
                <w:sz w:val="20"/>
                <w:szCs w:val="20"/>
              </w:rPr>
              <w:fldChar w:fldCharType="begin"/>
            </w:r>
            <w:r w:rsidRPr="00CB6ABE">
              <w:rPr>
                <w:bCs/>
                <w:i/>
                <w:sz w:val="20"/>
                <w:szCs w:val="20"/>
              </w:rPr>
              <w:instrText xml:space="preserve"> NUMPAGES  </w:instrText>
            </w:r>
            <w:r w:rsidRPr="00CB6ABE">
              <w:rPr>
                <w:bCs/>
                <w:i/>
                <w:sz w:val="20"/>
                <w:szCs w:val="20"/>
              </w:rPr>
              <w:fldChar w:fldCharType="separate"/>
            </w:r>
            <w:r w:rsidR="00657E2F">
              <w:rPr>
                <w:bCs/>
                <w:i/>
                <w:noProof/>
                <w:sz w:val="20"/>
                <w:szCs w:val="20"/>
              </w:rPr>
              <w:t>3</w:t>
            </w:r>
            <w:r w:rsidRPr="00CB6ABE">
              <w:rPr>
                <w:bCs/>
                <w:i/>
                <w:sz w:val="20"/>
                <w:szCs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C28AF8" w14:textId="1896DD8B" w:rsidR="00945324" w:rsidRDefault="00945324">
    <w:pPr>
      <w:pStyle w:val="Footer"/>
    </w:pPr>
    <w:r>
      <w:t>Last updated 3 July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75EEDE" w14:textId="77777777" w:rsidR="00214013" w:rsidRDefault="00214013" w:rsidP="00A35800">
      <w:r>
        <w:separator/>
      </w:r>
    </w:p>
  </w:footnote>
  <w:footnote w:type="continuationSeparator" w:id="0">
    <w:p w14:paraId="7E2CA1E4" w14:textId="77777777" w:rsidR="00214013" w:rsidRDefault="00214013" w:rsidP="00A35800">
      <w:r>
        <w:continuationSeparator/>
      </w:r>
    </w:p>
  </w:footnote>
  <w:footnote w:id="1">
    <w:p w14:paraId="1E31789A" w14:textId="77777777" w:rsidR="004F7452" w:rsidRDefault="004F7452" w:rsidP="004F7452">
      <w:pPr>
        <w:pStyle w:val="FootnoteText"/>
      </w:pPr>
      <w:r>
        <w:rPr>
          <w:rStyle w:val="FootnoteReference"/>
        </w:rPr>
        <w:footnoteRef/>
      </w:r>
      <w:r>
        <w:t xml:space="preserve"> Lyrica (Pregabalin) Australian Consumer Medicine Information. Sydney: Pfizer Australia. February 2014. Available from &lt;</w:t>
      </w:r>
      <w:r w:rsidRPr="006D6729">
        <w:t xml:space="preserve"> </w:t>
      </w:r>
      <w:hyperlink r:id="rId1" w:history="1">
        <w:r>
          <w:rPr>
            <w:rStyle w:val="Hyperlink"/>
          </w:rPr>
          <w:t>https://www.ebs.tga.gov.au/</w:t>
        </w:r>
      </w:hyperlink>
      <w:r>
        <w:t>&gt;. Accessed 17 July 2014.</w:t>
      </w:r>
    </w:p>
  </w:footnote>
  <w:footnote w:id="2">
    <w:p w14:paraId="6AEC5F45" w14:textId="77777777" w:rsidR="004F7452" w:rsidRDefault="004F7452" w:rsidP="004F7452">
      <w:pPr>
        <w:pStyle w:val="FootnoteText"/>
      </w:pPr>
      <w:r>
        <w:rPr>
          <w:rStyle w:val="FootnoteReference"/>
        </w:rPr>
        <w:footnoteRef/>
      </w:r>
      <w:r>
        <w:t xml:space="preserve"> Lyrica (Pregabalin) Australian Approved Product Information. Sydney: Pfizer Australia. April 2014. Available from &lt;</w:t>
      </w:r>
      <w:hyperlink r:id="rId2" w:history="1">
        <w:r>
          <w:rPr>
            <w:rStyle w:val="Hyperlink"/>
          </w:rPr>
          <w:t>https://www.ebs.tga.gov.au/</w:t>
        </w:r>
      </w:hyperlink>
      <w:r w:rsidRPr="00386560">
        <w:rPr>
          <w:rStyle w:val="Hyperlink"/>
          <w:color w:val="auto"/>
          <w:u w:val="none"/>
        </w:rPr>
        <w:t>&gt;</w:t>
      </w:r>
      <w:r>
        <w:t>. Accessed 17 July 2014.</w:t>
      </w:r>
    </w:p>
  </w:footnote>
  <w:footnote w:id="3">
    <w:p w14:paraId="0D9EDB54" w14:textId="77777777" w:rsidR="003C38AA" w:rsidRPr="00BC5AE2" w:rsidRDefault="003C38AA" w:rsidP="003C38AA">
      <w:pPr>
        <w:pStyle w:val="FootnoteText"/>
        <w:rPr>
          <w:sz w:val="20"/>
        </w:rPr>
      </w:pPr>
      <w:r w:rsidRPr="00BC5AE2">
        <w:rPr>
          <w:rStyle w:val="FootnoteReference"/>
          <w:sz w:val="20"/>
        </w:rPr>
        <w:footnoteRef/>
      </w:r>
      <w:r w:rsidRPr="00BC5AE2">
        <w:rPr>
          <w:sz w:val="20"/>
        </w:rPr>
        <w:t xml:space="preserve"> PBS statistics</w:t>
      </w:r>
      <w:r>
        <w:rPr>
          <w:sz w:val="20"/>
        </w:rPr>
        <w:t>. Australian Government Department of Human Services Medicare. Canberra. Available from &lt;</w:t>
      </w:r>
      <w:hyperlink r:id="rId3" w:history="1">
        <w:r>
          <w:rPr>
            <w:rStyle w:val="Hyperlink"/>
            <w:sz w:val="20"/>
          </w:rPr>
          <w:t>http://www.medicareaustralia.gov.au/provider/pbs/stats.jsp</w:t>
        </w:r>
      </w:hyperlink>
      <w:r>
        <w:rPr>
          <w:sz w:val="20"/>
        </w:rPr>
        <w:t>&gt;.</w:t>
      </w:r>
    </w:p>
  </w:footnote>
  <w:footnote w:id="4">
    <w:p w14:paraId="4DDC2DAE" w14:textId="77777777" w:rsidR="00182C0C" w:rsidRPr="00BF5EEE" w:rsidRDefault="00182C0C" w:rsidP="00182C0C">
      <w:r w:rsidRPr="00C50CD7">
        <w:rPr>
          <w:rStyle w:val="FootnoteReference"/>
          <w:sz w:val="20"/>
          <w:szCs w:val="20"/>
        </w:rPr>
        <w:footnoteRef/>
      </w:r>
      <w:r w:rsidRPr="00C50CD7">
        <w:rPr>
          <w:sz w:val="20"/>
          <w:szCs w:val="20"/>
        </w:rPr>
        <w:t xml:space="preserve"> N</w:t>
      </w:r>
      <w:r>
        <w:rPr>
          <w:sz w:val="20"/>
          <w:szCs w:val="20"/>
        </w:rPr>
        <w:t>europathic Pain</w:t>
      </w:r>
      <w:r w:rsidRPr="00BF5EEE">
        <w:rPr>
          <w:sz w:val="18"/>
          <w:szCs w:val="20"/>
        </w:rPr>
        <w:t xml:space="preserve"> [revised 201</w:t>
      </w:r>
      <w:r>
        <w:rPr>
          <w:sz w:val="18"/>
          <w:szCs w:val="20"/>
        </w:rPr>
        <w:t>1</w:t>
      </w:r>
      <w:r w:rsidRPr="00BF5EEE">
        <w:rPr>
          <w:sz w:val="18"/>
          <w:szCs w:val="20"/>
        </w:rPr>
        <w:t xml:space="preserve"> </w:t>
      </w:r>
      <w:r>
        <w:rPr>
          <w:sz w:val="18"/>
          <w:szCs w:val="20"/>
        </w:rPr>
        <w:t>June</w:t>
      </w:r>
      <w:r w:rsidRPr="00BF5EEE">
        <w:rPr>
          <w:sz w:val="18"/>
          <w:szCs w:val="20"/>
        </w:rPr>
        <w:t>]. In: eTG complete [Internet]. Melbourne: Thera</w:t>
      </w:r>
      <w:r>
        <w:rPr>
          <w:sz w:val="18"/>
          <w:szCs w:val="20"/>
        </w:rPr>
        <w:t>peutic Guidelines Limited; 2014 Mar. Accessed 2014 Aug 14</w:t>
      </w:r>
      <w:r w:rsidRPr="00BF5EEE">
        <w:rPr>
          <w:sz w:val="18"/>
          <w:szCs w:val="20"/>
        </w:rPr>
        <w:t xml:space="preserve"> </w:t>
      </w:r>
      <w:r>
        <w:rPr>
          <w:sz w:val="18"/>
          <w:szCs w:val="20"/>
        </w:rPr>
        <w:t>&lt;</w:t>
      </w:r>
      <w:r w:rsidRPr="001A2393">
        <w:rPr>
          <w:sz w:val="18"/>
          <w:szCs w:val="20"/>
        </w:rPr>
        <w:t>http://online.tg.org.au/complete/desktop/index.htm</w:t>
      </w:r>
      <w:r>
        <w:rPr>
          <w:sz w:val="18"/>
          <w:szCs w:val="20"/>
        </w:rPr>
        <w:t>&gt;.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2FA8F0" w14:textId="77777777" w:rsidR="00C15138" w:rsidRDefault="00C151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7C051F" w14:textId="77777777" w:rsidR="00C15138" w:rsidRDefault="00C1513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216D8" w14:textId="77777777" w:rsidR="00C15138" w:rsidRDefault="00C151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D52ADD"/>
    <w:multiLevelType w:val="hybridMultilevel"/>
    <w:tmpl w:val="3A30C3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792E2846"/>
    <w:multiLevelType w:val="hybridMultilevel"/>
    <w:tmpl w:val="7A6600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7EAA2294"/>
    <w:multiLevelType w:val="hybridMultilevel"/>
    <w:tmpl w:val="69766F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4300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2ECF"/>
    <w:rsid w:val="00004753"/>
    <w:rsid w:val="0001288E"/>
    <w:rsid w:val="00022617"/>
    <w:rsid w:val="0003397D"/>
    <w:rsid w:val="00046D7D"/>
    <w:rsid w:val="00050265"/>
    <w:rsid w:val="00066B44"/>
    <w:rsid w:val="00072CF3"/>
    <w:rsid w:val="0007553D"/>
    <w:rsid w:val="00091313"/>
    <w:rsid w:val="000933D3"/>
    <w:rsid w:val="00094DCF"/>
    <w:rsid w:val="0009554F"/>
    <w:rsid w:val="00095D51"/>
    <w:rsid w:val="000B268E"/>
    <w:rsid w:val="000B796C"/>
    <w:rsid w:val="000B7ABC"/>
    <w:rsid w:val="000C6E5D"/>
    <w:rsid w:val="000C7D8B"/>
    <w:rsid w:val="000E04A4"/>
    <w:rsid w:val="000E295D"/>
    <w:rsid w:val="000E485D"/>
    <w:rsid w:val="000E4F04"/>
    <w:rsid w:val="000F22BC"/>
    <w:rsid w:val="000F2F51"/>
    <w:rsid w:val="000F760B"/>
    <w:rsid w:val="00111AFD"/>
    <w:rsid w:val="00112FB2"/>
    <w:rsid w:val="00113D74"/>
    <w:rsid w:val="00117C5C"/>
    <w:rsid w:val="00124124"/>
    <w:rsid w:val="001327FB"/>
    <w:rsid w:val="001354DE"/>
    <w:rsid w:val="001420B3"/>
    <w:rsid w:val="0014260F"/>
    <w:rsid w:val="0015691C"/>
    <w:rsid w:val="001714FD"/>
    <w:rsid w:val="00174183"/>
    <w:rsid w:val="00182C0C"/>
    <w:rsid w:val="00183789"/>
    <w:rsid w:val="0019527F"/>
    <w:rsid w:val="00197F8B"/>
    <w:rsid w:val="001A0489"/>
    <w:rsid w:val="001A32D5"/>
    <w:rsid w:val="001B4788"/>
    <w:rsid w:val="001B50CA"/>
    <w:rsid w:val="001B5D37"/>
    <w:rsid w:val="001C24A4"/>
    <w:rsid w:val="001C2785"/>
    <w:rsid w:val="001C4016"/>
    <w:rsid w:val="001D390D"/>
    <w:rsid w:val="001D696C"/>
    <w:rsid w:val="001E31A6"/>
    <w:rsid w:val="001F2F3E"/>
    <w:rsid w:val="001F3629"/>
    <w:rsid w:val="00214013"/>
    <w:rsid w:val="0024294B"/>
    <w:rsid w:val="002509D5"/>
    <w:rsid w:val="00252D19"/>
    <w:rsid w:val="00272452"/>
    <w:rsid w:val="00275D5A"/>
    <w:rsid w:val="002762E3"/>
    <w:rsid w:val="002801FD"/>
    <w:rsid w:val="002A276B"/>
    <w:rsid w:val="002C4942"/>
    <w:rsid w:val="002C6E0C"/>
    <w:rsid w:val="002E3337"/>
    <w:rsid w:val="002F49A8"/>
    <w:rsid w:val="002F61CA"/>
    <w:rsid w:val="002F63ED"/>
    <w:rsid w:val="0030749C"/>
    <w:rsid w:val="00312FDF"/>
    <w:rsid w:val="00313B8D"/>
    <w:rsid w:val="003370D0"/>
    <w:rsid w:val="00340F95"/>
    <w:rsid w:val="00343204"/>
    <w:rsid w:val="00347CBC"/>
    <w:rsid w:val="003529E0"/>
    <w:rsid w:val="003531ED"/>
    <w:rsid w:val="003575FC"/>
    <w:rsid w:val="0038097B"/>
    <w:rsid w:val="003811C7"/>
    <w:rsid w:val="0039017F"/>
    <w:rsid w:val="003C24D0"/>
    <w:rsid w:val="003C38AA"/>
    <w:rsid w:val="003D5FDC"/>
    <w:rsid w:val="003D6640"/>
    <w:rsid w:val="003D6756"/>
    <w:rsid w:val="003F1499"/>
    <w:rsid w:val="004218A2"/>
    <w:rsid w:val="00462FF4"/>
    <w:rsid w:val="00481108"/>
    <w:rsid w:val="00486E10"/>
    <w:rsid w:val="0049042B"/>
    <w:rsid w:val="00490477"/>
    <w:rsid w:val="00491FFD"/>
    <w:rsid w:val="004A458E"/>
    <w:rsid w:val="004A5CE2"/>
    <w:rsid w:val="004B23E7"/>
    <w:rsid w:val="004B306F"/>
    <w:rsid w:val="004B71AF"/>
    <w:rsid w:val="004C3186"/>
    <w:rsid w:val="004C5042"/>
    <w:rsid w:val="004C62D6"/>
    <w:rsid w:val="004D14BD"/>
    <w:rsid w:val="004D593C"/>
    <w:rsid w:val="004F1E15"/>
    <w:rsid w:val="004F7452"/>
    <w:rsid w:val="00503998"/>
    <w:rsid w:val="0050623B"/>
    <w:rsid w:val="00515FC8"/>
    <w:rsid w:val="00520B24"/>
    <w:rsid w:val="005339F6"/>
    <w:rsid w:val="0054325E"/>
    <w:rsid w:val="00561CB4"/>
    <w:rsid w:val="005767AB"/>
    <w:rsid w:val="00585DF4"/>
    <w:rsid w:val="00586651"/>
    <w:rsid w:val="00591512"/>
    <w:rsid w:val="005C25A2"/>
    <w:rsid w:val="005C2AE7"/>
    <w:rsid w:val="005C4023"/>
    <w:rsid w:val="005C55C6"/>
    <w:rsid w:val="005C597F"/>
    <w:rsid w:val="005D306E"/>
    <w:rsid w:val="005E147D"/>
    <w:rsid w:val="005E22C2"/>
    <w:rsid w:val="005F2FD6"/>
    <w:rsid w:val="0060119D"/>
    <w:rsid w:val="006035B1"/>
    <w:rsid w:val="00606906"/>
    <w:rsid w:val="00607E3F"/>
    <w:rsid w:val="0063021F"/>
    <w:rsid w:val="00632813"/>
    <w:rsid w:val="00636018"/>
    <w:rsid w:val="0063631C"/>
    <w:rsid w:val="00652E03"/>
    <w:rsid w:val="0065322A"/>
    <w:rsid w:val="006537D9"/>
    <w:rsid w:val="0065690C"/>
    <w:rsid w:val="00656D5F"/>
    <w:rsid w:val="00657E2F"/>
    <w:rsid w:val="00665DEF"/>
    <w:rsid w:val="00670B08"/>
    <w:rsid w:val="00675BB1"/>
    <w:rsid w:val="00686482"/>
    <w:rsid w:val="00693C25"/>
    <w:rsid w:val="006A44F5"/>
    <w:rsid w:val="006B0538"/>
    <w:rsid w:val="006B4537"/>
    <w:rsid w:val="006B709B"/>
    <w:rsid w:val="006C4620"/>
    <w:rsid w:val="006E0181"/>
    <w:rsid w:val="00705309"/>
    <w:rsid w:val="00705DAD"/>
    <w:rsid w:val="007247B9"/>
    <w:rsid w:val="00727D85"/>
    <w:rsid w:val="007340B4"/>
    <w:rsid w:val="007346C7"/>
    <w:rsid w:val="00736041"/>
    <w:rsid w:val="007408C7"/>
    <w:rsid w:val="00752C7F"/>
    <w:rsid w:val="007570D1"/>
    <w:rsid w:val="00776598"/>
    <w:rsid w:val="00783852"/>
    <w:rsid w:val="00786E21"/>
    <w:rsid w:val="00796B2F"/>
    <w:rsid w:val="00796E84"/>
    <w:rsid w:val="007E5CE8"/>
    <w:rsid w:val="007F2C5D"/>
    <w:rsid w:val="00800C2D"/>
    <w:rsid w:val="008142B4"/>
    <w:rsid w:val="00815347"/>
    <w:rsid w:val="008305DA"/>
    <w:rsid w:val="00832324"/>
    <w:rsid w:val="0085256D"/>
    <w:rsid w:val="0085278C"/>
    <w:rsid w:val="00852A4C"/>
    <w:rsid w:val="00856BB4"/>
    <w:rsid w:val="008741FB"/>
    <w:rsid w:val="0087764F"/>
    <w:rsid w:val="00887EFB"/>
    <w:rsid w:val="00896025"/>
    <w:rsid w:val="00896403"/>
    <w:rsid w:val="008B1D61"/>
    <w:rsid w:val="008D29B8"/>
    <w:rsid w:val="008D5C07"/>
    <w:rsid w:val="008D5DC2"/>
    <w:rsid w:val="008D5F2C"/>
    <w:rsid w:val="008F76DD"/>
    <w:rsid w:val="00902A9C"/>
    <w:rsid w:val="00902FD0"/>
    <w:rsid w:val="009053D3"/>
    <w:rsid w:val="00905AB4"/>
    <w:rsid w:val="0093111F"/>
    <w:rsid w:val="00935689"/>
    <w:rsid w:val="00945324"/>
    <w:rsid w:val="009479D1"/>
    <w:rsid w:val="00952FB8"/>
    <w:rsid w:val="00957837"/>
    <w:rsid w:val="009663B6"/>
    <w:rsid w:val="00980286"/>
    <w:rsid w:val="00980972"/>
    <w:rsid w:val="00991DA7"/>
    <w:rsid w:val="009A4CD6"/>
    <w:rsid w:val="009A52BD"/>
    <w:rsid w:val="009C0886"/>
    <w:rsid w:val="009C35F2"/>
    <w:rsid w:val="009D41C8"/>
    <w:rsid w:val="009E2173"/>
    <w:rsid w:val="009E21A7"/>
    <w:rsid w:val="00A103ED"/>
    <w:rsid w:val="00A108F9"/>
    <w:rsid w:val="00A13C60"/>
    <w:rsid w:val="00A204A7"/>
    <w:rsid w:val="00A24B21"/>
    <w:rsid w:val="00A27AF3"/>
    <w:rsid w:val="00A35800"/>
    <w:rsid w:val="00A36FA8"/>
    <w:rsid w:val="00A4020E"/>
    <w:rsid w:val="00A55579"/>
    <w:rsid w:val="00A64E45"/>
    <w:rsid w:val="00A84CAD"/>
    <w:rsid w:val="00A85B46"/>
    <w:rsid w:val="00AB3733"/>
    <w:rsid w:val="00AB5B3C"/>
    <w:rsid w:val="00AC60B8"/>
    <w:rsid w:val="00AF6DE8"/>
    <w:rsid w:val="00B02AB9"/>
    <w:rsid w:val="00B05310"/>
    <w:rsid w:val="00B15808"/>
    <w:rsid w:val="00B2719B"/>
    <w:rsid w:val="00B749AA"/>
    <w:rsid w:val="00B9120F"/>
    <w:rsid w:val="00B924A4"/>
    <w:rsid w:val="00BB0D1A"/>
    <w:rsid w:val="00BB1D3B"/>
    <w:rsid w:val="00BC35ED"/>
    <w:rsid w:val="00BC55C3"/>
    <w:rsid w:val="00BE5D65"/>
    <w:rsid w:val="00BE7C36"/>
    <w:rsid w:val="00BF238E"/>
    <w:rsid w:val="00C0076F"/>
    <w:rsid w:val="00C06F2B"/>
    <w:rsid w:val="00C15138"/>
    <w:rsid w:val="00C20AB8"/>
    <w:rsid w:val="00C214D2"/>
    <w:rsid w:val="00C2207B"/>
    <w:rsid w:val="00C23BF0"/>
    <w:rsid w:val="00C3203D"/>
    <w:rsid w:val="00C41246"/>
    <w:rsid w:val="00C45E5F"/>
    <w:rsid w:val="00C50CD7"/>
    <w:rsid w:val="00C60DA4"/>
    <w:rsid w:val="00C672F4"/>
    <w:rsid w:val="00C675DB"/>
    <w:rsid w:val="00C714D0"/>
    <w:rsid w:val="00C75822"/>
    <w:rsid w:val="00C81F99"/>
    <w:rsid w:val="00C87C3C"/>
    <w:rsid w:val="00C97AFA"/>
    <w:rsid w:val="00CB16A9"/>
    <w:rsid w:val="00CB4B25"/>
    <w:rsid w:val="00CB4FDE"/>
    <w:rsid w:val="00CB6ABE"/>
    <w:rsid w:val="00CC34EE"/>
    <w:rsid w:val="00CE001C"/>
    <w:rsid w:val="00CE1866"/>
    <w:rsid w:val="00CE2CDF"/>
    <w:rsid w:val="00D11AAE"/>
    <w:rsid w:val="00D13C41"/>
    <w:rsid w:val="00D151EB"/>
    <w:rsid w:val="00D30378"/>
    <w:rsid w:val="00D401A5"/>
    <w:rsid w:val="00D56BB9"/>
    <w:rsid w:val="00D650CE"/>
    <w:rsid w:val="00D6758F"/>
    <w:rsid w:val="00D741ED"/>
    <w:rsid w:val="00D8758B"/>
    <w:rsid w:val="00D955DB"/>
    <w:rsid w:val="00DA2A1D"/>
    <w:rsid w:val="00DA7D09"/>
    <w:rsid w:val="00DC49E9"/>
    <w:rsid w:val="00DD3391"/>
    <w:rsid w:val="00DD70ED"/>
    <w:rsid w:val="00DE0B96"/>
    <w:rsid w:val="00DE260E"/>
    <w:rsid w:val="00DF0B13"/>
    <w:rsid w:val="00DF4A94"/>
    <w:rsid w:val="00E066C3"/>
    <w:rsid w:val="00E06753"/>
    <w:rsid w:val="00E11A6D"/>
    <w:rsid w:val="00E1353A"/>
    <w:rsid w:val="00E14D65"/>
    <w:rsid w:val="00E153FC"/>
    <w:rsid w:val="00E1564B"/>
    <w:rsid w:val="00E208A0"/>
    <w:rsid w:val="00E24405"/>
    <w:rsid w:val="00E36810"/>
    <w:rsid w:val="00E376AA"/>
    <w:rsid w:val="00E449E7"/>
    <w:rsid w:val="00E55D60"/>
    <w:rsid w:val="00E605CF"/>
    <w:rsid w:val="00E628EA"/>
    <w:rsid w:val="00E677DD"/>
    <w:rsid w:val="00E706F6"/>
    <w:rsid w:val="00E85C2B"/>
    <w:rsid w:val="00E860DE"/>
    <w:rsid w:val="00EA26BB"/>
    <w:rsid w:val="00EA712C"/>
    <w:rsid w:val="00EB082D"/>
    <w:rsid w:val="00EB6C07"/>
    <w:rsid w:val="00EC028D"/>
    <w:rsid w:val="00ED4F5E"/>
    <w:rsid w:val="00ED633B"/>
    <w:rsid w:val="00EE478C"/>
    <w:rsid w:val="00EF7F1A"/>
    <w:rsid w:val="00F11CFC"/>
    <w:rsid w:val="00F11DA1"/>
    <w:rsid w:val="00F41EE0"/>
    <w:rsid w:val="00F5650E"/>
    <w:rsid w:val="00F61326"/>
    <w:rsid w:val="00FC1C37"/>
    <w:rsid w:val="00FC4A73"/>
    <w:rsid w:val="00FD13CD"/>
    <w:rsid w:val="00FE645A"/>
    <w:rsid w:val="00FF1F80"/>
    <w:rsid w:val="00FF388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3009"/>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1D390D"/>
    <w:pPr>
      <w:keepNext/>
      <w:keepLines/>
      <w:spacing w:before="480" w:after="240"/>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1D390D"/>
    <w:pPr>
      <w:keepNext/>
      <w:keepLines/>
      <w:spacing w:before="360" w:after="240"/>
      <w:outlineLvl w:val="1"/>
    </w:pPr>
    <w:rPr>
      <w:rFonts w:eastAsiaTheme="majorEastAsia" w:cstheme="majorBidi"/>
      <w:b/>
      <w:bCs/>
      <w:i/>
    </w:rPr>
  </w:style>
  <w:style w:type="paragraph" w:styleId="Heading3">
    <w:name w:val="heading 3"/>
    <w:basedOn w:val="Heading2"/>
    <w:next w:val="Normal"/>
    <w:link w:val="Heading3Char"/>
    <w:uiPriority w:val="9"/>
    <w:unhideWhenUsed/>
    <w:qFormat/>
    <w:rsid w:val="001D390D"/>
    <w:pPr>
      <w:outlineLvl w:val="2"/>
    </w:pPr>
    <w:rPr>
      <w:i w:val="0"/>
      <w:sz w:val="32"/>
      <w:szCs w:val="32"/>
    </w:rPr>
  </w:style>
  <w:style w:type="paragraph" w:styleId="Heading4">
    <w:name w:val="heading 4"/>
    <w:basedOn w:val="Heading3"/>
    <w:next w:val="Normal"/>
    <w:link w:val="Heading4Char"/>
    <w:uiPriority w:val="9"/>
    <w:unhideWhenUsed/>
    <w:qFormat/>
    <w:rsid w:val="00E376AA"/>
    <w:pPr>
      <w:outlineLvl w:val="3"/>
    </w:pPr>
    <w:rPr>
      <w:sz w:val="28"/>
      <w:szCs w:val="28"/>
    </w:rPr>
  </w:style>
  <w:style w:type="paragraph" w:styleId="Heading5">
    <w:name w:val="heading 5"/>
    <w:basedOn w:val="Heading4"/>
    <w:next w:val="Normal"/>
    <w:link w:val="Heading5Char"/>
    <w:uiPriority w:val="9"/>
    <w:unhideWhenUsed/>
    <w:qFormat/>
    <w:rsid w:val="004F1E15"/>
    <w:pPr>
      <w:outlineLvl w:val="4"/>
    </w:pPr>
    <w:rPr>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90D"/>
    <w:rPr>
      <w:rFonts w:eastAsiaTheme="majorEastAsia" w:cstheme="majorBidi"/>
      <w:b/>
      <w:bCs/>
      <w:sz w:val="40"/>
      <w:szCs w:val="28"/>
    </w:rPr>
  </w:style>
  <w:style w:type="character" w:customStyle="1" w:styleId="Heading2Char">
    <w:name w:val="Heading 2 Char"/>
    <w:basedOn w:val="DefaultParagraphFont"/>
    <w:link w:val="Heading2"/>
    <w:uiPriority w:val="9"/>
    <w:rsid w:val="001D390D"/>
    <w:rPr>
      <w:rFonts w:eastAsiaTheme="majorEastAsia" w:cstheme="majorBidi"/>
      <w:b/>
      <w:bCs/>
      <w:i/>
      <w:sz w:val="24"/>
      <w:szCs w:val="24"/>
    </w:rPr>
  </w:style>
  <w:style w:type="character" w:customStyle="1" w:styleId="Heading3Char">
    <w:name w:val="Heading 3 Char"/>
    <w:basedOn w:val="DefaultParagraphFont"/>
    <w:link w:val="Heading3"/>
    <w:uiPriority w:val="9"/>
    <w:rsid w:val="001D390D"/>
    <w:rPr>
      <w:rFonts w:eastAsiaTheme="majorEastAsia" w:cstheme="majorBidi"/>
      <w:b/>
      <w:bCs/>
      <w:sz w:val="32"/>
      <w:szCs w:val="32"/>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E376AA"/>
    <w:rPr>
      <w:rFonts w:eastAsiaTheme="majorEastAsia" w:cstheme="majorBidi"/>
      <w:b/>
      <w:bCs/>
      <w:sz w:val="28"/>
      <w:szCs w:val="28"/>
    </w:rPr>
  </w:style>
  <w:style w:type="character" w:customStyle="1" w:styleId="Heading5Char">
    <w:name w:val="Heading 5 Char"/>
    <w:basedOn w:val="DefaultParagraphFont"/>
    <w:link w:val="Heading5"/>
    <w:uiPriority w:val="9"/>
    <w:rsid w:val="004F1E15"/>
    <w:rPr>
      <w:rFonts w:eastAsiaTheme="majorEastAsia" w:cstheme="majorBidi"/>
      <w:b/>
      <w:bCs/>
      <w: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2F63ED"/>
    <w:pPr>
      <w:spacing w:before="200"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2F63ED"/>
    <w:rPr>
      <w:rFonts w:eastAsiaTheme="majorEastAsia" w:cstheme="majorBidi"/>
      <w:b/>
      <w:bCs/>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character" w:styleId="Hyperlink">
    <w:name w:val="Hyperlink"/>
    <w:basedOn w:val="DefaultParagraphFont"/>
    <w:uiPriority w:val="99"/>
    <w:unhideWhenUsed/>
    <w:rsid w:val="00561CB4"/>
    <w:rPr>
      <w:color w:val="0000FF" w:themeColor="hyperlink"/>
      <w:u w:val="single"/>
    </w:rPr>
  </w:style>
  <w:style w:type="paragraph" w:styleId="Subtitle">
    <w:name w:val="Subtitle"/>
    <w:basedOn w:val="Heading1"/>
    <w:next w:val="Normal"/>
    <w:link w:val="SubtitleChar"/>
    <w:uiPriority w:val="11"/>
    <w:qFormat/>
    <w:rsid w:val="00252D19"/>
  </w:style>
  <w:style w:type="character" w:customStyle="1" w:styleId="SubtitleChar">
    <w:name w:val="Subtitle Char"/>
    <w:basedOn w:val="DefaultParagraphFont"/>
    <w:link w:val="Subtitle"/>
    <w:uiPriority w:val="11"/>
    <w:rsid w:val="00252D19"/>
    <w:rPr>
      <w:rFonts w:eastAsiaTheme="majorEastAsia" w:cstheme="majorBidi"/>
      <w:b/>
      <w:bCs/>
      <w:sz w:val="40"/>
      <w:szCs w:val="28"/>
    </w:rPr>
  </w:style>
  <w:style w:type="paragraph" w:styleId="ListParagraph">
    <w:name w:val="List Paragraph"/>
    <w:basedOn w:val="Normal"/>
    <w:uiPriority w:val="34"/>
    <w:qFormat/>
    <w:rsid w:val="001C24A4"/>
    <w:pPr>
      <w:ind w:left="720"/>
      <w:contextualSpacing/>
    </w:pPr>
  </w:style>
  <w:style w:type="character" w:styleId="FollowedHyperlink">
    <w:name w:val="FollowedHyperlink"/>
    <w:basedOn w:val="DefaultParagraphFont"/>
    <w:uiPriority w:val="99"/>
    <w:semiHidden/>
    <w:unhideWhenUsed/>
    <w:rsid w:val="004218A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1D390D"/>
    <w:pPr>
      <w:keepNext/>
      <w:keepLines/>
      <w:spacing w:before="480" w:after="240"/>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1D390D"/>
    <w:pPr>
      <w:keepNext/>
      <w:keepLines/>
      <w:spacing w:before="360" w:after="240"/>
      <w:outlineLvl w:val="1"/>
    </w:pPr>
    <w:rPr>
      <w:rFonts w:eastAsiaTheme="majorEastAsia" w:cstheme="majorBidi"/>
      <w:b/>
      <w:bCs/>
      <w:i/>
    </w:rPr>
  </w:style>
  <w:style w:type="paragraph" w:styleId="Heading3">
    <w:name w:val="heading 3"/>
    <w:basedOn w:val="Heading2"/>
    <w:next w:val="Normal"/>
    <w:link w:val="Heading3Char"/>
    <w:uiPriority w:val="9"/>
    <w:unhideWhenUsed/>
    <w:qFormat/>
    <w:rsid w:val="001D390D"/>
    <w:pPr>
      <w:outlineLvl w:val="2"/>
    </w:pPr>
    <w:rPr>
      <w:i w:val="0"/>
      <w:sz w:val="32"/>
      <w:szCs w:val="32"/>
    </w:rPr>
  </w:style>
  <w:style w:type="paragraph" w:styleId="Heading4">
    <w:name w:val="heading 4"/>
    <w:basedOn w:val="Heading3"/>
    <w:next w:val="Normal"/>
    <w:link w:val="Heading4Char"/>
    <w:uiPriority w:val="9"/>
    <w:unhideWhenUsed/>
    <w:qFormat/>
    <w:rsid w:val="00E376AA"/>
    <w:pPr>
      <w:outlineLvl w:val="3"/>
    </w:pPr>
    <w:rPr>
      <w:sz w:val="28"/>
      <w:szCs w:val="28"/>
    </w:rPr>
  </w:style>
  <w:style w:type="paragraph" w:styleId="Heading5">
    <w:name w:val="heading 5"/>
    <w:basedOn w:val="Heading4"/>
    <w:next w:val="Normal"/>
    <w:link w:val="Heading5Char"/>
    <w:uiPriority w:val="9"/>
    <w:unhideWhenUsed/>
    <w:qFormat/>
    <w:rsid w:val="004F1E15"/>
    <w:pPr>
      <w:outlineLvl w:val="4"/>
    </w:pPr>
    <w:rPr>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90D"/>
    <w:rPr>
      <w:rFonts w:eastAsiaTheme="majorEastAsia" w:cstheme="majorBidi"/>
      <w:b/>
      <w:bCs/>
      <w:sz w:val="40"/>
      <w:szCs w:val="28"/>
    </w:rPr>
  </w:style>
  <w:style w:type="character" w:customStyle="1" w:styleId="Heading2Char">
    <w:name w:val="Heading 2 Char"/>
    <w:basedOn w:val="DefaultParagraphFont"/>
    <w:link w:val="Heading2"/>
    <w:uiPriority w:val="9"/>
    <w:rsid w:val="001D390D"/>
    <w:rPr>
      <w:rFonts w:eastAsiaTheme="majorEastAsia" w:cstheme="majorBidi"/>
      <w:b/>
      <w:bCs/>
      <w:i/>
      <w:sz w:val="24"/>
      <w:szCs w:val="24"/>
    </w:rPr>
  </w:style>
  <w:style w:type="character" w:customStyle="1" w:styleId="Heading3Char">
    <w:name w:val="Heading 3 Char"/>
    <w:basedOn w:val="DefaultParagraphFont"/>
    <w:link w:val="Heading3"/>
    <w:uiPriority w:val="9"/>
    <w:rsid w:val="001D390D"/>
    <w:rPr>
      <w:rFonts w:eastAsiaTheme="majorEastAsia" w:cstheme="majorBidi"/>
      <w:b/>
      <w:bCs/>
      <w:sz w:val="32"/>
      <w:szCs w:val="32"/>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E376AA"/>
    <w:rPr>
      <w:rFonts w:eastAsiaTheme="majorEastAsia" w:cstheme="majorBidi"/>
      <w:b/>
      <w:bCs/>
      <w:sz w:val="28"/>
      <w:szCs w:val="28"/>
    </w:rPr>
  </w:style>
  <w:style w:type="character" w:customStyle="1" w:styleId="Heading5Char">
    <w:name w:val="Heading 5 Char"/>
    <w:basedOn w:val="DefaultParagraphFont"/>
    <w:link w:val="Heading5"/>
    <w:uiPriority w:val="9"/>
    <w:rsid w:val="004F1E15"/>
    <w:rPr>
      <w:rFonts w:eastAsiaTheme="majorEastAsia" w:cstheme="majorBidi"/>
      <w:b/>
      <w:bCs/>
      <w: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2F63ED"/>
    <w:pPr>
      <w:spacing w:before="200"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2F63ED"/>
    <w:rPr>
      <w:rFonts w:eastAsiaTheme="majorEastAsia" w:cstheme="majorBidi"/>
      <w:b/>
      <w:bCs/>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character" w:styleId="Hyperlink">
    <w:name w:val="Hyperlink"/>
    <w:basedOn w:val="DefaultParagraphFont"/>
    <w:uiPriority w:val="99"/>
    <w:unhideWhenUsed/>
    <w:rsid w:val="00561CB4"/>
    <w:rPr>
      <w:color w:val="0000FF" w:themeColor="hyperlink"/>
      <w:u w:val="single"/>
    </w:rPr>
  </w:style>
  <w:style w:type="paragraph" w:styleId="Subtitle">
    <w:name w:val="Subtitle"/>
    <w:basedOn w:val="Heading1"/>
    <w:next w:val="Normal"/>
    <w:link w:val="SubtitleChar"/>
    <w:uiPriority w:val="11"/>
    <w:qFormat/>
    <w:rsid w:val="00252D19"/>
  </w:style>
  <w:style w:type="character" w:customStyle="1" w:styleId="SubtitleChar">
    <w:name w:val="Subtitle Char"/>
    <w:basedOn w:val="DefaultParagraphFont"/>
    <w:link w:val="Subtitle"/>
    <w:uiPriority w:val="11"/>
    <w:rsid w:val="00252D19"/>
    <w:rPr>
      <w:rFonts w:eastAsiaTheme="majorEastAsia" w:cstheme="majorBidi"/>
      <w:b/>
      <w:bCs/>
      <w:sz w:val="40"/>
      <w:szCs w:val="28"/>
    </w:rPr>
  </w:style>
  <w:style w:type="paragraph" w:styleId="ListParagraph">
    <w:name w:val="List Paragraph"/>
    <w:basedOn w:val="Normal"/>
    <w:uiPriority w:val="34"/>
    <w:qFormat/>
    <w:rsid w:val="001C24A4"/>
    <w:pPr>
      <w:ind w:left="720"/>
      <w:contextualSpacing/>
    </w:pPr>
  </w:style>
  <w:style w:type="character" w:styleId="FollowedHyperlink">
    <w:name w:val="FollowedHyperlink"/>
    <w:basedOn w:val="DefaultParagraphFont"/>
    <w:uiPriority w:val="99"/>
    <w:semiHidden/>
    <w:unhideWhenUsed/>
    <w:rsid w:val="004218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66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bs.gov.au/info/industry/listing/elements/pbac-meetings/psd/2012-03/pregabalin"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footer" Target="footer3.xml"/><Relationship Id="rId10" Type="http://schemas.openxmlformats.org/officeDocument/2006/relationships/hyperlink" Target="http://www.tga.gov.au/consumers/information-medicines-cmi.htm"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tga.gov.au/hp/information-medicines-pi.htm" TargetMode="External"/><Relationship Id="rId14" Type="http://schemas.openxmlformats.org/officeDocument/2006/relationships/chart" Target="charts/chart3.xml"/><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www.medicareaustralia.gov.au/provider/pbs/stats.jsp" TargetMode="External"/><Relationship Id="rId2" Type="http://schemas.openxmlformats.org/officeDocument/2006/relationships/hyperlink" Target="https://www.ebs.tga.gov.au/" TargetMode="External"/><Relationship Id="rId1" Type="http://schemas.openxmlformats.org/officeDocument/2006/relationships/hyperlink" Target="https://www.ebs.tga.gov.au/"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4%20Oct\Pregabalin\D818_DUSC_DATA%20pregabalin%20expenditure%20&amp;%20prescription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4%20Oct\Pregabalin\D818_DUSC_DATA%20pregabalin%20expenditure%20&amp;%20prescription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4%20Oct\Pregabalin\D818_DUSC_DATA%20pregabalin%20expenditure%20&amp;%20prescription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4%20Oct\Pregabalin\D818%20-%20pregabalin%20PAT_CNT%20by%20mnth%20&amp;%20qtr.xlsx" TargetMode="External"/></Relationships>
</file>

<file path=word/charts/_rels/chart5.xml.rels><?xml version="1.0" encoding="UTF-8" standalone="yes"?>
<Relationships xmlns="http://schemas.openxmlformats.org/package/2006/relationships"><Relationship Id="rId2" Type="http://schemas.openxmlformats.org/officeDocument/2006/relationships/oleObject" Target="file:///\\central.health\DFSGroupData\Sites\CO1\CO\PBD\PEB\EVAL\DUSC\DUSC%20Documents\Predicted%20vs%20actual%20usage\PvA%20-%202014%20Oct\Pregabalin\Data%20from%20information%20product%20-%20scripts.xlsm" TargetMode="External"/><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4%20Oct\Pregabalin\D818_DUSC_DATA%20pregabalin%20expenditure%20&amp;%20prescription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[D818_DUSC_DATA pregabalin expenditure &amp; prescriptions.xlsx]pivot!PivotTable5</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s>
    <c:plotArea>
      <c:layout>
        <c:manualLayout>
          <c:layoutTarget val="inner"/>
          <c:xMode val="edge"/>
          <c:yMode val="edge"/>
          <c:x val="0.15833760424917301"/>
          <c:y val="3.8054908946150372E-2"/>
          <c:w val="0.81691212345247066"/>
          <c:h val="0.68618262048863432"/>
        </c:manualLayout>
      </c:layout>
      <c:lineChart>
        <c:grouping val="standard"/>
        <c:varyColors val="0"/>
        <c:ser>
          <c:idx val="0"/>
          <c:order val="0"/>
          <c:tx>
            <c:strRef>
              <c:f>pivot!$B$3:$B$4</c:f>
              <c:strCache>
                <c:ptCount val="1"/>
                <c:pt idx="0">
                  <c:v>PBS subsidised</c:v>
                </c:pt>
              </c:strCache>
            </c:strRef>
          </c:tx>
          <c:cat>
            <c:strRef>
              <c:f>pivot!$A$5:$A$30</c:f>
              <c:strCache>
                <c:ptCount val="25"/>
                <c:pt idx="0">
                  <c:v>201203</c:v>
                </c:pt>
                <c:pt idx="1">
                  <c:v>201204</c:v>
                </c:pt>
                <c:pt idx="2">
                  <c:v>201205</c:v>
                </c:pt>
                <c:pt idx="3">
                  <c:v>201206</c:v>
                </c:pt>
                <c:pt idx="4">
                  <c:v>201207</c:v>
                </c:pt>
                <c:pt idx="5">
                  <c:v>201208</c:v>
                </c:pt>
                <c:pt idx="6">
                  <c:v>201209</c:v>
                </c:pt>
                <c:pt idx="7">
                  <c:v>201210</c:v>
                </c:pt>
                <c:pt idx="8">
                  <c:v>201211</c:v>
                </c:pt>
                <c:pt idx="9">
                  <c:v>201212</c:v>
                </c:pt>
                <c:pt idx="10">
                  <c:v>201301</c:v>
                </c:pt>
                <c:pt idx="11">
                  <c:v>201302</c:v>
                </c:pt>
                <c:pt idx="12">
                  <c:v>201303</c:v>
                </c:pt>
                <c:pt idx="13">
                  <c:v>201304</c:v>
                </c:pt>
                <c:pt idx="14">
                  <c:v>201305</c:v>
                </c:pt>
                <c:pt idx="15">
                  <c:v>201306</c:v>
                </c:pt>
                <c:pt idx="16">
                  <c:v>201307</c:v>
                </c:pt>
                <c:pt idx="17">
                  <c:v>201308</c:v>
                </c:pt>
                <c:pt idx="18">
                  <c:v>201309</c:v>
                </c:pt>
                <c:pt idx="19">
                  <c:v>201310</c:v>
                </c:pt>
                <c:pt idx="20">
                  <c:v>201311</c:v>
                </c:pt>
                <c:pt idx="21">
                  <c:v>201312</c:v>
                </c:pt>
                <c:pt idx="22">
                  <c:v>201401</c:v>
                </c:pt>
                <c:pt idx="23">
                  <c:v>201402</c:v>
                </c:pt>
                <c:pt idx="24">
                  <c:v>201403</c:v>
                </c:pt>
              </c:strCache>
            </c:strRef>
          </c:cat>
          <c:val>
            <c:numRef>
              <c:f>pivot!$B$5:$B$30</c:f>
              <c:numCache>
                <c:formatCode>General</c:formatCode>
                <c:ptCount val="25"/>
                <c:pt idx="12">
                  <c:v>39176</c:v>
                </c:pt>
                <c:pt idx="13">
                  <c:v>61084</c:v>
                </c:pt>
                <c:pt idx="14">
                  <c:v>82336</c:v>
                </c:pt>
                <c:pt idx="15">
                  <c:v>84032</c:v>
                </c:pt>
                <c:pt idx="16">
                  <c:v>101767</c:v>
                </c:pt>
                <c:pt idx="17">
                  <c:v>111191</c:v>
                </c:pt>
                <c:pt idx="18">
                  <c:v>113261</c:v>
                </c:pt>
                <c:pt idx="19">
                  <c:v>131236</c:v>
                </c:pt>
                <c:pt idx="20">
                  <c:v>138182</c:v>
                </c:pt>
                <c:pt idx="21">
                  <c:v>170075</c:v>
                </c:pt>
                <c:pt idx="22">
                  <c:v>120566</c:v>
                </c:pt>
                <c:pt idx="23">
                  <c:v>126118</c:v>
                </c:pt>
                <c:pt idx="24">
                  <c:v>145485</c:v>
                </c:pt>
              </c:numCache>
            </c:numRef>
          </c:val>
          <c:smooth val="0"/>
        </c:ser>
        <c:ser>
          <c:idx val="1"/>
          <c:order val="1"/>
          <c:tx>
            <c:strRef>
              <c:f>pivot!$C$3:$C$4</c:f>
              <c:strCache>
                <c:ptCount val="1"/>
                <c:pt idx="0">
                  <c:v>Private estimate</c:v>
                </c:pt>
              </c:strCache>
            </c:strRef>
          </c:tx>
          <c:cat>
            <c:strRef>
              <c:f>pivot!$A$5:$A$30</c:f>
              <c:strCache>
                <c:ptCount val="25"/>
                <c:pt idx="0">
                  <c:v>201203</c:v>
                </c:pt>
                <c:pt idx="1">
                  <c:v>201204</c:v>
                </c:pt>
                <c:pt idx="2">
                  <c:v>201205</c:v>
                </c:pt>
                <c:pt idx="3">
                  <c:v>201206</c:v>
                </c:pt>
                <c:pt idx="4">
                  <c:v>201207</c:v>
                </c:pt>
                <c:pt idx="5">
                  <c:v>201208</c:v>
                </c:pt>
                <c:pt idx="6">
                  <c:v>201209</c:v>
                </c:pt>
                <c:pt idx="7">
                  <c:v>201210</c:v>
                </c:pt>
                <c:pt idx="8">
                  <c:v>201211</c:v>
                </c:pt>
                <c:pt idx="9">
                  <c:v>201212</c:v>
                </c:pt>
                <c:pt idx="10">
                  <c:v>201301</c:v>
                </c:pt>
                <c:pt idx="11">
                  <c:v>201302</c:v>
                </c:pt>
                <c:pt idx="12">
                  <c:v>201303</c:v>
                </c:pt>
                <c:pt idx="13">
                  <c:v>201304</c:v>
                </c:pt>
                <c:pt idx="14">
                  <c:v>201305</c:v>
                </c:pt>
                <c:pt idx="15">
                  <c:v>201306</c:v>
                </c:pt>
                <c:pt idx="16">
                  <c:v>201307</c:v>
                </c:pt>
                <c:pt idx="17">
                  <c:v>201308</c:v>
                </c:pt>
                <c:pt idx="18">
                  <c:v>201309</c:v>
                </c:pt>
                <c:pt idx="19">
                  <c:v>201310</c:v>
                </c:pt>
                <c:pt idx="20">
                  <c:v>201311</c:v>
                </c:pt>
                <c:pt idx="21">
                  <c:v>201312</c:v>
                </c:pt>
                <c:pt idx="22">
                  <c:v>201401</c:v>
                </c:pt>
                <c:pt idx="23">
                  <c:v>201402</c:v>
                </c:pt>
                <c:pt idx="24">
                  <c:v>201403</c:v>
                </c:pt>
              </c:strCache>
            </c:strRef>
          </c:cat>
          <c:val>
            <c:numRef>
              <c:f>pivot!$C$5:$C$30</c:f>
              <c:numCache>
                <c:formatCode>General</c:formatCode>
                <c:ptCount val="25"/>
                <c:pt idx="0">
                  <c:v>20592</c:v>
                </c:pt>
                <c:pt idx="1">
                  <c:v>21824</c:v>
                </c:pt>
                <c:pt idx="2">
                  <c:v>22632</c:v>
                </c:pt>
                <c:pt idx="3">
                  <c:v>21325</c:v>
                </c:pt>
                <c:pt idx="4">
                  <c:v>22544</c:v>
                </c:pt>
                <c:pt idx="5">
                  <c:v>23457</c:v>
                </c:pt>
              </c:numCache>
            </c:numRef>
          </c:val>
          <c:smooth val="0"/>
        </c:ser>
        <c:ser>
          <c:idx val="2"/>
          <c:order val="2"/>
          <c:tx>
            <c:strRef>
              <c:f>pivot!$D$3:$D$4</c:f>
              <c:strCache>
                <c:ptCount val="1"/>
                <c:pt idx="0">
                  <c:v>RPBS</c:v>
                </c:pt>
              </c:strCache>
            </c:strRef>
          </c:tx>
          <c:cat>
            <c:strRef>
              <c:f>pivot!$A$5:$A$30</c:f>
              <c:strCache>
                <c:ptCount val="25"/>
                <c:pt idx="0">
                  <c:v>201203</c:v>
                </c:pt>
                <c:pt idx="1">
                  <c:v>201204</c:v>
                </c:pt>
                <c:pt idx="2">
                  <c:v>201205</c:v>
                </c:pt>
                <c:pt idx="3">
                  <c:v>201206</c:v>
                </c:pt>
                <c:pt idx="4">
                  <c:v>201207</c:v>
                </c:pt>
                <c:pt idx="5">
                  <c:v>201208</c:v>
                </c:pt>
                <c:pt idx="6">
                  <c:v>201209</c:v>
                </c:pt>
                <c:pt idx="7">
                  <c:v>201210</c:v>
                </c:pt>
                <c:pt idx="8">
                  <c:v>201211</c:v>
                </c:pt>
                <c:pt idx="9">
                  <c:v>201212</c:v>
                </c:pt>
                <c:pt idx="10">
                  <c:v>201301</c:v>
                </c:pt>
                <c:pt idx="11">
                  <c:v>201302</c:v>
                </c:pt>
                <c:pt idx="12">
                  <c:v>201303</c:v>
                </c:pt>
                <c:pt idx="13">
                  <c:v>201304</c:v>
                </c:pt>
                <c:pt idx="14">
                  <c:v>201305</c:v>
                </c:pt>
                <c:pt idx="15">
                  <c:v>201306</c:v>
                </c:pt>
                <c:pt idx="16">
                  <c:v>201307</c:v>
                </c:pt>
                <c:pt idx="17">
                  <c:v>201308</c:v>
                </c:pt>
                <c:pt idx="18">
                  <c:v>201309</c:v>
                </c:pt>
                <c:pt idx="19">
                  <c:v>201310</c:v>
                </c:pt>
                <c:pt idx="20">
                  <c:v>201311</c:v>
                </c:pt>
                <c:pt idx="21">
                  <c:v>201312</c:v>
                </c:pt>
                <c:pt idx="22">
                  <c:v>201401</c:v>
                </c:pt>
                <c:pt idx="23">
                  <c:v>201402</c:v>
                </c:pt>
                <c:pt idx="24">
                  <c:v>201403</c:v>
                </c:pt>
              </c:strCache>
            </c:strRef>
          </c:cat>
          <c:val>
            <c:numRef>
              <c:f>pivot!$D$5:$D$30</c:f>
              <c:numCache>
                <c:formatCode>General</c:formatCode>
                <c:ptCount val="25"/>
                <c:pt idx="0">
                  <c:v>3133</c:v>
                </c:pt>
                <c:pt idx="1">
                  <c:v>2939</c:v>
                </c:pt>
                <c:pt idx="2">
                  <c:v>3398</c:v>
                </c:pt>
                <c:pt idx="3">
                  <c:v>3163</c:v>
                </c:pt>
                <c:pt idx="4">
                  <c:v>3284</c:v>
                </c:pt>
                <c:pt idx="5">
                  <c:v>3412</c:v>
                </c:pt>
                <c:pt idx="6">
                  <c:v>3221</c:v>
                </c:pt>
                <c:pt idx="7">
                  <c:v>3590</c:v>
                </c:pt>
                <c:pt idx="8">
                  <c:v>3634</c:v>
                </c:pt>
                <c:pt idx="9">
                  <c:v>4161</c:v>
                </c:pt>
                <c:pt idx="10">
                  <c:v>3132</c:v>
                </c:pt>
                <c:pt idx="11">
                  <c:v>3292</c:v>
                </c:pt>
                <c:pt idx="12">
                  <c:v>4114</c:v>
                </c:pt>
                <c:pt idx="13">
                  <c:v>4553</c:v>
                </c:pt>
                <c:pt idx="14">
                  <c:v>5181</c:v>
                </c:pt>
                <c:pt idx="15">
                  <c:v>4812</c:v>
                </c:pt>
                <c:pt idx="16">
                  <c:v>5721</c:v>
                </c:pt>
                <c:pt idx="17">
                  <c:v>5819</c:v>
                </c:pt>
                <c:pt idx="18">
                  <c:v>5762</c:v>
                </c:pt>
                <c:pt idx="19">
                  <c:v>6484</c:v>
                </c:pt>
                <c:pt idx="20">
                  <c:v>6424</c:v>
                </c:pt>
                <c:pt idx="21">
                  <c:v>7811</c:v>
                </c:pt>
                <c:pt idx="22">
                  <c:v>5838</c:v>
                </c:pt>
                <c:pt idx="23">
                  <c:v>6158</c:v>
                </c:pt>
                <c:pt idx="24">
                  <c:v>6857</c:v>
                </c:pt>
              </c:numCache>
            </c:numRef>
          </c:val>
          <c:smooth val="0"/>
        </c:ser>
        <c:ser>
          <c:idx val="3"/>
          <c:order val="3"/>
          <c:tx>
            <c:strRef>
              <c:f>pivot!$E$3:$E$4</c:f>
              <c:strCache>
                <c:ptCount val="1"/>
                <c:pt idx="0">
                  <c:v>Under PBS co-payment</c:v>
                </c:pt>
              </c:strCache>
            </c:strRef>
          </c:tx>
          <c:cat>
            <c:strRef>
              <c:f>pivot!$A$5:$A$30</c:f>
              <c:strCache>
                <c:ptCount val="25"/>
                <c:pt idx="0">
                  <c:v>201203</c:v>
                </c:pt>
                <c:pt idx="1">
                  <c:v>201204</c:v>
                </c:pt>
                <c:pt idx="2">
                  <c:v>201205</c:v>
                </c:pt>
                <c:pt idx="3">
                  <c:v>201206</c:v>
                </c:pt>
                <c:pt idx="4">
                  <c:v>201207</c:v>
                </c:pt>
                <c:pt idx="5">
                  <c:v>201208</c:v>
                </c:pt>
                <c:pt idx="6">
                  <c:v>201209</c:v>
                </c:pt>
                <c:pt idx="7">
                  <c:v>201210</c:v>
                </c:pt>
                <c:pt idx="8">
                  <c:v>201211</c:v>
                </c:pt>
                <c:pt idx="9">
                  <c:v>201212</c:v>
                </c:pt>
                <c:pt idx="10">
                  <c:v>201301</c:v>
                </c:pt>
                <c:pt idx="11">
                  <c:v>201302</c:v>
                </c:pt>
                <c:pt idx="12">
                  <c:v>201303</c:v>
                </c:pt>
                <c:pt idx="13">
                  <c:v>201304</c:v>
                </c:pt>
                <c:pt idx="14">
                  <c:v>201305</c:v>
                </c:pt>
                <c:pt idx="15">
                  <c:v>201306</c:v>
                </c:pt>
                <c:pt idx="16">
                  <c:v>201307</c:v>
                </c:pt>
                <c:pt idx="17">
                  <c:v>201308</c:v>
                </c:pt>
                <c:pt idx="18">
                  <c:v>201309</c:v>
                </c:pt>
                <c:pt idx="19">
                  <c:v>201310</c:v>
                </c:pt>
                <c:pt idx="20">
                  <c:v>201311</c:v>
                </c:pt>
                <c:pt idx="21">
                  <c:v>201312</c:v>
                </c:pt>
                <c:pt idx="22">
                  <c:v>201401</c:v>
                </c:pt>
                <c:pt idx="23">
                  <c:v>201402</c:v>
                </c:pt>
                <c:pt idx="24">
                  <c:v>201403</c:v>
                </c:pt>
              </c:strCache>
            </c:strRef>
          </c:cat>
          <c:val>
            <c:numRef>
              <c:f>pivot!$E$5:$E$30</c:f>
              <c:numCache>
                <c:formatCode>General</c:formatCode>
                <c:ptCount val="25"/>
                <c:pt idx="12">
                  <c:v>1155</c:v>
                </c:pt>
                <c:pt idx="13">
                  <c:v>1896</c:v>
                </c:pt>
                <c:pt idx="14">
                  <c:v>2742</c:v>
                </c:pt>
                <c:pt idx="15">
                  <c:v>2688</c:v>
                </c:pt>
                <c:pt idx="16">
                  <c:v>3259</c:v>
                </c:pt>
                <c:pt idx="17">
                  <c:v>3604</c:v>
                </c:pt>
                <c:pt idx="18">
                  <c:v>3567</c:v>
                </c:pt>
                <c:pt idx="19">
                  <c:v>4035</c:v>
                </c:pt>
                <c:pt idx="20">
                  <c:v>4356</c:v>
                </c:pt>
                <c:pt idx="21">
                  <c:v>4303</c:v>
                </c:pt>
                <c:pt idx="22">
                  <c:v>5084</c:v>
                </c:pt>
                <c:pt idx="23">
                  <c:v>5288</c:v>
                </c:pt>
                <c:pt idx="24">
                  <c:v>6203</c:v>
                </c:pt>
              </c:numCache>
            </c:numRef>
          </c:val>
          <c:smooth val="0"/>
        </c:ser>
        <c:dLbls>
          <c:showLegendKey val="0"/>
          <c:showVal val="0"/>
          <c:showCatName val="0"/>
          <c:showSerName val="0"/>
          <c:showPercent val="0"/>
          <c:showBubbleSize val="0"/>
        </c:dLbls>
        <c:marker val="1"/>
        <c:smooth val="0"/>
        <c:axId val="91178496"/>
        <c:axId val="91180416"/>
      </c:lineChart>
      <c:catAx>
        <c:axId val="91178496"/>
        <c:scaling>
          <c:orientation val="minMax"/>
        </c:scaling>
        <c:delete val="0"/>
        <c:axPos val="b"/>
        <c:title>
          <c:tx>
            <c:rich>
              <a:bodyPr/>
              <a:lstStyle/>
              <a:p>
                <a:pPr>
                  <a:defRPr b="0"/>
                </a:pPr>
                <a:r>
                  <a:rPr lang="en-AU" b="0"/>
                  <a:t>Year</a:t>
                </a:r>
                <a:r>
                  <a:rPr lang="en-AU" b="0" baseline="0"/>
                  <a:t> and month of supply</a:t>
                </a:r>
                <a:endParaRPr lang="en-AU" b="0"/>
              </a:p>
            </c:rich>
          </c:tx>
          <c:layout>
            <c:manualLayout>
              <c:xMode val="edge"/>
              <c:yMode val="edge"/>
              <c:x val="0.41879493706502768"/>
              <c:y val="0.86278933497510346"/>
            </c:manualLayout>
          </c:layout>
          <c:overlay val="0"/>
        </c:title>
        <c:majorTickMark val="none"/>
        <c:minorTickMark val="none"/>
        <c:tickLblPos val="nextTo"/>
        <c:crossAx val="91180416"/>
        <c:crosses val="autoZero"/>
        <c:auto val="1"/>
        <c:lblAlgn val="ctr"/>
        <c:lblOffset val="100"/>
        <c:noMultiLvlLbl val="0"/>
      </c:catAx>
      <c:valAx>
        <c:axId val="91180416"/>
        <c:scaling>
          <c:orientation val="minMax"/>
        </c:scaling>
        <c:delete val="0"/>
        <c:axPos val="l"/>
        <c:majorGridlines/>
        <c:title>
          <c:tx>
            <c:rich>
              <a:bodyPr rot="-5400000" vert="horz"/>
              <a:lstStyle/>
              <a:p>
                <a:pPr>
                  <a:defRPr b="0"/>
                </a:pPr>
                <a:r>
                  <a:rPr lang="en-AU" b="0"/>
                  <a:t>Number</a:t>
                </a:r>
                <a:r>
                  <a:rPr lang="en-AU" b="0" baseline="0"/>
                  <a:t> of prescriptions</a:t>
                </a:r>
                <a:endParaRPr lang="en-AU" b="0"/>
              </a:p>
            </c:rich>
          </c:tx>
          <c:layout>
            <c:manualLayout>
              <c:xMode val="edge"/>
              <c:yMode val="edge"/>
              <c:x val="1.7866585772255854E-2"/>
              <c:y val="0.20089811304451141"/>
            </c:manualLayout>
          </c:layout>
          <c:overlay val="0"/>
        </c:title>
        <c:numFmt formatCode="#,##0" sourceLinked="0"/>
        <c:majorTickMark val="none"/>
        <c:minorTickMark val="none"/>
        <c:tickLblPos val="nextTo"/>
        <c:crossAx val="91178496"/>
        <c:crosses val="autoZero"/>
        <c:crossBetween val="between"/>
      </c:valAx>
    </c:plotArea>
    <c:legend>
      <c:legendPos val="b"/>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[D818_DUSC_DATA pregabalin expenditure &amp; prescriptions.xlsx]pivot (4)!PivotTable5</c:name>
    <c:fmtId val="-1"/>
  </c:pivotSource>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
        <c:idx val="49"/>
      </c:pivotFmt>
      <c:pivotFmt>
        <c:idx val="50"/>
      </c:pivotFmt>
      <c:pivotFmt>
        <c:idx val="51"/>
      </c:pivotFmt>
      <c:pivotFmt>
        <c:idx val="52"/>
      </c:pivotFmt>
      <c:pivotFmt>
        <c:idx val="53"/>
      </c:pivotFmt>
      <c:pivotFmt>
        <c:idx val="54"/>
      </c:pivotFmt>
      <c:pivotFmt>
        <c:idx val="55"/>
      </c:pivotFmt>
      <c:pivotFmt>
        <c:idx val="56"/>
      </c:pivotFmt>
      <c:pivotFmt>
        <c:idx val="57"/>
      </c:pivotFmt>
      <c:pivotFmt>
        <c:idx val="58"/>
      </c:pivotFmt>
    </c:pivotFmts>
    <c:plotArea>
      <c:layout>
        <c:manualLayout>
          <c:layoutTarget val="inner"/>
          <c:xMode val="edge"/>
          <c:yMode val="edge"/>
          <c:x val="0.12257455255279019"/>
          <c:y val="3.7667581628632298E-2"/>
          <c:w val="0.85245035325358198"/>
          <c:h val="0.59573272090988627"/>
        </c:manualLayout>
      </c:layout>
      <c:lineChart>
        <c:grouping val="standard"/>
        <c:varyColors val="0"/>
        <c:ser>
          <c:idx val="0"/>
          <c:order val="0"/>
          <c:tx>
            <c:strRef>
              <c:f>'pivot (4)'!$B$4:$B$7</c:f>
              <c:strCache>
                <c:ptCount val="1"/>
                <c:pt idx="0">
                  <c:v>PBS - 02335X - Capsules 75mg</c:v>
                </c:pt>
              </c:strCache>
            </c:strRef>
          </c:tx>
          <c:cat>
            <c:strRef>
              <c:f>'pivot (4)'!$A$8:$A$24</c:f>
              <c:strCache>
                <c:ptCount val="16"/>
                <c:pt idx="0">
                  <c:v>201212</c:v>
                </c:pt>
                <c:pt idx="1">
                  <c:v>201301</c:v>
                </c:pt>
                <c:pt idx="2">
                  <c:v>201302</c:v>
                </c:pt>
                <c:pt idx="3">
                  <c:v>201303</c:v>
                </c:pt>
                <c:pt idx="4">
                  <c:v>201304</c:v>
                </c:pt>
                <c:pt idx="5">
                  <c:v>201305</c:v>
                </c:pt>
                <c:pt idx="6">
                  <c:v>201306</c:v>
                </c:pt>
                <c:pt idx="7">
                  <c:v>201307</c:v>
                </c:pt>
                <c:pt idx="8">
                  <c:v>201308</c:v>
                </c:pt>
                <c:pt idx="9">
                  <c:v>201309</c:v>
                </c:pt>
                <c:pt idx="10">
                  <c:v>201310</c:v>
                </c:pt>
                <c:pt idx="11">
                  <c:v>201311</c:v>
                </c:pt>
                <c:pt idx="12">
                  <c:v>201312</c:v>
                </c:pt>
                <c:pt idx="13">
                  <c:v>201401</c:v>
                </c:pt>
                <c:pt idx="14">
                  <c:v>201402</c:v>
                </c:pt>
                <c:pt idx="15">
                  <c:v>201403</c:v>
                </c:pt>
              </c:strCache>
            </c:strRef>
          </c:cat>
          <c:val>
            <c:numRef>
              <c:f>'pivot (4)'!$B$8:$B$24</c:f>
              <c:numCache>
                <c:formatCode>General</c:formatCode>
                <c:ptCount val="16"/>
                <c:pt idx="3">
                  <c:v>24358</c:v>
                </c:pt>
                <c:pt idx="4">
                  <c:v>36949</c:v>
                </c:pt>
                <c:pt idx="5">
                  <c:v>48806</c:v>
                </c:pt>
                <c:pt idx="6">
                  <c:v>48771</c:v>
                </c:pt>
                <c:pt idx="7">
                  <c:v>58053</c:v>
                </c:pt>
                <c:pt idx="8">
                  <c:v>62521</c:v>
                </c:pt>
                <c:pt idx="9">
                  <c:v>62976</c:v>
                </c:pt>
                <c:pt idx="10">
                  <c:v>72035</c:v>
                </c:pt>
                <c:pt idx="11">
                  <c:v>76009</c:v>
                </c:pt>
                <c:pt idx="12">
                  <c:v>91779</c:v>
                </c:pt>
                <c:pt idx="13">
                  <c:v>65100</c:v>
                </c:pt>
                <c:pt idx="14">
                  <c:v>67583</c:v>
                </c:pt>
                <c:pt idx="15">
                  <c:v>77147</c:v>
                </c:pt>
              </c:numCache>
            </c:numRef>
          </c:val>
          <c:smooth val="0"/>
        </c:ser>
        <c:ser>
          <c:idx val="1"/>
          <c:order val="1"/>
          <c:tx>
            <c:strRef>
              <c:f>'pivot (4)'!$D$4:$D$7</c:f>
              <c:strCache>
                <c:ptCount val="1"/>
                <c:pt idx="0">
                  <c:v>PBS - 02348N - Capsules 25mg</c:v>
                </c:pt>
              </c:strCache>
            </c:strRef>
          </c:tx>
          <c:cat>
            <c:strRef>
              <c:f>'pivot (4)'!$A$8:$A$24</c:f>
              <c:strCache>
                <c:ptCount val="16"/>
                <c:pt idx="0">
                  <c:v>201212</c:v>
                </c:pt>
                <c:pt idx="1">
                  <c:v>201301</c:v>
                </c:pt>
                <c:pt idx="2">
                  <c:v>201302</c:v>
                </c:pt>
                <c:pt idx="3">
                  <c:v>201303</c:v>
                </c:pt>
                <c:pt idx="4">
                  <c:v>201304</c:v>
                </c:pt>
                <c:pt idx="5">
                  <c:v>201305</c:v>
                </c:pt>
                <c:pt idx="6">
                  <c:v>201306</c:v>
                </c:pt>
                <c:pt idx="7">
                  <c:v>201307</c:v>
                </c:pt>
                <c:pt idx="8">
                  <c:v>201308</c:v>
                </c:pt>
                <c:pt idx="9">
                  <c:v>201309</c:v>
                </c:pt>
                <c:pt idx="10">
                  <c:v>201310</c:v>
                </c:pt>
                <c:pt idx="11">
                  <c:v>201311</c:v>
                </c:pt>
                <c:pt idx="12">
                  <c:v>201312</c:v>
                </c:pt>
                <c:pt idx="13">
                  <c:v>201401</c:v>
                </c:pt>
                <c:pt idx="14">
                  <c:v>201402</c:v>
                </c:pt>
                <c:pt idx="15">
                  <c:v>201403</c:v>
                </c:pt>
              </c:strCache>
            </c:strRef>
          </c:cat>
          <c:val>
            <c:numRef>
              <c:f>'pivot (4)'!$D$8:$D$24</c:f>
              <c:numCache>
                <c:formatCode>General</c:formatCode>
                <c:ptCount val="16"/>
                <c:pt idx="3">
                  <c:v>5891</c:v>
                </c:pt>
                <c:pt idx="4">
                  <c:v>9678</c:v>
                </c:pt>
                <c:pt idx="5">
                  <c:v>13780</c:v>
                </c:pt>
                <c:pt idx="6">
                  <c:v>13993</c:v>
                </c:pt>
                <c:pt idx="7">
                  <c:v>17575</c:v>
                </c:pt>
                <c:pt idx="8">
                  <c:v>19981</c:v>
                </c:pt>
                <c:pt idx="9">
                  <c:v>20888</c:v>
                </c:pt>
                <c:pt idx="10">
                  <c:v>25065</c:v>
                </c:pt>
                <c:pt idx="11">
                  <c:v>27533</c:v>
                </c:pt>
                <c:pt idx="12">
                  <c:v>32958</c:v>
                </c:pt>
                <c:pt idx="13">
                  <c:v>25140</c:v>
                </c:pt>
                <c:pt idx="14">
                  <c:v>26773</c:v>
                </c:pt>
                <c:pt idx="15">
                  <c:v>31115</c:v>
                </c:pt>
              </c:numCache>
            </c:numRef>
          </c:val>
          <c:smooth val="0"/>
        </c:ser>
        <c:ser>
          <c:idx val="2"/>
          <c:order val="2"/>
          <c:tx>
            <c:strRef>
              <c:f>'pivot (4)'!$F$4:$F$7</c:f>
              <c:strCache>
                <c:ptCount val="1"/>
                <c:pt idx="0">
                  <c:v>PBS - 02355Y - Capsules 150mg</c:v>
                </c:pt>
              </c:strCache>
            </c:strRef>
          </c:tx>
          <c:cat>
            <c:strRef>
              <c:f>'pivot (4)'!$A$8:$A$24</c:f>
              <c:strCache>
                <c:ptCount val="16"/>
                <c:pt idx="0">
                  <c:v>201212</c:v>
                </c:pt>
                <c:pt idx="1">
                  <c:v>201301</c:v>
                </c:pt>
                <c:pt idx="2">
                  <c:v>201302</c:v>
                </c:pt>
                <c:pt idx="3">
                  <c:v>201303</c:v>
                </c:pt>
                <c:pt idx="4">
                  <c:v>201304</c:v>
                </c:pt>
                <c:pt idx="5">
                  <c:v>201305</c:v>
                </c:pt>
                <c:pt idx="6">
                  <c:v>201306</c:v>
                </c:pt>
                <c:pt idx="7">
                  <c:v>201307</c:v>
                </c:pt>
                <c:pt idx="8">
                  <c:v>201308</c:v>
                </c:pt>
                <c:pt idx="9">
                  <c:v>201309</c:v>
                </c:pt>
                <c:pt idx="10">
                  <c:v>201310</c:v>
                </c:pt>
                <c:pt idx="11">
                  <c:v>201311</c:v>
                </c:pt>
                <c:pt idx="12">
                  <c:v>201312</c:v>
                </c:pt>
                <c:pt idx="13">
                  <c:v>201401</c:v>
                </c:pt>
                <c:pt idx="14">
                  <c:v>201402</c:v>
                </c:pt>
                <c:pt idx="15">
                  <c:v>201403</c:v>
                </c:pt>
              </c:strCache>
            </c:strRef>
          </c:cat>
          <c:val>
            <c:numRef>
              <c:f>'pivot (4)'!$F$8:$F$24</c:f>
              <c:numCache>
                <c:formatCode>General</c:formatCode>
                <c:ptCount val="16"/>
                <c:pt idx="3">
                  <c:v>8615</c:v>
                </c:pt>
                <c:pt idx="4">
                  <c:v>13978</c:v>
                </c:pt>
                <c:pt idx="5">
                  <c:v>19561</c:v>
                </c:pt>
                <c:pt idx="6">
                  <c:v>20533</c:v>
                </c:pt>
                <c:pt idx="7">
                  <c:v>25445</c:v>
                </c:pt>
                <c:pt idx="8">
                  <c:v>27717</c:v>
                </c:pt>
                <c:pt idx="9">
                  <c:v>28323</c:v>
                </c:pt>
                <c:pt idx="10">
                  <c:v>32757</c:v>
                </c:pt>
                <c:pt idx="11">
                  <c:v>34388</c:v>
                </c:pt>
                <c:pt idx="12">
                  <c:v>43387</c:v>
                </c:pt>
                <c:pt idx="13">
                  <c:v>30990</c:v>
                </c:pt>
                <c:pt idx="14">
                  <c:v>32325</c:v>
                </c:pt>
                <c:pt idx="15">
                  <c:v>37509</c:v>
                </c:pt>
              </c:numCache>
            </c:numRef>
          </c:val>
          <c:smooth val="0"/>
        </c:ser>
        <c:ser>
          <c:idx val="3"/>
          <c:order val="3"/>
          <c:tx>
            <c:strRef>
              <c:f>'pivot (4)'!$H$4:$H$7</c:f>
              <c:strCache>
                <c:ptCount val="1"/>
                <c:pt idx="0">
                  <c:v>PBS - 02363J - Capsules 300mg</c:v>
                </c:pt>
              </c:strCache>
            </c:strRef>
          </c:tx>
          <c:cat>
            <c:strRef>
              <c:f>'pivot (4)'!$A$8:$A$24</c:f>
              <c:strCache>
                <c:ptCount val="16"/>
                <c:pt idx="0">
                  <c:v>201212</c:v>
                </c:pt>
                <c:pt idx="1">
                  <c:v>201301</c:v>
                </c:pt>
                <c:pt idx="2">
                  <c:v>201302</c:v>
                </c:pt>
                <c:pt idx="3">
                  <c:v>201303</c:v>
                </c:pt>
                <c:pt idx="4">
                  <c:v>201304</c:v>
                </c:pt>
                <c:pt idx="5">
                  <c:v>201305</c:v>
                </c:pt>
                <c:pt idx="6">
                  <c:v>201306</c:v>
                </c:pt>
                <c:pt idx="7">
                  <c:v>201307</c:v>
                </c:pt>
                <c:pt idx="8">
                  <c:v>201308</c:v>
                </c:pt>
                <c:pt idx="9">
                  <c:v>201309</c:v>
                </c:pt>
                <c:pt idx="10">
                  <c:v>201310</c:v>
                </c:pt>
                <c:pt idx="11">
                  <c:v>201311</c:v>
                </c:pt>
                <c:pt idx="12">
                  <c:v>201312</c:v>
                </c:pt>
                <c:pt idx="13">
                  <c:v>201401</c:v>
                </c:pt>
                <c:pt idx="14">
                  <c:v>201402</c:v>
                </c:pt>
                <c:pt idx="15">
                  <c:v>201403</c:v>
                </c:pt>
              </c:strCache>
            </c:strRef>
          </c:cat>
          <c:val>
            <c:numRef>
              <c:f>'pivot (4)'!$H$8:$H$24</c:f>
              <c:numCache>
                <c:formatCode>General</c:formatCode>
                <c:ptCount val="16"/>
                <c:pt idx="3">
                  <c:v>2452</c:v>
                </c:pt>
                <c:pt idx="4">
                  <c:v>4094</c:v>
                </c:pt>
                <c:pt idx="5">
                  <c:v>5557</c:v>
                </c:pt>
                <c:pt idx="6">
                  <c:v>6210</c:v>
                </c:pt>
                <c:pt idx="7">
                  <c:v>7692</c:v>
                </c:pt>
                <c:pt idx="8">
                  <c:v>8647</c:v>
                </c:pt>
                <c:pt idx="9">
                  <c:v>8933</c:v>
                </c:pt>
                <c:pt idx="10">
                  <c:v>10427</c:v>
                </c:pt>
                <c:pt idx="11">
                  <c:v>11032</c:v>
                </c:pt>
                <c:pt idx="12">
                  <c:v>14065</c:v>
                </c:pt>
                <c:pt idx="13">
                  <c:v>10258</c:v>
                </c:pt>
                <c:pt idx="14">
                  <c:v>10883</c:v>
                </c:pt>
                <c:pt idx="15">
                  <c:v>12774</c:v>
                </c:pt>
              </c:numCache>
            </c:numRef>
          </c:val>
          <c:smooth val="0"/>
        </c:ser>
        <c:ser>
          <c:idx val="4"/>
          <c:order val="4"/>
          <c:tx>
            <c:strRef>
              <c:f>'pivot (4)'!$K$4:$K$7</c:f>
              <c:strCache>
                <c:ptCount val="1"/>
                <c:pt idx="0">
                  <c:v>RPBS - 04320J - Capsules 25mg, 56</c:v>
                </c:pt>
              </c:strCache>
            </c:strRef>
          </c:tx>
          <c:cat>
            <c:strRef>
              <c:f>'pivot (4)'!$A$8:$A$24</c:f>
              <c:strCache>
                <c:ptCount val="16"/>
                <c:pt idx="0">
                  <c:v>201212</c:v>
                </c:pt>
                <c:pt idx="1">
                  <c:v>201301</c:v>
                </c:pt>
                <c:pt idx="2">
                  <c:v>201302</c:v>
                </c:pt>
                <c:pt idx="3">
                  <c:v>201303</c:v>
                </c:pt>
                <c:pt idx="4">
                  <c:v>201304</c:v>
                </c:pt>
                <c:pt idx="5">
                  <c:v>201305</c:v>
                </c:pt>
                <c:pt idx="6">
                  <c:v>201306</c:v>
                </c:pt>
                <c:pt idx="7">
                  <c:v>201307</c:v>
                </c:pt>
                <c:pt idx="8">
                  <c:v>201308</c:v>
                </c:pt>
                <c:pt idx="9">
                  <c:v>201309</c:v>
                </c:pt>
                <c:pt idx="10">
                  <c:v>201310</c:v>
                </c:pt>
                <c:pt idx="11">
                  <c:v>201311</c:v>
                </c:pt>
                <c:pt idx="12">
                  <c:v>201312</c:v>
                </c:pt>
                <c:pt idx="13">
                  <c:v>201401</c:v>
                </c:pt>
                <c:pt idx="14">
                  <c:v>201402</c:v>
                </c:pt>
                <c:pt idx="15">
                  <c:v>201403</c:v>
                </c:pt>
              </c:strCache>
            </c:strRef>
          </c:cat>
          <c:val>
            <c:numRef>
              <c:f>'pivot (4)'!$K$8:$K$24</c:f>
              <c:numCache>
                <c:formatCode>General</c:formatCode>
                <c:ptCount val="16"/>
                <c:pt idx="0">
                  <c:v>627</c:v>
                </c:pt>
                <c:pt idx="1">
                  <c:v>501</c:v>
                </c:pt>
                <c:pt idx="2">
                  <c:v>510</c:v>
                </c:pt>
                <c:pt idx="3">
                  <c:v>496</c:v>
                </c:pt>
                <c:pt idx="4">
                  <c:v>420</c:v>
                </c:pt>
                <c:pt idx="5">
                  <c:v>388</c:v>
                </c:pt>
                <c:pt idx="6">
                  <c:v>322</c:v>
                </c:pt>
                <c:pt idx="7">
                  <c:v>307</c:v>
                </c:pt>
                <c:pt idx="8">
                  <c:v>303</c:v>
                </c:pt>
                <c:pt idx="9">
                  <c:v>282</c:v>
                </c:pt>
                <c:pt idx="10">
                  <c:v>285</c:v>
                </c:pt>
              </c:numCache>
            </c:numRef>
          </c:val>
          <c:smooth val="0"/>
        </c:ser>
        <c:ser>
          <c:idx val="5"/>
          <c:order val="5"/>
          <c:tx>
            <c:strRef>
              <c:f>'pivot (4)'!$M$4:$M$7</c:f>
              <c:strCache>
                <c:ptCount val="1"/>
                <c:pt idx="0">
                  <c:v>RPBS - 04322L - Capsules 75mg, 56</c:v>
                </c:pt>
              </c:strCache>
            </c:strRef>
          </c:tx>
          <c:cat>
            <c:strRef>
              <c:f>'pivot (4)'!$A$8:$A$24</c:f>
              <c:strCache>
                <c:ptCount val="16"/>
                <c:pt idx="0">
                  <c:v>201212</c:v>
                </c:pt>
                <c:pt idx="1">
                  <c:v>201301</c:v>
                </c:pt>
                <c:pt idx="2">
                  <c:v>201302</c:v>
                </c:pt>
                <c:pt idx="3">
                  <c:v>201303</c:v>
                </c:pt>
                <c:pt idx="4">
                  <c:v>201304</c:v>
                </c:pt>
                <c:pt idx="5">
                  <c:v>201305</c:v>
                </c:pt>
                <c:pt idx="6">
                  <c:v>201306</c:v>
                </c:pt>
                <c:pt idx="7">
                  <c:v>201307</c:v>
                </c:pt>
                <c:pt idx="8">
                  <c:v>201308</c:v>
                </c:pt>
                <c:pt idx="9">
                  <c:v>201309</c:v>
                </c:pt>
                <c:pt idx="10">
                  <c:v>201310</c:v>
                </c:pt>
                <c:pt idx="11">
                  <c:v>201311</c:v>
                </c:pt>
                <c:pt idx="12">
                  <c:v>201312</c:v>
                </c:pt>
                <c:pt idx="13">
                  <c:v>201401</c:v>
                </c:pt>
                <c:pt idx="14">
                  <c:v>201402</c:v>
                </c:pt>
                <c:pt idx="15">
                  <c:v>201403</c:v>
                </c:pt>
              </c:strCache>
            </c:strRef>
          </c:cat>
          <c:val>
            <c:numRef>
              <c:f>'pivot (4)'!$M$8:$M$24</c:f>
              <c:numCache>
                <c:formatCode>General</c:formatCode>
                <c:ptCount val="16"/>
                <c:pt idx="0">
                  <c:v>2192</c:v>
                </c:pt>
                <c:pt idx="1">
                  <c:v>1669</c:v>
                </c:pt>
                <c:pt idx="2">
                  <c:v>1723</c:v>
                </c:pt>
                <c:pt idx="3">
                  <c:v>1626</c:v>
                </c:pt>
                <c:pt idx="4">
                  <c:v>1451</c:v>
                </c:pt>
                <c:pt idx="5">
                  <c:v>1279</c:v>
                </c:pt>
                <c:pt idx="6">
                  <c:v>1023</c:v>
                </c:pt>
                <c:pt idx="7">
                  <c:v>983</c:v>
                </c:pt>
                <c:pt idx="8">
                  <c:v>866</c:v>
                </c:pt>
                <c:pt idx="9">
                  <c:v>704</c:v>
                </c:pt>
                <c:pt idx="10">
                  <c:v>716</c:v>
                </c:pt>
              </c:numCache>
            </c:numRef>
          </c:val>
          <c:smooth val="0"/>
        </c:ser>
        <c:ser>
          <c:idx val="6"/>
          <c:order val="6"/>
          <c:tx>
            <c:strRef>
              <c:f>'pivot (4)'!$O$4:$O$7</c:f>
              <c:strCache>
                <c:ptCount val="1"/>
                <c:pt idx="0">
                  <c:v>RPBS - 04323M - Capsules 150mg, 56</c:v>
                </c:pt>
              </c:strCache>
            </c:strRef>
          </c:tx>
          <c:cat>
            <c:strRef>
              <c:f>'pivot (4)'!$A$8:$A$24</c:f>
              <c:strCache>
                <c:ptCount val="16"/>
                <c:pt idx="0">
                  <c:v>201212</c:v>
                </c:pt>
                <c:pt idx="1">
                  <c:v>201301</c:v>
                </c:pt>
                <c:pt idx="2">
                  <c:v>201302</c:v>
                </c:pt>
                <c:pt idx="3">
                  <c:v>201303</c:v>
                </c:pt>
                <c:pt idx="4">
                  <c:v>201304</c:v>
                </c:pt>
                <c:pt idx="5">
                  <c:v>201305</c:v>
                </c:pt>
                <c:pt idx="6">
                  <c:v>201306</c:v>
                </c:pt>
                <c:pt idx="7">
                  <c:v>201307</c:v>
                </c:pt>
                <c:pt idx="8">
                  <c:v>201308</c:v>
                </c:pt>
                <c:pt idx="9">
                  <c:v>201309</c:v>
                </c:pt>
                <c:pt idx="10">
                  <c:v>201310</c:v>
                </c:pt>
                <c:pt idx="11">
                  <c:v>201311</c:v>
                </c:pt>
                <c:pt idx="12">
                  <c:v>201312</c:v>
                </c:pt>
                <c:pt idx="13">
                  <c:v>201401</c:v>
                </c:pt>
                <c:pt idx="14">
                  <c:v>201402</c:v>
                </c:pt>
                <c:pt idx="15">
                  <c:v>201403</c:v>
                </c:pt>
              </c:strCache>
            </c:strRef>
          </c:cat>
          <c:val>
            <c:numRef>
              <c:f>'pivot (4)'!$O$8:$O$24</c:f>
              <c:numCache>
                <c:formatCode>General</c:formatCode>
                <c:ptCount val="16"/>
                <c:pt idx="0">
                  <c:v>1001</c:v>
                </c:pt>
                <c:pt idx="1">
                  <c:v>714</c:v>
                </c:pt>
                <c:pt idx="2">
                  <c:v>779</c:v>
                </c:pt>
                <c:pt idx="3">
                  <c:v>746</c:v>
                </c:pt>
                <c:pt idx="4">
                  <c:v>705</c:v>
                </c:pt>
                <c:pt idx="5">
                  <c:v>659</c:v>
                </c:pt>
                <c:pt idx="6">
                  <c:v>503</c:v>
                </c:pt>
                <c:pt idx="7">
                  <c:v>493</c:v>
                </c:pt>
                <c:pt idx="8">
                  <c:v>435</c:v>
                </c:pt>
                <c:pt idx="9">
                  <c:v>361</c:v>
                </c:pt>
                <c:pt idx="10">
                  <c:v>352</c:v>
                </c:pt>
              </c:numCache>
            </c:numRef>
          </c:val>
          <c:smooth val="0"/>
        </c:ser>
        <c:ser>
          <c:idx val="7"/>
          <c:order val="7"/>
          <c:tx>
            <c:strRef>
              <c:f>'pivot (4)'!$Q$4:$Q$7</c:f>
              <c:strCache>
                <c:ptCount val="1"/>
                <c:pt idx="0">
                  <c:v>RPBS - 04324N - Capsules 300mg, 56</c:v>
                </c:pt>
              </c:strCache>
            </c:strRef>
          </c:tx>
          <c:cat>
            <c:strRef>
              <c:f>'pivot (4)'!$A$8:$A$24</c:f>
              <c:strCache>
                <c:ptCount val="16"/>
                <c:pt idx="0">
                  <c:v>201212</c:v>
                </c:pt>
                <c:pt idx="1">
                  <c:v>201301</c:v>
                </c:pt>
                <c:pt idx="2">
                  <c:v>201302</c:v>
                </c:pt>
                <c:pt idx="3">
                  <c:v>201303</c:v>
                </c:pt>
                <c:pt idx="4">
                  <c:v>201304</c:v>
                </c:pt>
                <c:pt idx="5">
                  <c:v>201305</c:v>
                </c:pt>
                <c:pt idx="6">
                  <c:v>201306</c:v>
                </c:pt>
                <c:pt idx="7">
                  <c:v>201307</c:v>
                </c:pt>
                <c:pt idx="8">
                  <c:v>201308</c:v>
                </c:pt>
                <c:pt idx="9">
                  <c:v>201309</c:v>
                </c:pt>
                <c:pt idx="10">
                  <c:v>201310</c:v>
                </c:pt>
                <c:pt idx="11">
                  <c:v>201311</c:v>
                </c:pt>
                <c:pt idx="12">
                  <c:v>201312</c:v>
                </c:pt>
                <c:pt idx="13">
                  <c:v>201401</c:v>
                </c:pt>
                <c:pt idx="14">
                  <c:v>201402</c:v>
                </c:pt>
                <c:pt idx="15">
                  <c:v>201403</c:v>
                </c:pt>
              </c:strCache>
            </c:strRef>
          </c:cat>
          <c:val>
            <c:numRef>
              <c:f>'pivot (4)'!$Q$8:$Q$24</c:f>
              <c:numCache>
                <c:formatCode>General</c:formatCode>
                <c:ptCount val="16"/>
                <c:pt idx="0">
                  <c:v>341</c:v>
                </c:pt>
                <c:pt idx="1">
                  <c:v>248</c:v>
                </c:pt>
                <c:pt idx="2">
                  <c:v>280</c:v>
                </c:pt>
                <c:pt idx="3">
                  <c:v>261</c:v>
                </c:pt>
                <c:pt idx="4">
                  <c:v>258</c:v>
                </c:pt>
                <c:pt idx="5">
                  <c:v>229</c:v>
                </c:pt>
                <c:pt idx="6">
                  <c:v>177</c:v>
                </c:pt>
                <c:pt idx="7">
                  <c:v>199</c:v>
                </c:pt>
                <c:pt idx="8">
                  <c:v>144</c:v>
                </c:pt>
                <c:pt idx="9">
                  <c:v>123</c:v>
                </c:pt>
                <c:pt idx="10">
                  <c:v>118</c:v>
                </c:pt>
              </c:numCache>
            </c:numRef>
          </c:val>
          <c:smooth val="0"/>
        </c:ser>
        <c:dLbls>
          <c:showLegendKey val="0"/>
          <c:showVal val="0"/>
          <c:showCatName val="0"/>
          <c:showSerName val="0"/>
          <c:showPercent val="0"/>
          <c:showBubbleSize val="0"/>
        </c:dLbls>
        <c:marker val="1"/>
        <c:smooth val="0"/>
        <c:axId val="98916224"/>
        <c:axId val="98918400"/>
      </c:lineChart>
      <c:catAx>
        <c:axId val="98916224"/>
        <c:scaling>
          <c:orientation val="minMax"/>
        </c:scaling>
        <c:delete val="0"/>
        <c:axPos val="b"/>
        <c:title>
          <c:tx>
            <c:rich>
              <a:bodyPr/>
              <a:lstStyle/>
              <a:p>
                <a:pPr>
                  <a:defRPr/>
                </a:pPr>
                <a:r>
                  <a:rPr lang="en-AU" b="0"/>
                  <a:t>Year</a:t>
                </a:r>
                <a:r>
                  <a:rPr lang="en-AU" b="0" baseline="0"/>
                  <a:t> and month of supply</a:t>
                </a:r>
                <a:endParaRPr lang="en-AU" b="0"/>
              </a:p>
            </c:rich>
          </c:tx>
          <c:layout>
            <c:manualLayout>
              <c:xMode val="edge"/>
              <c:yMode val="edge"/>
              <c:x val="0.42550548015668893"/>
              <c:y val="0.74724968406726933"/>
            </c:manualLayout>
          </c:layout>
          <c:overlay val="0"/>
        </c:title>
        <c:majorTickMark val="none"/>
        <c:minorTickMark val="none"/>
        <c:tickLblPos val="nextTo"/>
        <c:crossAx val="98918400"/>
        <c:crosses val="autoZero"/>
        <c:auto val="1"/>
        <c:lblAlgn val="ctr"/>
        <c:lblOffset val="100"/>
        <c:noMultiLvlLbl val="0"/>
      </c:catAx>
      <c:valAx>
        <c:axId val="98918400"/>
        <c:scaling>
          <c:orientation val="minMax"/>
        </c:scaling>
        <c:delete val="0"/>
        <c:axPos val="l"/>
        <c:majorGridlines/>
        <c:title>
          <c:tx>
            <c:rich>
              <a:bodyPr rot="-5400000" vert="horz"/>
              <a:lstStyle/>
              <a:p>
                <a:pPr>
                  <a:defRPr/>
                </a:pPr>
                <a:r>
                  <a:rPr lang="en-AU" b="0"/>
                  <a:t>Number</a:t>
                </a:r>
                <a:r>
                  <a:rPr lang="en-AU" b="0" baseline="0"/>
                  <a:t> of prescriptions</a:t>
                </a:r>
                <a:endParaRPr lang="en-AU" b="0"/>
              </a:p>
            </c:rich>
          </c:tx>
          <c:overlay val="0"/>
        </c:title>
        <c:numFmt formatCode="#,##0" sourceLinked="0"/>
        <c:majorTickMark val="none"/>
        <c:minorTickMark val="none"/>
        <c:tickLblPos val="nextTo"/>
        <c:crossAx val="98916224"/>
        <c:crosses val="autoZero"/>
        <c:crossBetween val="between"/>
      </c:valAx>
    </c:plotArea>
    <c:legend>
      <c:legendPos val="b"/>
      <c:layout>
        <c:manualLayout>
          <c:xMode val="edge"/>
          <c:yMode val="edge"/>
          <c:x val="0.16859678972289269"/>
          <c:y val="0.79145299798690216"/>
          <c:w val="0.72980791973867587"/>
          <c:h val="0.19472262569120607"/>
        </c:manualLayout>
      </c:layout>
      <c:overlay val="0"/>
      <c:txPr>
        <a:bodyPr/>
        <a:lstStyle/>
        <a:p>
          <a:pPr>
            <a:defRPr sz="800" baseline="0"/>
          </a:pPr>
          <a:endParaRPr lang="en-US"/>
        </a:p>
      </c:txPr>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[D818_DUSC_DATA pregabalin expenditure &amp; prescriptions.xlsx]pivot (5)!PivotTable5</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s>
    <c:plotArea>
      <c:layout/>
      <c:lineChart>
        <c:grouping val="standard"/>
        <c:varyColors val="0"/>
        <c:ser>
          <c:idx val="0"/>
          <c:order val="0"/>
          <c:tx>
            <c:strRef>
              <c:f>'pivot (5)'!$B$3:$B$4</c:f>
              <c:strCache>
                <c:ptCount val="1"/>
                <c:pt idx="0">
                  <c:v>Concessional</c:v>
                </c:pt>
              </c:strCache>
            </c:strRef>
          </c:tx>
          <c:cat>
            <c:strRef>
              <c:f>'pivot (5)'!$A$5:$A$21</c:f>
              <c:strCache>
                <c:ptCount val="16"/>
                <c:pt idx="0">
                  <c:v>201212</c:v>
                </c:pt>
                <c:pt idx="1">
                  <c:v>201301</c:v>
                </c:pt>
                <c:pt idx="2">
                  <c:v>201302</c:v>
                </c:pt>
                <c:pt idx="3">
                  <c:v>201303</c:v>
                </c:pt>
                <c:pt idx="4">
                  <c:v>201304</c:v>
                </c:pt>
                <c:pt idx="5">
                  <c:v>201305</c:v>
                </c:pt>
                <c:pt idx="6">
                  <c:v>201306</c:v>
                </c:pt>
                <c:pt idx="7">
                  <c:v>201307</c:v>
                </c:pt>
                <c:pt idx="8">
                  <c:v>201308</c:v>
                </c:pt>
                <c:pt idx="9">
                  <c:v>201309</c:v>
                </c:pt>
                <c:pt idx="10">
                  <c:v>201310</c:v>
                </c:pt>
                <c:pt idx="11">
                  <c:v>201311</c:v>
                </c:pt>
                <c:pt idx="12">
                  <c:v>201312</c:v>
                </c:pt>
                <c:pt idx="13">
                  <c:v>201401</c:v>
                </c:pt>
                <c:pt idx="14">
                  <c:v>201402</c:v>
                </c:pt>
                <c:pt idx="15">
                  <c:v>201403</c:v>
                </c:pt>
              </c:strCache>
            </c:strRef>
          </c:cat>
          <c:val>
            <c:numRef>
              <c:f>'pivot (5)'!$B$5:$B$21</c:f>
              <c:numCache>
                <c:formatCode>General</c:formatCode>
                <c:ptCount val="16"/>
                <c:pt idx="0">
                  <c:v>0</c:v>
                </c:pt>
                <c:pt idx="1">
                  <c:v>0</c:v>
                </c:pt>
                <c:pt idx="2">
                  <c:v>0</c:v>
                </c:pt>
                <c:pt idx="3">
                  <c:v>30360</c:v>
                </c:pt>
                <c:pt idx="4">
                  <c:v>46603</c:v>
                </c:pt>
                <c:pt idx="5">
                  <c:v>62965</c:v>
                </c:pt>
                <c:pt idx="6">
                  <c:v>63560</c:v>
                </c:pt>
                <c:pt idx="7">
                  <c:v>77560</c:v>
                </c:pt>
                <c:pt idx="8">
                  <c:v>84652</c:v>
                </c:pt>
                <c:pt idx="9">
                  <c:v>86468</c:v>
                </c:pt>
                <c:pt idx="10">
                  <c:v>101022</c:v>
                </c:pt>
                <c:pt idx="11">
                  <c:v>106422</c:v>
                </c:pt>
                <c:pt idx="12">
                  <c:v>132295</c:v>
                </c:pt>
                <c:pt idx="13">
                  <c:v>91504</c:v>
                </c:pt>
                <c:pt idx="14">
                  <c:v>96868</c:v>
                </c:pt>
                <c:pt idx="15">
                  <c:v>111934</c:v>
                </c:pt>
              </c:numCache>
            </c:numRef>
          </c:val>
          <c:smooth val="0"/>
        </c:ser>
        <c:ser>
          <c:idx val="1"/>
          <c:order val="1"/>
          <c:tx>
            <c:strRef>
              <c:f>'pivot (5)'!$C$3:$C$4</c:f>
              <c:strCache>
                <c:ptCount val="1"/>
                <c:pt idx="0">
                  <c:v>General</c:v>
                </c:pt>
              </c:strCache>
            </c:strRef>
          </c:tx>
          <c:cat>
            <c:strRef>
              <c:f>'pivot (5)'!$A$5:$A$21</c:f>
              <c:strCache>
                <c:ptCount val="16"/>
                <c:pt idx="0">
                  <c:v>201212</c:v>
                </c:pt>
                <c:pt idx="1">
                  <c:v>201301</c:v>
                </c:pt>
                <c:pt idx="2">
                  <c:v>201302</c:v>
                </c:pt>
                <c:pt idx="3">
                  <c:v>201303</c:v>
                </c:pt>
                <c:pt idx="4">
                  <c:v>201304</c:v>
                </c:pt>
                <c:pt idx="5">
                  <c:v>201305</c:v>
                </c:pt>
                <c:pt idx="6">
                  <c:v>201306</c:v>
                </c:pt>
                <c:pt idx="7">
                  <c:v>201307</c:v>
                </c:pt>
                <c:pt idx="8">
                  <c:v>201308</c:v>
                </c:pt>
                <c:pt idx="9">
                  <c:v>201309</c:v>
                </c:pt>
                <c:pt idx="10">
                  <c:v>201310</c:v>
                </c:pt>
                <c:pt idx="11">
                  <c:v>201311</c:v>
                </c:pt>
                <c:pt idx="12">
                  <c:v>201312</c:v>
                </c:pt>
                <c:pt idx="13">
                  <c:v>201401</c:v>
                </c:pt>
                <c:pt idx="14">
                  <c:v>201402</c:v>
                </c:pt>
                <c:pt idx="15">
                  <c:v>201403</c:v>
                </c:pt>
              </c:strCache>
            </c:strRef>
          </c:cat>
          <c:val>
            <c:numRef>
              <c:f>'pivot (5)'!$C$5:$C$21</c:f>
              <c:numCache>
                <c:formatCode>General</c:formatCode>
                <c:ptCount val="16"/>
                <c:pt idx="0">
                  <c:v>0</c:v>
                </c:pt>
                <c:pt idx="1">
                  <c:v>0</c:v>
                </c:pt>
                <c:pt idx="2">
                  <c:v>0</c:v>
                </c:pt>
                <c:pt idx="3">
                  <c:v>8816</c:v>
                </c:pt>
                <c:pt idx="4">
                  <c:v>14481</c:v>
                </c:pt>
                <c:pt idx="5">
                  <c:v>19371</c:v>
                </c:pt>
                <c:pt idx="6">
                  <c:v>20472</c:v>
                </c:pt>
                <c:pt idx="7">
                  <c:v>24207</c:v>
                </c:pt>
                <c:pt idx="8">
                  <c:v>26539</c:v>
                </c:pt>
                <c:pt idx="9">
                  <c:v>26793</c:v>
                </c:pt>
                <c:pt idx="10">
                  <c:v>30214</c:v>
                </c:pt>
                <c:pt idx="11">
                  <c:v>31760</c:v>
                </c:pt>
                <c:pt idx="12">
                  <c:v>37780</c:v>
                </c:pt>
                <c:pt idx="13">
                  <c:v>29062</c:v>
                </c:pt>
                <c:pt idx="14">
                  <c:v>29250</c:v>
                </c:pt>
                <c:pt idx="15">
                  <c:v>33551</c:v>
                </c:pt>
              </c:numCache>
            </c:numRef>
          </c:val>
          <c:smooth val="0"/>
        </c:ser>
        <c:ser>
          <c:idx val="2"/>
          <c:order val="2"/>
          <c:tx>
            <c:strRef>
              <c:f>'pivot (5)'!$D$3:$D$4</c:f>
              <c:strCache>
                <c:ptCount val="1"/>
                <c:pt idx="0">
                  <c:v>RPBS</c:v>
                </c:pt>
              </c:strCache>
            </c:strRef>
          </c:tx>
          <c:cat>
            <c:strRef>
              <c:f>'pivot (5)'!$A$5:$A$21</c:f>
              <c:strCache>
                <c:ptCount val="16"/>
                <c:pt idx="0">
                  <c:v>201212</c:v>
                </c:pt>
                <c:pt idx="1">
                  <c:v>201301</c:v>
                </c:pt>
                <c:pt idx="2">
                  <c:v>201302</c:v>
                </c:pt>
                <c:pt idx="3">
                  <c:v>201303</c:v>
                </c:pt>
                <c:pt idx="4">
                  <c:v>201304</c:v>
                </c:pt>
                <c:pt idx="5">
                  <c:v>201305</c:v>
                </c:pt>
                <c:pt idx="6">
                  <c:v>201306</c:v>
                </c:pt>
                <c:pt idx="7">
                  <c:v>201307</c:v>
                </c:pt>
                <c:pt idx="8">
                  <c:v>201308</c:v>
                </c:pt>
                <c:pt idx="9">
                  <c:v>201309</c:v>
                </c:pt>
                <c:pt idx="10">
                  <c:v>201310</c:v>
                </c:pt>
                <c:pt idx="11">
                  <c:v>201311</c:v>
                </c:pt>
                <c:pt idx="12">
                  <c:v>201312</c:v>
                </c:pt>
                <c:pt idx="13">
                  <c:v>201401</c:v>
                </c:pt>
                <c:pt idx="14">
                  <c:v>201402</c:v>
                </c:pt>
                <c:pt idx="15">
                  <c:v>201403</c:v>
                </c:pt>
              </c:strCache>
            </c:strRef>
          </c:cat>
          <c:val>
            <c:numRef>
              <c:f>'pivot (5)'!$D$5:$D$21</c:f>
              <c:numCache>
                <c:formatCode>General</c:formatCode>
                <c:ptCount val="16"/>
                <c:pt idx="0">
                  <c:v>4161</c:v>
                </c:pt>
                <c:pt idx="1">
                  <c:v>3132</c:v>
                </c:pt>
                <c:pt idx="2">
                  <c:v>3292</c:v>
                </c:pt>
                <c:pt idx="3">
                  <c:v>4114</c:v>
                </c:pt>
                <c:pt idx="4">
                  <c:v>4553</c:v>
                </c:pt>
                <c:pt idx="5">
                  <c:v>5181</c:v>
                </c:pt>
                <c:pt idx="6">
                  <c:v>4812</c:v>
                </c:pt>
                <c:pt idx="7">
                  <c:v>5721</c:v>
                </c:pt>
                <c:pt idx="8">
                  <c:v>5819</c:v>
                </c:pt>
                <c:pt idx="9">
                  <c:v>5762</c:v>
                </c:pt>
                <c:pt idx="10">
                  <c:v>6484</c:v>
                </c:pt>
                <c:pt idx="11">
                  <c:v>6424</c:v>
                </c:pt>
                <c:pt idx="12">
                  <c:v>7811</c:v>
                </c:pt>
                <c:pt idx="13">
                  <c:v>5838</c:v>
                </c:pt>
                <c:pt idx="14">
                  <c:v>6158</c:v>
                </c:pt>
                <c:pt idx="15">
                  <c:v>6857</c:v>
                </c:pt>
              </c:numCache>
            </c:numRef>
          </c:val>
          <c:smooth val="0"/>
        </c:ser>
        <c:ser>
          <c:idx val="3"/>
          <c:order val="3"/>
          <c:tx>
            <c:strRef>
              <c:f>'pivot (5)'!$E$3:$E$4</c:f>
              <c:strCache>
                <c:ptCount val="1"/>
                <c:pt idx="0">
                  <c:v>Under co-payment</c:v>
                </c:pt>
              </c:strCache>
            </c:strRef>
          </c:tx>
          <c:cat>
            <c:strRef>
              <c:f>'pivot (5)'!$A$5:$A$21</c:f>
              <c:strCache>
                <c:ptCount val="16"/>
                <c:pt idx="0">
                  <c:v>201212</c:v>
                </c:pt>
                <c:pt idx="1">
                  <c:v>201301</c:v>
                </c:pt>
                <c:pt idx="2">
                  <c:v>201302</c:v>
                </c:pt>
                <c:pt idx="3">
                  <c:v>201303</c:v>
                </c:pt>
                <c:pt idx="4">
                  <c:v>201304</c:v>
                </c:pt>
                <c:pt idx="5">
                  <c:v>201305</c:v>
                </c:pt>
                <c:pt idx="6">
                  <c:v>201306</c:v>
                </c:pt>
                <c:pt idx="7">
                  <c:v>201307</c:v>
                </c:pt>
                <c:pt idx="8">
                  <c:v>201308</c:v>
                </c:pt>
                <c:pt idx="9">
                  <c:v>201309</c:v>
                </c:pt>
                <c:pt idx="10">
                  <c:v>201310</c:v>
                </c:pt>
                <c:pt idx="11">
                  <c:v>201311</c:v>
                </c:pt>
                <c:pt idx="12">
                  <c:v>201312</c:v>
                </c:pt>
                <c:pt idx="13">
                  <c:v>201401</c:v>
                </c:pt>
                <c:pt idx="14">
                  <c:v>201402</c:v>
                </c:pt>
                <c:pt idx="15">
                  <c:v>201403</c:v>
                </c:pt>
              </c:strCache>
            </c:strRef>
          </c:cat>
          <c:val>
            <c:numRef>
              <c:f>'pivot (5)'!$E$5:$E$21</c:f>
              <c:numCache>
                <c:formatCode>General</c:formatCode>
                <c:ptCount val="16"/>
                <c:pt idx="0">
                  <c:v>0</c:v>
                </c:pt>
                <c:pt idx="1">
                  <c:v>0</c:v>
                </c:pt>
                <c:pt idx="2">
                  <c:v>0</c:v>
                </c:pt>
                <c:pt idx="3">
                  <c:v>1155</c:v>
                </c:pt>
                <c:pt idx="4">
                  <c:v>1896</c:v>
                </c:pt>
                <c:pt idx="5">
                  <c:v>2742</c:v>
                </c:pt>
                <c:pt idx="6">
                  <c:v>2688</c:v>
                </c:pt>
                <c:pt idx="7">
                  <c:v>3259</c:v>
                </c:pt>
                <c:pt idx="8">
                  <c:v>3604</c:v>
                </c:pt>
                <c:pt idx="9">
                  <c:v>3567</c:v>
                </c:pt>
                <c:pt idx="10">
                  <c:v>4035</c:v>
                </c:pt>
                <c:pt idx="11">
                  <c:v>4356</c:v>
                </c:pt>
                <c:pt idx="12">
                  <c:v>4303</c:v>
                </c:pt>
                <c:pt idx="13">
                  <c:v>5084</c:v>
                </c:pt>
                <c:pt idx="14">
                  <c:v>5288</c:v>
                </c:pt>
                <c:pt idx="15">
                  <c:v>6203</c:v>
                </c:pt>
              </c:numCache>
            </c:numRef>
          </c:val>
          <c:smooth val="0"/>
        </c:ser>
        <c:dLbls>
          <c:showLegendKey val="0"/>
          <c:showVal val="0"/>
          <c:showCatName val="0"/>
          <c:showSerName val="0"/>
          <c:showPercent val="0"/>
          <c:showBubbleSize val="0"/>
        </c:dLbls>
        <c:marker val="1"/>
        <c:smooth val="0"/>
        <c:axId val="98937472"/>
        <c:axId val="104731392"/>
      </c:lineChart>
      <c:catAx>
        <c:axId val="98937472"/>
        <c:scaling>
          <c:orientation val="minMax"/>
        </c:scaling>
        <c:delete val="0"/>
        <c:axPos val="b"/>
        <c:title>
          <c:tx>
            <c:rich>
              <a:bodyPr/>
              <a:lstStyle/>
              <a:p>
                <a:pPr>
                  <a:defRPr sz="800" b="0"/>
                </a:pPr>
                <a:r>
                  <a:rPr lang="en-AU" sz="1000" b="0"/>
                  <a:t>Month</a:t>
                </a:r>
                <a:r>
                  <a:rPr lang="en-AU" sz="1000" b="0" baseline="0"/>
                  <a:t> and year of prescription supply</a:t>
                </a:r>
                <a:endParaRPr lang="en-AU" sz="1000" b="0"/>
              </a:p>
            </c:rich>
          </c:tx>
          <c:layout>
            <c:manualLayout>
              <c:xMode val="edge"/>
              <c:yMode val="edge"/>
              <c:x val="0.38654013287642253"/>
              <c:y val="0.84548213380554771"/>
            </c:manualLayout>
          </c:layout>
          <c:overlay val="0"/>
        </c:title>
        <c:numFmt formatCode="#,##0.00" sourceLinked="0"/>
        <c:majorTickMark val="none"/>
        <c:minorTickMark val="none"/>
        <c:tickLblPos val="nextTo"/>
        <c:crossAx val="104731392"/>
        <c:crosses val="autoZero"/>
        <c:auto val="1"/>
        <c:lblAlgn val="ctr"/>
        <c:lblOffset val="100"/>
        <c:noMultiLvlLbl val="0"/>
      </c:catAx>
      <c:valAx>
        <c:axId val="104731392"/>
        <c:scaling>
          <c:orientation val="minMax"/>
        </c:scaling>
        <c:delete val="0"/>
        <c:axPos val="l"/>
        <c:majorGridlines/>
        <c:title>
          <c:tx>
            <c:rich>
              <a:bodyPr rot="-5400000" vert="horz"/>
              <a:lstStyle/>
              <a:p>
                <a:pPr>
                  <a:defRPr/>
                </a:pPr>
                <a:r>
                  <a:rPr lang="en-AU" b="0"/>
                  <a:t>Number</a:t>
                </a:r>
                <a:r>
                  <a:rPr lang="en-AU" b="0" baseline="0"/>
                  <a:t> of prescriptions</a:t>
                </a:r>
                <a:endParaRPr lang="en-AU" b="0"/>
              </a:p>
            </c:rich>
          </c:tx>
          <c:overlay val="0"/>
        </c:title>
        <c:numFmt formatCode="#,##0" sourceLinked="0"/>
        <c:majorTickMark val="none"/>
        <c:minorTickMark val="none"/>
        <c:tickLblPos val="nextTo"/>
        <c:crossAx val="98937472"/>
        <c:crosses val="autoZero"/>
        <c:crossBetween val="between"/>
      </c:valAx>
    </c:plotArea>
    <c:legend>
      <c:legendPos val="b"/>
      <c:layout>
        <c:manualLayout>
          <c:xMode val="edge"/>
          <c:yMode val="edge"/>
          <c:x val="0.18707173995792672"/>
          <c:y val="0.90175734206063762"/>
          <c:w val="0.76864072352684176"/>
          <c:h val="6.1697020696840375E-2"/>
        </c:manualLayout>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[D818 - pregabalin PAT_CNT by mnth &amp; qtr.xlsx]Sheet1!PivotTable4</c:name>
    <c:fmtId val="-1"/>
  </c:pivotSource>
  <c:chart>
    <c:autoTitleDeleted val="1"/>
    <c:pivotFmts>
      <c:pivotFmt>
        <c:idx val="0"/>
        <c:marker>
          <c:symbol val="none"/>
        </c:marker>
      </c:pivotFmt>
      <c:pivotFmt>
        <c:idx val="1"/>
        <c:marker>
          <c:symbol val="none"/>
        </c:marker>
      </c:pivotFmt>
      <c:pivotFmt>
        <c:idx val="2"/>
        <c:marker>
          <c:symbol val="none"/>
        </c:marker>
      </c:pivotFmt>
      <c:pivotFmt>
        <c:idx val="3"/>
      </c:pivotFmt>
      <c:pivotFmt>
        <c:idx val="4"/>
      </c:pivotFmt>
      <c:pivotFmt>
        <c:idx val="5"/>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s>
    <c:plotArea>
      <c:layout>
        <c:manualLayout>
          <c:layoutTarget val="inner"/>
          <c:xMode val="edge"/>
          <c:yMode val="edge"/>
          <c:x val="0.13820071486039121"/>
          <c:y val="3.8074484516595918E-2"/>
          <c:w val="0.83723745587078002"/>
          <c:h val="0.60652192747751188"/>
        </c:manualLayout>
      </c:layout>
      <c:lineChart>
        <c:grouping val="standard"/>
        <c:varyColors val="0"/>
        <c:ser>
          <c:idx val="0"/>
          <c:order val="0"/>
          <c:tx>
            <c:strRef>
              <c:f>Sheet1!$B$4:$B$6</c:f>
              <c:strCache>
                <c:ptCount val="1"/>
                <c:pt idx="0">
                  <c:v>prevalent patients (total PINs per month) - PBS</c:v>
                </c:pt>
              </c:strCache>
            </c:strRef>
          </c:tx>
          <c:marker>
            <c:symbol val="none"/>
          </c:marker>
          <c:cat>
            <c:strRef>
              <c:f>Sheet1!$A$7:$A$23</c:f>
              <c:strCache>
                <c:ptCount val="16"/>
                <c:pt idx="0">
                  <c:v>201212</c:v>
                </c:pt>
                <c:pt idx="1">
                  <c:v>201301</c:v>
                </c:pt>
                <c:pt idx="2">
                  <c:v>201302</c:v>
                </c:pt>
                <c:pt idx="3">
                  <c:v>201303</c:v>
                </c:pt>
                <c:pt idx="4">
                  <c:v>201304</c:v>
                </c:pt>
                <c:pt idx="5">
                  <c:v>201305</c:v>
                </c:pt>
                <c:pt idx="6">
                  <c:v>201306</c:v>
                </c:pt>
                <c:pt idx="7">
                  <c:v>201307</c:v>
                </c:pt>
                <c:pt idx="8">
                  <c:v>201308</c:v>
                </c:pt>
                <c:pt idx="9">
                  <c:v>201309</c:v>
                </c:pt>
                <c:pt idx="10">
                  <c:v>201310</c:v>
                </c:pt>
                <c:pt idx="11">
                  <c:v>201311</c:v>
                </c:pt>
                <c:pt idx="12">
                  <c:v>201312</c:v>
                </c:pt>
                <c:pt idx="13">
                  <c:v>201401</c:v>
                </c:pt>
                <c:pt idx="14">
                  <c:v>201402</c:v>
                </c:pt>
                <c:pt idx="15">
                  <c:v>201403</c:v>
                </c:pt>
              </c:strCache>
            </c:strRef>
          </c:cat>
          <c:val>
            <c:numRef>
              <c:f>Sheet1!$B$7:$B$23</c:f>
              <c:numCache>
                <c:formatCode>General</c:formatCode>
                <c:ptCount val="16"/>
                <c:pt idx="3">
                  <c:v>34086</c:v>
                </c:pt>
                <c:pt idx="4">
                  <c:v>51020</c:v>
                </c:pt>
                <c:pt idx="5">
                  <c:v>66380</c:v>
                </c:pt>
                <c:pt idx="6">
                  <c:v>69952</c:v>
                </c:pt>
                <c:pt idx="7">
                  <c:v>81827</c:v>
                </c:pt>
                <c:pt idx="8">
                  <c:v>89658</c:v>
                </c:pt>
                <c:pt idx="9">
                  <c:v>93377</c:v>
                </c:pt>
                <c:pt idx="10">
                  <c:v>104486</c:v>
                </c:pt>
                <c:pt idx="11">
                  <c:v>111595</c:v>
                </c:pt>
                <c:pt idx="12">
                  <c:v>121366</c:v>
                </c:pt>
                <c:pt idx="13">
                  <c:v>102515</c:v>
                </c:pt>
                <c:pt idx="14">
                  <c:v>109761</c:v>
                </c:pt>
                <c:pt idx="15">
                  <c:v>122242</c:v>
                </c:pt>
              </c:numCache>
            </c:numRef>
          </c:val>
          <c:smooth val="0"/>
        </c:ser>
        <c:ser>
          <c:idx val="1"/>
          <c:order val="1"/>
          <c:tx>
            <c:strRef>
              <c:f>Sheet1!$C$4:$C$6</c:f>
              <c:strCache>
                <c:ptCount val="1"/>
                <c:pt idx="0">
                  <c:v>prevalent patients (total PINs per month) - RPBS</c:v>
                </c:pt>
              </c:strCache>
            </c:strRef>
          </c:tx>
          <c:marker>
            <c:symbol val="none"/>
          </c:marker>
          <c:cat>
            <c:strRef>
              <c:f>Sheet1!$A$7:$A$23</c:f>
              <c:strCache>
                <c:ptCount val="16"/>
                <c:pt idx="0">
                  <c:v>201212</c:v>
                </c:pt>
                <c:pt idx="1">
                  <c:v>201301</c:v>
                </c:pt>
                <c:pt idx="2">
                  <c:v>201302</c:v>
                </c:pt>
                <c:pt idx="3">
                  <c:v>201303</c:v>
                </c:pt>
                <c:pt idx="4">
                  <c:v>201304</c:v>
                </c:pt>
                <c:pt idx="5">
                  <c:v>201305</c:v>
                </c:pt>
                <c:pt idx="6">
                  <c:v>201306</c:v>
                </c:pt>
                <c:pt idx="7">
                  <c:v>201307</c:v>
                </c:pt>
                <c:pt idx="8">
                  <c:v>201308</c:v>
                </c:pt>
                <c:pt idx="9">
                  <c:v>201309</c:v>
                </c:pt>
                <c:pt idx="10">
                  <c:v>201310</c:v>
                </c:pt>
                <c:pt idx="11">
                  <c:v>201311</c:v>
                </c:pt>
                <c:pt idx="12">
                  <c:v>201312</c:v>
                </c:pt>
                <c:pt idx="13">
                  <c:v>201401</c:v>
                </c:pt>
                <c:pt idx="14">
                  <c:v>201402</c:v>
                </c:pt>
                <c:pt idx="15">
                  <c:v>201403</c:v>
                </c:pt>
              </c:strCache>
            </c:strRef>
          </c:cat>
          <c:val>
            <c:numRef>
              <c:f>Sheet1!$C$7:$C$23</c:f>
              <c:numCache>
                <c:formatCode>General</c:formatCode>
                <c:ptCount val="16"/>
                <c:pt idx="0">
                  <c:v>2959</c:v>
                </c:pt>
                <c:pt idx="1">
                  <c:v>2556</c:v>
                </c:pt>
                <c:pt idx="2">
                  <c:v>2719</c:v>
                </c:pt>
                <c:pt idx="3">
                  <c:v>2598</c:v>
                </c:pt>
                <c:pt idx="4">
                  <c:v>2267</c:v>
                </c:pt>
                <c:pt idx="5">
                  <c:v>1960</c:v>
                </c:pt>
                <c:pt idx="6">
                  <c:v>1601</c:v>
                </c:pt>
                <c:pt idx="7">
                  <c:v>1504</c:v>
                </c:pt>
                <c:pt idx="8">
                  <c:v>1344</c:v>
                </c:pt>
                <c:pt idx="9">
                  <c:v>1188</c:v>
                </c:pt>
                <c:pt idx="10">
                  <c:v>1158</c:v>
                </c:pt>
              </c:numCache>
            </c:numRef>
          </c:val>
          <c:smooth val="0"/>
        </c:ser>
        <c:ser>
          <c:idx val="2"/>
          <c:order val="2"/>
          <c:tx>
            <c:strRef>
              <c:f>Sheet1!$E$4:$E$6</c:f>
              <c:strCache>
                <c:ptCount val="1"/>
                <c:pt idx="0">
                  <c:v>initiating patients (new PINs) - PBS</c:v>
                </c:pt>
              </c:strCache>
            </c:strRef>
          </c:tx>
          <c:marker>
            <c:symbol val="none"/>
          </c:marker>
          <c:cat>
            <c:strRef>
              <c:f>Sheet1!$A$7:$A$23</c:f>
              <c:strCache>
                <c:ptCount val="16"/>
                <c:pt idx="0">
                  <c:v>201212</c:v>
                </c:pt>
                <c:pt idx="1">
                  <c:v>201301</c:v>
                </c:pt>
                <c:pt idx="2">
                  <c:v>201302</c:v>
                </c:pt>
                <c:pt idx="3">
                  <c:v>201303</c:v>
                </c:pt>
                <c:pt idx="4">
                  <c:v>201304</c:v>
                </c:pt>
                <c:pt idx="5">
                  <c:v>201305</c:v>
                </c:pt>
                <c:pt idx="6">
                  <c:v>201306</c:v>
                </c:pt>
                <c:pt idx="7">
                  <c:v>201307</c:v>
                </c:pt>
                <c:pt idx="8">
                  <c:v>201308</c:v>
                </c:pt>
                <c:pt idx="9">
                  <c:v>201309</c:v>
                </c:pt>
                <c:pt idx="10">
                  <c:v>201310</c:v>
                </c:pt>
                <c:pt idx="11">
                  <c:v>201311</c:v>
                </c:pt>
                <c:pt idx="12">
                  <c:v>201312</c:v>
                </c:pt>
                <c:pt idx="13">
                  <c:v>201401</c:v>
                </c:pt>
                <c:pt idx="14">
                  <c:v>201402</c:v>
                </c:pt>
                <c:pt idx="15">
                  <c:v>201403</c:v>
                </c:pt>
              </c:strCache>
            </c:strRef>
          </c:cat>
          <c:val>
            <c:numRef>
              <c:f>Sheet1!$E$7:$E$23</c:f>
              <c:numCache>
                <c:formatCode>General</c:formatCode>
                <c:ptCount val="16"/>
                <c:pt idx="3">
                  <c:v>34086</c:v>
                </c:pt>
                <c:pt idx="4">
                  <c:v>31635</c:v>
                </c:pt>
                <c:pt idx="5">
                  <c:v>29244</c:v>
                </c:pt>
                <c:pt idx="6">
                  <c:v>22071</c:v>
                </c:pt>
                <c:pt idx="7">
                  <c:v>23190</c:v>
                </c:pt>
                <c:pt idx="8">
                  <c:v>23532</c:v>
                </c:pt>
                <c:pt idx="9">
                  <c:v>21524</c:v>
                </c:pt>
                <c:pt idx="10">
                  <c:v>23641</c:v>
                </c:pt>
                <c:pt idx="11">
                  <c:v>24017</c:v>
                </c:pt>
                <c:pt idx="12">
                  <c:v>21156</c:v>
                </c:pt>
                <c:pt idx="13">
                  <c:v>19185</c:v>
                </c:pt>
                <c:pt idx="14">
                  <c:v>19984</c:v>
                </c:pt>
                <c:pt idx="15">
                  <c:v>22116</c:v>
                </c:pt>
              </c:numCache>
            </c:numRef>
          </c:val>
          <c:smooth val="0"/>
        </c:ser>
        <c:ser>
          <c:idx val="3"/>
          <c:order val="3"/>
          <c:tx>
            <c:strRef>
              <c:f>Sheet1!$F$4:$F$6</c:f>
              <c:strCache>
                <c:ptCount val="1"/>
                <c:pt idx="0">
                  <c:v>initiating patients (new PINs) - RPBS</c:v>
                </c:pt>
              </c:strCache>
            </c:strRef>
          </c:tx>
          <c:marker>
            <c:symbol val="none"/>
          </c:marker>
          <c:cat>
            <c:strRef>
              <c:f>Sheet1!$A$7:$A$23</c:f>
              <c:strCache>
                <c:ptCount val="16"/>
                <c:pt idx="0">
                  <c:v>201212</c:v>
                </c:pt>
                <c:pt idx="1">
                  <c:v>201301</c:v>
                </c:pt>
                <c:pt idx="2">
                  <c:v>201302</c:v>
                </c:pt>
                <c:pt idx="3">
                  <c:v>201303</c:v>
                </c:pt>
                <c:pt idx="4">
                  <c:v>201304</c:v>
                </c:pt>
                <c:pt idx="5">
                  <c:v>201305</c:v>
                </c:pt>
                <c:pt idx="6">
                  <c:v>201306</c:v>
                </c:pt>
                <c:pt idx="7">
                  <c:v>201307</c:v>
                </c:pt>
                <c:pt idx="8">
                  <c:v>201308</c:v>
                </c:pt>
                <c:pt idx="9">
                  <c:v>201309</c:v>
                </c:pt>
                <c:pt idx="10">
                  <c:v>201310</c:v>
                </c:pt>
                <c:pt idx="11">
                  <c:v>201311</c:v>
                </c:pt>
                <c:pt idx="12">
                  <c:v>201312</c:v>
                </c:pt>
                <c:pt idx="13">
                  <c:v>201401</c:v>
                </c:pt>
                <c:pt idx="14">
                  <c:v>201402</c:v>
                </c:pt>
                <c:pt idx="15">
                  <c:v>201403</c:v>
                </c:pt>
              </c:strCache>
            </c:strRef>
          </c:cat>
          <c:val>
            <c:numRef>
              <c:f>Sheet1!$F$7:$F$23</c:f>
              <c:numCache>
                <c:formatCode>General</c:formatCode>
                <c:ptCount val="16"/>
                <c:pt idx="0">
                  <c:v>239</c:v>
                </c:pt>
                <c:pt idx="1">
                  <c:v>212</c:v>
                </c:pt>
                <c:pt idx="2">
                  <c:v>252</c:v>
                </c:pt>
                <c:pt idx="3">
                  <c:v>190</c:v>
                </c:pt>
                <c:pt idx="4">
                  <c:v>122</c:v>
                </c:pt>
                <c:pt idx="5">
                  <c:v>127</c:v>
                </c:pt>
                <c:pt idx="6">
                  <c:v>97</c:v>
                </c:pt>
                <c:pt idx="7">
                  <c:v>98</c:v>
                </c:pt>
                <c:pt idx="8">
                  <c:v>129</c:v>
                </c:pt>
                <c:pt idx="9">
                  <c:v>117</c:v>
                </c:pt>
                <c:pt idx="10">
                  <c:v>129</c:v>
                </c:pt>
              </c:numCache>
            </c:numRef>
          </c:val>
          <c:smooth val="0"/>
        </c:ser>
        <c:dLbls>
          <c:showLegendKey val="0"/>
          <c:showVal val="0"/>
          <c:showCatName val="0"/>
          <c:showSerName val="0"/>
          <c:showPercent val="0"/>
          <c:showBubbleSize val="0"/>
        </c:dLbls>
        <c:marker val="1"/>
        <c:smooth val="0"/>
        <c:axId val="104754560"/>
        <c:axId val="104769024"/>
      </c:lineChart>
      <c:catAx>
        <c:axId val="104754560"/>
        <c:scaling>
          <c:orientation val="minMax"/>
        </c:scaling>
        <c:delete val="0"/>
        <c:axPos val="b"/>
        <c:title>
          <c:tx>
            <c:rich>
              <a:bodyPr/>
              <a:lstStyle/>
              <a:p>
                <a:pPr>
                  <a:defRPr/>
                </a:pPr>
                <a:r>
                  <a:rPr lang="en-AU" b="0"/>
                  <a:t>Year</a:t>
                </a:r>
                <a:r>
                  <a:rPr lang="en-AU" b="0" baseline="0"/>
                  <a:t> and month of supply</a:t>
                </a:r>
              </a:p>
            </c:rich>
          </c:tx>
          <c:layout>
            <c:manualLayout>
              <c:xMode val="edge"/>
              <c:yMode val="edge"/>
              <c:x val="0.40739656286682757"/>
              <c:y val="0.76923833549932474"/>
            </c:manualLayout>
          </c:layout>
          <c:overlay val="0"/>
        </c:title>
        <c:numFmt formatCode="m/d/yyyy" sourceLinked="0"/>
        <c:majorTickMark val="none"/>
        <c:minorTickMark val="none"/>
        <c:tickLblPos val="nextTo"/>
        <c:crossAx val="104769024"/>
        <c:crosses val="autoZero"/>
        <c:auto val="1"/>
        <c:lblAlgn val="ctr"/>
        <c:lblOffset val="100"/>
        <c:noMultiLvlLbl val="0"/>
      </c:catAx>
      <c:valAx>
        <c:axId val="104769024"/>
        <c:scaling>
          <c:orientation val="minMax"/>
        </c:scaling>
        <c:delete val="0"/>
        <c:axPos val="l"/>
        <c:majorGridlines/>
        <c:title>
          <c:tx>
            <c:rich>
              <a:bodyPr rot="-5400000" vert="horz"/>
              <a:lstStyle/>
              <a:p>
                <a:pPr>
                  <a:defRPr/>
                </a:pPr>
                <a:r>
                  <a:rPr lang="en-AU" b="0"/>
                  <a:t>Number</a:t>
                </a:r>
                <a:r>
                  <a:rPr lang="en-AU" b="0" baseline="0"/>
                  <a:t> of patients</a:t>
                </a:r>
                <a:endParaRPr lang="en-AU" b="0"/>
              </a:p>
            </c:rich>
          </c:tx>
          <c:overlay val="0"/>
        </c:title>
        <c:numFmt formatCode="#,##0" sourceLinked="0"/>
        <c:majorTickMark val="none"/>
        <c:minorTickMark val="none"/>
        <c:tickLblPos val="nextTo"/>
        <c:crossAx val="104754560"/>
        <c:crosses val="autoZero"/>
        <c:crossBetween val="between"/>
      </c:valAx>
    </c:plotArea>
    <c:legend>
      <c:legendPos val="b"/>
      <c:layout>
        <c:manualLayout>
          <c:xMode val="edge"/>
          <c:yMode val="edge"/>
          <c:x val="0.19455211314666068"/>
          <c:y val="0.82175496266850134"/>
          <c:w val="0.63261135071683872"/>
          <c:h val="0.15786764518512855"/>
        </c:manualLayout>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[Data from information product - scripts.xlsm]by drug pivot!PivotTable1</c:name>
    <c:fmtId val="-1"/>
  </c:pivotSource>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
        <c:idx val="49"/>
      </c:pivotFmt>
      <c:pivotFmt>
        <c:idx val="50"/>
      </c:pivotFmt>
      <c:pivotFmt>
        <c:idx val="51"/>
      </c:pivotFmt>
      <c:pivotFmt>
        <c:idx val="52"/>
      </c:pivotFmt>
      <c:pivotFmt>
        <c:idx val="53"/>
      </c:pivotFmt>
      <c:pivotFmt>
        <c:idx val="54"/>
      </c:pivotFmt>
      <c:pivotFmt>
        <c:idx val="55"/>
      </c:pivotFmt>
      <c:pivotFmt>
        <c:idx val="56"/>
      </c:pivotFmt>
      <c:pivotFmt>
        <c:idx val="57"/>
      </c:pivotFmt>
      <c:pivotFmt>
        <c:idx val="58"/>
      </c:pivotFmt>
      <c:pivotFmt>
        <c:idx val="59"/>
      </c:pivotFmt>
      <c:pivotFmt>
        <c:idx val="60"/>
      </c:pivotFmt>
      <c:pivotFmt>
        <c:idx val="61"/>
      </c:pivotFmt>
      <c:pivotFmt>
        <c:idx val="62"/>
      </c:pivotFmt>
      <c:pivotFmt>
        <c:idx val="63"/>
      </c:pivotFmt>
      <c:pivotFmt>
        <c:idx val="64"/>
      </c:pivotFmt>
      <c:pivotFmt>
        <c:idx val="65"/>
      </c:pivotFmt>
      <c:pivotFmt>
        <c:idx val="66"/>
      </c:pivotFmt>
      <c:pivotFmt>
        <c:idx val="67"/>
      </c:pivotFmt>
      <c:pivotFmt>
        <c:idx val="68"/>
      </c:pivotFmt>
      <c:pivotFmt>
        <c:idx val="69"/>
      </c:pivotFmt>
      <c:pivotFmt>
        <c:idx val="70"/>
      </c:pivotFmt>
      <c:pivotFmt>
        <c:idx val="71"/>
      </c:pivotFmt>
      <c:pivotFmt>
        <c:idx val="72"/>
      </c:pivotFmt>
      <c:pivotFmt>
        <c:idx val="73"/>
      </c:pivotFmt>
      <c:pivotFmt>
        <c:idx val="74"/>
      </c:pivotFmt>
      <c:pivotFmt>
        <c:idx val="75"/>
      </c:pivotFmt>
      <c:pivotFmt>
        <c:idx val="76"/>
      </c:pivotFmt>
      <c:pivotFmt>
        <c:idx val="77"/>
      </c:pivotFmt>
      <c:pivotFmt>
        <c:idx val="78"/>
      </c:pivotFmt>
      <c:pivotFmt>
        <c:idx val="79"/>
      </c:pivotFmt>
      <c:pivotFmt>
        <c:idx val="80"/>
      </c:pivotFmt>
      <c:pivotFmt>
        <c:idx val="81"/>
      </c:pivotFmt>
      <c:pivotFmt>
        <c:idx val="82"/>
      </c:pivotFmt>
      <c:pivotFmt>
        <c:idx val="83"/>
      </c:pivotFmt>
      <c:pivotFmt>
        <c:idx val="84"/>
      </c:pivotFmt>
      <c:pivotFmt>
        <c:idx val="85"/>
      </c:pivotFmt>
      <c:pivotFmt>
        <c:idx val="86"/>
      </c:pivotFmt>
      <c:pivotFmt>
        <c:idx val="87"/>
      </c:pivotFmt>
      <c:pivotFmt>
        <c:idx val="88"/>
      </c:pivotFmt>
      <c:pivotFmt>
        <c:idx val="89"/>
      </c:pivotFmt>
      <c:pivotFmt>
        <c:idx val="90"/>
      </c:pivotFmt>
      <c:pivotFmt>
        <c:idx val="91"/>
      </c:pivotFmt>
      <c:pivotFmt>
        <c:idx val="92"/>
      </c:pivotFmt>
      <c:pivotFmt>
        <c:idx val="93"/>
      </c:pivotFmt>
      <c:pivotFmt>
        <c:idx val="94"/>
      </c:pivotFmt>
      <c:pivotFmt>
        <c:idx val="95"/>
      </c:pivotFmt>
      <c:pivotFmt>
        <c:idx val="96"/>
      </c:pivotFmt>
      <c:pivotFmt>
        <c:idx val="97"/>
      </c:pivotFmt>
      <c:pivotFmt>
        <c:idx val="98"/>
      </c:pivotFmt>
      <c:pivotFmt>
        <c:idx val="99"/>
      </c:pivotFmt>
      <c:pivotFmt>
        <c:idx val="100"/>
      </c:pivotFmt>
      <c:pivotFmt>
        <c:idx val="101"/>
      </c:pivotFmt>
      <c:pivotFmt>
        <c:idx val="102"/>
      </c:pivotFmt>
      <c:pivotFmt>
        <c:idx val="103"/>
      </c:pivotFmt>
      <c:pivotFmt>
        <c:idx val="104"/>
      </c:pivotFmt>
      <c:pivotFmt>
        <c:idx val="105"/>
      </c:pivotFmt>
      <c:pivotFmt>
        <c:idx val="106"/>
      </c:pivotFmt>
      <c:pivotFmt>
        <c:idx val="107"/>
      </c:pivotFmt>
      <c:pivotFmt>
        <c:idx val="108"/>
      </c:pivotFmt>
      <c:pivotFmt>
        <c:idx val="109"/>
      </c:pivotFmt>
      <c:pivotFmt>
        <c:idx val="110"/>
      </c:pivotFmt>
      <c:pivotFmt>
        <c:idx val="111"/>
      </c:pivotFmt>
      <c:pivotFmt>
        <c:idx val="112"/>
      </c:pivotFmt>
      <c:pivotFmt>
        <c:idx val="113"/>
      </c:pivotFmt>
      <c:pivotFmt>
        <c:idx val="114"/>
      </c:pivotFmt>
      <c:pivotFmt>
        <c:idx val="115"/>
      </c:pivotFmt>
      <c:pivotFmt>
        <c:idx val="116"/>
      </c:pivotFmt>
      <c:pivotFmt>
        <c:idx val="117"/>
      </c:pivotFmt>
      <c:pivotFmt>
        <c:idx val="118"/>
      </c:pivotFmt>
      <c:pivotFmt>
        <c:idx val="119"/>
      </c:pivotFmt>
      <c:pivotFmt>
        <c:idx val="120"/>
      </c:pivotFmt>
      <c:pivotFmt>
        <c:idx val="121"/>
      </c:pivotFmt>
      <c:pivotFmt>
        <c:idx val="122"/>
      </c:pivotFmt>
      <c:pivotFmt>
        <c:idx val="123"/>
      </c:pivotFmt>
      <c:pivotFmt>
        <c:idx val="124"/>
      </c:pivotFmt>
      <c:pivotFmt>
        <c:idx val="125"/>
      </c:pivotFmt>
      <c:pivotFmt>
        <c:idx val="126"/>
      </c:pivotFmt>
      <c:pivotFmt>
        <c:idx val="127"/>
      </c:pivotFmt>
      <c:pivotFmt>
        <c:idx val="128"/>
      </c:pivotFmt>
      <c:pivotFmt>
        <c:idx val="129"/>
      </c:pivotFmt>
      <c:pivotFmt>
        <c:idx val="130"/>
      </c:pivotFmt>
      <c:pivotFmt>
        <c:idx val="131"/>
      </c:pivotFmt>
      <c:pivotFmt>
        <c:idx val="132"/>
      </c:pivotFmt>
      <c:pivotFmt>
        <c:idx val="133"/>
      </c:pivotFmt>
      <c:pivotFmt>
        <c:idx val="134"/>
      </c:pivotFmt>
      <c:pivotFmt>
        <c:idx val="135"/>
      </c:pivotFmt>
      <c:pivotFmt>
        <c:idx val="136"/>
      </c:pivotFmt>
      <c:pivotFmt>
        <c:idx val="137"/>
      </c:pivotFmt>
      <c:pivotFmt>
        <c:idx val="138"/>
      </c:pivotFmt>
      <c:pivotFmt>
        <c:idx val="139"/>
      </c:pivotFmt>
      <c:pivotFmt>
        <c:idx val="140"/>
      </c:pivotFmt>
      <c:pivotFmt>
        <c:idx val="141"/>
      </c:pivotFmt>
      <c:pivotFmt>
        <c:idx val="142"/>
      </c:pivotFmt>
      <c:pivotFmt>
        <c:idx val="143"/>
      </c:pivotFmt>
      <c:pivotFmt>
        <c:idx val="144"/>
      </c:pivotFmt>
      <c:pivotFmt>
        <c:idx val="145"/>
      </c:pivotFmt>
      <c:pivotFmt>
        <c:idx val="146"/>
      </c:pivotFmt>
      <c:pivotFmt>
        <c:idx val="147"/>
      </c:pivotFmt>
      <c:pivotFmt>
        <c:idx val="148"/>
      </c:pivotFmt>
      <c:pivotFmt>
        <c:idx val="149"/>
      </c:pivotFmt>
      <c:pivotFmt>
        <c:idx val="150"/>
      </c:pivotFmt>
      <c:pivotFmt>
        <c:idx val="151"/>
      </c:pivotFmt>
      <c:pivotFmt>
        <c:idx val="152"/>
      </c:pivotFmt>
      <c:pivotFmt>
        <c:idx val="153"/>
      </c:pivotFmt>
      <c:pivotFmt>
        <c:idx val="154"/>
      </c:pivotFmt>
      <c:pivotFmt>
        <c:idx val="155"/>
      </c:pivotFmt>
      <c:pivotFmt>
        <c:idx val="156"/>
      </c:pivotFmt>
      <c:pivotFmt>
        <c:idx val="157"/>
      </c:pivotFmt>
      <c:pivotFmt>
        <c:idx val="158"/>
      </c:pivotFmt>
      <c:pivotFmt>
        <c:idx val="159"/>
      </c:pivotFmt>
      <c:pivotFmt>
        <c:idx val="160"/>
      </c:pivotFmt>
      <c:pivotFmt>
        <c:idx val="161"/>
      </c:pivotFmt>
      <c:pivotFmt>
        <c:idx val="162"/>
      </c:pivotFmt>
      <c:pivotFmt>
        <c:idx val="163"/>
      </c:pivotFmt>
      <c:pivotFmt>
        <c:idx val="164"/>
      </c:pivotFmt>
      <c:pivotFmt>
        <c:idx val="165"/>
      </c:pivotFmt>
      <c:pivotFmt>
        <c:idx val="166"/>
      </c:pivotFmt>
      <c:pivotFmt>
        <c:idx val="167"/>
      </c:pivotFmt>
      <c:pivotFmt>
        <c:idx val="168"/>
      </c:pivotFmt>
      <c:pivotFmt>
        <c:idx val="169"/>
      </c:pivotFmt>
      <c:pivotFmt>
        <c:idx val="170"/>
      </c:pivotFmt>
      <c:pivotFmt>
        <c:idx val="171"/>
      </c:pivotFmt>
      <c:pivotFmt>
        <c:idx val="172"/>
      </c:pivotFmt>
      <c:pivotFmt>
        <c:idx val="173"/>
      </c:pivotFmt>
      <c:pivotFmt>
        <c:idx val="174"/>
      </c:pivotFmt>
      <c:pivotFmt>
        <c:idx val="175"/>
      </c:pivotFmt>
      <c:pivotFmt>
        <c:idx val="176"/>
      </c:pivotFmt>
      <c:pivotFmt>
        <c:idx val="177"/>
      </c:pivotFmt>
      <c:pivotFmt>
        <c:idx val="178"/>
      </c:pivotFmt>
      <c:pivotFmt>
        <c:idx val="179"/>
      </c:pivotFmt>
      <c:pivotFmt>
        <c:idx val="180"/>
      </c:pivotFmt>
      <c:pivotFmt>
        <c:idx val="181"/>
      </c:pivotFmt>
      <c:pivotFmt>
        <c:idx val="182"/>
      </c:pivotFmt>
      <c:pivotFmt>
        <c:idx val="183"/>
      </c:pivotFmt>
      <c:pivotFmt>
        <c:idx val="184"/>
      </c:pivotFmt>
      <c:pivotFmt>
        <c:idx val="185"/>
      </c:pivotFmt>
      <c:pivotFmt>
        <c:idx val="186"/>
      </c:pivotFmt>
      <c:pivotFmt>
        <c:idx val="187"/>
      </c:pivotFmt>
      <c:pivotFmt>
        <c:idx val="188"/>
      </c:pivotFmt>
      <c:pivotFmt>
        <c:idx val="189"/>
      </c:pivotFmt>
      <c:pivotFmt>
        <c:idx val="190"/>
      </c:pivotFmt>
      <c:pivotFmt>
        <c:idx val="191"/>
      </c:pivotFmt>
      <c:pivotFmt>
        <c:idx val="192"/>
      </c:pivotFmt>
      <c:pivotFmt>
        <c:idx val="193"/>
      </c:pivotFmt>
      <c:pivotFmt>
        <c:idx val="194"/>
      </c:pivotFmt>
      <c:pivotFmt>
        <c:idx val="195"/>
      </c:pivotFmt>
      <c:pivotFmt>
        <c:idx val="196"/>
      </c:pivotFmt>
      <c:pivotFmt>
        <c:idx val="197"/>
      </c:pivotFmt>
      <c:pivotFmt>
        <c:idx val="198"/>
      </c:pivotFmt>
      <c:pivotFmt>
        <c:idx val="199"/>
      </c:pivotFmt>
      <c:pivotFmt>
        <c:idx val="200"/>
      </c:pivotFmt>
      <c:pivotFmt>
        <c:idx val="201"/>
      </c:pivotFmt>
      <c:pivotFmt>
        <c:idx val="202"/>
      </c:pivotFmt>
      <c:pivotFmt>
        <c:idx val="203"/>
      </c:pivotFmt>
      <c:pivotFmt>
        <c:idx val="204"/>
      </c:pivotFmt>
      <c:pivotFmt>
        <c:idx val="205"/>
      </c:pivotFmt>
      <c:pivotFmt>
        <c:idx val="206"/>
      </c:pivotFmt>
      <c:pivotFmt>
        <c:idx val="207"/>
      </c:pivotFmt>
      <c:pivotFmt>
        <c:idx val="208"/>
      </c:pivotFmt>
      <c:pivotFmt>
        <c:idx val="209"/>
      </c:pivotFmt>
      <c:pivotFmt>
        <c:idx val="210"/>
      </c:pivotFmt>
      <c:pivotFmt>
        <c:idx val="211"/>
      </c:pivotFmt>
      <c:pivotFmt>
        <c:idx val="212"/>
      </c:pivotFmt>
      <c:pivotFmt>
        <c:idx val="213"/>
      </c:pivotFmt>
      <c:pivotFmt>
        <c:idx val="214"/>
      </c:pivotFmt>
      <c:pivotFmt>
        <c:idx val="215"/>
      </c:pivotFmt>
      <c:pivotFmt>
        <c:idx val="216"/>
      </c:pivotFmt>
      <c:pivotFmt>
        <c:idx val="217"/>
      </c:pivotFmt>
      <c:pivotFmt>
        <c:idx val="218"/>
      </c:pivotFmt>
      <c:pivotFmt>
        <c:idx val="219"/>
      </c:pivotFmt>
      <c:pivotFmt>
        <c:idx val="220"/>
      </c:pivotFmt>
      <c:pivotFmt>
        <c:idx val="221"/>
      </c:pivotFmt>
      <c:pivotFmt>
        <c:idx val="222"/>
      </c:pivotFmt>
      <c:pivotFmt>
        <c:idx val="223"/>
      </c:pivotFmt>
      <c:pivotFmt>
        <c:idx val="224"/>
      </c:pivotFmt>
      <c:pivotFmt>
        <c:idx val="225"/>
      </c:pivotFmt>
      <c:pivotFmt>
        <c:idx val="226"/>
      </c:pivotFmt>
      <c:pivotFmt>
        <c:idx val="227"/>
      </c:pivotFmt>
      <c:pivotFmt>
        <c:idx val="228"/>
      </c:pivotFmt>
      <c:pivotFmt>
        <c:idx val="229"/>
      </c:pivotFmt>
      <c:pivotFmt>
        <c:idx val="230"/>
      </c:pivotFmt>
      <c:pivotFmt>
        <c:idx val="231"/>
      </c:pivotFmt>
      <c:pivotFmt>
        <c:idx val="232"/>
      </c:pivotFmt>
      <c:pivotFmt>
        <c:idx val="233"/>
      </c:pivotFmt>
      <c:pivotFmt>
        <c:idx val="234"/>
      </c:pivotFmt>
      <c:pivotFmt>
        <c:idx val="235"/>
      </c:pivotFmt>
      <c:pivotFmt>
        <c:idx val="236"/>
      </c:pivotFmt>
      <c:pivotFmt>
        <c:idx val="237"/>
      </c:pivotFmt>
      <c:pivotFmt>
        <c:idx val="238"/>
      </c:pivotFmt>
      <c:pivotFmt>
        <c:idx val="239"/>
      </c:pivotFmt>
      <c:pivotFmt>
        <c:idx val="240"/>
      </c:pivotFmt>
      <c:pivotFmt>
        <c:idx val="241"/>
      </c:pivotFmt>
      <c:pivotFmt>
        <c:idx val="242"/>
      </c:pivotFmt>
      <c:pivotFmt>
        <c:idx val="243"/>
      </c:pivotFmt>
      <c:pivotFmt>
        <c:idx val="244"/>
      </c:pivotFmt>
      <c:pivotFmt>
        <c:idx val="245"/>
      </c:pivotFmt>
      <c:pivotFmt>
        <c:idx val="246"/>
      </c:pivotFmt>
      <c:pivotFmt>
        <c:idx val="247"/>
      </c:pivotFmt>
      <c:pivotFmt>
        <c:idx val="248"/>
      </c:pivotFmt>
      <c:pivotFmt>
        <c:idx val="249"/>
      </c:pivotFmt>
      <c:pivotFmt>
        <c:idx val="250"/>
      </c:pivotFmt>
      <c:pivotFmt>
        <c:idx val="251"/>
      </c:pivotFmt>
      <c:pivotFmt>
        <c:idx val="252"/>
      </c:pivotFmt>
      <c:pivotFmt>
        <c:idx val="253"/>
      </c:pivotFmt>
      <c:pivotFmt>
        <c:idx val="254"/>
      </c:pivotFmt>
      <c:pivotFmt>
        <c:idx val="255"/>
      </c:pivotFmt>
      <c:pivotFmt>
        <c:idx val="256"/>
      </c:pivotFmt>
      <c:pivotFmt>
        <c:idx val="257"/>
      </c:pivotFmt>
      <c:pivotFmt>
        <c:idx val="258"/>
      </c:pivotFmt>
      <c:pivotFmt>
        <c:idx val="259"/>
      </c:pivotFmt>
      <c:pivotFmt>
        <c:idx val="260"/>
      </c:pivotFmt>
      <c:pivotFmt>
        <c:idx val="261"/>
      </c:pivotFmt>
      <c:pivotFmt>
        <c:idx val="262"/>
      </c:pivotFmt>
      <c:pivotFmt>
        <c:idx val="263"/>
      </c:pivotFmt>
      <c:pivotFmt>
        <c:idx val="264"/>
      </c:pivotFmt>
      <c:pivotFmt>
        <c:idx val="265"/>
      </c:pivotFmt>
      <c:pivotFmt>
        <c:idx val="266"/>
      </c:pivotFmt>
      <c:pivotFmt>
        <c:idx val="267"/>
      </c:pivotFmt>
      <c:pivotFmt>
        <c:idx val="268"/>
      </c:pivotFmt>
      <c:pivotFmt>
        <c:idx val="269"/>
      </c:pivotFmt>
      <c:pivotFmt>
        <c:idx val="270"/>
      </c:pivotFmt>
      <c:pivotFmt>
        <c:idx val="271"/>
      </c:pivotFmt>
      <c:pivotFmt>
        <c:idx val="272"/>
      </c:pivotFmt>
      <c:pivotFmt>
        <c:idx val="273"/>
      </c:pivotFmt>
      <c:pivotFmt>
        <c:idx val="274"/>
      </c:pivotFmt>
    </c:pivotFmts>
    <c:plotArea>
      <c:layout>
        <c:manualLayout>
          <c:layoutTarget val="inner"/>
          <c:xMode val="edge"/>
          <c:yMode val="edge"/>
          <c:x val="0.14394738346148941"/>
          <c:y val="3.7194370804151992E-2"/>
          <c:w val="0.83127782394034921"/>
          <c:h val="0.61678775047378898"/>
        </c:manualLayout>
      </c:layout>
      <c:lineChart>
        <c:grouping val="standard"/>
        <c:varyColors val="0"/>
        <c:ser>
          <c:idx val="0"/>
          <c:order val="0"/>
          <c:tx>
            <c:strRef>
              <c:f>'by drug pivot'!$B$5:$B$6</c:f>
              <c:strCache>
                <c:ptCount val="1"/>
                <c:pt idx="0">
                  <c:v>N03AF01 - CARBAMAZEPINE</c:v>
                </c:pt>
              </c:strCache>
            </c:strRef>
          </c:tx>
          <c:cat>
            <c:strRef>
              <c:f>'by drug pivot'!$A$7:$A$16</c:f>
              <c:strCache>
                <c:ptCount val="9"/>
                <c:pt idx="0">
                  <c:v>2012 Q1</c:v>
                </c:pt>
                <c:pt idx="1">
                  <c:v>2012 Q2</c:v>
                </c:pt>
                <c:pt idx="2">
                  <c:v>2012 Q3</c:v>
                </c:pt>
                <c:pt idx="3">
                  <c:v>2012 Q4</c:v>
                </c:pt>
                <c:pt idx="4">
                  <c:v>2013 Q1</c:v>
                </c:pt>
                <c:pt idx="5">
                  <c:v>2013 Q2</c:v>
                </c:pt>
                <c:pt idx="6">
                  <c:v>2013 Q3</c:v>
                </c:pt>
                <c:pt idx="7">
                  <c:v>2013 Q4</c:v>
                </c:pt>
                <c:pt idx="8">
                  <c:v>2014 Q1</c:v>
                </c:pt>
              </c:strCache>
            </c:strRef>
          </c:cat>
          <c:val>
            <c:numRef>
              <c:f>'by drug pivot'!$B$7:$B$16</c:f>
              <c:numCache>
                <c:formatCode>General</c:formatCode>
                <c:ptCount val="9"/>
                <c:pt idx="0">
                  <c:v>58785</c:v>
                </c:pt>
                <c:pt idx="1">
                  <c:v>77902</c:v>
                </c:pt>
                <c:pt idx="2">
                  <c:v>82678</c:v>
                </c:pt>
                <c:pt idx="3">
                  <c:v>92378</c:v>
                </c:pt>
                <c:pt idx="4">
                  <c:v>73352</c:v>
                </c:pt>
                <c:pt idx="5">
                  <c:v>78334</c:v>
                </c:pt>
                <c:pt idx="6">
                  <c:v>80913</c:v>
                </c:pt>
                <c:pt idx="7">
                  <c:v>88219</c:v>
                </c:pt>
                <c:pt idx="8">
                  <c:v>70455</c:v>
                </c:pt>
              </c:numCache>
            </c:numRef>
          </c:val>
          <c:smooth val="0"/>
        </c:ser>
        <c:ser>
          <c:idx val="1"/>
          <c:order val="1"/>
          <c:tx>
            <c:strRef>
              <c:f>'by drug pivot'!$C$5:$C$6</c:f>
              <c:strCache>
                <c:ptCount val="1"/>
                <c:pt idx="0">
                  <c:v>N03AX12 - GABAPENTIN</c:v>
                </c:pt>
              </c:strCache>
            </c:strRef>
          </c:tx>
          <c:cat>
            <c:strRef>
              <c:f>'by drug pivot'!$A$7:$A$16</c:f>
              <c:strCache>
                <c:ptCount val="9"/>
                <c:pt idx="0">
                  <c:v>2012 Q1</c:v>
                </c:pt>
                <c:pt idx="1">
                  <c:v>2012 Q2</c:v>
                </c:pt>
                <c:pt idx="2">
                  <c:v>2012 Q3</c:v>
                </c:pt>
                <c:pt idx="3">
                  <c:v>2012 Q4</c:v>
                </c:pt>
                <c:pt idx="4">
                  <c:v>2013 Q1</c:v>
                </c:pt>
                <c:pt idx="5">
                  <c:v>2013 Q2</c:v>
                </c:pt>
                <c:pt idx="6">
                  <c:v>2013 Q3</c:v>
                </c:pt>
                <c:pt idx="7">
                  <c:v>2013 Q4</c:v>
                </c:pt>
                <c:pt idx="8">
                  <c:v>2014 Q1</c:v>
                </c:pt>
              </c:strCache>
            </c:strRef>
          </c:cat>
          <c:val>
            <c:numRef>
              <c:f>'by drug pivot'!$C$7:$C$16</c:f>
              <c:numCache>
                <c:formatCode>General</c:formatCode>
                <c:ptCount val="9"/>
                <c:pt idx="0">
                  <c:v>24199</c:v>
                </c:pt>
                <c:pt idx="1">
                  <c:v>26267</c:v>
                </c:pt>
                <c:pt idx="2">
                  <c:v>28262</c:v>
                </c:pt>
                <c:pt idx="3">
                  <c:v>32793</c:v>
                </c:pt>
                <c:pt idx="4">
                  <c:v>26565</c:v>
                </c:pt>
                <c:pt idx="5">
                  <c:v>28436</c:v>
                </c:pt>
                <c:pt idx="6">
                  <c:v>29354</c:v>
                </c:pt>
                <c:pt idx="7">
                  <c:v>32489</c:v>
                </c:pt>
                <c:pt idx="8">
                  <c:v>25145</c:v>
                </c:pt>
              </c:numCache>
            </c:numRef>
          </c:val>
          <c:smooth val="0"/>
        </c:ser>
        <c:ser>
          <c:idx val="2"/>
          <c:order val="2"/>
          <c:tx>
            <c:strRef>
              <c:f>'by drug pivot'!$D$5:$D$6</c:f>
              <c:strCache>
                <c:ptCount val="1"/>
                <c:pt idx="0">
                  <c:v>N03AX16 - PREGABALIN</c:v>
                </c:pt>
              </c:strCache>
            </c:strRef>
          </c:tx>
          <c:cat>
            <c:strRef>
              <c:f>'by drug pivot'!$A$7:$A$16</c:f>
              <c:strCache>
                <c:ptCount val="9"/>
                <c:pt idx="0">
                  <c:v>2012 Q1</c:v>
                </c:pt>
                <c:pt idx="1">
                  <c:v>2012 Q2</c:v>
                </c:pt>
                <c:pt idx="2">
                  <c:v>2012 Q3</c:v>
                </c:pt>
                <c:pt idx="3">
                  <c:v>2012 Q4</c:v>
                </c:pt>
                <c:pt idx="4">
                  <c:v>2013 Q1</c:v>
                </c:pt>
                <c:pt idx="5">
                  <c:v>2013 Q2</c:v>
                </c:pt>
                <c:pt idx="6">
                  <c:v>2013 Q3</c:v>
                </c:pt>
                <c:pt idx="7">
                  <c:v>2013 Q4</c:v>
                </c:pt>
                <c:pt idx="8">
                  <c:v>2014 Q1</c:v>
                </c:pt>
              </c:strCache>
            </c:strRef>
          </c:cat>
          <c:val>
            <c:numRef>
              <c:f>'by drug pivot'!$D$7:$D$16</c:f>
              <c:numCache>
                <c:formatCode>General</c:formatCode>
                <c:ptCount val="9"/>
                <c:pt idx="0">
                  <c:v>8585</c:v>
                </c:pt>
                <c:pt idx="1">
                  <c:v>9500</c:v>
                </c:pt>
                <c:pt idx="2">
                  <c:v>9917</c:v>
                </c:pt>
                <c:pt idx="3">
                  <c:v>11385</c:v>
                </c:pt>
                <c:pt idx="4">
                  <c:v>50871</c:v>
                </c:pt>
                <c:pt idx="5">
                  <c:v>249404</c:v>
                </c:pt>
                <c:pt idx="6">
                  <c:v>354254</c:v>
                </c:pt>
                <c:pt idx="7">
                  <c:v>473810</c:v>
                </c:pt>
                <c:pt idx="8">
                  <c:v>430590</c:v>
                </c:pt>
              </c:numCache>
            </c:numRef>
          </c:val>
          <c:smooth val="0"/>
        </c:ser>
        <c:ser>
          <c:idx val="3"/>
          <c:order val="3"/>
          <c:tx>
            <c:strRef>
              <c:f>'by drug pivot'!$E$5:$E$6</c:f>
              <c:strCache>
                <c:ptCount val="1"/>
                <c:pt idx="0">
                  <c:v>N06AA09 - AMITRIPTYLINE HYDROCHLORIDE</c:v>
                </c:pt>
              </c:strCache>
            </c:strRef>
          </c:tx>
          <c:cat>
            <c:strRef>
              <c:f>'by drug pivot'!$A$7:$A$16</c:f>
              <c:strCache>
                <c:ptCount val="9"/>
                <c:pt idx="0">
                  <c:v>2012 Q1</c:v>
                </c:pt>
                <c:pt idx="1">
                  <c:v>2012 Q2</c:v>
                </c:pt>
                <c:pt idx="2">
                  <c:v>2012 Q3</c:v>
                </c:pt>
                <c:pt idx="3">
                  <c:v>2012 Q4</c:v>
                </c:pt>
                <c:pt idx="4">
                  <c:v>2013 Q1</c:v>
                </c:pt>
                <c:pt idx="5">
                  <c:v>2013 Q2</c:v>
                </c:pt>
                <c:pt idx="6">
                  <c:v>2013 Q3</c:v>
                </c:pt>
                <c:pt idx="7">
                  <c:v>2013 Q4</c:v>
                </c:pt>
                <c:pt idx="8">
                  <c:v>2014 Q1</c:v>
                </c:pt>
              </c:strCache>
            </c:strRef>
          </c:cat>
          <c:val>
            <c:numRef>
              <c:f>'by drug pivot'!$E$7:$E$16</c:f>
              <c:numCache>
                <c:formatCode>General</c:formatCode>
                <c:ptCount val="9"/>
                <c:pt idx="0">
                  <c:v>279813</c:v>
                </c:pt>
                <c:pt idx="1">
                  <c:v>423460</c:v>
                </c:pt>
                <c:pt idx="2">
                  <c:v>466361</c:v>
                </c:pt>
                <c:pt idx="3">
                  <c:v>516589</c:v>
                </c:pt>
                <c:pt idx="4">
                  <c:v>423659</c:v>
                </c:pt>
                <c:pt idx="5">
                  <c:v>472993</c:v>
                </c:pt>
                <c:pt idx="6">
                  <c:v>494556</c:v>
                </c:pt>
                <c:pt idx="7">
                  <c:v>535591</c:v>
                </c:pt>
                <c:pt idx="8">
                  <c:v>439037</c:v>
                </c:pt>
              </c:numCache>
            </c:numRef>
          </c:val>
          <c:smooth val="0"/>
        </c:ser>
        <c:ser>
          <c:idx val="4"/>
          <c:order val="4"/>
          <c:tx>
            <c:strRef>
              <c:f>'by drug pivot'!$F$5:$F$6</c:f>
              <c:strCache>
                <c:ptCount val="1"/>
                <c:pt idx="0">
                  <c:v>N06AX21 - DULOXETINE</c:v>
                </c:pt>
              </c:strCache>
            </c:strRef>
          </c:tx>
          <c:cat>
            <c:strRef>
              <c:f>'by drug pivot'!$A$7:$A$16</c:f>
              <c:strCache>
                <c:ptCount val="9"/>
                <c:pt idx="0">
                  <c:v>2012 Q1</c:v>
                </c:pt>
                <c:pt idx="1">
                  <c:v>2012 Q2</c:v>
                </c:pt>
                <c:pt idx="2">
                  <c:v>2012 Q3</c:v>
                </c:pt>
                <c:pt idx="3">
                  <c:v>2012 Q4</c:v>
                </c:pt>
                <c:pt idx="4">
                  <c:v>2013 Q1</c:v>
                </c:pt>
                <c:pt idx="5">
                  <c:v>2013 Q2</c:v>
                </c:pt>
                <c:pt idx="6">
                  <c:v>2013 Q3</c:v>
                </c:pt>
                <c:pt idx="7">
                  <c:v>2013 Q4</c:v>
                </c:pt>
                <c:pt idx="8">
                  <c:v>2014 Q1</c:v>
                </c:pt>
              </c:strCache>
            </c:strRef>
          </c:cat>
          <c:val>
            <c:numRef>
              <c:f>'by drug pivot'!$F$7:$F$16</c:f>
              <c:numCache>
                <c:formatCode>General</c:formatCode>
                <c:ptCount val="9"/>
                <c:pt idx="0">
                  <c:v>261695</c:v>
                </c:pt>
                <c:pt idx="1">
                  <c:v>279344</c:v>
                </c:pt>
                <c:pt idx="2">
                  <c:v>292734</c:v>
                </c:pt>
                <c:pt idx="3">
                  <c:v>317884</c:v>
                </c:pt>
                <c:pt idx="4">
                  <c:v>289682</c:v>
                </c:pt>
                <c:pt idx="5">
                  <c:v>311578</c:v>
                </c:pt>
                <c:pt idx="6">
                  <c:v>321628</c:v>
                </c:pt>
                <c:pt idx="7">
                  <c:v>338924</c:v>
                </c:pt>
                <c:pt idx="8">
                  <c:v>297339</c:v>
                </c:pt>
              </c:numCache>
            </c:numRef>
          </c:val>
          <c:smooth val="0"/>
        </c:ser>
        <c:dLbls>
          <c:showLegendKey val="0"/>
          <c:showVal val="0"/>
          <c:showCatName val="0"/>
          <c:showSerName val="0"/>
          <c:showPercent val="0"/>
          <c:showBubbleSize val="0"/>
        </c:dLbls>
        <c:marker val="1"/>
        <c:smooth val="0"/>
        <c:axId val="107489536"/>
        <c:axId val="107495808"/>
      </c:lineChart>
      <c:catAx>
        <c:axId val="107489536"/>
        <c:scaling>
          <c:orientation val="minMax"/>
        </c:scaling>
        <c:delete val="0"/>
        <c:axPos val="b"/>
        <c:title>
          <c:tx>
            <c:rich>
              <a:bodyPr/>
              <a:lstStyle/>
              <a:p>
                <a:pPr>
                  <a:defRPr b="0"/>
                </a:pPr>
                <a:r>
                  <a:rPr lang="en-AU" b="0"/>
                  <a:t>Year</a:t>
                </a:r>
                <a:r>
                  <a:rPr lang="en-AU" b="0" baseline="0"/>
                  <a:t> and quarter of supply</a:t>
                </a:r>
                <a:endParaRPr lang="en-AU" b="0"/>
              </a:p>
            </c:rich>
          </c:tx>
          <c:layout>
            <c:manualLayout>
              <c:xMode val="edge"/>
              <c:yMode val="edge"/>
              <c:x val="0.41781066311434689"/>
              <c:y val="0.80483698208244203"/>
            </c:manualLayout>
          </c:layout>
          <c:overlay val="0"/>
        </c:title>
        <c:numFmt formatCode="General" sourceLinked="1"/>
        <c:majorTickMark val="none"/>
        <c:minorTickMark val="none"/>
        <c:tickLblPos val="nextTo"/>
        <c:txPr>
          <a:bodyPr rot="-5400000" vert="horz"/>
          <a:lstStyle/>
          <a:p>
            <a:pPr>
              <a:defRPr/>
            </a:pPr>
            <a:endParaRPr lang="en-US"/>
          </a:p>
        </c:txPr>
        <c:crossAx val="107495808"/>
        <c:crosses val="autoZero"/>
        <c:auto val="0"/>
        <c:lblAlgn val="ctr"/>
        <c:lblOffset val="100"/>
        <c:tickLblSkip val="1"/>
        <c:tickMarkSkip val="1"/>
        <c:noMultiLvlLbl val="0"/>
      </c:catAx>
      <c:valAx>
        <c:axId val="107495808"/>
        <c:scaling>
          <c:orientation val="minMax"/>
        </c:scaling>
        <c:delete val="0"/>
        <c:axPos val="l"/>
        <c:majorGridlines/>
        <c:title>
          <c:tx>
            <c:rich>
              <a:bodyPr rot="-5400000" vert="horz"/>
              <a:lstStyle/>
              <a:p>
                <a:pPr>
                  <a:defRPr b="0"/>
                </a:pPr>
                <a:r>
                  <a:rPr lang="en-AU" b="0"/>
                  <a:t>Total</a:t>
                </a:r>
                <a:r>
                  <a:rPr lang="en-AU" b="0" baseline="0"/>
                  <a:t> p</a:t>
                </a:r>
                <a:r>
                  <a:rPr lang="en-AU" b="0"/>
                  <a:t>rescription numbers</a:t>
                </a:r>
              </a:p>
            </c:rich>
          </c:tx>
          <c:layout>
            <c:manualLayout>
              <c:xMode val="edge"/>
              <c:yMode val="edge"/>
              <c:x val="9.0090090090090089E-3"/>
              <c:y val="0.14139674751711312"/>
            </c:manualLayout>
          </c:layout>
          <c:overlay val="0"/>
        </c:title>
        <c:numFmt formatCode="#,##0" sourceLinked="0"/>
        <c:majorTickMark val="none"/>
        <c:minorTickMark val="none"/>
        <c:tickLblPos val="nextTo"/>
        <c:txPr>
          <a:bodyPr rot="0" vert="horz"/>
          <a:lstStyle/>
          <a:p>
            <a:pPr>
              <a:defRPr/>
            </a:pPr>
            <a:endParaRPr lang="en-US"/>
          </a:p>
        </c:txPr>
        <c:crossAx val="107489536"/>
        <c:crosses val="autoZero"/>
        <c:crossBetween val="between"/>
      </c:valAx>
    </c:plotArea>
    <c:legend>
      <c:legendPos val="b"/>
      <c:layout>
        <c:manualLayout>
          <c:xMode val="edge"/>
          <c:yMode val="edge"/>
          <c:x val="0.1346373160641352"/>
          <c:y val="0.8619719933852199"/>
          <c:w val="0.84097254735050009"/>
          <c:h val="0.12563473535657288"/>
        </c:manualLayout>
      </c:layout>
      <c:overlay val="0"/>
      <c:txPr>
        <a:bodyPr/>
        <a:lstStyle/>
        <a:p>
          <a:pPr>
            <a:defRPr sz="800"/>
          </a:pPr>
          <a:endParaRPr lang="en-US"/>
        </a:p>
      </c:txPr>
    </c:legend>
    <c:plotVisOnly val="1"/>
    <c:dispBlanksAs val="gap"/>
    <c:showDLblsOverMax val="0"/>
  </c:chart>
  <c:externalData r:id="rId2">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[D818_DUSC_DATA pregabalin expenditure &amp; prescriptions.xlsx]Expenditure!PivotTable2</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s>
    <c:plotArea>
      <c:layout>
        <c:manualLayout>
          <c:layoutTarget val="inner"/>
          <c:xMode val="edge"/>
          <c:yMode val="edge"/>
          <c:x val="0.19180718689233614"/>
          <c:y val="5.3249494892275158E-2"/>
          <c:w val="0.78382957944210463"/>
          <c:h val="0.6279416152117675"/>
        </c:manualLayout>
      </c:layout>
      <c:barChart>
        <c:barDir val="col"/>
        <c:grouping val="clustered"/>
        <c:varyColors val="0"/>
        <c:ser>
          <c:idx val="0"/>
          <c:order val="0"/>
          <c:tx>
            <c:strRef>
              <c:f>Expenditure!$B$3</c:f>
              <c:strCache>
                <c:ptCount val="1"/>
                <c:pt idx="0">
                  <c:v>Total</c:v>
                </c:pt>
              </c:strCache>
            </c:strRef>
          </c:tx>
          <c:invertIfNegative val="0"/>
          <c:cat>
            <c:strRef>
              <c:f>Expenditure!$A$4:$A$29</c:f>
              <c:strCache>
                <c:ptCount val="25"/>
                <c:pt idx="0">
                  <c:v>201203</c:v>
                </c:pt>
                <c:pt idx="1">
                  <c:v>201204</c:v>
                </c:pt>
                <c:pt idx="2">
                  <c:v>201205</c:v>
                </c:pt>
                <c:pt idx="3">
                  <c:v>201206</c:v>
                </c:pt>
                <c:pt idx="4">
                  <c:v>201207</c:v>
                </c:pt>
                <c:pt idx="5">
                  <c:v>201208</c:v>
                </c:pt>
                <c:pt idx="6">
                  <c:v>201209</c:v>
                </c:pt>
                <c:pt idx="7">
                  <c:v>201210</c:v>
                </c:pt>
                <c:pt idx="8">
                  <c:v>201211</c:v>
                </c:pt>
                <c:pt idx="9">
                  <c:v>201212</c:v>
                </c:pt>
                <c:pt idx="10">
                  <c:v>201301</c:v>
                </c:pt>
                <c:pt idx="11">
                  <c:v>201302</c:v>
                </c:pt>
                <c:pt idx="12">
                  <c:v>201303</c:v>
                </c:pt>
                <c:pt idx="13">
                  <c:v>201304</c:v>
                </c:pt>
                <c:pt idx="14">
                  <c:v>201305</c:v>
                </c:pt>
                <c:pt idx="15">
                  <c:v>201306</c:v>
                </c:pt>
                <c:pt idx="16">
                  <c:v>201307</c:v>
                </c:pt>
                <c:pt idx="17">
                  <c:v>201308</c:v>
                </c:pt>
                <c:pt idx="18">
                  <c:v>201309</c:v>
                </c:pt>
                <c:pt idx="19">
                  <c:v>201310</c:v>
                </c:pt>
                <c:pt idx="20">
                  <c:v>201311</c:v>
                </c:pt>
                <c:pt idx="21">
                  <c:v>201312</c:v>
                </c:pt>
                <c:pt idx="22">
                  <c:v>201401</c:v>
                </c:pt>
                <c:pt idx="23">
                  <c:v>201402</c:v>
                </c:pt>
                <c:pt idx="24">
                  <c:v>201403</c:v>
                </c:pt>
              </c:strCache>
            </c:strRef>
          </c:cat>
          <c:val>
            <c:numRef>
              <c:f>Expenditure!$B$4:$B$29</c:f>
              <c:numCache>
                <c:formatCode>General</c:formatCode>
                <c:ptCount val="25"/>
                <c:pt idx="0">
                  <c:v>305719.89999999997</c:v>
                </c:pt>
                <c:pt idx="1">
                  <c:v>288869.90000000002</c:v>
                </c:pt>
                <c:pt idx="2">
                  <c:v>334086.15999999997</c:v>
                </c:pt>
                <c:pt idx="3">
                  <c:v>312758.87</c:v>
                </c:pt>
                <c:pt idx="4">
                  <c:v>328720.78999999998</c:v>
                </c:pt>
                <c:pt idx="5">
                  <c:v>343879.04000000004</c:v>
                </c:pt>
                <c:pt idx="6">
                  <c:v>324628.37</c:v>
                </c:pt>
                <c:pt idx="7">
                  <c:v>362178.67</c:v>
                </c:pt>
                <c:pt idx="8">
                  <c:v>369069.47</c:v>
                </c:pt>
                <c:pt idx="9">
                  <c:v>419579.33999999997</c:v>
                </c:pt>
                <c:pt idx="10">
                  <c:v>297878.66000000003</c:v>
                </c:pt>
                <c:pt idx="11">
                  <c:v>317774.82999999996</c:v>
                </c:pt>
                <c:pt idx="12">
                  <c:v>1849502.2999999998</c:v>
                </c:pt>
                <c:pt idx="13">
                  <c:v>2796272.8200000008</c:v>
                </c:pt>
                <c:pt idx="14">
                  <c:v>3762380.5600000019</c:v>
                </c:pt>
                <c:pt idx="15">
                  <c:v>3893144.8999999985</c:v>
                </c:pt>
                <c:pt idx="16">
                  <c:v>4819162.09</c:v>
                </c:pt>
                <c:pt idx="17">
                  <c:v>5305460.1000000015</c:v>
                </c:pt>
                <c:pt idx="18">
                  <c:v>5473809.3899999997</c:v>
                </c:pt>
                <c:pt idx="19">
                  <c:v>6407731.2400000012</c:v>
                </c:pt>
                <c:pt idx="20">
                  <c:v>6778890.9900000012</c:v>
                </c:pt>
                <c:pt idx="21">
                  <c:v>8616576.1199999973</c:v>
                </c:pt>
                <c:pt idx="22">
                  <c:v>5339871.16</c:v>
                </c:pt>
                <c:pt idx="23">
                  <c:v>5618555.3900000006</c:v>
                </c:pt>
                <c:pt idx="24">
                  <c:v>6493624.2599999998</c:v>
                </c:pt>
              </c:numCache>
            </c:numRef>
          </c:val>
        </c:ser>
        <c:dLbls>
          <c:showLegendKey val="0"/>
          <c:showVal val="0"/>
          <c:showCatName val="0"/>
          <c:showSerName val="0"/>
          <c:showPercent val="0"/>
          <c:showBubbleSize val="0"/>
        </c:dLbls>
        <c:gapWidth val="150"/>
        <c:axId val="107512576"/>
        <c:axId val="107514496"/>
      </c:barChart>
      <c:catAx>
        <c:axId val="107512576"/>
        <c:scaling>
          <c:orientation val="minMax"/>
        </c:scaling>
        <c:delete val="0"/>
        <c:axPos val="b"/>
        <c:title>
          <c:tx>
            <c:rich>
              <a:bodyPr/>
              <a:lstStyle/>
              <a:p>
                <a:pPr>
                  <a:defRPr b="0"/>
                </a:pPr>
                <a:r>
                  <a:rPr lang="en-AU" b="0"/>
                  <a:t>Year</a:t>
                </a:r>
                <a:r>
                  <a:rPr lang="en-AU" b="0" baseline="0"/>
                  <a:t> and date of supply</a:t>
                </a:r>
              </a:p>
            </c:rich>
          </c:tx>
          <c:layout>
            <c:manualLayout>
              <c:xMode val="edge"/>
              <c:yMode val="edge"/>
              <c:x val="0.39788073002502594"/>
              <c:y val="0.88411965358262801"/>
            </c:manualLayout>
          </c:layout>
          <c:overlay val="0"/>
        </c:title>
        <c:majorTickMark val="out"/>
        <c:minorTickMark val="none"/>
        <c:tickLblPos val="nextTo"/>
        <c:crossAx val="107514496"/>
        <c:crosses val="autoZero"/>
        <c:auto val="1"/>
        <c:lblAlgn val="ctr"/>
        <c:lblOffset val="100"/>
        <c:noMultiLvlLbl val="0"/>
      </c:catAx>
      <c:valAx>
        <c:axId val="107514496"/>
        <c:scaling>
          <c:orientation val="minMax"/>
        </c:scaling>
        <c:delete val="0"/>
        <c:axPos val="l"/>
        <c:majorGridlines/>
        <c:title>
          <c:tx>
            <c:rich>
              <a:bodyPr rot="-5400000" vert="horz"/>
              <a:lstStyle/>
              <a:p>
                <a:pPr>
                  <a:defRPr b="0"/>
                </a:pPr>
                <a:r>
                  <a:rPr lang="en-AU" b="0"/>
                  <a:t>PBS/RPBS</a:t>
                </a:r>
                <a:r>
                  <a:rPr lang="en-AU" b="0" baseline="0"/>
                  <a:t> expenditure</a:t>
                </a:r>
                <a:endParaRPr lang="en-AU" b="0"/>
              </a:p>
            </c:rich>
          </c:tx>
          <c:layout>
            <c:manualLayout>
              <c:xMode val="edge"/>
              <c:yMode val="edge"/>
              <c:x val="1.7718715393133997E-2"/>
              <c:y val="0.13855095451198096"/>
            </c:manualLayout>
          </c:layout>
          <c:overlay val="0"/>
        </c:title>
        <c:numFmt formatCode="&quot;$&quot;#,##0" sourceLinked="0"/>
        <c:majorTickMark val="out"/>
        <c:minorTickMark val="none"/>
        <c:tickLblPos val="nextTo"/>
        <c:crossAx val="107512576"/>
        <c:crosses val="autoZero"/>
        <c:crossBetween val="between"/>
      </c:valAx>
    </c:plotArea>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68AA4-0ECD-41FF-AA51-5FF4D6BA2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3579</Words>
  <Characters>20405</Characters>
  <Application>Microsoft Office Word</Application>
  <DocSecurity>4</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2015-03-03T02:57:00Z</dcterms:created>
  <dcterms:modified xsi:type="dcterms:W3CDTF">2015-03-03T02:57:00Z</dcterms:modified>
</cp:coreProperties>
</file>